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D5B9" w14:textId="77777777" w:rsidR="00E03C2E" w:rsidRPr="001842C0" w:rsidRDefault="00E03C2E" w:rsidP="00A764A2">
      <w:pPr>
        <w:jc w:val="center"/>
        <w:rPr>
          <w:b/>
          <w:bCs/>
          <w:lang w:val="fr-MC"/>
        </w:rPr>
      </w:pPr>
      <w:r w:rsidRPr="001842C0">
        <w:rPr>
          <w:b/>
          <w:bCs/>
          <w:lang w:val="fr-MC"/>
        </w:rPr>
        <w:t xml:space="preserve">ENTREPRENEURIAL ORIENTATION, EXPORT CHANNEL SELECTION, </w:t>
      </w:r>
    </w:p>
    <w:p w14:paraId="5EE3D5BA" w14:textId="3450E5AE" w:rsidR="00E03C2E" w:rsidRPr="001842C0" w:rsidRDefault="00E03C2E" w:rsidP="00A764A2">
      <w:pPr>
        <w:spacing w:line="480" w:lineRule="auto"/>
        <w:jc w:val="center"/>
        <w:rPr>
          <w:b/>
          <w:bCs/>
        </w:rPr>
      </w:pPr>
      <w:r w:rsidRPr="001842C0">
        <w:rPr>
          <w:b/>
          <w:bCs/>
        </w:rPr>
        <w:t>AND EXPORT PERFORMANCE</w:t>
      </w:r>
      <w:r w:rsidR="00FF41B4" w:rsidRPr="001842C0">
        <w:rPr>
          <w:b/>
          <w:bCs/>
        </w:rPr>
        <w:t xml:space="preserve"> OF SMEs</w:t>
      </w:r>
    </w:p>
    <w:p w14:paraId="5EE3D5BC" w14:textId="77777777" w:rsidR="00E03C2E" w:rsidRPr="00A764A2" w:rsidRDefault="00E03C2E"/>
    <w:p w14:paraId="64BDFE75" w14:textId="08A41DA0" w:rsidR="00076D2D" w:rsidRDefault="008A6F34" w:rsidP="0093478C">
      <w:pPr>
        <w:spacing w:line="480" w:lineRule="auto"/>
      </w:pPr>
      <w:r w:rsidRPr="008A6F34">
        <w:t>Although research indicates that the export channel a firm uses can significantly impact</w:t>
      </w:r>
      <w:r>
        <w:t xml:space="preserve"> </w:t>
      </w:r>
      <w:r w:rsidRPr="008A6F34">
        <w:t>export performance, it is unclear how firms should select this channel. Models of export</w:t>
      </w:r>
      <w:r>
        <w:t xml:space="preserve"> </w:t>
      </w:r>
      <w:r w:rsidRPr="008A6F34">
        <w:t>channel choice tend to concentrate on transaction cost</w:t>
      </w:r>
      <w:r w:rsidR="00A04FEB">
        <w:t xml:space="preserve"> efficiencies</w:t>
      </w:r>
      <w:r w:rsidRPr="008A6F34">
        <w:t xml:space="preserve">, ignoring </w:t>
      </w:r>
      <w:r w:rsidR="00A04FEB">
        <w:t xml:space="preserve">value </w:t>
      </w:r>
      <w:r w:rsidR="002F4EC3" w:rsidRPr="001842C0">
        <w:t>adding orientations</w:t>
      </w:r>
      <w:r w:rsidR="002F4EC3">
        <w:t xml:space="preserve"> </w:t>
      </w:r>
      <w:r w:rsidR="00B6469C">
        <w:t>that entrepreneurial firms may possess</w:t>
      </w:r>
      <w:r w:rsidRPr="008A6F34">
        <w:t>.</w:t>
      </w:r>
      <w:r>
        <w:t xml:space="preserve"> </w:t>
      </w:r>
      <w:r w:rsidRPr="008A6F34">
        <w:t xml:space="preserve">In this paper we develop and test the theoretical notion that in addition to transaction costs, differences in entrepreneurial </w:t>
      </w:r>
      <w:r w:rsidR="00B6469C">
        <w:t>orientation</w:t>
      </w:r>
      <w:r w:rsidR="008C2691">
        <w:t xml:space="preserve"> </w:t>
      </w:r>
      <w:r w:rsidR="008C2691" w:rsidRPr="004D0D1F">
        <w:t>(EO)</w:t>
      </w:r>
      <w:r w:rsidRPr="008A6F34">
        <w:t xml:space="preserve"> influence export channel choice and as a consequence export performance. Using data from a sample of </w:t>
      </w:r>
      <w:r w:rsidR="00E27349" w:rsidRPr="00D64C25">
        <w:t>Dutch and Italian</w:t>
      </w:r>
      <w:r w:rsidRPr="00D64C25">
        <w:t xml:space="preserve"> SMEs we find that</w:t>
      </w:r>
      <w:r w:rsidR="003E174B" w:rsidRPr="00D64C25">
        <w:t xml:space="preserve"> </w:t>
      </w:r>
      <w:r w:rsidR="0006795F">
        <w:t xml:space="preserve">adding </w:t>
      </w:r>
      <w:r w:rsidR="008C2691" w:rsidRPr="00D64C25">
        <w:t>EO</w:t>
      </w:r>
      <w:r w:rsidR="008C2691" w:rsidRPr="008A6F34">
        <w:t xml:space="preserve"> </w:t>
      </w:r>
      <w:r w:rsidR="000A1A71" w:rsidRPr="00D64C25">
        <w:t xml:space="preserve">(moderated by institutional distance) </w:t>
      </w:r>
      <w:r w:rsidR="00002D52" w:rsidRPr="00D64C25">
        <w:t>significant</w:t>
      </w:r>
      <w:r w:rsidR="00CB0EED">
        <w:t xml:space="preserve">ly improves </w:t>
      </w:r>
      <w:r w:rsidR="009324A6">
        <w:t xml:space="preserve">our model of </w:t>
      </w:r>
      <w:r w:rsidR="00002D52" w:rsidRPr="00D64C25">
        <w:t>export channel choice</w:t>
      </w:r>
      <w:r w:rsidR="0006795F">
        <w:t xml:space="preserve">. </w:t>
      </w:r>
      <w:r w:rsidR="00930421" w:rsidRPr="009324A6">
        <w:t xml:space="preserve">Further we find that </w:t>
      </w:r>
      <w:r w:rsidR="0008329B" w:rsidRPr="009324A6">
        <w:t xml:space="preserve">firms selecting export channels </w:t>
      </w:r>
      <w:r w:rsidR="003E174B" w:rsidRPr="009324A6">
        <w:t>that align</w:t>
      </w:r>
      <w:r w:rsidR="00B6469C" w:rsidRPr="009324A6">
        <w:t xml:space="preserve"> </w:t>
      </w:r>
      <w:r w:rsidR="00556B65" w:rsidRPr="009324A6">
        <w:t xml:space="preserve">not only with transaction cost factors but also firm level </w:t>
      </w:r>
      <w:r w:rsidR="007559D9" w:rsidRPr="009324A6">
        <w:t xml:space="preserve">EO, </w:t>
      </w:r>
      <w:r w:rsidR="00556B65" w:rsidRPr="009324A6">
        <w:t xml:space="preserve">moderated by </w:t>
      </w:r>
      <w:r w:rsidR="007559D9" w:rsidRPr="009324A6">
        <w:t>institutional distance</w:t>
      </w:r>
      <w:r w:rsidR="009A0762" w:rsidRPr="009324A6">
        <w:t>,</w:t>
      </w:r>
      <w:r w:rsidR="007559D9" w:rsidRPr="009324A6">
        <w:t xml:space="preserve"> </w:t>
      </w:r>
      <w:r w:rsidR="0008329B" w:rsidRPr="009324A6">
        <w:t xml:space="preserve">have higher </w:t>
      </w:r>
      <w:r w:rsidR="007559D9" w:rsidRPr="009324A6">
        <w:t xml:space="preserve">export market </w:t>
      </w:r>
      <w:r w:rsidR="0008329B" w:rsidRPr="009324A6">
        <w:t>performance</w:t>
      </w:r>
      <w:r w:rsidRPr="009324A6">
        <w:t xml:space="preserve">. </w:t>
      </w:r>
      <w:r w:rsidR="003E174B" w:rsidRPr="009324A6">
        <w:t>Thus</w:t>
      </w:r>
      <w:r w:rsidR="00C91C9D" w:rsidRPr="009324A6">
        <w:t>,</w:t>
      </w:r>
      <w:r w:rsidR="003E174B" w:rsidRPr="009324A6">
        <w:t xml:space="preserve"> our study </w:t>
      </w:r>
      <w:r w:rsidR="00556B65" w:rsidRPr="009324A6">
        <w:t xml:space="preserve">adds to and extends the export channel choice literature and provides interesting new insights into how </w:t>
      </w:r>
      <w:r w:rsidR="008C2691" w:rsidRPr="009324A6">
        <w:t xml:space="preserve">EO </w:t>
      </w:r>
      <w:r w:rsidR="00BA0257" w:rsidRPr="009324A6">
        <w:t>helps firms create more successful export operations.</w:t>
      </w:r>
      <w:r w:rsidR="00556B65" w:rsidRPr="009324A6">
        <w:t xml:space="preserve"> </w:t>
      </w:r>
    </w:p>
    <w:p w14:paraId="5EE3D5BF" w14:textId="7F36DE90" w:rsidR="00E03C2E" w:rsidRDefault="00E03C2E" w:rsidP="0093478C">
      <w:pPr>
        <w:spacing w:line="480" w:lineRule="auto"/>
        <w:rPr>
          <w:rFonts w:ascii="Calibri" w:hAnsi="Calibri"/>
        </w:rPr>
      </w:pPr>
    </w:p>
    <w:p w14:paraId="085689FF" w14:textId="77777777" w:rsidR="008C2691" w:rsidRPr="008C2691" w:rsidRDefault="008C2691">
      <w:pPr>
        <w:rPr>
          <w:b/>
          <w:bCs/>
          <w:lang w:val="en-GB"/>
        </w:rPr>
      </w:pPr>
      <w:r w:rsidRPr="008C2691">
        <w:rPr>
          <w:b/>
          <w:bCs/>
          <w:lang w:val="en-GB"/>
        </w:rPr>
        <w:br w:type="page"/>
      </w:r>
    </w:p>
    <w:p w14:paraId="5EE3D5C1" w14:textId="5B9899F1" w:rsidR="00E03C2E" w:rsidRPr="00C5206B" w:rsidRDefault="00A67900" w:rsidP="00C5206B">
      <w:pPr>
        <w:pStyle w:val="ListParagraph"/>
        <w:numPr>
          <w:ilvl w:val="0"/>
          <w:numId w:val="2"/>
        </w:numPr>
        <w:rPr>
          <w:b/>
          <w:bCs/>
          <w:lang w:val="fr-MC"/>
        </w:rPr>
      </w:pPr>
      <w:r>
        <w:rPr>
          <w:b/>
          <w:bCs/>
          <w:lang w:val="fr-MC"/>
        </w:rPr>
        <w:lastRenderedPageBreak/>
        <w:t>INTRODUCTION</w:t>
      </w:r>
    </w:p>
    <w:p w14:paraId="4231CAC2" w14:textId="77777777" w:rsidR="00C5206B" w:rsidRPr="00DB1820" w:rsidRDefault="00C5206B" w:rsidP="00C5206B">
      <w:pPr>
        <w:pStyle w:val="ListParagraph"/>
        <w:ind w:left="360"/>
      </w:pPr>
    </w:p>
    <w:p w14:paraId="5EE3D5C2" w14:textId="21AA18FE" w:rsidR="00BC30AE" w:rsidRPr="0019369F" w:rsidRDefault="00014950" w:rsidP="0012532F">
      <w:pPr>
        <w:spacing w:line="480" w:lineRule="auto"/>
        <w:ind w:right="-108" w:firstLine="567"/>
      </w:pPr>
      <w:r>
        <w:t xml:space="preserve">Small and medium size enterprises (SMEs) </w:t>
      </w:r>
      <w:r w:rsidR="00D151F3">
        <w:t xml:space="preserve">get involved in </w:t>
      </w:r>
      <w:r w:rsidR="0012532F" w:rsidRPr="009F0809">
        <w:t>export</w:t>
      </w:r>
      <w:r w:rsidR="00D151F3">
        <w:t xml:space="preserve">ing </w:t>
      </w:r>
      <w:r w:rsidR="00E5606F" w:rsidRPr="009F0809">
        <w:t>to</w:t>
      </w:r>
      <w:r w:rsidR="0012532F" w:rsidRPr="009F0809">
        <w:t xml:space="preserve"> increase sales and </w:t>
      </w:r>
      <w:r w:rsidR="0012532F" w:rsidRPr="00C44DFA">
        <w:t>profits (</w:t>
      </w:r>
      <w:r w:rsidR="00C763C3" w:rsidRPr="00C44DFA">
        <w:t xml:space="preserve">Knight, Moen &amp; Madsen, 2020; </w:t>
      </w:r>
      <w:r w:rsidR="008B78E7" w:rsidRPr="00C44DFA">
        <w:rPr>
          <w:color w:val="222222"/>
          <w:shd w:val="clear" w:color="auto" w:fill="FFFFFF"/>
        </w:rPr>
        <w:t>Paul</w:t>
      </w:r>
      <w:r w:rsidR="008B78E7" w:rsidRPr="008B78E7">
        <w:rPr>
          <w:color w:val="222222"/>
          <w:shd w:val="clear" w:color="auto" w:fill="FFFFFF"/>
        </w:rPr>
        <w:t>, Parthasarathy &amp; Gupta, 2017</w:t>
      </w:r>
      <w:r w:rsidRPr="008B78E7">
        <w:t>; OECD</w:t>
      </w:r>
      <w:r>
        <w:t>, 2008</w:t>
      </w:r>
      <w:r w:rsidR="0012532F" w:rsidRPr="009F0809">
        <w:t>)</w:t>
      </w:r>
      <w:r w:rsidR="002D1D0A">
        <w:t xml:space="preserve">. </w:t>
      </w:r>
      <w:r w:rsidR="0012532F">
        <w:t xml:space="preserve">Export channels are the mechanisms </w:t>
      </w:r>
      <w:r w:rsidR="00DB3EA8">
        <w:t xml:space="preserve">these </w:t>
      </w:r>
      <w:r w:rsidR="0012532F">
        <w:t>firms use to take products and services to foreign locations (</w:t>
      </w:r>
      <w:r w:rsidR="007D11E7" w:rsidRPr="007D11E7">
        <w:t>Ishii</w:t>
      </w:r>
      <w:r w:rsidR="007D11E7">
        <w:t>,</w:t>
      </w:r>
      <w:r w:rsidR="007D11E7" w:rsidRPr="007D11E7">
        <w:t xml:space="preserve"> 2021</w:t>
      </w:r>
      <w:r w:rsidR="007D11E7">
        <w:t>;</w:t>
      </w:r>
      <w:r w:rsidR="007D11E7" w:rsidRPr="007D11E7">
        <w:t xml:space="preserve"> </w:t>
      </w:r>
      <w:proofErr w:type="spellStart"/>
      <w:r w:rsidR="0012532F">
        <w:t>Shervani</w:t>
      </w:r>
      <w:proofErr w:type="spellEnd"/>
      <w:r w:rsidR="0012532F">
        <w:t xml:space="preserve">, Frazer &amp; </w:t>
      </w:r>
      <w:proofErr w:type="spellStart"/>
      <w:r w:rsidR="0012532F">
        <w:t>Challagalla</w:t>
      </w:r>
      <w:proofErr w:type="spellEnd"/>
      <w:r w:rsidR="0012532F">
        <w:t xml:space="preserve">, 2007). </w:t>
      </w:r>
      <w:r w:rsidR="00AD47C0">
        <w:t>T</w:t>
      </w:r>
      <w:r w:rsidR="0012532F">
        <w:t>he export channel decision is critically important</w:t>
      </w:r>
      <w:r w:rsidR="00AD47C0">
        <w:t xml:space="preserve"> because </w:t>
      </w:r>
      <w:r w:rsidR="0012532F">
        <w:t xml:space="preserve">it is difficult to change channels once established (Bello &amp; </w:t>
      </w:r>
      <w:proofErr w:type="spellStart"/>
      <w:r w:rsidR="0012532F">
        <w:t>Lohtia</w:t>
      </w:r>
      <w:proofErr w:type="spellEnd"/>
      <w:r w:rsidR="0012532F">
        <w:t>, 1995) and the export channel impact</w:t>
      </w:r>
      <w:r w:rsidR="00CC1933">
        <w:t>s</w:t>
      </w:r>
      <w:r w:rsidR="0012532F">
        <w:t xml:space="preserve"> performance (</w:t>
      </w:r>
      <w:proofErr w:type="spellStart"/>
      <w:r w:rsidR="00C24A0D" w:rsidRPr="007C5BE8">
        <w:t>Aulakh</w:t>
      </w:r>
      <w:proofErr w:type="spellEnd"/>
      <w:r w:rsidR="00C24A0D">
        <w:t xml:space="preserve"> &amp; </w:t>
      </w:r>
      <w:proofErr w:type="spellStart"/>
      <w:r w:rsidR="00C24A0D">
        <w:t>Kotabe</w:t>
      </w:r>
      <w:proofErr w:type="spellEnd"/>
      <w:r w:rsidR="00C24A0D">
        <w:t xml:space="preserve">, </w:t>
      </w:r>
      <w:r w:rsidR="00C24A0D" w:rsidRPr="007C5BE8">
        <w:t>1997</w:t>
      </w:r>
      <w:r w:rsidR="00C24A0D">
        <w:t xml:space="preserve">; </w:t>
      </w:r>
      <w:r w:rsidR="0012532F">
        <w:t>He, Brouthers &amp; Filatotchev, 2013</w:t>
      </w:r>
      <w:r w:rsidR="00450FA2">
        <w:t>;</w:t>
      </w:r>
      <w:r w:rsidR="00450FA2" w:rsidRPr="00450FA2">
        <w:t xml:space="preserve"> </w:t>
      </w:r>
      <w:r w:rsidR="00450FA2" w:rsidRPr="00426037">
        <w:t>Ishii</w:t>
      </w:r>
      <w:r w:rsidR="00450FA2">
        <w:t xml:space="preserve">, </w:t>
      </w:r>
      <w:r w:rsidR="00450FA2" w:rsidRPr="00426037">
        <w:t>2021</w:t>
      </w:r>
      <w:r w:rsidR="0012532F">
        <w:t xml:space="preserve">). </w:t>
      </w:r>
      <w:r w:rsidR="00125D8A">
        <w:t>P</w:t>
      </w:r>
      <w:r w:rsidR="0012532F">
        <w:t xml:space="preserve">revious export channel choice research </w:t>
      </w:r>
      <w:r w:rsidR="0012532F" w:rsidRPr="00444A39">
        <w:t xml:space="preserve">focuses </w:t>
      </w:r>
      <w:r w:rsidR="00CC1933">
        <w:t>mainly</w:t>
      </w:r>
      <w:r w:rsidR="0012532F" w:rsidRPr="00444A39">
        <w:t xml:space="preserve"> </w:t>
      </w:r>
      <w:r w:rsidR="00125D8A">
        <w:t xml:space="preserve">on </w:t>
      </w:r>
      <w:r w:rsidR="0012532F" w:rsidRPr="00444A39">
        <w:t>transaction cost (TCE) factors</w:t>
      </w:r>
      <w:r w:rsidR="0012532F">
        <w:t xml:space="preserve"> (Anderson &amp; </w:t>
      </w:r>
      <w:r w:rsidR="0012532F" w:rsidRPr="00AE37A6">
        <w:t xml:space="preserve">Coughlan, 1987; </w:t>
      </w:r>
      <w:r w:rsidR="00450FA2" w:rsidRPr="00426037">
        <w:t>Ishii</w:t>
      </w:r>
      <w:r w:rsidR="00A25EB8">
        <w:t>,</w:t>
      </w:r>
      <w:r w:rsidR="00450FA2" w:rsidRPr="00426037">
        <w:t xml:space="preserve"> 2021</w:t>
      </w:r>
      <w:r w:rsidR="00A25EB8">
        <w:t xml:space="preserve">; </w:t>
      </w:r>
      <w:r w:rsidR="0012532F" w:rsidRPr="00AE37A6">
        <w:t xml:space="preserve">Klein, Frazer &amp; Roth, 1990; </w:t>
      </w:r>
      <w:r w:rsidR="00FA2E8E">
        <w:t xml:space="preserve">Li, He &amp; </w:t>
      </w:r>
      <w:r w:rsidR="005C0BD4">
        <w:t xml:space="preserve">Sousa, 2017; </w:t>
      </w:r>
      <w:proofErr w:type="spellStart"/>
      <w:r w:rsidR="0012532F" w:rsidRPr="00AE37A6">
        <w:t>Shervani</w:t>
      </w:r>
      <w:proofErr w:type="spellEnd"/>
      <w:r w:rsidR="0012532F" w:rsidRPr="00AE37A6">
        <w:t xml:space="preserve"> et al., 2007)</w:t>
      </w:r>
      <w:r w:rsidR="00BC30AE">
        <w:t xml:space="preserve">. </w:t>
      </w:r>
      <w:r w:rsidR="003C5CA1" w:rsidRPr="0019369F">
        <w:t>T</w:t>
      </w:r>
      <w:r w:rsidR="000D7593" w:rsidRPr="0019369F">
        <w:t>CE</w:t>
      </w:r>
      <w:r w:rsidR="003C5CA1" w:rsidRPr="0019369F">
        <w:t xml:space="preserve"> studies indicate that </w:t>
      </w:r>
      <w:r w:rsidR="008E711F" w:rsidRPr="0019369F">
        <w:t xml:space="preserve">firms taking more specific assets abroad will tend to </w:t>
      </w:r>
      <w:r w:rsidR="000D7593" w:rsidRPr="0019369F">
        <w:t>use</w:t>
      </w:r>
      <w:r w:rsidR="008E711F" w:rsidRPr="0019369F">
        <w:t xml:space="preserve"> hierarchical integrated export channels because these channels help safeguard proprietary knowledge from potential opportunism of partners (Anderson &amp; Coughlan, 1987; Klein et al., 1990; </w:t>
      </w:r>
      <w:proofErr w:type="spellStart"/>
      <w:r w:rsidR="008E711F" w:rsidRPr="0019369F">
        <w:t>Shervani</w:t>
      </w:r>
      <w:proofErr w:type="spellEnd"/>
      <w:r w:rsidR="008E711F" w:rsidRPr="0019369F">
        <w:t xml:space="preserve"> et al., 2007). </w:t>
      </w:r>
      <w:r w:rsidR="000D7593" w:rsidRPr="0019369F">
        <w:t xml:space="preserve">These </w:t>
      </w:r>
      <w:r w:rsidR="008E711F" w:rsidRPr="0019369F">
        <w:t xml:space="preserve">TCE </w:t>
      </w:r>
      <w:r w:rsidR="000D7593" w:rsidRPr="0019369F">
        <w:t>studies also</w:t>
      </w:r>
      <w:r w:rsidR="008E711F" w:rsidRPr="0019369F">
        <w:t xml:space="preserve"> suggest that firms </w:t>
      </w:r>
      <w:r w:rsidR="00F551BD" w:rsidRPr="0019369F">
        <w:t>use</w:t>
      </w:r>
      <w:r w:rsidR="008E711F" w:rsidRPr="0019369F">
        <w:t xml:space="preserve"> cooperative export channels when </w:t>
      </w:r>
      <w:r w:rsidR="000D7593" w:rsidRPr="0019369F">
        <w:t xml:space="preserve">the </w:t>
      </w:r>
      <w:r w:rsidR="008E711F" w:rsidRPr="0019369F">
        <w:t>transaction costs generated by external uncertaint</w:t>
      </w:r>
      <w:r w:rsidR="000D7593" w:rsidRPr="0019369F">
        <w:t>ies are</w:t>
      </w:r>
      <w:r w:rsidR="008E711F" w:rsidRPr="0019369F">
        <w:t xml:space="preserve"> high (Klein et al., 1990; </w:t>
      </w:r>
      <w:proofErr w:type="spellStart"/>
      <w:r w:rsidR="008E711F" w:rsidRPr="0019369F">
        <w:t>Shervani</w:t>
      </w:r>
      <w:proofErr w:type="spellEnd"/>
      <w:r w:rsidR="008E711F" w:rsidRPr="0019369F">
        <w:t xml:space="preserve"> et al., 2007) but </w:t>
      </w:r>
      <w:r w:rsidR="00F551BD" w:rsidRPr="0019369F">
        <w:t>use</w:t>
      </w:r>
      <w:r w:rsidR="008E711F" w:rsidRPr="0019369F">
        <w:t xml:space="preserve"> hierarchical export channels when </w:t>
      </w:r>
      <w:r w:rsidR="000D7593" w:rsidRPr="0019369F">
        <w:t xml:space="preserve">the internal uncertainties of </w:t>
      </w:r>
      <w:r w:rsidR="008E711F" w:rsidRPr="0019369F">
        <w:t xml:space="preserve">monitoring and controlling potential partners are high (Klein &amp; Roth, 1990; </w:t>
      </w:r>
      <w:proofErr w:type="spellStart"/>
      <w:r w:rsidR="008E711F" w:rsidRPr="0019369F">
        <w:t>Shervani</w:t>
      </w:r>
      <w:proofErr w:type="spellEnd"/>
      <w:r w:rsidR="008E711F" w:rsidRPr="0019369F">
        <w:t xml:space="preserve"> et al., 2007).</w:t>
      </w:r>
    </w:p>
    <w:p w14:paraId="5EE3D5C3" w14:textId="66418E5C" w:rsidR="00BC30AE" w:rsidRPr="00BA0257" w:rsidRDefault="00125D8A" w:rsidP="00BA0257">
      <w:pPr>
        <w:spacing w:line="480" w:lineRule="auto"/>
        <w:ind w:right="-108" w:firstLine="567"/>
      </w:pPr>
      <w:r w:rsidRPr="00A04FEB">
        <w:t>Wh</w:t>
      </w:r>
      <w:r w:rsidR="00F24404" w:rsidRPr="00A04FEB">
        <w:t xml:space="preserve">ile providing valuable insights about export channel choice these studies </w:t>
      </w:r>
      <w:r w:rsidR="00AB2F5C" w:rsidRPr="00A04FEB">
        <w:t xml:space="preserve">suffer from </w:t>
      </w:r>
      <w:r w:rsidR="00330F7F">
        <w:t>an</w:t>
      </w:r>
      <w:r w:rsidR="00AB2F5C" w:rsidRPr="00A04FEB">
        <w:t xml:space="preserve"> important shortcoming. </w:t>
      </w:r>
      <w:r w:rsidR="001E1639">
        <w:t>A</w:t>
      </w:r>
      <w:r w:rsidR="003C5CA1" w:rsidRPr="00A04FEB">
        <w:t xml:space="preserve">lthough </w:t>
      </w:r>
      <w:r w:rsidRPr="00A04FEB">
        <w:t>TCE</w:t>
      </w:r>
      <w:r w:rsidR="00F24404" w:rsidRPr="00A04FEB">
        <w:t xml:space="preserve"> </w:t>
      </w:r>
      <w:r w:rsidR="006C4D5A" w:rsidRPr="00A04FEB">
        <w:t>studies</w:t>
      </w:r>
      <w:r w:rsidR="00F24404" w:rsidRPr="00A04FEB">
        <w:t xml:space="preserve"> do a good job of </w:t>
      </w:r>
      <w:r w:rsidR="000D7593" w:rsidRPr="00A04FEB">
        <w:t xml:space="preserve">helping firms identify </w:t>
      </w:r>
      <w:r w:rsidR="00F24404" w:rsidRPr="00A04FEB">
        <w:t xml:space="preserve">the </w:t>
      </w:r>
      <w:r w:rsidR="000D7593" w:rsidRPr="00A04FEB">
        <w:t xml:space="preserve">most </w:t>
      </w:r>
      <w:r w:rsidR="00F24404" w:rsidRPr="00A04FEB">
        <w:t>efficien</w:t>
      </w:r>
      <w:r w:rsidR="000D7593" w:rsidRPr="00A04FEB">
        <w:t>t</w:t>
      </w:r>
      <w:r w:rsidR="00F24404" w:rsidRPr="00A04FEB">
        <w:t xml:space="preserve"> </w:t>
      </w:r>
      <w:r w:rsidR="000D7593" w:rsidRPr="00A04FEB">
        <w:t>e</w:t>
      </w:r>
      <w:r w:rsidR="00F24404" w:rsidRPr="00A04FEB">
        <w:t xml:space="preserve">xport channel </w:t>
      </w:r>
      <w:r w:rsidR="003C5CA1" w:rsidRPr="00A04FEB">
        <w:t xml:space="preserve">they </w:t>
      </w:r>
      <w:r w:rsidR="00C84D55" w:rsidRPr="00A04FEB">
        <w:t>fail to account for internal firm-specific</w:t>
      </w:r>
      <w:r w:rsidR="002F4EC3">
        <w:t xml:space="preserve"> </w:t>
      </w:r>
      <w:r w:rsidR="00C84D55" w:rsidRPr="00CC0967">
        <w:t>factors that an organization can use to generate value</w:t>
      </w:r>
      <w:r w:rsidR="00C84D55" w:rsidRPr="00A04FEB">
        <w:rPr>
          <w:b/>
        </w:rPr>
        <w:t xml:space="preserve"> </w:t>
      </w:r>
      <w:r w:rsidR="00AB2F5C" w:rsidRPr="00A04FEB">
        <w:t>(</w:t>
      </w:r>
      <w:proofErr w:type="spellStart"/>
      <w:r w:rsidR="00FB3F47" w:rsidRPr="00FB3F47">
        <w:t>Cuypers</w:t>
      </w:r>
      <w:proofErr w:type="spellEnd"/>
      <w:r w:rsidR="00FB3F47" w:rsidRPr="00FB3F47">
        <w:t xml:space="preserve">, </w:t>
      </w:r>
      <w:proofErr w:type="spellStart"/>
      <w:r w:rsidR="00FB3F47" w:rsidRPr="00FB3F47">
        <w:t>Hennart</w:t>
      </w:r>
      <w:proofErr w:type="spellEnd"/>
      <w:r w:rsidR="00FB3F47" w:rsidRPr="00FB3F47">
        <w:t xml:space="preserve">, Silverman &amp; </w:t>
      </w:r>
      <w:proofErr w:type="spellStart"/>
      <w:r w:rsidR="00FB3F47" w:rsidRPr="00FB3F47">
        <w:t>Ertug</w:t>
      </w:r>
      <w:proofErr w:type="spellEnd"/>
      <w:r w:rsidR="00FB3F47" w:rsidRPr="00FB3F47">
        <w:t>, 2021</w:t>
      </w:r>
      <w:r w:rsidR="00FB3F47">
        <w:t xml:space="preserve">; </w:t>
      </w:r>
      <w:r w:rsidR="00E00C59" w:rsidRPr="00A04FEB">
        <w:rPr>
          <w:lang w:eastAsia="en-US"/>
        </w:rPr>
        <w:t>Zajac &amp; Olsen, 1993</w:t>
      </w:r>
      <w:r w:rsidR="00AB2F5C" w:rsidRPr="00A04FEB">
        <w:t xml:space="preserve">). </w:t>
      </w:r>
      <w:r w:rsidR="00BA0257" w:rsidRPr="00842E5A">
        <w:t>But firms export to increase sale</w:t>
      </w:r>
      <w:r w:rsidR="006C5E0B" w:rsidRPr="00842E5A">
        <w:t>s</w:t>
      </w:r>
      <w:r w:rsidR="00BA0257" w:rsidRPr="00842E5A">
        <w:t xml:space="preserve"> and performance which is only possible if </w:t>
      </w:r>
      <w:r w:rsidR="006C5E0B" w:rsidRPr="00842E5A">
        <w:t>it</w:t>
      </w:r>
      <w:r w:rsidR="00BA0257" w:rsidRPr="00842E5A">
        <w:t xml:space="preserve"> create</w:t>
      </w:r>
      <w:r w:rsidR="006C5E0B" w:rsidRPr="00842E5A">
        <w:t>s</w:t>
      </w:r>
      <w:r w:rsidR="00BA0257" w:rsidRPr="00842E5A">
        <w:t xml:space="preserve"> value for customers (</w:t>
      </w:r>
      <w:r w:rsidR="0003335F" w:rsidRPr="00842E5A">
        <w:t>Knight et al., 2020</w:t>
      </w:r>
      <w:r w:rsidR="00BA0257" w:rsidRPr="00842E5A">
        <w:t>).</w:t>
      </w:r>
      <w:r w:rsidR="00BA0257">
        <w:t xml:space="preserve"> Therefore, w</w:t>
      </w:r>
      <w:r w:rsidR="003C5CA1" w:rsidRPr="00A04FEB">
        <w:t xml:space="preserve">hen expanding abroad </w:t>
      </w:r>
      <w:r w:rsidR="006C4D5A" w:rsidRPr="00A04FEB">
        <w:t>firm</w:t>
      </w:r>
      <w:r w:rsidR="00BA0257">
        <w:t>s</w:t>
      </w:r>
      <w:r w:rsidR="003C5CA1" w:rsidRPr="00A04FEB">
        <w:t xml:space="preserve"> need to select an export channel that </w:t>
      </w:r>
      <w:r w:rsidR="0024672A" w:rsidRPr="00A04FEB">
        <w:t xml:space="preserve">is </w:t>
      </w:r>
      <w:r w:rsidR="006C4D5A" w:rsidRPr="00A04FEB">
        <w:t xml:space="preserve">not only efficient, but also </w:t>
      </w:r>
      <w:r w:rsidR="003C5CA1" w:rsidRPr="00A04FEB">
        <w:t xml:space="preserve">allows </w:t>
      </w:r>
      <w:r w:rsidR="00801D4E" w:rsidRPr="00A04FEB">
        <w:t>it</w:t>
      </w:r>
      <w:r w:rsidR="003C5CA1" w:rsidRPr="00A04FEB">
        <w:t xml:space="preserve"> to use </w:t>
      </w:r>
      <w:r w:rsidR="006C4D5A" w:rsidRPr="00A04FEB">
        <w:t xml:space="preserve">any value </w:t>
      </w:r>
      <w:r w:rsidR="006C4D5A" w:rsidRPr="00A04FEB">
        <w:lastRenderedPageBreak/>
        <w:t>generating</w:t>
      </w:r>
      <w:r w:rsidR="002F4EC3">
        <w:t xml:space="preserve"> </w:t>
      </w:r>
      <w:r w:rsidR="004903E0">
        <w:t>factors</w:t>
      </w:r>
      <w:r w:rsidR="003C5CA1" w:rsidRPr="00A04FEB">
        <w:t xml:space="preserve"> </w:t>
      </w:r>
      <w:r w:rsidR="006C4D5A" w:rsidRPr="00A04FEB">
        <w:t xml:space="preserve">it possesses </w:t>
      </w:r>
      <w:r w:rsidR="003C5CA1" w:rsidRPr="00A04FEB">
        <w:t xml:space="preserve">to create a competitive advantage in the foreign market </w:t>
      </w:r>
      <w:r w:rsidR="00981C79">
        <w:t xml:space="preserve">so it can </w:t>
      </w:r>
      <w:r w:rsidR="009271D7">
        <w:t>produce</w:t>
      </w:r>
      <w:r w:rsidR="00981C79">
        <w:t xml:space="preserve"> better performance </w:t>
      </w:r>
      <w:r w:rsidR="003C5CA1" w:rsidRPr="00A04FEB">
        <w:t>(</w:t>
      </w:r>
      <w:r w:rsidR="00F551BD" w:rsidRPr="00A04FEB">
        <w:t>He et al., 2013</w:t>
      </w:r>
      <w:r w:rsidR="003C5CA1" w:rsidRPr="00A04FEB">
        <w:t>).</w:t>
      </w:r>
      <w:r w:rsidR="00F24404" w:rsidRPr="00A04FEB">
        <w:t xml:space="preserve"> </w:t>
      </w:r>
    </w:p>
    <w:p w14:paraId="5EE3D5C4" w14:textId="1FA5C198" w:rsidR="00A333E7" w:rsidRDefault="002F4EC3" w:rsidP="00125D8A">
      <w:pPr>
        <w:spacing w:line="480" w:lineRule="auto"/>
        <w:ind w:right="-108" w:firstLine="567"/>
      </w:pPr>
      <w:r>
        <w:t>R</w:t>
      </w:r>
      <w:r w:rsidR="009833AE" w:rsidRPr="00A04FEB">
        <w:t xml:space="preserve">esearch indicates that </w:t>
      </w:r>
      <w:r w:rsidR="00125D8A" w:rsidRPr="002A0DF2">
        <w:t xml:space="preserve">SMEs can use </w:t>
      </w:r>
      <w:r w:rsidR="007177DF" w:rsidRPr="002A0DF2">
        <w:t xml:space="preserve">its </w:t>
      </w:r>
      <w:r w:rsidR="000E5F7C" w:rsidRPr="002A0DF2">
        <w:t xml:space="preserve">entrepreneurial orientation </w:t>
      </w:r>
      <w:r w:rsidR="006807E6">
        <w:t xml:space="preserve">(EO) </w:t>
      </w:r>
      <w:r w:rsidR="00EC275C" w:rsidRPr="002A0DF2">
        <w:t>as a driver of actions that</w:t>
      </w:r>
      <w:r w:rsidR="00AB2F5C" w:rsidRPr="002A0DF2">
        <w:t xml:space="preserve"> </w:t>
      </w:r>
      <w:r w:rsidR="003A7F1F" w:rsidRPr="002A0DF2">
        <w:t>create</w:t>
      </w:r>
      <w:r w:rsidR="00AB2F5C" w:rsidRPr="002A0DF2">
        <w:t xml:space="preserve"> value </w:t>
      </w:r>
      <w:r w:rsidR="00125D8A" w:rsidRPr="002A0DF2">
        <w:t xml:space="preserve">when </w:t>
      </w:r>
      <w:r w:rsidR="00E65F0D" w:rsidRPr="002A0DF2">
        <w:t>expanding abroad</w:t>
      </w:r>
      <w:r w:rsidR="00125D8A" w:rsidRPr="00A04FEB">
        <w:t xml:space="preserve"> </w:t>
      </w:r>
      <w:r w:rsidR="00AB2F5C" w:rsidRPr="00A04FEB">
        <w:t>(</w:t>
      </w:r>
      <w:r w:rsidR="00F551BD" w:rsidRPr="00A04FEB">
        <w:t xml:space="preserve">Brouthers, </w:t>
      </w:r>
      <w:proofErr w:type="spellStart"/>
      <w:r w:rsidR="00F551BD" w:rsidRPr="00A04FEB">
        <w:t>Nakos</w:t>
      </w:r>
      <w:proofErr w:type="spellEnd"/>
      <w:r w:rsidR="00F551BD" w:rsidRPr="00A04FEB">
        <w:t xml:space="preserve"> &amp; </w:t>
      </w:r>
      <w:proofErr w:type="spellStart"/>
      <w:r w:rsidR="00F551BD" w:rsidRPr="00A04FEB">
        <w:t>Dimitratos</w:t>
      </w:r>
      <w:proofErr w:type="spellEnd"/>
      <w:r w:rsidR="00F551BD" w:rsidRPr="00A04FEB">
        <w:t>, 201</w:t>
      </w:r>
      <w:r w:rsidR="006F2F91">
        <w:t>5</w:t>
      </w:r>
      <w:r w:rsidR="002046A8" w:rsidRPr="00A04FEB">
        <w:t xml:space="preserve">; Knight &amp; </w:t>
      </w:r>
      <w:proofErr w:type="spellStart"/>
      <w:r w:rsidR="002046A8" w:rsidRPr="00A04FEB">
        <w:t>Cavusgil</w:t>
      </w:r>
      <w:proofErr w:type="spellEnd"/>
      <w:r w:rsidR="002046A8" w:rsidRPr="00A04FEB">
        <w:t xml:space="preserve">, </w:t>
      </w:r>
      <w:r w:rsidR="002046A8" w:rsidRPr="00C518F7">
        <w:t>2004</w:t>
      </w:r>
      <w:r w:rsidR="0064623F" w:rsidRPr="00C518F7">
        <w:t>; Knight et al.</w:t>
      </w:r>
      <w:r w:rsidR="00C44DFA">
        <w:t>,</w:t>
      </w:r>
      <w:r w:rsidR="00A92C1E" w:rsidRPr="00C518F7">
        <w:t xml:space="preserve"> </w:t>
      </w:r>
      <w:r w:rsidR="0064623F" w:rsidRPr="00C518F7">
        <w:t>2020</w:t>
      </w:r>
      <w:r w:rsidR="00C44DFA">
        <w:t>;</w:t>
      </w:r>
      <w:r w:rsidR="00C518F7" w:rsidRPr="00C518F7">
        <w:t xml:space="preserve"> </w:t>
      </w:r>
      <w:r w:rsidR="00C518F7" w:rsidRPr="007B01CA">
        <w:t xml:space="preserve">Wales, Gupta, Marino &amp; </w:t>
      </w:r>
      <w:proofErr w:type="spellStart"/>
      <w:r w:rsidR="00C518F7" w:rsidRPr="007B01CA">
        <w:t>Shirokova</w:t>
      </w:r>
      <w:proofErr w:type="spellEnd"/>
      <w:r w:rsidR="00C518F7" w:rsidRPr="007B01CA">
        <w:t>, 2019</w:t>
      </w:r>
      <w:r w:rsidR="00AB2F5C" w:rsidRPr="007B01CA">
        <w:t>)</w:t>
      </w:r>
      <w:r w:rsidR="0019369F" w:rsidRPr="007B01CA">
        <w:t>.</w:t>
      </w:r>
      <w:r w:rsidR="000F50E6">
        <w:t xml:space="preserve"> </w:t>
      </w:r>
      <w:r w:rsidR="000C65D6" w:rsidRPr="006807E6">
        <w:t>Yet there is little research exploring how a firm’s EO influences the export channel decision</w:t>
      </w:r>
      <w:r w:rsidR="00C34DA1" w:rsidRPr="006807E6">
        <w:t xml:space="preserve"> and whether EO driven channel choices </w:t>
      </w:r>
      <w:r w:rsidR="00404F2F" w:rsidRPr="006807E6">
        <w:t>enhance export</w:t>
      </w:r>
      <w:r w:rsidR="00C34DA1" w:rsidRPr="006807E6">
        <w:t xml:space="preserve"> </w:t>
      </w:r>
      <w:r w:rsidR="008E363F" w:rsidRPr="006807E6">
        <w:t>performance</w:t>
      </w:r>
      <w:r w:rsidR="000C65D6" w:rsidRPr="006807E6">
        <w:t>.</w:t>
      </w:r>
      <w:r w:rsidR="000C65D6">
        <w:t xml:space="preserve"> </w:t>
      </w:r>
      <w:r w:rsidR="00973F26">
        <w:t xml:space="preserve">Entrepreneurial orientation </w:t>
      </w:r>
      <w:r w:rsidR="00994B2D" w:rsidRPr="00A04FEB">
        <w:t xml:space="preserve">embodies the decision-making </w:t>
      </w:r>
      <w:r w:rsidR="003A7F1F" w:rsidRPr="00A04FEB">
        <w:t xml:space="preserve">practices and </w:t>
      </w:r>
      <w:r w:rsidR="00994B2D" w:rsidRPr="00A04FEB">
        <w:t>processes that managers use to enact a firm</w:t>
      </w:r>
      <w:r w:rsidR="003A7F1F" w:rsidRPr="00A04FEB">
        <w:t>’</w:t>
      </w:r>
      <w:r w:rsidR="00994B2D" w:rsidRPr="00A04FEB">
        <w:t>s strategy (Rauch</w:t>
      </w:r>
      <w:r w:rsidR="006F2F91">
        <w:t xml:space="preserve">, </w:t>
      </w:r>
      <w:proofErr w:type="spellStart"/>
      <w:r w:rsidR="006F2F91">
        <w:t>Wiklund</w:t>
      </w:r>
      <w:proofErr w:type="spellEnd"/>
      <w:r w:rsidR="006F2F91">
        <w:t xml:space="preserve">, Lumpkin &amp; </w:t>
      </w:r>
      <w:proofErr w:type="spellStart"/>
      <w:r w:rsidR="006F2F91">
        <w:t>Frese</w:t>
      </w:r>
      <w:proofErr w:type="spellEnd"/>
      <w:r w:rsidR="00994B2D" w:rsidRPr="00A04FEB">
        <w:t xml:space="preserve">, 2009) and </w:t>
      </w:r>
      <w:r w:rsidR="00BB1CD3" w:rsidRPr="00A04FEB">
        <w:t>represents</w:t>
      </w:r>
      <w:r w:rsidR="000D193B" w:rsidRPr="00A04FEB">
        <w:t xml:space="preserve"> </w:t>
      </w:r>
      <w:r w:rsidR="003A7F1F" w:rsidRPr="00A04FEB">
        <w:t>its</w:t>
      </w:r>
      <w:r w:rsidR="00CA590B" w:rsidRPr="00A04FEB">
        <w:t xml:space="preserve"> willingness to innovat</w:t>
      </w:r>
      <w:r w:rsidR="00BB1CD3" w:rsidRPr="00A04FEB">
        <w:t>e</w:t>
      </w:r>
      <w:r w:rsidR="00CA590B" w:rsidRPr="00A04FEB">
        <w:t xml:space="preserve">, </w:t>
      </w:r>
      <w:r w:rsidR="00BB1CD3" w:rsidRPr="00A04FEB">
        <w:t xml:space="preserve">be </w:t>
      </w:r>
      <w:r w:rsidR="00CA590B" w:rsidRPr="00A04FEB">
        <w:t>proactive</w:t>
      </w:r>
      <w:r w:rsidR="00BB1CD3" w:rsidRPr="00A04FEB">
        <w:t>,</w:t>
      </w:r>
      <w:r w:rsidR="00CA590B" w:rsidRPr="00A04FEB">
        <w:t xml:space="preserve"> and take business risks </w:t>
      </w:r>
      <w:r w:rsidR="000D193B" w:rsidRPr="00A04FEB">
        <w:t>(</w:t>
      </w:r>
      <w:r w:rsidR="000F22C7" w:rsidRPr="00A04FEB">
        <w:t>Anderson</w:t>
      </w:r>
      <w:r w:rsidR="003A7F1F" w:rsidRPr="00A04FEB">
        <w:t xml:space="preserve"> et al., </w:t>
      </w:r>
      <w:r w:rsidR="000F22C7" w:rsidRPr="00A04FEB">
        <w:t>201</w:t>
      </w:r>
      <w:r w:rsidR="006F2F91">
        <w:t>5</w:t>
      </w:r>
      <w:r w:rsidR="000F22C7" w:rsidRPr="00A04FEB">
        <w:t xml:space="preserve">; </w:t>
      </w:r>
      <w:proofErr w:type="spellStart"/>
      <w:r w:rsidR="000D193B" w:rsidRPr="00A04FEB">
        <w:t>Covin</w:t>
      </w:r>
      <w:proofErr w:type="spellEnd"/>
      <w:r w:rsidR="000D193B" w:rsidRPr="00A04FEB">
        <w:t xml:space="preserve"> &amp; </w:t>
      </w:r>
      <w:proofErr w:type="spellStart"/>
      <w:r w:rsidR="000D193B" w:rsidRPr="00A04FEB">
        <w:t>Slevin</w:t>
      </w:r>
      <w:proofErr w:type="spellEnd"/>
      <w:r w:rsidR="00CA590B" w:rsidRPr="00A04FEB">
        <w:t>, 1988; 1989</w:t>
      </w:r>
      <w:r w:rsidR="00C81039">
        <w:t xml:space="preserve">; </w:t>
      </w:r>
      <w:r w:rsidR="005D66EE">
        <w:t>Wales et al., 2019</w:t>
      </w:r>
      <w:r w:rsidR="000D193B" w:rsidRPr="00A04FEB">
        <w:t xml:space="preserve">). </w:t>
      </w:r>
      <w:r w:rsidR="007802EE" w:rsidRPr="00A04FEB">
        <w:t>Scholars suggest that</w:t>
      </w:r>
      <w:r w:rsidR="00831B8F" w:rsidRPr="00A04FEB">
        <w:t xml:space="preserve"> EO </w:t>
      </w:r>
      <w:r w:rsidR="00E9703C" w:rsidRPr="00A04FEB">
        <w:t xml:space="preserve">can </w:t>
      </w:r>
      <w:r w:rsidR="004D742C" w:rsidRPr="00A04FEB">
        <w:t>provide</w:t>
      </w:r>
      <w:r w:rsidR="00E9703C" w:rsidRPr="00A04FEB">
        <w:t xml:space="preserve"> an advantage to </w:t>
      </w:r>
      <w:r w:rsidR="00831B8F" w:rsidRPr="00A04FEB">
        <w:t xml:space="preserve">firms, especially SMEs (Alvarez &amp; </w:t>
      </w:r>
      <w:proofErr w:type="spellStart"/>
      <w:r w:rsidR="00831B8F" w:rsidRPr="00A04FEB">
        <w:t>Busenitz</w:t>
      </w:r>
      <w:proofErr w:type="spellEnd"/>
      <w:r w:rsidR="00831B8F" w:rsidRPr="00A04FEB">
        <w:t>, 2001;</w:t>
      </w:r>
      <w:r w:rsidR="00F551BD" w:rsidRPr="00A04FEB">
        <w:t xml:space="preserve"> Brouthers et al</w:t>
      </w:r>
      <w:r w:rsidR="00F551BD" w:rsidRPr="009549A4">
        <w:t>., 201</w:t>
      </w:r>
      <w:r w:rsidR="006F2F91" w:rsidRPr="009549A4">
        <w:t>5</w:t>
      </w:r>
      <w:r w:rsidR="00831B8F" w:rsidRPr="009549A4">
        <w:t xml:space="preserve">; </w:t>
      </w:r>
      <w:r w:rsidR="00F561EF" w:rsidRPr="009549A4">
        <w:t>Knight et al.</w:t>
      </w:r>
      <w:r w:rsidR="009549A4">
        <w:t>,</w:t>
      </w:r>
      <w:r w:rsidR="00F561EF" w:rsidRPr="009549A4">
        <w:t xml:space="preserve"> 2020;</w:t>
      </w:r>
      <w:r w:rsidR="00F561EF">
        <w:rPr>
          <w:sz w:val="22"/>
          <w:szCs w:val="22"/>
        </w:rPr>
        <w:t xml:space="preserve"> </w:t>
      </w:r>
      <w:r w:rsidR="00831B8F" w:rsidRPr="00A04FEB">
        <w:t xml:space="preserve">Lee, Lee &amp; </w:t>
      </w:r>
      <w:proofErr w:type="spellStart"/>
      <w:r w:rsidR="00831B8F" w:rsidRPr="00A04FEB">
        <w:t>Pennings</w:t>
      </w:r>
      <w:proofErr w:type="spellEnd"/>
      <w:r w:rsidR="00831B8F" w:rsidRPr="00A04FEB">
        <w:t>, 2001; Teng, 2007)</w:t>
      </w:r>
      <w:r w:rsidR="004D742C" w:rsidRPr="00A04FEB">
        <w:t xml:space="preserve"> </w:t>
      </w:r>
      <w:r w:rsidR="00E9703C" w:rsidRPr="00A04FEB">
        <w:t xml:space="preserve">because it </w:t>
      </w:r>
      <w:r w:rsidR="00551CD0" w:rsidRPr="00A04FEB">
        <w:t>facilitate</w:t>
      </w:r>
      <w:r w:rsidR="00E9703C" w:rsidRPr="00A04FEB">
        <w:t>s</w:t>
      </w:r>
      <w:r w:rsidR="00551CD0" w:rsidRPr="00A04FEB">
        <w:t xml:space="preserve"> access to and use of external resources and enhance</w:t>
      </w:r>
      <w:r w:rsidR="004D742C" w:rsidRPr="00A04FEB">
        <w:t>s</w:t>
      </w:r>
      <w:r w:rsidR="00551CD0" w:rsidRPr="00A04FEB">
        <w:t xml:space="preserve"> the effectiveness of internal resources; focusing attention on utilizing these resources to discover and exploit new opportunities (</w:t>
      </w:r>
      <w:proofErr w:type="spellStart"/>
      <w:r w:rsidR="00551CD0" w:rsidRPr="00A04FEB">
        <w:t>Wiklund</w:t>
      </w:r>
      <w:proofErr w:type="spellEnd"/>
      <w:r w:rsidR="00551CD0" w:rsidRPr="00A04FEB">
        <w:t xml:space="preserve"> &amp; Shepherd, 2003)</w:t>
      </w:r>
      <w:r w:rsidR="002D1D0A" w:rsidRPr="00A04FEB">
        <w:t xml:space="preserve">. </w:t>
      </w:r>
      <w:r w:rsidR="001B4002" w:rsidRPr="001B4002">
        <w:t>However</w:t>
      </w:r>
      <w:r w:rsidR="001B57B9" w:rsidRPr="001B4002">
        <w:t>,</w:t>
      </w:r>
      <w:r w:rsidR="00BE2B78" w:rsidRPr="001B4002">
        <w:t xml:space="preserve"> research </w:t>
      </w:r>
      <w:r w:rsidR="00801D4E" w:rsidRPr="001B4002">
        <w:t>indicates</w:t>
      </w:r>
      <w:r w:rsidR="00801D4E" w:rsidRPr="00A04FEB">
        <w:t xml:space="preserve"> that EO is influenced by the institutional environment (Bowen &amp; De </w:t>
      </w:r>
      <w:proofErr w:type="spellStart"/>
      <w:r w:rsidR="00801D4E" w:rsidRPr="00A04FEB">
        <w:t>Clercq</w:t>
      </w:r>
      <w:proofErr w:type="spellEnd"/>
      <w:r w:rsidR="00801D4E" w:rsidRPr="00A04FEB">
        <w:t>, 2008; Wales, Gupta &amp; Moussa, 2013)</w:t>
      </w:r>
      <w:r w:rsidR="00B82059" w:rsidRPr="00A04FEB">
        <w:t xml:space="preserve"> which can di</w:t>
      </w:r>
      <w:r w:rsidR="00554EB2" w:rsidRPr="00A04FEB">
        <w:t xml:space="preserve">ffer </w:t>
      </w:r>
      <w:r w:rsidR="00C409C2" w:rsidRPr="00A04FEB">
        <w:t xml:space="preserve">between countries </w:t>
      </w:r>
      <w:r w:rsidR="00554EB2" w:rsidRPr="00A04FEB">
        <w:t>depending on the institutional distance (</w:t>
      </w:r>
      <w:proofErr w:type="spellStart"/>
      <w:r w:rsidR="00D22C9C" w:rsidRPr="00A04FEB">
        <w:t>Kostova</w:t>
      </w:r>
      <w:proofErr w:type="spellEnd"/>
      <w:r w:rsidR="00D22C9C" w:rsidRPr="00A04FEB">
        <w:t xml:space="preserve"> &amp; Zaheer, 1999)</w:t>
      </w:r>
      <w:r w:rsidR="00554EB2" w:rsidRPr="00A04FEB">
        <w:t>.</w:t>
      </w:r>
      <w:r w:rsidR="00125D8A" w:rsidRPr="00A04FEB">
        <w:t xml:space="preserve"> </w:t>
      </w:r>
      <w:r w:rsidR="00554EB2" w:rsidRPr="00A04FEB">
        <w:t>Thus</w:t>
      </w:r>
      <w:r w:rsidR="00F551BD" w:rsidRPr="00A04FEB">
        <w:t>,</w:t>
      </w:r>
      <w:r w:rsidR="00554EB2" w:rsidRPr="00A04FEB">
        <w:t xml:space="preserve"> in addition to transaction costs</w:t>
      </w:r>
      <w:r w:rsidR="00B82059" w:rsidRPr="00A04FEB">
        <w:t>,</w:t>
      </w:r>
      <w:r w:rsidR="00554EB2" w:rsidRPr="00A04FEB">
        <w:t xml:space="preserve"> EO</w:t>
      </w:r>
      <w:r w:rsidR="00B82059" w:rsidRPr="00A04FEB">
        <w:t xml:space="preserve"> (</w:t>
      </w:r>
      <w:r w:rsidR="00554EB2" w:rsidRPr="00A04FEB">
        <w:t xml:space="preserve">and </w:t>
      </w:r>
      <w:r w:rsidR="003A7F1F" w:rsidRPr="00A04FEB">
        <w:t xml:space="preserve">indirectly </w:t>
      </w:r>
      <w:r w:rsidR="00554EB2" w:rsidRPr="00A04FEB">
        <w:t>institutional distance</w:t>
      </w:r>
      <w:r w:rsidR="00B82059" w:rsidRPr="00A04FEB">
        <w:t>)</w:t>
      </w:r>
      <w:r w:rsidR="00554EB2" w:rsidRPr="00A04FEB">
        <w:t xml:space="preserve"> may have a significant impact on SME export channel choice and performance. </w:t>
      </w:r>
    </w:p>
    <w:p w14:paraId="34A5A493" w14:textId="1FCCBB7E" w:rsidR="006B7B42" w:rsidRPr="00D174B4" w:rsidRDefault="00D373C4" w:rsidP="00CC1933">
      <w:pPr>
        <w:spacing w:line="480" w:lineRule="auto"/>
        <w:ind w:right="-108" w:firstLine="567"/>
      </w:pPr>
      <w:r w:rsidRPr="007B3CD5">
        <w:t>Based on this gap in our knowledge,</w:t>
      </w:r>
      <w:r>
        <w:t xml:space="preserve"> i</w:t>
      </w:r>
      <w:r w:rsidR="00301881" w:rsidRPr="00D174B4">
        <w:t xml:space="preserve">n this paper we </w:t>
      </w:r>
      <w:r w:rsidR="008661ED" w:rsidRPr="00D174B4">
        <w:t xml:space="preserve">address </w:t>
      </w:r>
      <w:r w:rsidR="006B7B42" w:rsidRPr="00D174B4">
        <w:t xml:space="preserve">several important research questions. First, does the </w:t>
      </w:r>
      <w:r w:rsidR="00B932DC">
        <w:t xml:space="preserve">EO </w:t>
      </w:r>
      <w:r w:rsidR="006B7B42" w:rsidRPr="00D174B4">
        <w:t xml:space="preserve">of a firm have a significant influence on the export channel choice it makes, above the influence of transaction cost factors? Second, does the institutional distance between home and export market moderate the relation between </w:t>
      </w:r>
      <w:r w:rsidR="00B932DC">
        <w:t>EO</w:t>
      </w:r>
      <w:r w:rsidR="006B7B42" w:rsidRPr="00D174B4">
        <w:t xml:space="preserve"> and export channel choice? Finally, do firms that select export channels that align not only with </w:t>
      </w:r>
      <w:r w:rsidR="006B7B42" w:rsidRPr="00D174B4">
        <w:lastRenderedPageBreak/>
        <w:t xml:space="preserve">transaction cost factors but also with their level of </w:t>
      </w:r>
      <w:r w:rsidR="00B932DC">
        <w:t>EO</w:t>
      </w:r>
      <w:r w:rsidR="006B7B42" w:rsidRPr="00D174B4">
        <w:t xml:space="preserve">, moderated by institutional distance, </w:t>
      </w:r>
      <w:r w:rsidR="00BA4034">
        <w:t>create</w:t>
      </w:r>
      <w:r w:rsidR="00BF5DDA" w:rsidRPr="00D174B4">
        <w:t xml:space="preserve"> better performing export operations?</w:t>
      </w:r>
      <w:r w:rsidR="006B7B42" w:rsidRPr="00D174B4">
        <w:t xml:space="preserve">  </w:t>
      </w:r>
    </w:p>
    <w:p w14:paraId="5EE3D5C5" w14:textId="1C153CF2" w:rsidR="00551CD0" w:rsidRPr="00594E00" w:rsidRDefault="006B7B42" w:rsidP="00CC1933">
      <w:pPr>
        <w:spacing w:line="480" w:lineRule="auto"/>
        <w:ind w:right="-108" w:firstLine="567"/>
        <w:rPr>
          <w:highlight w:val="yellow"/>
        </w:rPr>
      </w:pPr>
      <w:r w:rsidRPr="003B79A1">
        <w:t xml:space="preserve">To </w:t>
      </w:r>
      <w:r w:rsidR="00C64E60" w:rsidRPr="003B79A1">
        <w:t>tackle</w:t>
      </w:r>
      <w:r w:rsidRPr="003B79A1">
        <w:t xml:space="preserve"> these important questions, w</w:t>
      </w:r>
      <w:r w:rsidR="00CC1933" w:rsidRPr="003B79A1">
        <w:t xml:space="preserve">e </w:t>
      </w:r>
      <w:r w:rsidRPr="003B79A1">
        <w:t xml:space="preserve">develop </w:t>
      </w:r>
      <w:r w:rsidR="000A412E" w:rsidRPr="003B79A1">
        <w:t xml:space="preserve">and test </w:t>
      </w:r>
      <w:r w:rsidRPr="003B79A1">
        <w:t>theory t</w:t>
      </w:r>
      <w:r w:rsidR="00594E00" w:rsidRPr="003B79A1">
        <w:t>hat</w:t>
      </w:r>
      <w:r w:rsidRPr="003B79A1">
        <w:t xml:space="preserve"> </w:t>
      </w:r>
      <w:r w:rsidR="00CC1933" w:rsidRPr="003B79A1">
        <w:t>suggest</w:t>
      </w:r>
      <w:r w:rsidR="00594E00" w:rsidRPr="003B79A1">
        <w:t>s</w:t>
      </w:r>
      <w:r w:rsidR="00CC1933" w:rsidRPr="003B79A1">
        <w:t xml:space="preserve"> </w:t>
      </w:r>
      <w:r w:rsidR="00BF5DDA" w:rsidRPr="003B79A1">
        <w:t xml:space="preserve">SMEs need to consider </w:t>
      </w:r>
      <w:r w:rsidRPr="003B79A1">
        <w:t xml:space="preserve">its </w:t>
      </w:r>
      <w:r w:rsidR="00144AED" w:rsidRPr="003B79A1">
        <w:t>EO</w:t>
      </w:r>
      <w:r w:rsidR="00BF5DDA" w:rsidRPr="003B79A1">
        <w:t>, in addition to transaction costs,</w:t>
      </w:r>
      <w:r w:rsidRPr="003B79A1">
        <w:t xml:space="preserve"> when selecting export channels</w:t>
      </w:r>
      <w:r w:rsidR="00BF5DDA" w:rsidRPr="003B79A1">
        <w:t xml:space="preserve"> so it can create greater value generating export operations</w:t>
      </w:r>
      <w:r w:rsidRPr="003B79A1">
        <w:t xml:space="preserve">. </w:t>
      </w:r>
      <w:r w:rsidR="00594E00" w:rsidRPr="003B79A1">
        <w:t xml:space="preserve">Specifically, </w:t>
      </w:r>
      <w:r w:rsidR="00556B65" w:rsidRPr="003B79A1">
        <w:t xml:space="preserve">we theorize that </w:t>
      </w:r>
      <w:r w:rsidR="00594E00" w:rsidRPr="003B79A1">
        <w:t xml:space="preserve">SMEs </w:t>
      </w:r>
      <w:r w:rsidR="00CC1933" w:rsidRPr="003B79A1">
        <w:t xml:space="preserve">with </w:t>
      </w:r>
      <w:r w:rsidR="00615C5A" w:rsidRPr="003B79A1">
        <w:t>greater</w:t>
      </w:r>
      <w:r w:rsidR="00CC1933" w:rsidRPr="003B79A1">
        <w:t xml:space="preserve"> EO will tend to use </w:t>
      </w:r>
      <w:r w:rsidR="00A47930" w:rsidRPr="003B79A1">
        <w:t>intermediate</w:t>
      </w:r>
      <w:r w:rsidR="00700DBE" w:rsidRPr="003B79A1">
        <w:t xml:space="preserve"> (cooperative)</w:t>
      </w:r>
      <w:r w:rsidR="00CC1933" w:rsidRPr="003B79A1">
        <w:t xml:space="preserve"> export channels</w:t>
      </w:r>
      <w:r w:rsidR="00551CD0" w:rsidRPr="003B79A1">
        <w:t>.</w:t>
      </w:r>
      <w:r w:rsidR="00CC1933" w:rsidRPr="003B79A1">
        <w:t xml:space="preserve"> The reason for this is that partnering with another firm can provide the SME with access to additional resources and knowledge, allowing </w:t>
      </w:r>
      <w:r w:rsidR="00A04FEB" w:rsidRPr="003B79A1">
        <w:t xml:space="preserve">a </w:t>
      </w:r>
      <w:r w:rsidR="00CC1933" w:rsidRPr="003B79A1">
        <w:t xml:space="preserve">high EO firm to take advantage of the </w:t>
      </w:r>
      <w:r w:rsidR="0064788B" w:rsidRPr="003B79A1">
        <w:t xml:space="preserve">value adding </w:t>
      </w:r>
      <w:r w:rsidR="00E80BA7">
        <w:t xml:space="preserve">practices and processes it </w:t>
      </w:r>
      <w:r w:rsidR="00CC1933" w:rsidRPr="003B79A1">
        <w:t>possess</w:t>
      </w:r>
      <w:r w:rsidR="00AA0281" w:rsidRPr="003B79A1">
        <w:t>es</w:t>
      </w:r>
      <w:r w:rsidR="001B4002" w:rsidRPr="003B79A1">
        <w:t xml:space="preserve"> (e.g. innovativeness and proactiveness)</w:t>
      </w:r>
      <w:r w:rsidR="0063027A" w:rsidRPr="003B79A1">
        <w:t xml:space="preserve">, generating greater </w:t>
      </w:r>
      <w:r w:rsidR="00BF5DDA" w:rsidRPr="003B79A1">
        <w:t>value</w:t>
      </w:r>
      <w:r w:rsidR="001F7DAE" w:rsidRPr="003B79A1">
        <w:t xml:space="preserve"> in that </w:t>
      </w:r>
      <w:r w:rsidR="00BF5DDA" w:rsidRPr="003B79A1">
        <w:t xml:space="preserve">foreign </w:t>
      </w:r>
      <w:r w:rsidR="001F7DAE" w:rsidRPr="003B79A1">
        <w:t>market</w:t>
      </w:r>
      <w:r w:rsidR="00CC1933" w:rsidRPr="003B79A1">
        <w:t xml:space="preserve">. Since low EO firms </w:t>
      </w:r>
      <w:r w:rsidR="00637AD7" w:rsidRPr="003B79A1">
        <w:t>are less willing to innovate</w:t>
      </w:r>
      <w:r w:rsidR="001B4002" w:rsidRPr="003B79A1">
        <w:t xml:space="preserve"> or</w:t>
      </w:r>
      <w:r w:rsidR="00637AD7" w:rsidRPr="003B79A1">
        <w:t xml:space="preserve"> be proactive </w:t>
      </w:r>
      <w:r w:rsidR="00BF5DDA" w:rsidRPr="003B79A1">
        <w:t>they do not benefit as much from access to foreign market resources and knowledge provided by partner</w:t>
      </w:r>
      <w:r w:rsidR="00616285" w:rsidRPr="003B79A1">
        <w:t xml:space="preserve"> firms</w:t>
      </w:r>
      <w:r w:rsidR="003D304F" w:rsidRPr="003B79A1">
        <w:t>;</w:t>
      </w:r>
      <w:r w:rsidR="00BF5DDA" w:rsidRPr="003B79A1">
        <w:t xml:space="preserve"> instead</w:t>
      </w:r>
      <w:r w:rsidR="00853626">
        <w:t>,</w:t>
      </w:r>
      <w:r w:rsidR="00BF5DDA" w:rsidRPr="003B79A1">
        <w:t xml:space="preserve"> these </w:t>
      </w:r>
      <w:r w:rsidR="00A32EEA" w:rsidRPr="003B79A1">
        <w:t>SMEs</w:t>
      </w:r>
      <w:r w:rsidR="001B4002" w:rsidRPr="003B79A1">
        <w:t xml:space="preserve"> </w:t>
      </w:r>
      <w:r w:rsidR="00BF5DDA" w:rsidRPr="003B79A1">
        <w:t xml:space="preserve">try to generate value </w:t>
      </w:r>
      <w:r w:rsidR="001B4002" w:rsidRPr="003B79A1">
        <w:t>with proven products and processes</w:t>
      </w:r>
      <w:r w:rsidR="00637AD7" w:rsidRPr="003B79A1">
        <w:t xml:space="preserve"> </w:t>
      </w:r>
      <w:r w:rsidR="00CC1933" w:rsidRPr="003B79A1">
        <w:t xml:space="preserve">and hence will </w:t>
      </w:r>
      <w:r w:rsidR="007C4643" w:rsidRPr="003B79A1">
        <w:t xml:space="preserve">use hierarchical </w:t>
      </w:r>
      <w:r w:rsidR="00551CD0" w:rsidRPr="003B79A1">
        <w:t xml:space="preserve">(integrated) </w:t>
      </w:r>
      <w:r w:rsidR="007C4643" w:rsidRPr="003B79A1">
        <w:t xml:space="preserve">channels </w:t>
      </w:r>
      <w:r w:rsidR="00E548E1" w:rsidRPr="003B79A1">
        <w:t>to</w:t>
      </w:r>
      <w:r w:rsidR="007C4643" w:rsidRPr="003B79A1">
        <w:t xml:space="preserve"> </w:t>
      </w:r>
      <w:r w:rsidR="001B4002" w:rsidRPr="003B79A1">
        <w:t>control the foreign operation and avoid</w:t>
      </w:r>
      <w:r w:rsidR="00CC1933" w:rsidRPr="003B79A1">
        <w:t xml:space="preserve"> the costs and risks associated with </w:t>
      </w:r>
      <w:r w:rsidR="00700DBE" w:rsidRPr="003B79A1">
        <w:t>intermediate</w:t>
      </w:r>
      <w:r w:rsidR="00CC1933" w:rsidRPr="003B79A1">
        <w:t xml:space="preserve"> export channels. </w:t>
      </w:r>
    </w:p>
    <w:p w14:paraId="5EE3D5C6" w14:textId="72D501C9" w:rsidR="00CC1933" w:rsidRPr="009C7E03" w:rsidRDefault="00CF3B1E" w:rsidP="00CC1933">
      <w:pPr>
        <w:spacing w:line="480" w:lineRule="auto"/>
        <w:ind w:right="-108" w:firstLine="567"/>
      </w:pPr>
      <w:r w:rsidRPr="009C7E03">
        <w:t xml:space="preserve">In </w:t>
      </w:r>
      <w:r w:rsidR="00E40524" w:rsidRPr="009C7E03">
        <w:t>addition</w:t>
      </w:r>
      <w:r w:rsidR="00554EB2" w:rsidRPr="009C7E03">
        <w:t>,</w:t>
      </w:r>
      <w:r w:rsidR="00CC1933" w:rsidRPr="009C7E03">
        <w:t xml:space="preserve"> we theorize and test the idea that the </w:t>
      </w:r>
      <w:r w:rsidR="00BF5DDA" w:rsidRPr="009C7E03">
        <w:t xml:space="preserve">value generating </w:t>
      </w:r>
      <w:r w:rsidR="00CC1933" w:rsidRPr="009C7E03">
        <w:t xml:space="preserve">benefits derived from possessing </w:t>
      </w:r>
      <w:r w:rsidR="008473B8" w:rsidRPr="009C7E03">
        <w:t>EO</w:t>
      </w:r>
      <w:r w:rsidR="00CC1933" w:rsidRPr="009C7E03">
        <w:t xml:space="preserve"> </w:t>
      </w:r>
      <w:r w:rsidR="00A11B3A" w:rsidRPr="009C7E03">
        <w:t xml:space="preserve">are </w:t>
      </w:r>
      <w:r w:rsidR="00B2104A" w:rsidRPr="009C7E03">
        <w:t>contingent on</w:t>
      </w:r>
      <w:r w:rsidR="005010CA" w:rsidRPr="009C7E03">
        <w:t xml:space="preserve"> </w:t>
      </w:r>
      <w:r w:rsidR="0041064A" w:rsidRPr="009C7E03">
        <w:t xml:space="preserve">the </w:t>
      </w:r>
      <w:r w:rsidR="005010CA" w:rsidRPr="009C7E03">
        <w:t>institutional distance</w:t>
      </w:r>
      <w:r w:rsidR="00CC1933" w:rsidRPr="009C7E03">
        <w:t xml:space="preserve"> </w:t>
      </w:r>
      <w:r w:rsidR="0041064A" w:rsidRPr="009C7E03">
        <w:t xml:space="preserve">between countries </w:t>
      </w:r>
      <w:r w:rsidR="00CC1933" w:rsidRPr="009C7E03">
        <w:t>and</w:t>
      </w:r>
      <w:r w:rsidR="0041064A" w:rsidRPr="009C7E03">
        <w:t>,</w:t>
      </w:r>
      <w:r w:rsidR="00CC1933" w:rsidRPr="009C7E03">
        <w:t xml:space="preserve"> the</w:t>
      </w:r>
      <w:r w:rsidR="005010CA" w:rsidRPr="009C7E03">
        <w:t>refore</w:t>
      </w:r>
      <w:r w:rsidR="0041064A" w:rsidRPr="009C7E03">
        <w:t>,</w:t>
      </w:r>
      <w:r w:rsidR="00CC1933" w:rsidRPr="009C7E03">
        <w:t xml:space="preserve"> export </w:t>
      </w:r>
      <w:r w:rsidR="00896C2F" w:rsidRPr="009C7E03">
        <w:t>channel</w:t>
      </w:r>
      <w:r w:rsidR="00CC1933" w:rsidRPr="009C7E03">
        <w:t xml:space="preserve"> </w:t>
      </w:r>
      <w:r w:rsidR="001F7DAE" w:rsidRPr="009C7E03">
        <w:t xml:space="preserve">choice </w:t>
      </w:r>
      <w:r w:rsidR="00BF5DDA" w:rsidRPr="009C7E03">
        <w:t>will</w:t>
      </w:r>
      <w:r w:rsidR="00CC1933" w:rsidRPr="009C7E03">
        <w:t xml:space="preserve"> vary. </w:t>
      </w:r>
      <w:r w:rsidR="00084C44" w:rsidRPr="009C7E03">
        <w:t>E</w:t>
      </w:r>
      <w:r w:rsidR="008473B8" w:rsidRPr="009C7E03">
        <w:t>very country p</w:t>
      </w:r>
      <w:r w:rsidR="00DB24E6" w:rsidRPr="009C7E03">
        <w:t xml:space="preserve">rovides a </w:t>
      </w:r>
      <w:r w:rsidR="008473B8" w:rsidRPr="009C7E03">
        <w:t>unique institutional context (Scott, 1995)</w:t>
      </w:r>
      <w:r w:rsidR="00084C44" w:rsidRPr="009C7E03">
        <w:t>. W</w:t>
      </w:r>
      <w:r w:rsidR="00CC1933" w:rsidRPr="009C7E03">
        <w:t xml:space="preserve">e suggest that firms with </w:t>
      </w:r>
      <w:r w:rsidR="00615C5A" w:rsidRPr="009C7E03">
        <w:t>greater</w:t>
      </w:r>
      <w:r w:rsidR="00CC1933" w:rsidRPr="009C7E03">
        <w:t xml:space="preserve"> EO entering institutionally distant markets will i</w:t>
      </w:r>
      <w:r w:rsidR="008565F0" w:rsidRPr="009C7E03">
        <w:t>ncrease its</w:t>
      </w:r>
      <w:r w:rsidR="00CC1933" w:rsidRPr="009C7E03">
        <w:t xml:space="preserve"> tendency to use </w:t>
      </w:r>
      <w:r w:rsidR="00E36C80" w:rsidRPr="009C7E03">
        <w:t>intermediate (cooperative)</w:t>
      </w:r>
      <w:r w:rsidR="00CC1933" w:rsidRPr="009C7E03">
        <w:t xml:space="preserve"> export channels </w:t>
      </w:r>
      <w:r w:rsidR="008473B8" w:rsidRPr="009C7E03">
        <w:t>since</w:t>
      </w:r>
      <w:r w:rsidR="00CC1933" w:rsidRPr="009C7E03">
        <w:t xml:space="preserve"> such channels provide these firms with additional opportunities and resources that can </w:t>
      </w:r>
      <w:r w:rsidR="001B4002" w:rsidRPr="009C7E03">
        <w:t xml:space="preserve">be </w:t>
      </w:r>
      <w:r w:rsidR="00CC1933" w:rsidRPr="009C7E03">
        <w:t>leverage</w:t>
      </w:r>
      <w:r w:rsidR="001B4002" w:rsidRPr="009C7E03">
        <w:t>d</w:t>
      </w:r>
      <w:r w:rsidR="00CC1933" w:rsidRPr="009C7E03">
        <w:t xml:space="preserve"> to increase </w:t>
      </w:r>
      <w:r w:rsidR="00BF5DDA" w:rsidRPr="009C7E03">
        <w:t xml:space="preserve">value generation </w:t>
      </w:r>
      <w:r w:rsidR="001F7DAE" w:rsidRPr="009C7E03">
        <w:t>in that market</w:t>
      </w:r>
      <w:r w:rsidR="00CC1933" w:rsidRPr="009C7E03">
        <w:t xml:space="preserve">. However, when higher EO firms enter institutionally close markets </w:t>
      </w:r>
      <w:r w:rsidR="00DA2F24" w:rsidRPr="009C7E03">
        <w:t>its</w:t>
      </w:r>
      <w:r w:rsidR="00CC1933" w:rsidRPr="009C7E03">
        <w:t xml:space="preserve"> preference for </w:t>
      </w:r>
      <w:r w:rsidR="00E36C80" w:rsidRPr="009C7E03">
        <w:t>intermediate</w:t>
      </w:r>
      <w:r w:rsidR="00CC1933" w:rsidRPr="009C7E03">
        <w:t xml:space="preserve"> export channels decreases, because in this situation home-based </w:t>
      </w:r>
      <w:r w:rsidR="00BF5DDA" w:rsidRPr="009C7E03">
        <w:t xml:space="preserve">value generating </w:t>
      </w:r>
      <w:r w:rsidR="00CC1933" w:rsidRPr="009C7E03">
        <w:t>knowledge can be applied to the export market reducing the need for and benefits</w:t>
      </w:r>
      <w:r w:rsidR="00672E9E" w:rsidRPr="009C7E03">
        <w:t xml:space="preserve"> of </w:t>
      </w:r>
      <w:r w:rsidR="00CC1933" w:rsidRPr="009C7E03">
        <w:t>a</w:t>
      </w:r>
      <w:r w:rsidR="000B1511" w:rsidRPr="009C7E03">
        <w:t>n</w:t>
      </w:r>
      <w:r w:rsidR="00CC1933" w:rsidRPr="009C7E03">
        <w:t xml:space="preserve"> </w:t>
      </w:r>
      <w:r w:rsidR="000B1511" w:rsidRPr="009C7E03">
        <w:t xml:space="preserve">export market </w:t>
      </w:r>
      <w:r w:rsidR="00CC1933" w:rsidRPr="009C7E03">
        <w:t xml:space="preserve">partner. </w:t>
      </w:r>
    </w:p>
    <w:p w14:paraId="40BDCF35" w14:textId="71D41CD8" w:rsidR="00594E00" w:rsidRDefault="00594E00" w:rsidP="00CC1933">
      <w:pPr>
        <w:spacing w:line="480" w:lineRule="auto"/>
        <w:ind w:right="-108" w:firstLine="567"/>
      </w:pPr>
      <w:r w:rsidRPr="001A2710">
        <w:lastRenderedPageBreak/>
        <w:t xml:space="preserve">Finally, we examine </w:t>
      </w:r>
      <w:r w:rsidR="000A412E" w:rsidRPr="001A2710">
        <w:t xml:space="preserve">the impact of these </w:t>
      </w:r>
      <w:r w:rsidR="00A12E86" w:rsidRPr="001A2710">
        <w:t xml:space="preserve">export channel </w:t>
      </w:r>
      <w:r w:rsidR="000A412E" w:rsidRPr="001A2710">
        <w:t xml:space="preserve">choices on </w:t>
      </w:r>
      <w:r w:rsidRPr="001A2710">
        <w:t>market-specific performance since export channel choice influences the performance in a particular market but has less of an impact on overall firm exporting performance (</w:t>
      </w:r>
      <w:proofErr w:type="spellStart"/>
      <w:r w:rsidRPr="001A2710">
        <w:t>Keupp</w:t>
      </w:r>
      <w:proofErr w:type="spellEnd"/>
      <w:r w:rsidRPr="001A2710">
        <w:t xml:space="preserve"> &amp; Gassmann, 2009). Our theory suggests that firms selecting an export channel that </w:t>
      </w:r>
      <w:r w:rsidR="00A12E86" w:rsidRPr="001A2710">
        <w:t xml:space="preserve">helps it generate more value in its foreign operations, and thus </w:t>
      </w:r>
      <w:r w:rsidRPr="001A2710">
        <w:t>aligns with our theoretical predictions</w:t>
      </w:r>
      <w:r w:rsidR="00A12E86" w:rsidRPr="001A2710">
        <w:t>,</w:t>
      </w:r>
      <w:r w:rsidRPr="001A2710">
        <w:t xml:space="preserve"> will have higher market-specific export performance than firms that use export channels that deviate from our theory</w:t>
      </w:r>
      <w:r w:rsidR="00A12E86" w:rsidRPr="001A2710">
        <w:t xml:space="preserve"> and therefore reduce the opportunities firms have to generate value in foreign markets</w:t>
      </w:r>
      <w:r w:rsidRPr="001A2710">
        <w:t xml:space="preserve">. The reason for this is that export channels that align with our theory take into account not just transaction cost efficiency issues but also the value generation potential of </w:t>
      </w:r>
      <w:r w:rsidR="00C83A91" w:rsidRPr="001A2710">
        <w:t>EO</w:t>
      </w:r>
      <w:r w:rsidRPr="001A2710">
        <w:t xml:space="preserve"> and country institutional differences.</w:t>
      </w:r>
      <w:r w:rsidR="00447654" w:rsidRPr="001A2710">
        <w:t xml:space="preserve"> Figure 1 represents our overall model.</w:t>
      </w:r>
      <w:r>
        <w:t xml:space="preserve">   </w:t>
      </w:r>
    </w:p>
    <w:p w14:paraId="71D4D3FC" w14:textId="137EC013" w:rsidR="00CF7FA3" w:rsidRDefault="00CF7FA3" w:rsidP="00CF7FA3">
      <w:pPr>
        <w:spacing w:line="480" w:lineRule="auto"/>
        <w:ind w:right="-108"/>
      </w:pPr>
    </w:p>
    <w:p w14:paraId="009B5DD7" w14:textId="1177FFA4" w:rsidR="006F0DA5" w:rsidRDefault="000D3D03" w:rsidP="000D3D03">
      <w:pPr>
        <w:ind w:right="-108"/>
        <w:jc w:val="center"/>
      </w:pPr>
      <w:r>
        <w:t>-------------------------------</w:t>
      </w:r>
    </w:p>
    <w:p w14:paraId="3C9B2CB8" w14:textId="4396F48B" w:rsidR="00CF7FA3" w:rsidRDefault="00CF7FA3" w:rsidP="000D3D03">
      <w:pPr>
        <w:ind w:right="-108"/>
        <w:jc w:val="center"/>
      </w:pPr>
      <w:r w:rsidRPr="001A2710">
        <w:t>Insert Figure 1 about here</w:t>
      </w:r>
    </w:p>
    <w:p w14:paraId="11305AA8" w14:textId="6C28116D" w:rsidR="000D3D03" w:rsidRDefault="000D3D03" w:rsidP="00CF7FA3">
      <w:pPr>
        <w:spacing w:line="480" w:lineRule="auto"/>
        <w:ind w:right="-108"/>
        <w:jc w:val="center"/>
      </w:pPr>
      <w:r>
        <w:t>-------------------------------</w:t>
      </w:r>
    </w:p>
    <w:p w14:paraId="657D2707" w14:textId="77777777" w:rsidR="00CF7FA3" w:rsidRDefault="00CF7FA3" w:rsidP="00CF7FA3">
      <w:pPr>
        <w:spacing w:line="480" w:lineRule="auto"/>
        <w:ind w:right="-108"/>
      </w:pPr>
    </w:p>
    <w:p w14:paraId="5EE3D5C7" w14:textId="249B2F3A" w:rsidR="00CC1933" w:rsidRDefault="00E92566" w:rsidP="00DA1CDE">
      <w:pPr>
        <w:spacing w:line="480" w:lineRule="auto"/>
        <w:ind w:right="-108" w:firstLine="567"/>
      </w:pPr>
      <w:r w:rsidRPr="005F4A79">
        <w:t>In this way</w:t>
      </w:r>
      <w:r w:rsidR="00E36C80" w:rsidRPr="005F4A79">
        <w:t xml:space="preserve"> w</w:t>
      </w:r>
      <w:r w:rsidR="00CC1933" w:rsidRPr="005F4A79">
        <w:t xml:space="preserve">e </w:t>
      </w:r>
      <w:r w:rsidRPr="005F4A79">
        <w:t xml:space="preserve">make several </w:t>
      </w:r>
      <w:r w:rsidR="00CC1933" w:rsidRPr="005F4A79">
        <w:t>contribut</w:t>
      </w:r>
      <w:r w:rsidRPr="005F4A79">
        <w:t>ions</w:t>
      </w:r>
      <w:r w:rsidR="00CC1933" w:rsidRPr="005F4A79">
        <w:t xml:space="preserve"> to the literature. First</w:t>
      </w:r>
      <w:r w:rsidR="00B33A8A" w:rsidRPr="005F4A79">
        <w:t xml:space="preserve">, </w:t>
      </w:r>
      <w:r w:rsidR="00CC1933" w:rsidRPr="005F4A79">
        <w:t xml:space="preserve">we make an important contribution </w:t>
      </w:r>
      <w:r w:rsidR="00B33A8A" w:rsidRPr="005F4A79">
        <w:t>to the export literature</w:t>
      </w:r>
      <w:r w:rsidR="00672E9E" w:rsidRPr="005F4A79">
        <w:t>.</w:t>
      </w:r>
      <w:r w:rsidR="00B33A8A" w:rsidRPr="005F4A79">
        <w:t xml:space="preserve"> </w:t>
      </w:r>
      <w:r w:rsidR="00696839" w:rsidRPr="005F4A79">
        <w:t>Past export studies have done a good job of explaining export channel selection using transaction cost theory (</w:t>
      </w:r>
      <w:r w:rsidR="00FD2B15" w:rsidRPr="005F4A79">
        <w:t>Li et al., 2017</w:t>
      </w:r>
      <w:r w:rsidR="00696839" w:rsidRPr="005F4A79">
        <w:t xml:space="preserve">). </w:t>
      </w:r>
      <w:r w:rsidR="00931801" w:rsidRPr="005F4A79">
        <w:t xml:space="preserve">But TCE focuses on determining the most efficient structure, </w:t>
      </w:r>
      <w:r w:rsidR="005B7975" w:rsidRPr="005F4A79">
        <w:t>not</w:t>
      </w:r>
      <w:r w:rsidR="00931801" w:rsidRPr="005F4A79">
        <w:t xml:space="preserve"> the best value generating structure (</w:t>
      </w:r>
      <w:proofErr w:type="spellStart"/>
      <w:r w:rsidR="00931801" w:rsidRPr="005F4A79">
        <w:t>Cuypers</w:t>
      </w:r>
      <w:proofErr w:type="spellEnd"/>
      <w:r w:rsidR="00931801" w:rsidRPr="005F4A79">
        <w:t xml:space="preserve"> et al., 2021). </w:t>
      </w:r>
      <w:r w:rsidR="005B7975" w:rsidRPr="005F4A79">
        <w:t xml:space="preserve">In contrast, the </w:t>
      </w:r>
      <w:r w:rsidR="00F95278" w:rsidRPr="005F4A79">
        <w:t>entrepreneurship</w:t>
      </w:r>
      <w:r w:rsidR="005B7975" w:rsidRPr="005F4A79">
        <w:t xml:space="preserve"> literature suggests that </w:t>
      </w:r>
      <w:r w:rsidR="00070776" w:rsidRPr="005F4A79">
        <w:t xml:space="preserve">SMEs </w:t>
      </w:r>
      <w:r w:rsidR="00A87E9F" w:rsidRPr="005F4A79">
        <w:t xml:space="preserve">should rely on EO to help them generate value when </w:t>
      </w:r>
      <w:r w:rsidR="00070776" w:rsidRPr="005F4A79">
        <w:t xml:space="preserve">expanding abroad </w:t>
      </w:r>
      <w:r w:rsidR="008E6830" w:rsidRPr="005F4A79">
        <w:t>(</w:t>
      </w:r>
      <w:r w:rsidR="00070776" w:rsidRPr="005F4A79">
        <w:t>Brouthers</w:t>
      </w:r>
      <w:r w:rsidR="008E6830" w:rsidRPr="005F4A79">
        <w:t xml:space="preserve"> et al., </w:t>
      </w:r>
      <w:r w:rsidR="00070776" w:rsidRPr="005F4A79">
        <w:t>2015; Knight et al., 2020; Wales</w:t>
      </w:r>
      <w:r w:rsidR="008E6830" w:rsidRPr="005F4A79">
        <w:t xml:space="preserve"> et al., </w:t>
      </w:r>
      <w:r w:rsidR="00070776" w:rsidRPr="005F4A79">
        <w:t xml:space="preserve">2019). </w:t>
      </w:r>
      <w:r w:rsidR="00867EC2" w:rsidRPr="003400D8">
        <w:t>Bu</w:t>
      </w:r>
      <w:r w:rsidR="00476888" w:rsidRPr="003400D8">
        <w:t>ilding on this</w:t>
      </w:r>
      <w:r w:rsidR="00E76391" w:rsidRPr="003400D8">
        <w:t xml:space="preserve"> </w:t>
      </w:r>
      <w:r w:rsidR="00A04FEB" w:rsidRPr="003400D8">
        <w:t>entrepreneurship</w:t>
      </w:r>
      <w:r w:rsidR="00E76391" w:rsidRPr="003400D8">
        <w:t xml:space="preserve"> literature</w:t>
      </w:r>
      <w:r w:rsidR="00A04FEB" w:rsidRPr="003400D8">
        <w:t xml:space="preserve">, we </w:t>
      </w:r>
      <w:r w:rsidR="005265CC" w:rsidRPr="003400D8">
        <w:t xml:space="preserve">add to </w:t>
      </w:r>
      <w:r w:rsidR="00A04FEB" w:rsidRPr="003400D8">
        <w:t xml:space="preserve">knowledge </w:t>
      </w:r>
      <w:r w:rsidR="005265CC" w:rsidRPr="003400D8">
        <w:t>about</w:t>
      </w:r>
      <w:r w:rsidR="00A04FEB" w:rsidRPr="003400D8">
        <w:t xml:space="preserve"> how SMEs can not only establish efficient export operations but create </w:t>
      </w:r>
      <w:r w:rsidR="00030F5C" w:rsidRPr="003400D8">
        <w:t xml:space="preserve">additional </w:t>
      </w:r>
      <w:r w:rsidR="00A04FEB" w:rsidRPr="003400D8">
        <w:t>value in international markets</w:t>
      </w:r>
      <w:r w:rsidR="00E83794" w:rsidRPr="003400D8">
        <w:t xml:space="preserve"> through exporting</w:t>
      </w:r>
      <w:r w:rsidR="004335DB" w:rsidRPr="003400D8">
        <w:t xml:space="preserve">. We theorize and </w:t>
      </w:r>
      <w:r w:rsidR="00A04FEB" w:rsidRPr="003400D8">
        <w:t>explor</w:t>
      </w:r>
      <w:r w:rsidR="004335DB" w:rsidRPr="003400D8">
        <w:t>e</w:t>
      </w:r>
      <w:r w:rsidR="00A04FEB" w:rsidRPr="003400D8">
        <w:t xml:space="preserve"> how differences in EO</w:t>
      </w:r>
      <w:r w:rsidR="004335DB" w:rsidRPr="003400D8">
        <w:t>, as well as transaction cost factors,</w:t>
      </w:r>
      <w:r w:rsidR="00A04FEB" w:rsidRPr="003400D8">
        <w:t xml:space="preserve"> </w:t>
      </w:r>
      <w:r w:rsidR="001B4002" w:rsidRPr="003400D8">
        <w:t xml:space="preserve">are likely to </w:t>
      </w:r>
      <w:r w:rsidR="00A04FEB" w:rsidRPr="003400D8">
        <w:t xml:space="preserve">impact the benefits that SMEs can derive from various export channel structures. </w:t>
      </w:r>
      <w:r w:rsidR="007418E8" w:rsidRPr="003400D8">
        <w:t>T</w:t>
      </w:r>
      <w:r w:rsidR="008339E2" w:rsidRPr="003400D8">
        <w:t xml:space="preserve">hus </w:t>
      </w:r>
      <w:r w:rsidR="007418E8" w:rsidRPr="003400D8">
        <w:t xml:space="preserve">we </w:t>
      </w:r>
      <w:r w:rsidR="008339E2" w:rsidRPr="003400D8">
        <w:t xml:space="preserve">extend the export channel choice </w:t>
      </w:r>
      <w:r w:rsidR="00854465" w:rsidRPr="003400D8">
        <w:t xml:space="preserve">paradigm </w:t>
      </w:r>
      <w:r w:rsidR="002A10D2" w:rsidRPr="003400D8">
        <w:t xml:space="preserve">by </w:t>
      </w:r>
      <w:r w:rsidR="002A10D2" w:rsidRPr="003400D8">
        <w:lastRenderedPageBreak/>
        <w:t xml:space="preserve">showing how adding insights about EO helps improve </w:t>
      </w:r>
      <w:r w:rsidR="00F45F93" w:rsidRPr="003400D8">
        <w:t>our understanding of the</w:t>
      </w:r>
      <w:r w:rsidR="002A10D2" w:rsidRPr="003400D8">
        <w:t xml:space="preserve"> export channel decision and </w:t>
      </w:r>
      <w:r w:rsidR="0032544C" w:rsidRPr="003400D8">
        <w:t xml:space="preserve">its impact on </w:t>
      </w:r>
      <w:r w:rsidR="00F45F93" w:rsidRPr="003400D8">
        <w:t xml:space="preserve">export </w:t>
      </w:r>
      <w:r w:rsidR="003A6362" w:rsidRPr="002C359D">
        <w:t>performance</w:t>
      </w:r>
      <w:r w:rsidR="008339E2" w:rsidRPr="002C359D">
        <w:t>.</w:t>
      </w:r>
    </w:p>
    <w:p w14:paraId="5EE3D5C9" w14:textId="3F83527B" w:rsidR="00CC1933" w:rsidRDefault="00CC1933" w:rsidP="00CC1933">
      <w:pPr>
        <w:spacing w:line="480" w:lineRule="auto"/>
        <w:ind w:right="-108" w:firstLine="567"/>
      </w:pPr>
      <w:r w:rsidRPr="00985B82">
        <w:t>Second,</w:t>
      </w:r>
      <w:r w:rsidR="00D42047" w:rsidRPr="00985B82">
        <w:t xml:space="preserve"> </w:t>
      </w:r>
      <w:r>
        <w:t xml:space="preserve">we contribute to the growing international entrepreneurship </w:t>
      </w:r>
      <w:r w:rsidR="00883EF6" w:rsidRPr="008E20B9">
        <w:t>(</w:t>
      </w:r>
      <w:r w:rsidR="00634A0A" w:rsidRPr="008E20B9">
        <w:t>Brouthers et al., 201</w:t>
      </w:r>
      <w:r w:rsidR="006F2F91">
        <w:t>5</w:t>
      </w:r>
      <w:r w:rsidR="00634A0A" w:rsidRPr="008E20B9">
        <w:t xml:space="preserve">; </w:t>
      </w:r>
      <w:proofErr w:type="spellStart"/>
      <w:r w:rsidR="00634A0A" w:rsidRPr="008E20B9">
        <w:t>Keupp</w:t>
      </w:r>
      <w:proofErr w:type="spellEnd"/>
      <w:r w:rsidR="00634A0A" w:rsidRPr="008E20B9">
        <w:t xml:space="preserve"> &amp; Gassmann, 2009</w:t>
      </w:r>
      <w:r w:rsidR="00F36EDB">
        <w:t>;</w:t>
      </w:r>
      <w:r w:rsidR="00736A01" w:rsidRPr="00736A01">
        <w:t xml:space="preserve"> </w:t>
      </w:r>
      <w:proofErr w:type="spellStart"/>
      <w:r w:rsidR="00736A01" w:rsidRPr="00736A01">
        <w:t>Zucchella</w:t>
      </w:r>
      <w:proofErr w:type="spellEnd"/>
      <w:r w:rsidR="00736A01" w:rsidRPr="00736A01">
        <w:t>, 2021</w:t>
      </w:r>
      <w:r w:rsidR="00883EF6" w:rsidRPr="008E20B9">
        <w:t>)</w:t>
      </w:r>
      <w:r w:rsidR="00883EF6">
        <w:t xml:space="preserve"> </w:t>
      </w:r>
      <w:r>
        <w:t xml:space="preserve">literature by </w:t>
      </w:r>
      <w:r w:rsidR="008E3954">
        <w:t xml:space="preserve">employing </w:t>
      </w:r>
      <w:r w:rsidR="00985B82">
        <w:t xml:space="preserve">an </w:t>
      </w:r>
      <w:r>
        <w:t>institutional theory (Scott, 1995</w:t>
      </w:r>
      <w:r w:rsidRPr="00FA48AA">
        <w:t>)</w:t>
      </w:r>
      <w:r w:rsidR="00985B82">
        <w:t xml:space="preserve"> perspective</w:t>
      </w:r>
      <w:r w:rsidRPr="00FA48AA">
        <w:t xml:space="preserve">. </w:t>
      </w:r>
      <w:r w:rsidR="00FB4BE6">
        <w:t>Research has</w:t>
      </w:r>
      <w:r w:rsidR="00600046" w:rsidRPr="009C145E">
        <w:t xml:space="preserve"> noted that </w:t>
      </w:r>
      <w:r w:rsidR="00622BB4" w:rsidRPr="009C145E">
        <w:t xml:space="preserve">the </w:t>
      </w:r>
      <w:r w:rsidR="00600046" w:rsidRPr="009C145E">
        <w:t xml:space="preserve">institutional </w:t>
      </w:r>
      <w:r w:rsidR="00622BB4" w:rsidRPr="009C145E">
        <w:t>environment</w:t>
      </w:r>
      <w:r w:rsidR="00600046" w:rsidRPr="009C145E">
        <w:t xml:space="preserve"> can impact </w:t>
      </w:r>
      <w:r w:rsidR="00B33A8A">
        <w:t>entrepreneurial activities</w:t>
      </w:r>
      <w:r w:rsidR="00600046" w:rsidRPr="009C145E">
        <w:t xml:space="preserve"> (e.g., </w:t>
      </w:r>
      <w:r w:rsidR="00622BB4" w:rsidRPr="009C145E">
        <w:t xml:space="preserve">Bowen &amp; De </w:t>
      </w:r>
      <w:proofErr w:type="spellStart"/>
      <w:r w:rsidR="00622BB4" w:rsidRPr="009C145E">
        <w:t>Clercq</w:t>
      </w:r>
      <w:proofErr w:type="spellEnd"/>
      <w:r w:rsidR="00622BB4" w:rsidRPr="009C145E">
        <w:t xml:space="preserve">, 2008; </w:t>
      </w:r>
      <w:proofErr w:type="spellStart"/>
      <w:r w:rsidR="00312E22" w:rsidRPr="009C145E">
        <w:t>Covin</w:t>
      </w:r>
      <w:proofErr w:type="spellEnd"/>
      <w:r w:rsidR="00312E22" w:rsidRPr="009C145E">
        <w:t xml:space="preserve"> &amp; </w:t>
      </w:r>
      <w:proofErr w:type="spellStart"/>
      <w:r w:rsidR="00312E22" w:rsidRPr="009C145E">
        <w:t>Slevin</w:t>
      </w:r>
      <w:proofErr w:type="spellEnd"/>
      <w:r w:rsidR="00312E22" w:rsidRPr="009C145E">
        <w:t>, 1989</w:t>
      </w:r>
      <w:r w:rsidR="00600046" w:rsidRPr="009C145E">
        <w:t>).</w:t>
      </w:r>
      <w:r w:rsidR="00600046">
        <w:t xml:space="preserve"> </w:t>
      </w:r>
      <w:r w:rsidRPr="00E966D3">
        <w:t xml:space="preserve">In this study we add to knowledge by looking at how </w:t>
      </w:r>
      <w:r w:rsidRPr="00E966D3">
        <w:rPr>
          <w:i/>
        </w:rPr>
        <w:t>differences</w:t>
      </w:r>
      <w:r w:rsidRPr="00E966D3">
        <w:t xml:space="preserve"> in institutional context</w:t>
      </w:r>
      <w:r w:rsidR="002243D6" w:rsidRPr="00E966D3">
        <w:t>s</w:t>
      </w:r>
      <w:r w:rsidRPr="00E966D3">
        <w:t xml:space="preserve"> influence the </w:t>
      </w:r>
      <w:r w:rsidR="00F9124D" w:rsidRPr="00E966D3">
        <w:t xml:space="preserve">ability of firms to use its entrepreneurial value </w:t>
      </w:r>
      <w:r w:rsidR="00D80A53" w:rsidRPr="00E966D3">
        <w:t xml:space="preserve">adding </w:t>
      </w:r>
      <w:r w:rsidR="00432990" w:rsidRPr="00E966D3">
        <w:t>practices and processes</w:t>
      </w:r>
      <w:r w:rsidR="00F9124D" w:rsidRPr="00E966D3">
        <w:t xml:space="preserve"> in foreign markets and how the choice between export channels can help</w:t>
      </w:r>
      <w:r w:rsidR="00F9124D">
        <w:t xml:space="preserve">. </w:t>
      </w:r>
      <w:r w:rsidR="00637AD7">
        <w:t>By exploring the interaction between EO and instit</w:t>
      </w:r>
      <w:r w:rsidR="00E92566">
        <w:t>ut</w:t>
      </w:r>
      <w:r w:rsidR="00637AD7">
        <w:t>ional di</w:t>
      </w:r>
      <w:r w:rsidR="00E92566">
        <w:t>stance</w:t>
      </w:r>
      <w:r w:rsidR="00637AD7">
        <w:t xml:space="preserve">, we </w:t>
      </w:r>
      <w:r w:rsidR="002F2D55">
        <w:t>show</w:t>
      </w:r>
      <w:r w:rsidR="00E92566">
        <w:t xml:space="preserve"> that EO may provide different benefits to firms depending on the similarity/difference between home and export market</w:t>
      </w:r>
      <w:r w:rsidR="002F2D55">
        <w:t xml:space="preserve"> </w:t>
      </w:r>
      <w:r w:rsidR="002F2D55" w:rsidRPr="00985B82">
        <w:t xml:space="preserve">and </w:t>
      </w:r>
      <w:r w:rsidR="002F2D55" w:rsidRPr="00CC23CF">
        <w:t>how</w:t>
      </w:r>
      <w:r w:rsidR="008177B2" w:rsidRPr="00CC23CF">
        <w:t xml:space="preserve"> these differences</w:t>
      </w:r>
      <w:r w:rsidR="006764A8" w:rsidRPr="00CC23CF">
        <w:t xml:space="preserve"> will affect</w:t>
      </w:r>
      <w:r w:rsidR="00FB5D60" w:rsidRPr="00CC23CF">
        <w:t xml:space="preserve"> </w:t>
      </w:r>
      <w:r w:rsidR="002F2D55" w:rsidRPr="00CC23CF">
        <w:t>export channel choice</w:t>
      </w:r>
      <w:r w:rsidR="002D1D0A" w:rsidRPr="00CC23CF">
        <w:t>.</w:t>
      </w:r>
      <w:r w:rsidR="00FB5D60" w:rsidRPr="00CC23CF">
        <w:t xml:space="preserve"> </w:t>
      </w:r>
      <w:r w:rsidR="00AC49FD" w:rsidRPr="00E97D2E">
        <w:t>Overall</w:t>
      </w:r>
      <w:r w:rsidRPr="00E97D2E">
        <w:t xml:space="preserve">, our study extends previous work by noting that in addition to transaction costs, </w:t>
      </w:r>
      <w:r w:rsidR="00985B82" w:rsidRPr="00E97D2E">
        <w:t xml:space="preserve">a </w:t>
      </w:r>
      <w:r w:rsidRPr="00E97D2E">
        <w:t xml:space="preserve">firm </w:t>
      </w:r>
      <w:r w:rsidR="002F2D55" w:rsidRPr="00E97D2E">
        <w:t xml:space="preserve">should </w:t>
      </w:r>
      <w:r w:rsidR="009B60C8" w:rsidRPr="00E97D2E">
        <w:t>consider</w:t>
      </w:r>
      <w:r w:rsidRPr="00E97D2E">
        <w:t xml:space="preserve"> </w:t>
      </w:r>
      <w:r w:rsidR="00314210" w:rsidRPr="00E97D2E">
        <w:t xml:space="preserve">its </w:t>
      </w:r>
      <w:r w:rsidR="00F9124D" w:rsidRPr="00E97D2E">
        <w:t xml:space="preserve">value generating </w:t>
      </w:r>
      <w:r w:rsidR="00144AED" w:rsidRPr="00E97D2E">
        <w:t>EO</w:t>
      </w:r>
      <w:r w:rsidR="002F2D55" w:rsidRPr="00E97D2E">
        <w:t xml:space="preserve">, </w:t>
      </w:r>
      <w:r w:rsidR="004B06B2" w:rsidRPr="00E97D2E">
        <w:t>contingent on the</w:t>
      </w:r>
      <w:r w:rsidRPr="00E97D2E">
        <w:t xml:space="preserve"> institutional distance</w:t>
      </w:r>
      <w:r w:rsidR="002F2D55" w:rsidRPr="00E97D2E">
        <w:t>,</w:t>
      </w:r>
      <w:r w:rsidRPr="00E97D2E">
        <w:t xml:space="preserve"> </w:t>
      </w:r>
      <w:r w:rsidR="002F2D55" w:rsidRPr="00E97D2E">
        <w:t xml:space="preserve">to </w:t>
      </w:r>
      <w:r w:rsidRPr="00E97D2E">
        <w:t>determin</w:t>
      </w:r>
      <w:r w:rsidR="002F2D55" w:rsidRPr="00E97D2E">
        <w:t>e</w:t>
      </w:r>
      <w:r w:rsidRPr="00E97D2E">
        <w:t xml:space="preserve"> the export channel</w:t>
      </w:r>
      <w:r w:rsidR="00F9124D" w:rsidRPr="00E97D2E">
        <w:t xml:space="preserve"> that it can use to </w:t>
      </w:r>
      <w:r w:rsidR="00C04DA9" w:rsidRPr="00E97D2E">
        <w:t>create better performing export operations</w:t>
      </w:r>
      <w:r w:rsidR="002D1D0A" w:rsidRPr="00E97D2E">
        <w:t>.</w:t>
      </w:r>
      <w:r w:rsidR="002D1D0A">
        <w:t xml:space="preserve"> </w:t>
      </w:r>
    </w:p>
    <w:p w14:paraId="5EE3D5CA" w14:textId="77777777" w:rsidR="003176D9" w:rsidRDefault="003176D9" w:rsidP="00955B68">
      <w:pPr>
        <w:spacing w:line="480" w:lineRule="auto"/>
        <w:ind w:right="-108"/>
        <w:jc w:val="center"/>
        <w:rPr>
          <w:b/>
        </w:rPr>
      </w:pPr>
    </w:p>
    <w:p w14:paraId="5EE3D5CB" w14:textId="6958F027" w:rsidR="00CF32EA" w:rsidRDefault="00A67900" w:rsidP="00A67900">
      <w:pPr>
        <w:spacing w:line="480" w:lineRule="auto"/>
        <w:ind w:right="-108"/>
        <w:rPr>
          <w:b/>
        </w:rPr>
      </w:pPr>
      <w:r>
        <w:rPr>
          <w:b/>
        </w:rPr>
        <w:t xml:space="preserve">2.0 </w:t>
      </w:r>
      <w:r w:rsidR="00E03C2E" w:rsidRPr="006870F2">
        <w:rPr>
          <w:b/>
        </w:rPr>
        <w:t>T</w:t>
      </w:r>
      <w:r w:rsidR="00B363BD">
        <w:rPr>
          <w:b/>
        </w:rPr>
        <w:t>HEORY AND HYPOTHESES</w:t>
      </w:r>
    </w:p>
    <w:p w14:paraId="5EE3D5CC" w14:textId="61E0563F" w:rsidR="00CF32EA" w:rsidRPr="0047783D" w:rsidRDefault="00C16162" w:rsidP="00CF32EA">
      <w:pPr>
        <w:spacing w:line="480" w:lineRule="auto"/>
        <w:ind w:right="-108" w:firstLine="567"/>
      </w:pPr>
      <w:r w:rsidRPr="007A5778">
        <w:t xml:space="preserve">When a </w:t>
      </w:r>
      <w:r>
        <w:t>(</w:t>
      </w:r>
      <w:r w:rsidRPr="007A5778">
        <w:t>manufacturing</w:t>
      </w:r>
      <w:r>
        <w:t>)</w:t>
      </w:r>
      <w:r w:rsidRPr="007A5778">
        <w:t xml:space="preserve"> SME exports, it produces the product at home but needs to</w:t>
      </w:r>
      <w:r w:rsidR="00CF32EA">
        <w:t xml:space="preserve"> </w:t>
      </w:r>
      <w:r w:rsidRPr="007A5778">
        <w:t xml:space="preserve">establish a </w:t>
      </w:r>
      <w:r>
        <w:t>structure</w:t>
      </w:r>
      <w:r w:rsidRPr="007A5778">
        <w:t xml:space="preserve"> to get its products to customers in the foreign export market. </w:t>
      </w:r>
      <w:r w:rsidR="0073205D">
        <w:t>Exporting</w:t>
      </w:r>
      <w:r w:rsidR="00CF32EA" w:rsidRPr="0047783D">
        <w:rPr>
          <w:rFonts w:eastAsiaTheme="minorHAnsi"/>
          <w:lang w:val="en-GB" w:eastAsia="en-US"/>
        </w:rPr>
        <w:t xml:space="preserve"> </w:t>
      </w:r>
      <w:r w:rsidR="0073205D">
        <w:rPr>
          <w:rFonts w:eastAsiaTheme="minorHAnsi"/>
          <w:lang w:val="en-GB" w:eastAsia="en-US"/>
        </w:rPr>
        <w:t>firms</w:t>
      </w:r>
      <w:r w:rsidR="00CF32EA" w:rsidRPr="0047783D">
        <w:rPr>
          <w:rFonts w:eastAsiaTheme="minorHAnsi"/>
          <w:lang w:val="en-GB" w:eastAsia="en-US"/>
        </w:rPr>
        <w:t xml:space="preserve"> have </w:t>
      </w:r>
      <w:r w:rsidR="000071B1" w:rsidRPr="0047783D">
        <w:rPr>
          <w:rFonts w:eastAsiaTheme="minorHAnsi"/>
          <w:lang w:val="en-GB" w:eastAsia="en-US"/>
        </w:rPr>
        <w:t>several</w:t>
      </w:r>
      <w:r w:rsidR="00CF32EA" w:rsidRPr="0047783D">
        <w:rPr>
          <w:rFonts w:eastAsiaTheme="minorHAnsi"/>
          <w:lang w:val="en-GB" w:eastAsia="en-US"/>
        </w:rPr>
        <w:t xml:space="preserve"> structural arrangements available to them. Scholars (e.g., Campa &amp; Guillen, 1999;</w:t>
      </w:r>
      <w:r w:rsidR="00327A45">
        <w:rPr>
          <w:rFonts w:eastAsiaTheme="minorHAnsi"/>
          <w:lang w:val="en-GB" w:eastAsia="en-US"/>
        </w:rPr>
        <w:t xml:space="preserve"> </w:t>
      </w:r>
      <w:proofErr w:type="spellStart"/>
      <w:r w:rsidR="00CF32EA" w:rsidRPr="0047783D">
        <w:rPr>
          <w:rFonts w:eastAsiaTheme="minorHAnsi"/>
          <w:lang w:val="en-GB" w:eastAsia="en-US"/>
        </w:rPr>
        <w:t>Erramilli</w:t>
      </w:r>
      <w:proofErr w:type="spellEnd"/>
      <w:r w:rsidR="00CF32EA" w:rsidRPr="0047783D">
        <w:rPr>
          <w:rFonts w:eastAsiaTheme="minorHAnsi"/>
          <w:lang w:val="en-GB" w:eastAsia="en-US"/>
        </w:rPr>
        <w:t xml:space="preserve"> &amp; Rao, 1990; </w:t>
      </w:r>
      <w:r w:rsidR="00F7711C" w:rsidRPr="00426037">
        <w:t>Ishii</w:t>
      </w:r>
      <w:r w:rsidR="00F7711C">
        <w:t xml:space="preserve">, </w:t>
      </w:r>
      <w:r w:rsidR="00F7711C" w:rsidRPr="00426037">
        <w:t>2021</w:t>
      </w:r>
      <w:r w:rsidR="00F7711C">
        <w:t xml:space="preserve">; </w:t>
      </w:r>
      <w:r w:rsidR="00CF32EA" w:rsidRPr="0047783D">
        <w:rPr>
          <w:rFonts w:eastAsiaTheme="minorHAnsi"/>
          <w:lang w:val="en-GB" w:eastAsia="en-US"/>
        </w:rPr>
        <w:t xml:space="preserve">Klein et al., 1990) suggest that the level of involvement in marketing and distribution distinguishes one export channel </w:t>
      </w:r>
      <w:r w:rsidR="00BC6FCF" w:rsidRPr="0047783D">
        <w:rPr>
          <w:rFonts w:eastAsiaTheme="minorHAnsi"/>
          <w:lang w:val="en-GB" w:eastAsia="en-US"/>
        </w:rPr>
        <w:t xml:space="preserve">structure </w:t>
      </w:r>
      <w:r w:rsidR="00CF32EA" w:rsidRPr="0047783D">
        <w:rPr>
          <w:rFonts w:eastAsiaTheme="minorHAnsi"/>
          <w:lang w:val="en-GB" w:eastAsia="en-US"/>
        </w:rPr>
        <w:t xml:space="preserve">from another. Often exporters want to maintain full control of the export operation. In this case they will take charge of both these tasks either by distributing from the home market and sending sales staff to the foreign country on a regular basis or by setting up a wholly owned export </w:t>
      </w:r>
      <w:r w:rsidR="00CF32EA" w:rsidRPr="0047783D">
        <w:rPr>
          <w:rFonts w:eastAsiaTheme="minorHAnsi"/>
          <w:lang w:val="en-GB" w:eastAsia="en-US"/>
        </w:rPr>
        <w:lastRenderedPageBreak/>
        <w:t>operation in the foreign market (</w:t>
      </w:r>
      <w:r w:rsidR="000661EF" w:rsidRPr="00426037">
        <w:t>Ishii</w:t>
      </w:r>
      <w:r w:rsidR="000661EF">
        <w:t xml:space="preserve">, </w:t>
      </w:r>
      <w:r w:rsidR="000661EF" w:rsidRPr="00426037">
        <w:t>2021</w:t>
      </w:r>
      <w:r w:rsidR="000661EF">
        <w:t xml:space="preserve">; </w:t>
      </w:r>
      <w:r w:rsidR="00CF32EA" w:rsidRPr="0047783D">
        <w:rPr>
          <w:rFonts w:eastAsiaTheme="minorHAnsi"/>
          <w:lang w:val="en-GB" w:eastAsia="en-US"/>
        </w:rPr>
        <w:t xml:space="preserve">Klein et al., 1990; McNaughton &amp; Bell, 2000). For firms </w:t>
      </w:r>
      <w:r w:rsidR="0047783D">
        <w:rPr>
          <w:rFonts w:eastAsiaTheme="minorHAnsi"/>
          <w:lang w:val="en-GB" w:eastAsia="en-US"/>
        </w:rPr>
        <w:t>that</w:t>
      </w:r>
      <w:r w:rsidR="00CF32EA" w:rsidRPr="0047783D">
        <w:rPr>
          <w:rFonts w:eastAsiaTheme="minorHAnsi"/>
          <w:lang w:val="en-GB" w:eastAsia="en-US"/>
        </w:rPr>
        <w:t xml:space="preserve"> do not want to take responsibility for all aspects of exporting either because they lack some expertise, have insufficient resources, or simply wish to tap into the expertise of foreign market entities, three export channel options exist. Firms might create a joint venture in the foreign market so they can share both the distribution and marketing functions with a target market organization (Anderson &amp; Coughlan, 1987). Similarly, exporters might simply use agents to sell the products locally, but maintain distribution in house (Bello &amp; </w:t>
      </w:r>
      <w:proofErr w:type="spellStart"/>
      <w:r w:rsidR="00CF32EA" w:rsidRPr="0047783D">
        <w:rPr>
          <w:rFonts w:eastAsiaTheme="minorHAnsi"/>
          <w:lang w:val="en-GB" w:eastAsia="en-US"/>
        </w:rPr>
        <w:t>Lohtia</w:t>
      </w:r>
      <w:proofErr w:type="spellEnd"/>
      <w:r w:rsidR="00CF32EA" w:rsidRPr="0047783D">
        <w:rPr>
          <w:rFonts w:eastAsiaTheme="minorHAnsi"/>
          <w:lang w:val="en-GB" w:eastAsia="en-US"/>
        </w:rPr>
        <w:t xml:space="preserve">, 1995; Klein et al., 1990), or use distributors in the foreign market and share the marketing function (Bello &amp; </w:t>
      </w:r>
      <w:proofErr w:type="spellStart"/>
      <w:r w:rsidR="00CF32EA" w:rsidRPr="0047783D">
        <w:rPr>
          <w:rFonts w:eastAsiaTheme="minorHAnsi"/>
          <w:lang w:val="en-GB" w:eastAsia="en-US"/>
        </w:rPr>
        <w:t>Lohtia</w:t>
      </w:r>
      <w:proofErr w:type="spellEnd"/>
      <w:r w:rsidR="00CF32EA" w:rsidRPr="0047783D">
        <w:rPr>
          <w:rFonts w:eastAsiaTheme="minorHAnsi"/>
          <w:lang w:val="en-GB" w:eastAsia="en-US"/>
        </w:rPr>
        <w:t>, 1995). Under all three options, the exporter can access additional foreign market resources and share the marketing and distribution with a foreign</w:t>
      </w:r>
      <w:r w:rsidR="00B16AC8">
        <w:rPr>
          <w:rFonts w:eastAsiaTheme="minorHAnsi"/>
          <w:lang w:val="en-GB" w:eastAsia="en-US"/>
        </w:rPr>
        <w:t>-</w:t>
      </w:r>
      <w:r w:rsidR="00CF32EA" w:rsidRPr="0047783D">
        <w:rPr>
          <w:rFonts w:eastAsiaTheme="minorHAnsi"/>
          <w:lang w:val="en-GB" w:eastAsia="en-US"/>
        </w:rPr>
        <w:t>based company (</w:t>
      </w:r>
      <w:r w:rsidR="004531B4" w:rsidRPr="00426037">
        <w:t>Ishii</w:t>
      </w:r>
      <w:r w:rsidR="004531B4">
        <w:t xml:space="preserve">, </w:t>
      </w:r>
      <w:r w:rsidR="004531B4" w:rsidRPr="00426037">
        <w:t>2021</w:t>
      </w:r>
      <w:r w:rsidR="004531B4">
        <w:t xml:space="preserve">; </w:t>
      </w:r>
      <w:proofErr w:type="spellStart"/>
      <w:r w:rsidR="00CF32EA" w:rsidRPr="0047783D">
        <w:rPr>
          <w:rFonts w:eastAsiaTheme="minorHAnsi"/>
          <w:lang w:val="en-GB" w:eastAsia="en-US"/>
        </w:rPr>
        <w:t>Khemakhem</w:t>
      </w:r>
      <w:proofErr w:type="spellEnd"/>
      <w:r w:rsidR="00CF32EA" w:rsidRPr="0047783D">
        <w:rPr>
          <w:rFonts w:eastAsiaTheme="minorHAnsi"/>
          <w:lang w:val="en-GB" w:eastAsia="en-US"/>
        </w:rPr>
        <w:t xml:space="preserve">, 2010).   </w:t>
      </w:r>
    </w:p>
    <w:p w14:paraId="2F5710B9" w14:textId="5B582B62" w:rsidR="00030F5C" w:rsidRPr="00780BAC" w:rsidRDefault="00E03C2E" w:rsidP="00030F5C">
      <w:pPr>
        <w:spacing w:line="480" w:lineRule="auto"/>
        <w:ind w:right="-108" w:firstLine="567"/>
      </w:pPr>
      <w:r>
        <w:t>Transaction cost economics has been the dominant paradigm in studying export channel choice (</w:t>
      </w:r>
      <w:r w:rsidR="00A350F8">
        <w:t>Li et al., 2017</w:t>
      </w:r>
      <w:r w:rsidRPr="001D50BF">
        <w:t xml:space="preserve">). </w:t>
      </w:r>
      <w:r w:rsidRPr="009F0809">
        <w:t>TCE models focus on identifying the most efficient export channel after considering bounded rationality, opportunism, and uncertainty (</w:t>
      </w:r>
      <w:proofErr w:type="spellStart"/>
      <w:r w:rsidR="00970D93" w:rsidRPr="00970D93">
        <w:t>Cuypers</w:t>
      </w:r>
      <w:proofErr w:type="spellEnd"/>
      <w:r w:rsidR="00970D93">
        <w:t xml:space="preserve"> et al., </w:t>
      </w:r>
      <w:r w:rsidR="00970D93" w:rsidRPr="00970D93">
        <w:t>2021</w:t>
      </w:r>
      <w:r w:rsidR="00970D93">
        <w:t xml:space="preserve">; </w:t>
      </w:r>
      <w:r w:rsidRPr="009F0809">
        <w:t xml:space="preserve">Williamson, 1985). </w:t>
      </w:r>
      <w:r w:rsidR="008E711F" w:rsidRPr="0047783D">
        <w:t xml:space="preserve">Although these studies have helped shape our understanding of export channel choice, they fail to take into consideration </w:t>
      </w:r>
      <w:r w:rsidR="0077070F" w:rsidRPr="0047783D">
        <w:t xml:space="preserve">internal firm-specific factors that can be used to </w:t>
      </w:r>
      <w:r w:rsidR="0088175C" w:rsidRPr="0047783D">
        <w:t xml:space="preserve">generate </w:t>
      </w:r>
      <w:r w:rsidR="00030F5C" w:rsidRPr="00216281">
        <w:t>additional</w:t>
      </w:r>
      <w:r w:rsidR="00030F5C">
        <w:t xml:space="preserve"> </w:t>
      </w:r>
      <w:r w:rsidR="0088175C" w:rsidRPr="0047783D">
        <w:t xml:space="preserve">value </w:t>
      </w:r>
      <w:r w:rsidR="00910B37" w:rsidRPr="0047783D">
        <w:t>(</w:t>
      </w:r>
      <w:proofErr w:type="spellStart"/>
      <w:r w:rsidR="00F0567E" w:rsidRPr="00970D93">
        <w:t>Cuypers</w:t>
      </w:r>
      <w:proofErr w:type="spellEnd"/>
      <w:r w:rsidR="00F0567E">
        <w:t xml:space="preserve"> et al., </w:t>
      </w:r>
      <w:r w:rsidR="00F0567E" w:rsidRPr="00970D93">
        <w:t>2021</w:t>
      </w:r>
      <w:r w:rsidR="00F0567E">
        <w:t xml:space="preserve">; </w:t>
      </w:r>
      <w:r w:rsidR="00910B37" w:rsidRPr="0047783D">
        <w:t>Zajac &amp;</w:t>
      </w:r>
      <w:r w:rsidR="00CF32EA" w:rsidRPr="0047783D">
        <w:t xml:space="preserve"> Olsen, 1993)</w:t>
      </w:r>
      <w:r w:rsidR="0088175C" w:rsidRPr="0047783D">
        <w:t xml:space="preserve">. </w:t>
      </w:r>
      <w:r w:rsidR="00030F5C" w:rsidRPr="00780BAC">
        <w:t xml:space="preserve">He and colleagues (2013) theorize and find that </w:t>
      </w:r>
      <w:r w:rsidR="00AA1E9E">
        <w:t xml:space="preserve">for large firms </w:t>
      </w:r>
      <w:r w:rsidR="00030F5C" w:rsidRPr="00780BAC">
        <w:t>in addition to TCE variables resource-based market orientation (MO) drives export channel choice and leads to improved market-specific export performance, because MO helps firms generate value. But evidence suggests that because SMEs suffer from significant resource constraints (Lu &amp; Beamish, 2001</w:t>
      </w:r>
      <w:r w:rsidR="006F430A">
        <w:t>;</w:t>
      </w:r>
      <w:r w:rsidR="006F430A" w:rsidRPr="006F430A">
        <w:t xml:space="preserve"> </w:t>
      </w:r>
      <w:r w:rsidR="006F430A">
        <w:t>Paul et al., 2017</w:t>
      </w:r>
      <w:r w:rsidR="00030F5C" w:rsidRPr="00780BAC">
        <w:t>) they are less likely to have a MO (Liu, 1995) and MO is less effective for SMEs (Grinstein, 2008).</w:t>
      </w:r>
    </w:p>
    <w:p w14:paraId="5EE3D5CF" w14:textId="4CF2626E" w:rsidR="00FF4412" w:rsidRPr="0016573B" w:rsidRDefault="00030F5C" w:rsidP="00FF4412">
      <w:pPr>
        <w:spacing w:line="480" w:lineRule="auto"/>
        <w:ind w:firstLine="720"/>
      </w:pPr>
      <w:r w:rsidRPr="00780BAC">
        <w:t>Yet, t</w:t>
      </w:r>
      <w:r w:rsidR="0088175C" w:rsidRPr="0047783D">
        <w:t>he entrepreneurship literature suggests that one way</w:t>
      </w:r>
      <w:r>
        <w:t xml:space="preserve"> for </w:t>
      </w:r>
      <w:r w:rsidRPr="00780BAC">
        <w:t>SMEs</w:t>
      </w:r>
      <w:r w:rsidR="0088175C" w:rsidRPr="0047783D">
        <w:t xml:space="preserve"> to generate value is through the application of EO</w:t>
      </w:r>
      <w:r w:rsidR="00325889" w:rsidRPr="0047783D">
        <w:t xml:space="preserve"> </w:t>
      </w:r>
      <w:r w:rsidR="00325889" w:rsidRPr="006565E9">
        <w:t>(</w:t>
      </w:r>
      <w:r w:rsidR="00944DEB" w:rsidRPr="006565E9">
        <w:t>Knight et al.</w:t>
      </w:r>
      <w:r w:rsidR="009549A4">
        <w:t>,</w:t>
      </w:r>
      <w:r w:rsidR="00944DEB" w:rsidRPr="006565E9">
        <w:t xml:space="preserve"> 2020; </w:t>
      </w:r>
      <w:r w:rsidR="0016573B" w:rsidRPr="006565E9">
        <w:t>Teng</w:t>
      </w:r>
      <w:r w:rsidR="0016573B" w:rsidRPr="0047783D">
        <w:t>, 2007; Wales et al., 2013</w:t>
      </w:r>
      <w:r w:rsidR="00325889" w:rsidRPr="0047783D">
        <w:t>)</w:t>
      </w:r>
      <w:r w:rsidR="0088175C" w:rsidRPr="0047783D">
        <w:t xml:space="preserve">. </w:t>
      </w:r>
      <w:r w:rsidR="00C16B32">
        <w:lastRenderedPageBreak/>
        <w:t>R</w:t>
      </w:r>
      <w:r w:rsidR="008E711F" w:rsidRPr="0047783D">
        <w:t xml:space="preserve">esearch indicates a wide variance in </w:t>
      </w:r>
      <w:r w:rsidR="00623544" w:rsidRPr="0047783D">
        <w:t>EO</w:t>
      </w:r>
      <w:r w:rsidR="008E711F" w:rsidRPr="0047783D">
        <w:t xml:space="preserve"> among firms</w:t>
      </w:r>
      <w:r w:rsidR="00623544" w:rsidRPr="0047783D">
        <w:t>;</w:t>
      </w:r>
      <w:r w:rsidR="008E711F" w:rsidRPr="0047783D">
        <w:t xml:space="preserve"> noting th</w:t>
      </w:r>
      <w:r w:rsidR="00623544" w:rsidRPr="0047783D">
        <w:t>at these differences can have an</w:t>
      </w:r>
      <w:r w:rsidR="008E711F" w:rsidRPr="0047783D">
        <w:t xml:space="preserve"> impact on </w:t>
      </w:r>
      <w:r w:rsidR="00623544" w:rsidRPr="0047783D">
        <w:t>the decision to export (Zhou, 2007), the level of export market diversity (</w:t>
      </w:r>
      <w:proofErr w:type="spellStart"/>
      <w:r w:rsidR="00623544" w:rsidRPr="0047783D">
        <w:t>Ripolles</w:t>
      </w:r>
      <w:proofErr w:type="spellEnd"/>
      <w:r w:rsidR="00623544" w:rsidRPr="0047783D">
        <w:t xml:space="preserve">-Melia, </w:t>
      </w:r>
      <w:proofErr w:type="spellStart"/>
      <w:r w:rsidR="00623544" w:rsidRPr="0047783D">
        <w:t>Menguzzato-Boulard</w:t>
      </w:r>
      <w:proofErr w:type="spellEnd"/>
      <w:r w:rsidR="00623544" w:rsidRPr="0047783D">
        <w:t xml:space="preserve"> &amp; Sanchez-</w:t>
      </w:r>
      <w:proofErr w:type="spellStart"/>
      <w:r w:rsidR="00623544" w:rsidRPr="0047783D">
        <w:t>Peinado</w:t>
      </w:r>
      <w:proofErr w:type="spellEnd"/>
      <w:r w:rsidR="00623544" w:rsidRPr="0047783D">
        <w:t>, 2007)</w:t>
      </w:r>
      <w:r w:rsidR="00FF4412" w:rsidRPr="0047783D">
        <w:t xml:space="preserve">, </w:t>
      </w:r>
      <w:r w:rsidR="009462B4">
        <w:t xml:space="preserve">export </w:t>
      </w:r>
      <w:r w:rsidR="009462B4" w:rsidRPr="004E6FB3">
        <w:t>strategy (</w:t>
      </w:r>
      <w:r w:rsidR="008A45C3" w:rsidRPr="004E6FB3">
        <w:t>Knight et al.</w:t>
      </w:r>
      <w:r w:rsidR="009549A4">
        <w:t>,</w:t>
      </w:r>
      <w:r w:rsidR="008A45C3" w:rsidRPr="004E6FB3">
        <w:t xml:space="preserve"> 2020), </w:t>
      </w:r>
      <w:r w:rsidR="008E711F" w:rsidRPr="004E6FB3">
        <w:t>firm performance (Rauch</w:t>
      </w:r>
      <w:r w:rsidR="00516C0A" w:rsidRPr="004E6FB3">
        <w:t xml:space="preserve"> et al.,</w:t>
      </w:r>
      <w:r w:rsidR="008E711F" w:rsidRPr="004E6FB3">
        <w:t xml:space="preserve"> 2009; Saeed</w:t>
      </w:r>
      <w:r w:rsidR="00516C0A" w:rsidRPr="004E6FB3">
        <w:t xml:space="preserve"> et al., </w:t>
      </w:r>
      <w:r w:rsidR="008E711F" w:rsidRPr="004E6FB3">
        <w:t>2014)</w:t>
      </w:r>
      <w:r w:rsidR="00FF4412" w:rsidRPr="004E6FB3">
        <w:t>,</w:t>
      </w:r>
      <w:r w:rsidR="00FF4412" w:rsidRPr="0047783D">
        <w:t xml:space="preserve"> and may </w:t>
      </w:r>
      <w:r w:rsidR="00FF4412" w:rsidRPr="0047783D">
        <w:rPr>
          <w:rFonts w:eastAsiaTheme="minorHAnsi"/>
          <w:lang w:val="en-GB" w:eastAsia="en-US"/>
        </w:rPr>
        <w:t xml:space="preserve">influence firm boundaries (Alvarez &amp; Barney, 2007; Foss &amp; Klein, 2012). </w:t>
      </w:r>
      <w:r w:rsidR="00FF4412" w:rsidRPr="0047783D">
        <w:t xml:space="preserve">According to the </w:t>
      </w:r>
      <w:r w:rsidR="00FF4412" w:rsidRPr="0047783D">
        <w:rPr>
          <w:rFonts w:eastAsiaTheme="minorHAnsi"/>
          <w:lang w:val="en-GB" w:eastAsia="en-US"/>
        </w:rPr>
        <w:t xml:space="preserve">entrepreneurial theory of the firm, </w:t>
      </w:r>
      <w:r w:rsidR="00FF4412" w:rsidRPr="0047783D">
        <w:t xml:space="preserve">boundaries are not determined by some external predictable issues having to do with opportunism and bounded rationality, as is the case in TCE, but are based upon the resources needed to identify and exploit opportunities, those available to the firm, and a determination of the best way to access additional resources (Alvarez &amp; Barney, 2007; Foss &amp; Klein, 2013). Hence, firm boundaries for opportunity identification and exploitation might take different forms such as intermediate or internalized organizations (Alvarez &amp; Barney, 2007). </w:t>
      </w:r>
      <w:r w:rsidR="00F02E1A" w:rsidRPr="00D608F2">
        <w:t>Based on this w</w:t>
      </w:r>
      <w:r w:rsidR="00AB2177" w:rsidRPr="00D608F2">
        <w:t>e</w:t>
      </w:r>
      <w:r w:rsidR="00AB2177" w:rsidRPr="0047783D">
        <w:t xml:space="preserve"> suggest that combining the efficiency focus of TCE with the value creation aspects of entrepreneurship will l</w:t>
      </w:r>
      <w:r w:rsidR="000E4B00" w:rsidRPr="0047783D">
        <w:t>e</w:t>
      </w:r>
      <w:r w:rsidR="00AB2177" w:rsidRPr="0047783D">
        <w:t xml:space="preserve">ad to </w:t>
      </w:r>
      <w:r w:rsidR="001E7103" w:rsidRPr="0047783D">
        <w:t xml:space="preserve">a </w:t>
      </w:r>
      <w:r w:rsidR="00FF4412" w:rsidRPr="0047783D">
        <w:t xml:space="preserve">better </w:t>
      </w:r>
      <w:r w:rsidR="001E7103" w:rsidRPr="0047783D">
        <w:t xml:space="preserve">understanding of </w:t>
      </w:r>
      <w:r w:rsidR="004D2C2E">
        <w:t xml:space="preserve">SME </w:t>
      </w:r>
      <w:r w:rsidR="00462DA8" w:rsidRPr="0047783D">
        <w:t xml:space="preserve">export </w:t>
      </w:r>
      <w:r w:rsidR="001E7103" w:rsidRPr="0047783D">
        <w:t>boundary choices</w:t>
      </w:r>
      <w:r w:rsidR="00FF4412" w:rsidRPr="0047783D">
        <w:t>.</w:t>
      </w:r>
    </w:p>
    <w:p w14:paraId="5EE3D5D0" w14:textId="77777777" w:rsidR="00E03C2E" w:rsidRDefault="00E03C2E" w:rsidP="004E5A42">
      <w:pPr>
        <w:spacing w:line="480" w:lineRule="auto"/>
        <w:ind w:right="-108"/>
        <w:rPr>
          <w:b/>
        </w:rPr>
      </w:pPr>
    </w:p>
    <w:p w14:paraId="5EE3D5D1" w14:textId="351EC6BA" w:rsidR="00E03C2E" w:rsidRPr="007A5778" w:rsidRDefault="00A67900" w:rsidP="004E5A42">
      <w:pPr>
        <w:spacing w:line="480" w:lineRule="auto"/>
        <w:ind w:right="-108"/>
        <w:rPr>
          <w:b/>
        </w:rPr>
      </w:pPr>
      <w:r>
        <w:rPr>
          <w:b/>
        </w:rPr>
        <w:t xml:space="preserve">2.1 </w:t>
      </w:r>
      <w:r w:rsidR="00E03C2E" w:rsidRPr="007A5778">
        <w:rPr>
          <w:b/>
        </w:rPr>
        <w:t>EO and Export Channel Choice</w:t>
      </w:r>
    </w:p>
    <w:p w14:paraId="5EE3D5D3" w14:textId="62E4EC36" w:rsidR="0077420D" w:rsidRPr="00F02E1A" w:rsidRDefault="0077420D" w:rsidP="005F749D">
      <w:pPr>
        <w:spacing w:line="480" w:lineRule="auto"/>
        <w:ind w:firstLine="720"/>
      </w:pPr>
      <w:r w:rsidRPr="00F02E1A">
        <w:rPr>
          <w:rFonts w:eastAsiaTheme="minorHAnsi"/>
          <w:lang w:val="en-GB" w:eastAsia="en-US"/>
        </w:rPr>
        <w:t>The entrepreneur</w:t>
      </w:r>
      <w:r w:rsidR="00CE3FF2" w:rsidRPr="00F02E1A">
        <w:rPr>
          <w:rFonts w:eastAsiaTheme="minorHAnsi"/>
          <w:lang w:val="en-GB" w:eastAsia="en-US"/>
        </w:rPr>
        <w:t>ship</w:t>
      </w:r>
      <w:r w:rsidRPr="00F02E1A">
        <w:rPr>
          <w:rFonts w:eastAsiaTheme="minorHAnsi"/>
          <w:lang w:val="en-GB" w:eastAsia="en-US"/>
        </w:rPr>
        <w:t xml:space="preserve"> </w:t>
      </w:r>
      <w:r w:rsidR="00851107" w:rsidRPr="00F02E1A">
        <w:rPr>
          <w:rFonts w:eastAsiaTheme="minorHAnsi"/>
          <w:lang w:val="en-GB" w:eastAsia="en-US"/>
        </w:rPr>
        <w:t>literature</w:t>
      </w:r>
      <w:r w:rsidRPr="00F02E1A">
        <w:rPr>
          <w:rFonts w:eastAsiaTheme="minorHAnsi"/>
          <w:lang w:val="en-GB" w:eastAsia="en-US"/>
        </w:rPr>
        <w:t xml:space="preserve"> suggests that EO </w:t>
      </w:r>
      <w:r w:rsidR="000E4B00" w:rsidRPr="00F02E1A">
        <w:rPr>
          <w:rFonts w:eastAsiaTheme="minorHAnsi"/>
          <w:lang w:val="en-GB" w:eastAsia="en-US"/>
        </w:rPr>
        <w:t>is made up of three components</w:t>
      </w:r>
      <w:r w:rsidR="00B33DCD" w:rsidRPr="00F02E1A">
        <w:rPr>
          <w:rFonts w:eastAsiaTheme="minorHAnsi"/>
          <w:lang w:val="en-GB" w:eastAsia="en-US"/>
        </w:rPr>
        <w:t>:</w:t>
      </w:r>
      <w:r w:rsidR="000E4B00" w:rsidRPr="00F02E1A">
        <w:rPr>
          <w:rFonts w:eastAsiaTheme="minorHAnsi"/>
          <w:lang w:val="en-GB" w:eastAsia="en-US"/>
        </w:rPr>
        <w:t xml:space="preserve"> proactiveness, innovati</w:t>
      </w:r>
      <w:r w:rsidR="00E72823" w:rsidRPr="00F02E1A">
        <w:rPr>
          <w:rFonts w:eastAsiaTheme="minorHAnsi"/>
          <w:lang w:val="en-GB" w:eastAsia="en-US"/>
        </w:rPr>
        <w:t>veness</w:t>
      </w:r>
      <w:r w:rsidR="000E4B00" w:rsidRPr="00F02E1A">
        <w:rPr>
          <w:rFonts w:eastAsiaTheme="minorHAnsi"/>
          <w:lang w:val="en-GB" w:eastAsia="en-US"/>
        </w:rPr>
        <w:t xml:space="preserve"> and risk taking (</w:t>
      </w:r>
      <w:proofErr w:type="spellStart"/>
      <w:r w:rsidR="00A903A4" w:rsidRPr="00F02E1A">
        <w:t>Covin</w:t>
      </w:r>
      <w:proofErr w:type="spellEnd"/>
      <w:r w:rsidR="00A903A4" w:rsidRPr="00F02E1A">
        <w:t xml:space="preserve"> &amp; </w:t>
      </w:r>
      <w:proofErr w:type="spellStart"/>
      <w:r w:rsidR="00A903A4" w:rsidRPr="00F02E1A">
        <w:t>Slevin</w:t>
      </w:r>
      <w:proofErr w:type="spellEnd"/>
      <w:r w:rsidR="00A903A4" w:rsidRPr="00F02E1A">
        <w:t>, 1988; 1989</w:t>
      </w:r>
      <w:r w:rsidR="000E4B00" w:rsidRPr="00F02E1A">
        <w:rPr>
          <w:rFonts w:eastAsiaTheme="minorHAnsi"/>
          <w:lang w:val="en-GB" w:eastAsia="en-US"/>
        </w:rPr>
        <w:t>). Firms with greater EO generate value by taking business risks that allow the</w:t>
      </w:r>
      <w:r w:rsidR="00B33DCD" w:rsidRPr="00F02E1A">
        <w:rPr>
          <w:rFonts w:eastAsiaTheme="minorHAnsi"/>
          <w:lang w:val="en-GB" w:eastAsia="en-US"/>
        </w:rPr>
        <w:t>m</w:t>
      </w:r>
      <w:r w:rsidR="000E4B00" w:rsidRPr="00F02E1A">
        <w:rPr>
          <w:rFonts w:eastAsiaTheme="minorHAnsi"/>
          <w:lang w:val="en-GB" w:eastAsia="en-US"/>
        </w:rPr>
        <w:t xml:space="preserve"> to proactively identify and </w:t>
      </w:r>
      <w:r w:rsidR="00B05F08" w:rsidRPr="00F02E1A">
        <w:rPr>
          <w:rFonts w:eastAsiaTheme="minorHAnsi"/>
          <w:lang w:val="en-GB" w:eastAsia="en-US"/>
        </w:rPr>
        <w:t>pursue</w:t>
      </w:r>
      <w:r w:rsidR="000E4B00" w:rsidRPr="00F02E1A">
        <w:rPr>
          <w:rFonts w:eastAsiaTheme="minorHAnsi"/>
          <w:lang w:val="en-GB" w:eastAsia="en-US"/>
        </w:rPr>
        <w:t xml:space="preserve"> new opportunities </w:t>
      </w:r>
      <w:r w:rsidR="00667D8F" w:rsidRPr="00F02E1A">
        <w:rPr>
          <w:rFonts w:eastAsiaTheme="minorHAnsi"/>
          <w:lang w:val="en-GB" w:eastAsia="en-US"/>
        </w:rPr>
        <w:t xml:space="preserve">through the development of </w:t>
      </w:r>
      <w:r w:rsidR="000E4B00" w:rsidRPr="00F02E1A">
        <w:rPr>
          <w:rFonts w:eastAsiaTheme="minorHAnsi"/>
          <w:lang w:val="en-GB" w:eastAsia="en-US"/>
        </w:rPr>
        <w:t>innovative solutions (</w:t>
      </w:r>
      <w:r w:rsidR="00BC6FCF" w:rsidRPr="00F02E1A">
        <w:t>Teng, 2007; Wales et al., 2013</w:t>
      </w:r>
      <w:r w:rsidR="000E4B00" w:rsidRPr="00F02E1A">
        <w:rPr>
          <w:rFonts w:eastAsiaTheme="minorHAnsi"/>
          <w:lang w:val="en-GB" w:eastAsia="en-US"/>
        </w:rPr>
        <w:t>). B</w:t>
      </w:r>
      <w:r w:rsidR="00C87DE2" w:rsidRPr="00F02E1A">
        <w:rPr>
          <w:rFonts w:eastAsiaTheme="minorHAnsi"/>
          <w:lang w:val="en-GB" w:eastAsia="en-US"/>
        </w:rPr>
        <w:t xml:space="preserve">ut EO </w:t>
      </w:r>
      <w:r w:rsidRPr="00F02E1A">
        <w:rPr>
          <w:rFonts w:eastAsiaTheme="minorHAnsi"/>
          <w:lang w:val="en-GB" w:eastAsia="en-US"/>
        </w:rPr>
        <w:t>requires access to resources to be effective (</w:t>
      </w:r>
      <w:r w:rsidR="002A5136" w:rsidRPr="002A5136">
        <w:rPr>
          <w:rFonts w:eastAsiaTheme="minorHAnsi"/>
          <w:lang w:val="en-GB" w:eastAsia="en-US"/>
        </w:rPr>
        <w:t>Jiang, Liu, Fey &amp; Jiang, 2018</w:t>
      </w:r>
      <w:r w:rsidR="00A50FC9">
        <w:rPr>
          <w:rFonts w:eastAsiaTheme="minorHAnsi"/>
          <w:lang w:val="en-GB" w:eastAsia="en-US"/>
        </w:rPr>
        <w:t xml:space="preserve">; </w:t>
      </w:r>
      <w:r w:rsidRPr="00F02E1A">
        <w:rPr>
          <w:rFonts w:eastAsiaTheme="minorHAnsi"/>
          <w:lang w:val="en-GB" w:eastAsia="en-US"/>
        </w:rPr>
        <w:t xml:space="preserve">Teng, 2007). </w:t>
      </w:r>
      <w:r w:rsidR="005F749D" w:rsidRPr="00F02E1A">
        <w:t>SMEs tend to suffer from significant resource constraints that impact their ability to gain advantage in overseas markets (Lu &amp; Beamish, 2001</w:t>
      </w:r>
      <w:r w:rsidR="00D46117">
        <w:t>; Paul et al., 2017</w:t>
      </w:r>
      <w:r w:rsidR="005F749D" w:rsidRPr="00F02E1A">
        <w:t xml:space="preserve">). Although a SME might be very entrepreneurial, resource restrictions make it difficult to pursue entrepreneurial activities since </w:t>
      </w:r>
      <w:r w:rsidR="00F02E1A">
        <w:t>the SME</w:t>
      </w:r>
      <w:r w:rsidR="005F749D" w:rsidRPr="00F02E1A">
        <w:t xml:space="preserve"> tends to lack managerial, financial and </w:t>
      </w:r>
      <w:r w:rsidR="005F749D" w:rsidRPr="00F02E1A">
        <w:lastRenderedPageBreak/>
        <w:t>other resources needed to operationalize its entrepreneurial ideas (</w:t>
      </w:r>
      <w:bookmarkStart w:id="0" w:name="_Hlk65146821"/>
      <w:r w:rsidR="00A50FC9">
        <w:t>Jiang et al., 2018</w:t>
      </w:r>
      <w:bookmarkEnd w:id="0"/>
      <w:r w:rsidR="00A50FC9">
        <w:t xml:space="preserve">; </w:t>
      </w:r>
      <w:r w:rsidR="005F749D" w:rsidRPr="00F02E1A">
        <w:t xml:space="preserve">Teng, 2007). </w:t>
      </w:r>
      <w:r w:rsidRPr="00F02E1A">
        <w:rPr>
          <w:rFonts w:eastAsiaTheme="minorHAnsi"/>
          <w:lang w:val="en-GB" w:eastAsia="en-US"/>
        </w:rPr>
        <w:t>One way to g</w:t>
      </w:r>
      <w:r w:rsidR="00667D8F" w:rsidRPr="00F02E1A">
        <w:rPr>
          <w:rFonts w:eastAsiaTheme="minorHAnsi"/>
          <w:lang w:val="en-GB" w:eastAsia="en-US"/>
        </w:rPr>
        <w:t>ain</w:t>
      </w:r>
      <w:r w:rsidRPr="00F02E1A">
        <w:rPr>
          <w:rFonts w:eastAsiaTheme="minorHAnsi"/>
          <w:lang w:val="en-GB" w:eastAsia="en-US"/>
        </w:rPr>
        <w:t xml:space="preserve"> </w:t>
      </w:r>
      <w:r w:rsidR="00667D8F" w:rsidRPr="00F02E1A">
        <w:rPr>
          <w:rFonts w:eastAsiaTheme="minorHAnsi"/>
          <w:lang w:val="en-GB" w:eastAsia="en-US"/>
        </w:rPr>
        <w:t>a</w:t>
      </w:r>
      <w:r w:rsidR="00D36C0F" w:rsidRPr="00F02E1A">
        <w:rPr>
          <w:rFonts w:eastAsiaTheme="minorHAnsi"/>
          <w:lang w:val="en-GB" w:eastAsia="en-US"/>
        </w:rPr>
        <w:t>c</w:t>
      </w:r>
      <w:r w:rsidR="00667D8F" w:rsidRPr="00F02E1A">
        <w:rPr>
          <w:rFonts w:eastAsiaTheme="minorHAnsi"/>
          <w:lang w:val="en-GB" w:eastAsia="en-US"/>
        </w:rPr>
        <w:t>ce</w:t>
      </w:r>
      <w:r w:rsidR="00D36C0F" w:rsidRPr="00F02E1A">
        <w:rPr>
          <w:rFonts w:eastAsiaTheme="minorHAnsi"/>
          <w:lang w:val="en-GB" w:eastAsia="en-US"/>
        </w:rPr>
        <w:t>ss</w:t>
      </w:r>
      <w:r w:rsidR="00667D8F" w:rsidRPr="00F02E1A">
        <w:rPr>
          <w:rFonts w:eastAsiaTheme="minorHAnsi"/>
          <w:lang w:val="en-GB" w:eastAsia="en-US"/>
        </w:rPr>
        <w:t xml:space="preserve"> to </w:t>
      </w:r>
      <w:r w:rsidRPr="00F02E1A">
        <w:rPr>
          <w:rFonts w:eastAsiaTheme="minorHAnsi"/>
          <w:lang w:val="en-GB" w:eastAsia="en-US"/>
        </w:rPr>
        <w:t>these additional resources is to partner with another organization (</w:t>
      </w:r>
      <w:proofErr w:type="spellStart"/>
      <w:r w:rsidRPr="00F02E1A">
        <w:rPr>
          <w:rFonts w:eastAsiaTheme="minorHAnsi"/>
          <w:lang w:val="en-GB" w:eastAsia="en-US"/>
        </w:rPr>
        <w:t>Hitt</w:t>
      </w:r>
      <w:proofErr w:type="spellEnd"/>
      <w:r w:rsidRPr="00F02E1A">
        <w:rPr>
          <w:rFonts w:eastAsiaTheme="minorHAnsi"/>
          <w:lang w:val="en-GB" w:eastAsia="en-US"/>
        </w:rPr>
        <w:t xml:space="preserve"> et al., 2001; </w:t>
      </w:r>
      <w:r w:rsidR="004F00EE">
        <w:t xml:space="preserve">Jiang et al., 2018; </w:t>
      </w:r>
      <w:r w:rsidRPr="00F02E1A">
        <w:rPr>
          <w:rFonts w:eastAsiaTheme="minorHAnsi"/>
          <w:lang w:val="en-GB" w:eastAsia="en-US"/>
        </w:rPr>
        <w:t xml:space="preserve">Teng, 2007). This seems to be especially beneficial </w:t>
      </w:r>
      <w:r w:rsidR="00667D8F" w:rsidRPr="00F02E1A">
        <w:rPr>
          <w:rFonts w:eastAsiaTheme="minorHAnsi"/>
          <w:lang w:val="en-GB" w:eastAsia="en-US"/>
        </w:rPr>
        <w:t>for</w:t>
      </w:r>
      <w:r w:rsidRPr="00F02E1A">
        <w:rPr>
          <w:rFonts w:eastAsiaTheme="minorHAnsi"/>
          <w:lang w:val="en-GB" w:eastAsia="en-US"/>
        </w:rPr>
        <w:t xml:space="preserve"> SMEs venturing into international markets (Brouthers et al, 201</w:t>
      </w:r>
      <w:r w:rsidR="000E48EF">
        <w:rPr>
          <w:rFonts w:eastAsiaTheme="minorHAnsi"/>
          <w:lang w:val="en-GB" w:eastAsia="en-US"/>
        </w:rPr>
        <w:t>5</w:t>
      </w:r>
      <w:r w:rsidRPr="00F02E1A">
        <w:rPr>
          <w:rFonts w:eastAsiaTheme="minorHAnsi"/>
          <w:lang w:val="en-GB" w:eastAsia="en-US"/>
        </w:rPr>
        <w:t>). For high</w:t>
      </w:r>
      <w:r w:rsidR="008146D8" w:rsidRPr="00F02E1A">
        <w:rPr>
          <w:rFonts w:eastAsiaTheme="minorHAnsi"/>
          <w:lang w:val="en-GB" w:eastAsia="en-US"/>
        </w:rPr>
        <w:t>er</w:t>
      </w:r>
      <w:r w:rsidRPr="00F02E1A">
        <w:rPr>
          <w:rFonts w:eastAsiaTheme="minorHAnsi"/>
          <w:lang w:val="en-GB" w:eastAsia="en-US"/>
        </w:rPr>
        <w:t xml:space="preserve"> EO </w:t>
      </w:r>
      <w:r w:rsidR="00667D8F" w:rsidRPr="00F02E1A">
        <w:rPr>
          <w:rFonts w:eastAsiaTheme="minorHAnsi"/>
          <w:lang w:val="en-GB" w:eastAsia="en-US"/>
        </w:rPr>
        <w:t>SMEs</w:t>
      </w:r>
      <w:r w:rsidRPr="00F02E1A">
        <w:rPr>
          <w:rFonts w:eastAsiaTheme="minorHAnsi"/>
          <w:lang w:val="en-GB" w:eastAsia="en-US"/>
        </w:rPr>
        <w:t xml:space="preserve"> </w:t>
      </w:r>
      <w:r w:rsidR="00667D8F" w:rsidRPr="00F02E1A">
        <w:rPr>
          <w:rFonts w:eastAsiaTheme="minorHAnsi"/>
          <w:lang w:val="en-GB" w:eastAsia="en-US"/>
        </w:rPr>
        <w:t>g</w:t>
      </w:r>
      <w:r w:rsidRPr="00F02E1A">
        <w:rPr>
          <w:rFonts w:eastAsiaTheme="minorHAnsi"/>
          <w:lang w:val="en-GB" w:eastAsia="en-US"/>
        </w:rPr>
        <w:t xml:space="preserve">etting access to partner resources </w:t>
      </w:r>
      <w:r w:rsidR="00667D8F" w:rsidRPr="00F02E1A">
        <w:rPr>
          <w:rFonts w:eastAsiaTheme="minorHAnsi"/>
          <w:lang w:val="en-GB" w:eastAsia="en-US"/>
        </w:rPr>
        <w:t>enables</w:t>
      </w:r>
      <w:r w:rsidRPr="00F02E1A">
        <w:rPr>
          <w:rFonts w:eastAsiaTheme="minorHAnsi"/>
          <w:lang w:val="en-GB" w:eastAsia="en-US"/>
        </w:rPr>
        <w:t xml:space="preserve"> </w:t>
      </w:r>
      <w:r w:rsidR="00667D8F" w:rsidRPr="00F02E1A">
        <w:rPr>
          <w:rFonts w:eastAsiaTheme="minorHAnsi"/>
          <w:lang w:val="en-GB" w:eastAsia="en-US"/>
        </w:rPr>
        <w:t>them</w:t>
      </w:r>
      <w:r w:rsidRPr="00F02E1A">
        <w:rPr>
          <w:rFonts w:eastAsiaTheme="minorHAnsi"/>
          <w:lang w:val="en-GB" w:eastAsia="en-US"/>
        </w:rPr>
        <w:t xml:space="preserve"> to purse the entrepreneurial activities that they want to undertake but could not because they lacked the resources to do so (Brouthers et al, 201</w:t>
      </w:r>
      <w:r w:rsidR="006F2F91">
        <w:rPr>
          <w:rFonts w:eastAsiaTheme="minorHAnsi"/>
          <w:lang w:val="en-GB" w:eastAsia="en-US"/>
        </w:rPr>
        <w:t>5</w:t>
      </w:r>
      <w:r w:rsidRPr="00F02E1A">
        <w:rPr>
          <w:rFonts w:eastAsiaTheme="minorHAnsi"/>
          <w:lang w:val="en-GB" w:eastAsia="en-US"/>
        </w:rPr>
        <w:t xml:space="preserve">; </w:t>
      </w:r>
      <w:r w:rsidR="004F00EE">
        <w:t xml:space="preserve">Jiang et al., 2018; </w:t>
      </w:r>
      <w:r w:rsidRPr="00F02E1A">
        <w:rPr>
          <w:rFonts w:eastAsiaTheme="minorHAnsi"/>
          <w:lang w:val="en-GB" w:eastAsia="en-US"/>
        </w:rPr>
        <w:t>Teng, 2007). Hence</w:t>
      </w:r>
      <w:r w:rsidR="005F749D" w:rsidRPr="00F02E1A">
        <w:rPr>
          <w:rFonts w:eastAsiaTheme="minorHAnsi"/>
          <w:lang w:val="en-GB" w:eastAsia="en-US"/>
        </w:rPr>
        <w:t>,</w:t>
      </w:r>
      <w:r w:rsidRPr="00F02E1A">
        <w:rPr>
          <w:rFonts w:eastAsiaTheme="minorHAnsi"/>
          <w:lang w:val="en-GB" w:eastAsia="en-US"/>
        </w:rPr>
        <w:t xml:space="preserve"> </w:t>
      </w:r>
      <w:proofErr w:type="spellStart"/>
      <w:r w:rsidR="00B07527">
        <w:rPr>
          <w:rFonts w:eastAsiaTheme="minorHAnsi"/>
          <w:lang w:val="en-GB" w:eastAsia="en-US"/>
        </w:rPr>
        <w:t>bu</w:t>
      </w:r>
      <w:r w:rsidR="00293EEF" w:rsidRPr="00F02E1A">
        <w:t>ilding</w:t>
      </w:r>
      <w:proofErr w:type="spellEnd"/>
      <w:r w:rsidR="00293EEF" w:rsidRPr="00F02E1A">
        <w:t xml:space="preserve"> on both TCE and entrepreneurship theories we offer three sets of arguments that explain </w:t>
      </w:r>
      <w:r w:rsidR="00B07527">
        <w:t xml:space="preserve">why </w:t>
      </w:r>
      <w:r w:rsidRPr="00F02E1A">
        <w:rPr>
          <w:rFonts w:eastAsiaTheme="minorHAnsi"/>
          <w:lang w:val="en-GB" w:eastAsia="en-US"/>
        </w:rPr>
        <w:t>SMEs with high</w:t>
      </w:r>
      <w:r w:rsidR="008146D8" w:rsidRPr="00F02E1A">
        <w:rPr>
          <w:rFonts w:eastAsiaTheme="minorHAnsi"/>
          <w:lang w:val="en-GB" w:eastAsia="en-US"/>
        </w:rPr>
        <w:t>er</w:t>
      </w:r>
      <w:r w:rsidRPr="00F02E1A">
        <w:rPr>
          <w:rFonts w:eastAsiaTheme="minorHAnsi"/>
          <w:lang w:val="en-GB" w:eastAsia="en-US"/>
        </w:rPr>
        <w:t xml:space="preserve"> EO </w:t>
      </w:r>
      <w:r w:rsidR="00077C0B" w:rsidRPr="00F02E1A">
        <w:rPr>
          <w:rFonts w:eastAsiaTheme="minorHAnsi"/>
          <w:lang w:val="en-GB" w:eastAsia="en-US"/>
        </w:rPr>
        <w:t>will</w:t>
      </w:r>
      <w:r w:rsidRPr="00F02E1A">
        <w:rPr>
          <w:rFonts w:eastAsiaTheme="minorHAnsi"/>
          <w:lang w:val="en-GB" w:eastAsia="en-US"/>
        </w:rPr>
        <w:t xml:space="preserve"> use cooperative export channels to generate value </w:t>
      </w:r>
      <w:r w:rsidR="00B07527">
        <w:rPr>
          <w:rFonts w:eastAsiaTheme="minorHAnsi"/>
          <w:lang w:val="en-GB" w:eastAsia="en-US"/>
        </w:rPr>
        <w:t>when expanding abroad.</w:t>
      </w:r>
      <w:r w:rsidRPr="00F02E1A">
        <w:rPr>
          <w:rFonts w:eastAsiaTheme="minorHAnsi"/>
          <w:lang w:val="en-GB" w:eastAsia="en-US"/>
        </w:rPr>
        <w:t xml:space="preserve">  </w:t>
      </w:r>
    </w:p>
    <w:p w14:paraId="5EE3D5D5" w14:textId="655652B0" w:rsidR="004C08BD" w:rsidRDefault="004C08BD" w:rsidP="004C08BD">
      <w:pPr>
        <w:spacing w:line="480" w:lineRule="auto"/>
        <w:ind w:firstLine="720"/>
      </w:pPr>
      <w:r w:rsidRPr="00F02E1A">
        <w:rPr>
          <w:rFonts w:eastAsiaTheme="minorHAnsi"/>
          <w:lang w:val="en-GB" w:eastAsia="en-US"/>
        </w:rPr>
        <w:t xml:space="preserve">First, we suggest that higher EO SMEs are more likely to create partnerships with local companies to get access to information or resources that allow </w:t>
      </w:r>
      <w:r w:rsidR="00D27F34">
        <w:rPr>
          <w:rFonts w:eastAsiaTheme="minorHAnsi"/>
          <w:lang w:val="en-GB" w:eastAsia="en-US"/>
        </w:rPr>
        <w:t>the SME</w:t>
      </w:r>
      <w:r w:rsidR="00C50E91" w:rsidRPr="00F02E1A">
        <w:rPr>
          <w:rFonts w:eastAsiaTheme="minorHAnsi"/>
          <w:lang w:val="en-GB" w:eastAsia="en-US"/>
        </w:rPr>
        <w:t xml:space="preserve"> </w:t>
      </w:r>
      <w:r w:rsidRPr="00F02E1A">
        <w:rPr>
          <w:rFonts w:eastAsiaTheme="minorHAnsi"/>
          <w:lang w:val="en-GB" w:eastAsia="en-US"/>
        </w:rPr>
        <w:t xml:space="preserve">to leverage </w:t>
      </w:r>
      <w:r w:rsidR="00C50E91" w:rsidRPr="00F02E1A">
        <w:rPr>
          <w:rFonts w:eastAsiaTheme="minorHAnsi"/>
          <w:lang w:val="en-GB" w:eastAsia="en-US"/>
        </w:rPr>
        <w:t>its</w:t>
      </w:r>
      <w:r w:rsidRPr="00F02E1A">
        <w:rPr>
          <w:rFonts w:eastAsiaTheme="minorHAnsi"/>
          <w:lang w:val="en-GB" w:eastAsia="en-US"/>
        </w:rPr>
        <w:t xml:space="preserve"> proactive abilities and create or improve a competitive advantage (</w:t>
      </w:r>
      <w:r w:rsidRPr="004F00EE">
        <w:rPr>
          <w:rFonts w:eastAsiaTheme="minorHAnsi"/>
          <w:lang w:val="en-GB" w:eastAsia="en-US"/>
        </w:rPr>
        <w:t xml:space="preserve">Knight &amp; </w:t>
      </w:r>
      <w:proofErr w:type="spellStart"/>
      <w:r w:rsidRPr="004F00EE">
        <w:rPr>
          <w:rFonts w:eastAsiaTheme="minorHAnsi"/>
          <w:lang w:val="en-GB" w:eastAsia="en-US"/>
        </w:rPr>
        <w:t>Cavusgil</w:t>
      </w:r>
      <w:proofErr w:type="spellEnd"/>
      <w:r w:rsidRPr="004F00EE">
        <w:rPr>
          <w:rFonts w:eastAsiaTheme="minorHAnsi"/>
          <w:lang w:val="en-GB" w:eastAsia="en-US"/>
        </w:rPr>
        <w:t>, 2004;</w:t>
      </w:r>
      <w:r w:rsidR="00E35CB0" w:rsidRPr="004F00EE">
        <w:t xml:space="preserve"> Knight et al.</w:t>
      </w:r>
      <w:r w:rsidR="004F00EE">
        <w:t>,</w:t>
      </w:r>
      <w:r w:rsidR="00E35CB0" w:rsidRPr="004F00EE">
        <w:t xml:space="preserve"> 2020;</w:t>
      </w:r>
      <w:r w:rsidRPr="004F00EE">
        <w:rPr>
          <w:rFonts w:eastAsiaTheme="minorHAnsi"/>
          <w:lang w:val="en-GB" w:eastAsia="en-US"/>
        </w:rPr>
        <w:t xml:space="preserve"> Lee et al., 2001; Teng, 2007).</w:t>
      </w:r>
      <w:r w:rsidRPr="004F00EE">
        <w:t xml:space="preserve"> SMEs with </w:t>
      </w:r>
      <w:r w:rsidRPr="0011023C">
        <w:t>high</w:t>
      </w:r>
      <w:r>
        <w:t>er</w:t>
      </w:r>
      <w:r w:rsidRPr="0011023C">
        <w:t xml:space="preserve"> EO</w:t>
      </w:r>
      <w:r>
        <w:t xml:space="preserve"> </w:t>
      </w:r>
      <w:r w:rsidRPr="0011023C">
        <w:t xml:space="preserve">tend to create partnerships with local companies or contractual arrangements with local agents and distributors because these structures can provide </w:t>
      </w:r>
      <w:r>
        <w:t>knowledge</w:t>
      </w:r>
      <w:r w:rsidRPr="0011023C">
        <w:t xml:space="preserve"> to help </w:t>
      </w:r>
      <w:r>
        <w:t xml:space="preserve">the firm </w:t>
      </w:r>
      <w:r w:rsidRPr="0011023C">
        <w:t xml:space="preserve">understand foreign competitors and </w:t>
      </w:r>
      <w:r>
        <w:t xml:space="preserve">customers to </w:t>
      </w:r>
      <w:r w:rsidRPr="0011023C">
        <w:t>predict future trends and needs (</w:t>
      </w:r>
      <w:proofErr w:type="spellStart"/>
      <w:r w:rsidR="00FB1AF2" w:rsidRPr="00FB1AF2">
        <w:t>İpek</w:t>
      </w:r>
      <w:proofErr w:type="spellEnd"/>
      <w:r w:rsidR="00FB1AF2" w:rsidRPr="00FB1AF2">
        <w:t>, 2019</w:t>
      </w:r>
      <w:r w:rsidR="00FB1AF2">
        <w:t xml:space="preserve">; </w:t>
      </w:r>
      <w:r w:rsidR="0079520E" w:rsidRPr="00426037">
        <w:t>Ishii</w:t>
      </w:r>
      <w:r w:rsidR="0079520E">
        <w:t xml:space="preserve">, </w:t>
      </w:r>
      <w:r w:rsidR="0079520E" w:rsidRPr="00426037">
        <w:t>2021</w:t>
      </w:r>
      <w:r w:rsidR="0079520E">
        <w:t xml:space="preserve">; </w:t>
      </w:r>
      <w:r>
        <w:t xml:space="preserve">Knight &amp; </w:t>
      </w:r>
      <w:proofErr w:type="spellStart"/>
      <w:r>
        <w:t>Cavusgil</w:t>
      </w:r>
      <w:proofErr w:type="spellEnd"/>
      <w:r>
        <w:t xml:space="preserve">, 2004; </w:t>
      </w:r>
      <w:r w:rsidRPr="00C62578">
        <w:t>Lu &amp; Beamish, 2001</w:t>
      </w:r>
      <w:r w:rsidRPr="0011023C">
        <w:t xml:space="preserve">). </w:t>
      </w:r>
      <w:r>
        <w:t xml:space="preserve">SMEs with proactive </w:t>
      </w:r>
      <w:r w:rsidR="00AA7C2A" w:rsidRPr="007F377C">
        <w:t>orientations</w:t>
      </w:r>
      <w:r>
        <w:t xml:space="preserve"> </w:t>
      </w:r>
      <w:r w:rsidRPr="003F5B33">
        <w:t xml:space="preserve">can use this knowledge to identify untapped or underserved market niches </w:t>
      </w:r>
      <w:r w:rsidRPr="00B838BF">
        <w:t>(</w:t>
      </w:r>
      <w:r w:rsidR="002E1F5D" w:rsidRPr="00B838BF">
        <w:t xml:space="preserve">Knight et al. 2020; </w:t>
      </w:r>
      <w:r w:rsidRPr="00B838BF">
        <w:t>Lee</w:t>
      </w:r>
      <w:r w:rsidRPr="003F5B33">
        <w:t xml:space="preserve"> et al., 2001).</w:t>
      </w:r>
      <w:r w:rsidRPr="0011023C">
        <w:t xml:space="preserve"> </w:t>
      </w:r>
      <w:r>
        <w:t xml:space="preserve">This allows SMEs possessing higher EO to </w:t>
      </w:r>
      <w:r w:rsidRPr="0011023C">
        <w:t>accelerate entry into new market areas; potentially expanding the size of the export operation</w:t>
      </w:r>
      <w:r>
        <w:t xml:space="preserve">. In addition, SMEs with higher EO have the ability to </w:t>
      </w:r>
      <w:r w:rsidRPr="00284CF6">
        <w:t>be more proactive in locating partners that can provide needed resources</w:t>
      </w:r>
      <w:r>
        <w:t>.</w:t>
      </w:r>
      <w:r w:rsidRPr="00284CF6">
        <w:t xml:space="preserve"> </w:t>
      </w:r>
    </w:p>
    <w:p w14:paraId="5EE3D5D6" w14:textId="6BF0A72B" w:rsidR="004C08BD" w:rsidRDefault="004C08BD" w:rsidP="004C08BD">
      <w:pPr>
        <w:spacing w:line="480" w:lineRule="auto"/>
        <w:ind w:firstLine="567"/>
        <w:rPr>
          <w:rFonts w:eastAsiaTheme="minorHAnsi"/>
          <w:b/>
          <w:lang w:val="en-GB" w:eastAsia="en-US"/>
        </w:rPr>
      </w:pPr>
      <w:r w:rsidRPr="00D608F2">
        <w:rPr>
          <w:rFonts w:eastAsiaTheme="minorHAnsi"/>
          <w:lang w:val="en-GB" w:eastAsia="en-US"/>
        </w:rPr>
        <w:t xml:space="preserve">Lower EO SMEs, on the other hand, are </w:t>
      </w:r>
      <w:r w:rsidR="008E5A07" w:rsidRPr="00D608F2">
        <w:rPr>
          <w:rFonts w:eastAsiaTheme="minorHAnsi"/>
          <w:lang w:val="en-GB" w:eastAsia="en-US"/>
        </w:rPr>
        <w:t>less proactive. When expand</w:t>
      </w:r>
      <w:r w:rsidR="003A179C" w:rsidRPr="00D608F2">
        <w:rPr>
          <w:rFonts w:eastAsiaTheme="minorHAnsi"/>
          <w:lang w:val="en-GB" w:eastAsia="en-US"/>
        </w:rPr>
        <w:t>ing</w:t>
      </w:r>
      <w:r w:rsidR="008E5A07" w:rsidRPr="00D608F2">
        <w:rPr>
          <w:rFonts w:eastAsiaTheme="minorHAnsi"/>
          <w:lang w:val="en-GB" w:eastAsia="en-US"/>
        </w:rPr>
        <w:t xml:space="preserve"> abroad the</w:t>
      </w:r>
      <w:r w:rsidR="003A179C" w:rsidRPr="00D608F2">
        <w:rPr>
          <w:rFonts w:eastAsiaTheme="minorHAnsi"/>
          <w:lang w:val="en-GB" w:eastAsia="en-US"/>
        </w:rPr>
        <w:t>se firms</w:t>
      </w:r>
      <w:r w:rsidR="008E5A07" w:rsidRPr="00D608F2">
        <w:rPr>
          <w:rFonts w:eastAsiaTheme="minorHAnsi"/>
          <w:lang w:val="en-GB" w:eastAsia="en-US"/>
        </w:rPr>
        <w:t xml:space="preserve"> want to sell existing products to the same types of customers as they serve in the home country </w:t>
      </w:r>
      <w:r w:rsidRPr="00D608F2">
        <w:rPr>
          <w:rFonts w:eastAsiaTheme="minorHAnsi"/>
          <w:lang w:val="en-GB" w:eastAsia="en-US"/>
        </w:rPr>
        <w:t xml:space="preserve">(Lee et al., 2001; Teng, 2007). </w:t>
      </w:r>
      <w:r w:rsidR="00F6456A" w:rsidRPr="00D608F2">
        <w:t xml:space="preserve">Fundamentally, low EO firms are reactive and do not seek to lead other firms </w:t>
      </w:r>
      <w:r w:rsidR="00773B24" w:rsidRPr="00D608F2">
        <w:t>in developing</w:t>
      </w:r>
      <w:r w:rsidR="00F6456A" w:rsidRPr="00D608F2">
        <w:t xml:space="preserve"> new products, markets or competitive strategies (Rauch </w:t>
      </w:r>
      <w:r w:rsidR="00F6456A" w:rsidRPr="00D608F2">
        <w:lastRenderedPageBreak/>
        <w:t>et al, 2009). These SMEs</w:t>
      </w:r>
      <w:r w:rsidR="008E5A07" w:rsidRPr="00D608F2">
        <w:rPr>
          <w:rFonts w:eastAsiaTheme="minorHAnsi"/>
          <w:lang w:val="en-GB" w:eastAsia="en-US"/>
        </w:rPr>
        <w:t xml:space="preserve"> are not interested in identifying and pursuing new market areas or untapped niches; they</w:t>
      </w:r>
      <w:r w:rsidRPr="00D608F2">
        <w:t xml:space="preserve"> prefer to wait and react to the moves of competitors (</w:t>
      </w:r>
      <w:r w:rsidR="007F2D01" w:rsidRPr="00D608F2">
        <w:t>Lee et al., 2001</w:t>
      </w:r>
      <w:r w:rsidRPr="00D608F2">
        <w:t xml:space="preserve">). </w:t>
      </w:r>
      <w:r w:rsidR="00F6456A" w:rsidRPr="00D608F2">
        <w:t>Low EO</w:t>
      </w:r>
      <w:r w:rsidR="008E5A07" w:rsidRPr="00D608F2">
        <w:t xml:space="preserve"> SMEs </w:t>
      </w:r>
      <w:r w:rsidR="00D608F2">
        <w:t xml:space="preserve">do not like the flexibility that cooperation entails and seek control to be sure that the same processes, procedures and products are </w:t>
      </w:r>
      <w:r w:rsidR="009F503D">
        <w:t>used</w:t>
      </w:r>
      <w:r w:rsidR="00D608F2">
        <w:t xml:space="preserve"> in foreign markets</w:t>
      </w:r>
      <w:r w:rsidR="008E5A07" w:rsidRPr="00D608F2">
        <w:t xml:space="preserve"> </w:t>
      </w:r>
      <w:r w:rsidR="00F6456A" w:rsidRPr="00D608F2">
        <w:t>(</w:t>
      </w:r>
      <w:proofErr w:type="spellStart"/>
      <w:r w:rsidR="007F2D01" w:rsidRPr="00D608F2">
        <w:t>Covin</w:t>
      </w:r>
      <w:proofErr w:type="spellEnd"/>
      <w:r w:rsidR="007F2D01" w:rsidRPr="00D608F2">
        <w:t xml:space="preserve"> &amp; </w:t>
      </w:r>
      <w:proofErr w:type="spellStart"/>
      <w:r w:rsidR="007F2D01" w:rsidRPr="00D608F2">
        <w:t>Slevin</w:t>
      </w:r>
      <w:proofErr w:type="spellEnd"/>
      <w:r w:rsidR="007F2D01" w:rsidRPr="00D608F2">
        <w:t>, 1988</w:t>
      </w:r>
      <w:r w:rsidR="00F6456A" w:rsidRPr="00D608F2">
        <w:t>)</w:t>
      </w:r>
      <w:r w:rsidR="007F2D01" w:rsidRPr="00D608F2">
        <w:t>.</w:t>
      </w:r>
      <w:r w:rsidR="00F6456A" w:rsidRPr="00D608F2">
        <w:t xml:space="preserve"> </w:t>
      </w:r>
      <w:r w:rsidRPr="00D608F2">
        <w:t xml:space="preserve">For these firms </w:t>
      </w:r>
      <w:r w:rsidR="007F2D01" w:rsidRPr="00D608F2">
        <w:t xml:space="preserve">a more formal </w:t>
      </w:r>
      <w:r w:rsidR="00D608F2">
        <w:t xml:space="preserve">mechanistic </w:t>
      </w:r>
      <w:r w:rsidR="007F2D01" w:rsidRPr="00D608F2">
        <w:t xml:space="preserve">structure </w:t>
      </w:r>
      <w:r w:rsidR="008B565A" w:rsidRPr="00D608F2">
        <w:t xml:space="preserve">that provides certainty and uniformity </w:t>
      </w:r>
      <w:r w:rsidR="007F2D01" w:rsidRPr="00D608F2">
        <w:t>will be preferred (</w:t>
      </w:r>
      <w:proofErr w:type="spellStart"/>
      <w:r w:rsidR="007F2D01" w:rsidRPr="00D608F2">
        <w:t>Covin</w:t>
      </w:r>
      <w:proofErr w:type="spellEnd"/>
      <w:r w:rsidR="007F2D01" w:rsidRPr="00D608F2">
        <w:t xml:space="preserve"> &amp; </w:t>
      </w:r>
      <w:proofErr w:type="spellStart"/>
      <w:r w:rsidR="007F2D01" w:rsidRPr="00D608F2">
        <w:t>Slevin</w:t>
      </w:r>
      <w:proofErr w:type="spellEnd"/>
      <w:r w:rsidR="007F2D01" w:rsidRPr="00D608F2">
        <w:t xml:space="preserve">, 1988). We suggest that </w:t>
      </w:r>
      <w:r w:rsidRPr="00D608F2">
        <w:t xml:space="preserve">hierarchical export channels are </w:t>
      </w:r>
      <w:r w:rsidR="00B13092" w:rsidRPr="00D608F2">
        <w:t>used by these firms</w:t>
      </w:r>
      <w:r w:rsidRPr="00D608F2">
        <w:t xml:space="preserve"> because these channels allow the SME to </w:t>
      </w:r>
      <w:r w:rsidR="00944EDE" w:rsidRPr="00D608F2">
        <w:t>have</w:t>
      </w:r>
      <w:r w:rsidRPr="00D608F2">
        <w:t xml:space="preserve"> direct control over the export marketing and distribution </w:t>
      </w:r>
      <w:r w:rsidR="00B93806" w:rsidRPr="00D608F2">
        <w:t>functions,</w:t>
      </w:r>
      <w:r w:rsidR="008E5A07" w:rsidRPr="00D608F2">
        <w:t xml:space="preserve"> leveraging existing expertise in the foreign market. </w:t>
      </w:r>
    </w:p>
    <w:p w14:paraId="5EE3D5D7" w14:textId="21CE7045" w:rsidR="004C08BD" w:rsidRPr="00026763" w:rsidRDefault="00944EDE" w:rsidP="004C08BD">
      <w:pPr>
        <w:spacing w:line="480" w:lineRule="auto"/>
        <w:ind w:firstLine="567"/>
        <w:rPr>
          <w:rFonts w:eastAsiaTheme="minorHAnsi"/>
          <w:b/>
          <w:highlight w:val="yellow"/>
          <w:lang w:val="en-GB" w:eastAsia="en-US"/>
        </w:rPr>
      </w:pPr>
      <w:r>
        <w:rPr>
          <w:rFonts w:eastAsiaTheme="minorHAnsi"/>
          <w:lang w:val="en-GB" w:eastAsia="en-US"/>
        </w:rPr>
        <w:t>Second</w:t>
      </w:r>
      <w:r w:rsidR="00E0217C">
        <w:rPr>
          <w:rFonts w:eastAsiaTheme="minorHAnsi"/>
          <w:lang w:val="en-GB" w:eastAsia="en-US"/>
        </w:rPr>
        <w:t>,</w:t>
      </w:r>
      <w:r>
        <w:rPr>
          <w:rFonts w:eastAsiaTheme="minorHAnsi"/>
          <w:lang w:val="en-GB" w:eastAsia="en-US"/>
        </w:rPr>
        <w:t xml:space="preserve"> we suggest that</w:t>
      </w:r>
      <w:r w:rsidR="004C08BD" w:rsidRPr="00026763">
        <w:rPr>
          <w:rFonts w:eastAsiaTheme="minorHAnsi"/>
          <w:lang w:val="en-GB" w:eastAsia="en-US"/>
        </w:rPr>
        <w:t xml:space="preserve"> h</w:t>
      </w:r>
      <w:r w:rsidR="004C08BD">
        <w:rPr>
          <w:rFonts w:eastAsiaTheme="minorHAnsi"/>
          <w:lang w:val="en-GB" w:eastAsia="en-US"/>
        </w:rPr>
        <w:t>igher</w:t>
      </w:r>
      <w:r w:rsidR="004C08BD">
        <w:t xml:space="preserve"> EO</w:t>
      </w:r>
      <w:r w:rsidR="004C08BD" w:rsidRPr="00255338">
        <w:t xml:space="preserve"> </w:t>
      </w:r>
      <w:r w:rsidR="004C08BD">
        <w:t>SMEs</w:t>
      </w:r>
      <w:r w:rsidR="004C08BD" w:rsidRPr="00255338">
        <w:t xml:space="preserve"> </w:t>
      </w:r>
      <w:r w:rsidR="00EE2E4C">
        <w:t>are more</w:t>
      </w:r>
      <w:r w:rsidR="004C08BD">
        <w:t xml:space="preserve"> innovative and </w:t>
      </w:r>
      <w:r w:rsidR="004C08BD" w:rsidRPr="00255338">
        <w:t>favor R&amp;D</w:t>
      </w:r>
      <w:r w:rsidR="004C08BD">
        <w:t>/</w:t>
      </w:r>
      <w:r w:rsidR="004C08BD" w:rsidRPr="00255338">
        <w:t xml:space="preserve">technological leadership </w:t>
      </w:r>
      <w:r w:rsidR="004C08BD">
        <w:t>(</w:t>
      </w:r>
      <w:r w:rsidR="004C08BD" w:rsidRPr="003F5B33">
        <w:t>Lyon, Lumpkin &amp; Dess, 2000</w:t>
      </w:r>
      <w:r w:rsidR="004C08BD">
        <w:t xml:space="preserve">) </w:t>
      </w:r>
      <w:r w:rsidR="004C08BD" w:rsidRPr="00255338">
        <w:t>but knowledge of the foreign market is typically limited. SMEs with high</w:t>
      </w:r>
      <w:r w:rsidR="004C08BD">
        <w:t>er</w:t>
      </w:r>
      <w:r w:rsidR="004C08BD" w:rsidRPr="00255338">
        <w:t xml:space="preserve"> EO</w:t>
      </w:r>
      <w:r w:rsidR="004C08BD">
        <w:t xml:space="preserve"> </w:t>
      </w:r>
      <w:r w:rsidR="004C08BD" w:rsidRPr="00255338">
        <w:t xml:space="preserve">benefit from </w:t>
      </w:r>
      <w:r w:rsidR="004C08BD">
        <w:t>cooperative</w:t>
      </w:r>
      <w:r w:rsidR="004C08BD" w:rsidRPr="00255338">
        <w:t xml:space="preserve"> export channels through the acquisition of </w:t>
      </w:r>
      <w:r w:rsidR="004C08BD">
        <w:t>tacit,</w:t>
      </w:r>
      <w:r w:rsidR="004C08BD" w:rsidRPr="00255338">
        <w:t xml:space="preserve"> knowledge-based resources</w:t>
      </w:r>
      <w:r w:rsidR="004C08BD">
        <w:t xml:space="preserve"> (</w:t>
      </w:r>
      <w:proofErr w:type="spellStart"/>
      <w:r w:rsidR="00D8585E" w:rsidRPr="00D8585E">
        <w:t>İpek</w:t>
      </w:r>
      <w:proofErr w:type="spellEnd"/>
      <w:r w:rsidR="00D8585E" w:rsidRPr="00D8585E">
        <w:t>, 2019</w:t>
      </w:r>
      <w:r w:rsidR="00D8585E">
        <w:t xml:space="preserve">; </w:t>
      </w:r>
      <w:r w:rsidR="00F6507A" w:rsidRPr="00426037">
        <w:t>Ishii</w:t>
      </w:r>
      <w:r w:rsidR="00F6507A">
        <w:t xml:space="preserve">, </w:t>
      </w:r>
      <w:r w:rsidR="00F6507A" w:rsidRPr="00426037">
        <w:t>2021</w:t>
      </w:r>
      <w:r w:rsidR="00F6507A">
        <w:t xml:space="preserve">; </w:t>
      </w:r>
      <w:r w:rsidR="004C08BD">
        <w:t xml:space="preserve">Knight &amp; </w:t>
      </w:r>
      <w:proofErr w:type="spellStart"/>
      <w:r w:rsidR="004C08BD">
        <w:t>Cavusgil</w:t>
      </w:r>
      <w:proofErr w:type="spellEnd"/>
      <w:r w:rsidR="004C08BD">
        <w:t>, 2004)</w:t>
      </w:r>
      <w:r w:rsidR="004C08BD" w:rsidRPr="00255338">
        <w:t>. Partner firms can provide the</w:t>
      </w:r>
      <w:r w:rsidR="004C08BD">
        <w:t>se</w:t>
      </w:r>
      <w:r w:rsidR="004C08BD" w:rsidRPr="00255338">
        <w:t xml:space="preserve"> SME</w:t>
      </w:r>
      <w:r w:rsidR="004C08BD">
        <w:t>s</w:t>
      </w:r>
      <w:r w:rsidR="004C08BD" w:rsidRPr="00255338">
        <w:t xml:space="preserve"> with knowledge about customers, competitors, and government policymakers</w:t>
      </w:r>
      <w:r w:rsidR="004C08BD">
        <w:t xml:space="preserve"> (</w:t>
      </w:r>
      <w:proofErr w:type="spellStart"/>
      <w:r w:rsidR="00667CFD" w:rsidRPr="00D8585E">
        <w:t>İpek</w:t>
      </w:r>
      <w:proofErr w:type="spellEnd"/>
      <w:r w:rsidR="00667CFD" w:rsidRPr="00D8585E">
        <w:t>, 2019</w:t>
      </w:r>
      <w:r w:rsidR="00667CFD">
        <w:t xml:space="preserve">; </w:t>
      </w:r>
      <w:r w:rsidR="009A50D4" w:rsidRPr="00426037">
        <w:t>Ishii</w:t>
      </w:r>
      <w:r w:rsidR="009A50D4">
        <w:t xml:space="preserve">, </w:t>
      </w:r>
      <w:r w:rsidR="009A50D4" w:rsidRPr="00426037">
        <w:t>2021</w:t>
      </w:r>
      <w:r w:rsidR="009A50D4">
        <w:t xml:space="preserve">; </w:t>
      </w:r>
      <w:r w:rsidR="004C08BD">
        <w:t xml:space="preserve">Lu &amp; Beamish, 2001). </w:t>
      </w:r>
      <w:r w:rsidR="004C08BD" w:rsidRPr="00C81AD7">
        <w:t>This knowledge can be used to facilitate the discovery and exploitation of opportunities in the host market (</w:t>
      </w:r>
      <w:r w:rsidR="004C08BD">
        <w:t xml:space="preserve">Knight &amp; </w:t>
      </w:r>
      <w:proofErr w:type="spellStart"/>
      <w:r w:rsidR="004C08BD">
        <w:t>Cavusgil</w:t>
      </w:r>
      <w:proofErr w:type="spellEnd"/>
      <w:r w:rsidR="004C08BD">
        <w:t xml:space="preserve">, </w:t>
      </w:r>
      <w:r w:rsidR="004C08BD" w:rsidRPr="005D7116">
        <w:t xml:space="preserve">2004; </w:t>
      </w:r>
      <w:r w:rsidR="00E74E91" w:rsidRPr="005D7116">
        <w:t xml:space="preserve">Knight et al. 2020; </w:t>
      </w:r>
      <w:r w:rsidR="004C08BD" w:rsidRPr="005D7116">
        <w:t>Teng</w:t>
      </w:r>
      <w:r w:rsidR="004C08BD" w:rsidRPr="00C81AD7">
        <w:t xml:space="preserve">, 2007). Such knowledge can help SMEs with higher EO </w:t>
      </w:r>
      <w:r w:rsidR="00D2444F">
        <w:t xml:space="preserve">be innovative and </w:t>
      </w:r>
      <w:r w:rsidR="004C08BD" w:rsidRPr="00C81AD7">
        <w:t>develop or modify current products to better fit the needs of foreign market customers. Thus, firms with high innovativeness will tend to collaborate with local partners because partner knowledge of the host market improves the development of new products/services and makes possible the identification of new opportunities for value creation in the foreign market.</w:t>
      </w:r>
    </w:p>
    <w:p w14:paraId="5EE3D5D8" w14:textId="1340A166" w:rsidR="004C08BD" w:rsidRPr="00944EDE" w:rsidRDefault="004C08BD" w:rsidP="007B173F">
      <w:pPr>
        <w:spacing w:line="480" w:lineRule="auto"/>
        <w:ind w:firstLine="720"/>
        <w:rPr>
          <w:highlight w:val="yellow"/>
        </w:rPr>
      </w:pPr>
      <w:r w:rsidRPr="00EC70CE">
        <w:t xml:space="preserve">In </w:t>
      </w:r>
      <w:r>
        <w:t>contrast</w:t>
      </w:r>
      <w:r w:rsidRPr="00EC70CE">
        <w:t xml:space="preserve">, firms with lower EO are far less innovative </w:t>
      </w:r>
      <w:r>
        <w:t>(</w:t>
      </w:r>
      <w:proofErr w:type="spellStart"/>
      <w:r w:rsidRPr="00205C3D">
        <w:t>Covin</w:t>
      </w:r>
      <w:proofErr w:type="spellEnd"/>
      <w:r w:rsidRPr="00205C3D">
        <w:t xml:space="preserve"> &amp; </w:t>
      </w:r>
      <w:proofErr w:type="spellStart"/>
      <w:r w:rsidRPr="00205C3D">
        <w:t>Slevin</w:t>
      </w:r>
      <w:proofErr w:type="spellEnd"/>
      <w:r w:rsidRPr="00205C3D">
        <w:t>, 1991</w:t>
      </w:r>
      <w:r>
        <w:t>)</w:t>
      </w:r>
      <w:r w:rsidRPr="00B916CF">
        <w:t xml:space="preserve">. </w:t>
      </w:r>
      <w:r>
        <w:t>These f</w:t>
      </w:r>
      <w:r w:rsidRPr="00B916CF">
        <w:t xml:space="preserve">irms </w:t>
      </w:r>
      <w:r>
        <w:t xml:space="preserve">lack the </w:t>
      </w:r>
      <w:r w:rsidR="000837EF">
        <w:t>motivation</w:t>
      </w:r>
      <w:r>
        <w:t xml:space="preserve"> to </w:t>
      </w:r>
      <w:r w:rsidRPr="00B916CF">
        <w:t>explor</w:t>
      </w:r>
      <w:r>
        <w:t>e</w:t>
      </w:r>
      <w:r w:rsidRPr="00B916CF">
        <w:t xml:space="preserve"> new ideas </w:t>
      </w:r>
      <w:r>
        <w:t>or</w:t>
      </w:r>
      <w:r w:rsidRPr="00B916CF">
        <w:t xml:space="preserve"> look for new ways to solve problems (Lumpkin &amp; Dess, 1996). They tend to be less innovative with the products and processes </w:t>
      </w:r>
      <w:r w:rsidRPr="00B916CF">
        <w:lastRenderedPageBreak/>
        <w:t>they use; instead</w:t>
      </w:r>
      <w:r>
        <w:t>,</w:t>
      </w:r>
      <w:r w:rsidRPr="00B916CF">
        <w:t xml:space="preserve"> they focus on </w:t>
      </w:r>
      <w:r>
        <w:t xml:space="preserve">the </w:t>
      </w:r>
      <w:r w:rsidRPr="00B916CF">
        <w:t>marketing of tried and tested products and rely on traditional processes (</w:t>
      </w:r>
      <w:r>
        <w:t>Lee et al., 2001</w:t>
      </w:r>
      <w:r w:rsidRPr="00314564">
        <w:t xml:space="preserve">). SMEs with lower EO will avoid cooperative export channels because these firms lack the </w:t>
      </w:r>
      <w:r w:rsidR="000168F9" w:rsidRPr="00314564">
        <w:t xml:space="preserve">innovative </w:t>
      </w:r>
      <w:r w:rsidRPr="00314564">
        <w:t>abilities needed to benefit from this new market</w:t>
      </w:r>
      <w:r w:rsidR="00803B77">
        <w:t>-</w:t>
      </w:r>
      <w:r w:rsidRPr="00314564">
        <w:t>specific information and,</w:t>
      </w:r>
      <w:r w:rsidRPr="00B02133">
        <w:t xml:space="preserve"> do not want to transact with partners that push them to experiment and develop new products and processes. </w:t>
      </w:r>
      <w:r>
        <w:t>Because</w:t>
      </w:r>
      <w:r w:rsidRPr="00B02133">
        <w:t xml:space="preserve"> </w:t>
      </w:r>
      <w:r>
        <w:t xml:space="preserve">these </w:t>
      </w:r>
      <w:r w:rsidRPr="00B02133">
        <w:t xml:space="preserve">SMEs lack the </w:t>
      </w:r>
      <w:r w:rsidR="00E01A2E">
        <w:t>motivation</w:t>
      </w:r>
      <w:r w:rsidRPr="00B02133">
        <w:t xml:space="preserve"> needed to take advantage of </w:t>
      </w:r>
      <w:r w:rsidRPr="00314564">
        <w:t>the innovative opportunities</w:t>
      </w:r>
      <w:r w:rsidRPr="00B02133">
        <w:t xml:space="preserve"> that a partner can provide</w:t>
      </w:r>
      <w:r>
        <w:t>,</w:t>
      </w:r>
      <w:r w:rsidRPr="00B02133">
        <w:t xml:space="preserve"> </w:t>
      </w:r>
      <w:r>
        <w:t xml:space="preserve">they </w:t>
      </w:r>
      <w:r w:rsidRPr="00B02133">
        <w:t>see little value but potential risks from partnering with another organization.</w:t>
      </w:r>
      <w:r w:rsidR="00944EDE">
        <w:t xml:space="preserve"> </w:t>
      </w:r>
      <w:r w:rsidR="00944EDE" w:rsidRPr="00314564">
        <w:t xml:space="preserve">For lower EO SMEs the use of hierarchical export channels provides these firms with the ability to control both the marketing and distribution to the export country </w:t>
      </w:r>
      <w:r w:rsidR="000168F9" w:rsidRPr="00314564">
        <w:t>where they can</w:t>
      </w:r>
      <w:r w:rsidR="00944EDE" w:rsidRPr="00314564">
        <w:t xml:space="preserve"> use existing products and processes</w:t>
      </w:r>
      <w:r w:rsidR="00314564">
        <w:t>, without sharing profits with a partner organization</w:t>
      </w:r>
      <w:r w:rsidR="00944EDE" w:rsidRPr="00314564">
        <w:t>.</w:t>
      </w:r>
    </w:p>
    <w:p w14:paraId="5EE3D5D9" w14:textId="6454764A" w:rsidR="00CD429B" w:rsidRPr="00205C3D" w:rsidRDefault="00314564" w:rsidP="007B173F">
      <w:pPr>
        <w:spacing w:line="480" w:lineRule="auto"/>
        <w:ind w:firstLine="720"/>
      </w:pPr>
      <w:r>
        <w:t>Third</w:t>
      </w:r>
      <w:r w:rsidR="003D5F94" w:rsidRPr="00314564">
        <w:t xml:space="preserve">, </w:t>
      </w:r>
      <w:r w:rsidR="00D97599" w:rsidRPr="00314564">
        <w:t>although</w:t>
      </w:r>
      <w:r w:rsidR="005F749D" w:rsidRPr="00314564">
        <w:rPr>
          <w:rFonts w:eastAsiaTheme="minorHAnsi"/>
          <w:lang w:val="en-GB" w:eastAsia="en-US"/>
        </w:rPr>
        <w:t xml:space="preserve"> b</w:t>
      </w:r>
      <w:r w:rsidR="002E4DF0" w:rsidRPr="00314564">
        <w:rPr>
          <w:rFonts w:eastAsiaTheme="minorHAnsi"/>
          <w:lang w:val="en-GB" w:eastAsia="en-US"/>
        </w:rPr>
        <w:t>oth high and low EO firms might need and benefit from location-specific knowledge</w:t>
      </w:r>
      <w:r w:rsidR="003D0BA1" w:rsidRPr="00314564">
        <w:rPr>
          <w:rFonts w:eastAsiaTheme="minorHAnsi"/>
          <w:lang w:val="en-GB" w:eastAsia="en-US"/>
        </w:rPr>
        <w:t>/resources</w:t>
      </w:r>
      <w:r w:rsidR="005F749D" w:rsidRPr="00314564">
        <w:rPr>
          <w:rFonts w:eastAsiaTheme="minorHAnsi"/>
          <w:lang w:val="en-GB" w:eastAsia="en-US"/>
        </w:rPr>
        <w:t xml:space="preserve">, the entrepreneurship literature suggests </w:t>
      </w:r>
      <w:r w:rsidR="00F4257C" w:rsidRPr="00314564">
        <w:rPr>
          <w:rFonts w:eastAsiaTheme="minorHAnsi"/>
          <w:lang w:val="en-GB" w:eastAsia="en-US"/>
        </w:rPr>
        <w:t xml:space="preserve">that </w:t>
      </w:r>
      <w:r w:rsidR="002E4DF0" w:rsidRPr="00314564">
        <w:rPr>
          <w:rFonts w:eastAsiaTheme="minorHAnsi"/>
          <w:lang w:val="en-GB" w:eastAsia="en-US"/>
        </w:rPr>
        <w:t>high</w:t>
      </w:r>
      <w:r w:rsidR="008146D8" w:rsidRPr="00314564">
        <w:rPr>
          <w:rFonts w:eastAsiaTheme="minorHAnsi"/>
          <w:lang w:val="en-GB" w:eastAsia="en-US"/>
        </w:rPr>
        <w:t>er</w:t>
      </w:r>
      <w:r w:rsidR="002E4DF0" w:rsidRPr="00314564">
        <w:rPr>
          <w:rFonts w:eastAsiaTheme="minorHAnsi"/>
          <w:lang w:val="en-GB" w:eastAsia="en-US"/>
        </w:rPr>
        <w:t xml:space="preserve"> EO firms are willing to </w:t>
      </w:r>
      <w:r w:rsidR="00CE3FF2" w:rsidRPr="00314564">
        <w:rPr>
          <w:rFonts w:eastAsiaTheme="minorHAnsi"/>
          <w:lang w:val="en-GB" w:eastAsia="en-US"/>
        </w:rPr>
        <w:t>under</w:t>
      </w:r>
      <w:r w:rsidR="002E4DF0" w:rsidRPr="00314564">
        <w:rPr>
          <w:rFonts w:eastAsiaTheme="minorHAnsi"/>
          <w:lang w:val="en-GB" w:eastAsia="en-US"/>
        </w:rPr>
        <w:t xml:space="preserve">take the business risks associate with cooperation </w:t>
      </w:r>
      <w:r w:rsidR="00944EDE" w:rsidRPr="00314564">
        <w:rPr>
          <w:rFonts w:eastAsiaTheme="minorHAnsi"/>
          <w:lang w:val="en-GB" w:eastAsia="en-US"/>
        </w:rPr>
        <w:t xml:space="preserve">while lower EO firms are not </w:t>
      </w:r>
      <w:r w:rsidR="002E4DF0" w:rsidRPr="00314564">
        <w:rPr>
          <w:rFonts w:eastAsiaTheme="minorHAnsi"/>
          <w:lang w:val="en-GB" w:eastAsia="en-US"/>
        </w:rPr>
        <w:t>(</w:t>
      </w:r>
      <w:r w:rsidR="008069F8" w:rsidRPr="00314564">
        <w:rPr>
          <w:rFonts w:eastAsiaTheme="minorHAnsi"/>
          <w:lang w:val="en-GB" w:eastAsia="en-US"/>
        </w:rPr>
        <w:t xml:space="preserve">Brouthers et al, </w:t>
      </w:r>
      <w:r w:rsidR="008069F8" w:rsidRPr="00F4603C">
        <w:rPr>
          <w:rFonts w:eastAsiaTheme="minorHAnsi"/>
          <w:lang w:val="en-GB" w:eastAsia="en-US"/>
        </w:rPr>
        <w:t>201</w:t>
      </w:r>
      <w:r w:rsidR="006F2F91" w:rsidRPr="00F4603C">
        <w:rPr>
          <w:rFonts w:eastAsiaTheme="minorHAnsi"/>
          <w:lang w:val="en-GB" w:eastAsia="en-US"/>
        </w:rPr>
        <w:t>5</w:t>
      </w:r>
      <w:r w:rsidR="008069F8" w:rsidRPr="00F4603C">
        <w:rPr>
          <w:rFonts w:eastAsiaTheme="minorHAnsi"/>
          <w:lang w:val="en-GB" w:eastAsia="en-US"/>
        </w:rPr>
        <w:t xml:space="preserve">; </w:t>
      </w:r>
      <w:r w:rsidR="00610DA7" w:rsidRPr="00F4603C">
        <w:t xml:space="preserve">Knight et al. 2020; </w:t>
      </w:r>
      <w:r w:rsidR="002E4DF0" w:rsidRPr="00F4603C">
        <w:rPr>
          <w:rFonts w:eastAsiaTheme="minorHAnsi"/>
          <w:lang w:val="en-GB" w:eastAsia="en-US"/>
        </w:rPr>
        <w:t>Teng,</w:t>
      </w:r>
      <w:r w:rsidR="002E4DF0" w:rsidRPr="00314564">
        <w:rPr>
          <w:rFonts w:eastAsiaTheme="minorHAnsi"/>
          <w:lang w:val="en-GB" w:eastAsia="en-US"/>
        </w:rPr>
        <w:t xml:space="preserve"> 2007). </w:t>
      </w:r>
      <w:r w:rsidR="004C08BD" w:rsidRPr="00314564">
        <w:rPr>
          <w:rFonts w:eastAsiaTheme="minorHAnsi"/>
          <w:lang w:val="en-GB" w:eastAsia="en-US"/>
        </w:rPr>
        <w:t>W</w:t>
      </w:r>
      <w:r w:rsidR="00CD429B" w:rsidRPr="00314564">
        <w:rPr>
          <w:rFonts w:eastAsiaTheme="minorHAnsi"/>
          <w:lang w:val="en-GB" w:eastAsia="en-US"/>
        </w:rPr>
        <w:t>e theorize that h</w:t>
      </w:r>
      <w:r w:rsidR="00C163B9" w:rsidRPr="00314564">
        <w:rPr>
          <w:rFonts w:eastAsiaTheme="minorHAnsi"/>
          <w:lang w:val="en-GB" w:eastAsia="en-US"/>
        </w:rPr>
        <w:t>igh</w:t>
      </w:r>
      <w:r w:rsidR="008146D8" w:rsidRPr="00314564">
        <w:rPr>
          <w:rFonts w:eastAsiaTheme="minorHAnsi"/>
          <w:lang w:val="en-GB" w:eastAsia="en-US"/>
        </w:rPr>
        <w:t>er</w:t>
      </w:r>
      <w:r w:rsidR="00C163B9" w:rsidRPr="00314564">
        <w:rPr>
          <w:rFonts w:eastAsiaTheme="minorHAnsi"/>
          <w:lang w:val="en-GB" w:eastAsia="en-US"/>
        </w:rPr>
        <w:t xml:space="preserve"> EO </w:t>
      </w:r>
      <w:r w:rsidR="00F4257C" w:rsidRPr="00314564">
        <w:rPr>
          <w:rFonts w:eastAsiaTheme="minorHAnsi"/>
          <w:lang w:val="en-GB" w:eastAsia="en-US"/>
        </w:rPr>
        <w:t>SMEs</w:t>
      </w:r>
      <w:r w:rsidR="00C163B9" w:rsidRPr="00314564">
        <w:rPr>
          <w:rFonts w:eastAsiaTheme="minorHAnsi"/>
          <w:lang w:val="en-GB" w:eastAsia="en-US"/>
        </w:rPr>
        <w:t xml:space="preserve"> </w:t>
      </w:r>
      <w:r w:rsidR="00527126" w:rsidRPr="00314564">
        <w:rPr>
          <w:rFonts w:eastAsiaTheme="minorHAnsi"/>
          <w:lang w:val="en-GB" w:eastAsia="en-US"/>
        </w:rPr>
        <w:t xml:space="preserve">are willing to </w:t>
      </w:r>
      <w:r w:rsidR="00944EDE" w:rsidRPr="00314564">
        <w:rPr>
          <w:rFonts w:eastAsiaTheme="minorHAnsi"/>
          <w:lang w:val="en-GB" w:eastAsia="en-US"/>
        </w:rPr>
        <w:t>accept</w:t>
      </w:r>
      <w:r w:rsidR="00527126" w:rsidRPr="00314564">
        <w:rPr>
          <w:rFonts w:eastAsiaTheme="minorHAnsi"/>
          <w:lang w:val="en-GB" w:eastAsia="en-US"/>
        </w:rPr>
        <w:t xml:space="preserve"> the risks of </w:t>
      </w:r>
      <w:r w:rsidR="00F26DCD" w:rsidRPr="00314564">
        <w:rPr>
          <w:rFonts w:eastAsiaTheme="minorHAnsi"/>
          <w:lang w:val="en-GB" w:eastAsia="en-US"/>
        </w:rPr>
        <w:t>us</w:t>
      </w:r>
      <w:r w:rsidR="00527126" w:rsidRPr="00314564">
        <w:rPr>
          <w:rFonts w:eastAsiaTheme="minorHAnsi"/>
          <w:lang w:val="en-GB" w:eastAsia="en-US"/>
        </w:rPr>
        <w:t>ing</w:t>
      </w:r>
      <w:r w:rsidR="00F26DCD" w:rsidRPr="00314564">
        <w:rPr>
          <w:rFonts w:eastAsiaTheme="minorHAnsi"/>
          <w:lang w:val="en-GB" w:eastAsia="en-US"/>
        </w:rPr>
        <w:t xml:space="preserve"> </w:t>
      </w:r>
      <w:r w:rsidR="00C163B9" w:rsidRPr="00314564">
        <w:rPr>
          <w:rFonts w:eastAsiaTheme="minorHAnsi"/>
          <w:lang w:val="en-GB" w:eastAsia="en-US"/>
        </w:rPr>
        <w:t>cooperat</w:t>
      </w:r>
      <w:r w:rsidR="00F26DCD" w:rsidRPr="00314564">
        <w:rPr>
          <w:rFonts w:eastAsiaTheme="minorHAnsi"/>
          <w:lang w:val="en-GB" w:eastAsia="en-US"/>
        </w:rPr>
        <w:t>iv</w:t>
      </w:r>
      <w:r w:rsidR="00C163B9" w:rsidRPr="00314564">
        <w:rPr>
          <w:rFonts w:eastAsiaTheme="minorHAnsi"/>
          <w:lang w:val="en-GB" w:eastAsia="en-US"/>
        </w:rPr>
        <w:t xml:space="preserve">e </w:t>
      </w:r>
      <w:r w:rsidR="00F26DCD" w:rsidRPr="00314564">
        <w:rPr>
          <w:rFonts w:eastAsiaTheme="minorHAnsi"/>
          <w:lang w:val="en-GB" w:eastAsia="en-US"/>
        </w:rPr>
        <w:t xml:space="preserve">channels </w:t>
      </w:r>
      <w:r w:rsidR="00C163B9" w:rsidRPr="00314564">
        <w:rPr>
          <w:rFonts w:eastAsiaTheme="minorHAnsi"/>
          <w:lang w:val="en-GB" w:eastAsia="en-US"/>
        </w:rPr>
        <w:t>in order to get access to resources</w:t>
      </w:r>
      <w:r w:rsidR="00944EDE" w:rsidRPr="00314564">
        <w:rPr>
          <w:rFonts w:eastAsiaTheme="minorHAnsi"/>
          <w:lang w:val="en-GB" w:eastAsia="en-US"/>
        </w:rPr>
        <w:t>,</w:t>
      </w:r>
      <w:r w:rsidR="00C163B9" w:rsidRPr="00314564">
        <w:rPr>
          <w:rFonts w:eastAsiaTheme="minorHAnsi"/>
          <w:lang w:val="en-GB" w:eastAsia="en-US"/>
        </w:rPr>
        <w:t xml:space="preserve"> including intangible knowledge about the market as well as tangible resources like access to distribution channels, a sales force and after sales customer service (Brouthers et al., 201</w:t>
      </w:r>
      <w:r w:rsidR="006F2F91">
        <w:rPr>
          <w:rFonts w:eastAsiaTheme="minorHAnsi"/>
          <w:lang w:val="en-GB" w:eastAsia="en-US"/>
        </w:rPr>
        <w:t>5</w:t>
      </w:r>
      <w:r w:rsidR="00C163B9" w:rsidRPr="00314564">
        <w:rPr>
          <w:rFonts w:eastAsiaTheme="minorHAnsi"/>
          <w:lang w:val="en-GB" w:eastAsia="en-US"/>
        </w:rPr>
        <w:t xml:space="preserve">; </w:t>
      </w:r>
      <w:proofErr w:type="spellStart"/>
      <w:r w:rsidR="00C163B9" w:rsidRPr="00314564">
        <w:rPr>
          <w:rFonts w:eastAsiaTheme="minorHAnsi"/>
          <w:lang w:val="en-GB" w:eastAsia="en-US"/>
        </w:rPr>
        <w:t>Nakos</w:t>
      </w:r>
      <w:proofErr w:type="spellEnd"/>
      <w:r w:rsidR="00C163B9" w:rsidRPr="00314564">
        <w:rPr>
          <w:rFonts w:eastAsiaTheme="minorHAnsi"/>
          <w:lang w:val="en-GB" w:eastAsia="en-US"/>
        </w:rPr>
        <w:t xml:space="preserve"> et al, 2014). These additional resources allow high</w:t>
      </w:r>
      <w:r w:rsidR="008146D8" w:rsidRPr="00314564">
        <w:rPr>
          <w:rFonts w:eastAsiaTheme="minorHAnsi"/>
          <w:lang w:val="en-GB" w:eastAsia="en-US"/>
        </w:rPr>
        <w:t>er</w:t>
      </w:r>
      <w:r w:rsidR="00C163B9" w:rsidRPr="00314564">
        <w:rPr>
          <w:rFonts w:eastAsiaTheme="minorHAnsi"/>
          <w:lang w:val="en-GB" w:eastAsia="en-US"/>
        </w:rPr>
        <w:t xml:space="preserve"> EO firms to generate value (benefits) from their EO that could not be achieved without these resources (Teng, 2007). But </w:t>
      </w:r>
      <w:r w:rsidR="004C08BD" w:rsidRPr="00314564">
        <w:rPr>
          <w:rFonts w:eastAsiaTheme="minorHAnsi"/>
          <w:lang w:val="en-GB" w:eastAsia="en-US"/>
        </w:rPr>
        <w:t xml:space="preserve">as TCE theory suggests, </w:t>
      </w:r>
      <w:r w:rsidR="00C163B9" w:rsidRPr="00314564">
        <w:rPr>
          <w:rFonts w:eastAsiaTheme="minorHAnsi"/>
          <w:lang w:val="en-GB" w:eastAsia="en-US"/>
        </w:rPr>
        <w:t>this cooperation comes at a cost</w:t>
      </w:r>
      <w:r w:rsidR="00CD429B" w:rsidRPr="00314564">
        <w:rPr>
          <w:rFonts w:eastAsiaTheme="minorHAnsi"/>
          <w:lang w:val="en-GB" w:eastAsia="en-US"/>
        </w:rPr>
        <w:t xml:space="preserve"> </w:t>
      </w:r>
      <w:r w:rsidR="00CD429B">
        <w:t>(Klein et al, 1990)</w:t>
      </w:r>
      <w:r w:rsidR="00CD429B" w:rsidRPr="00205C3D">
        <w:t>. E</w:t>
      </w:r>
      <w:r w:rsidR="00CD429B" w:rsidRPr="00942F87">
        <w:t>xport</w:t>
      </w:r>
      <w:r w:rsidR="00CD429B">
        <w:t xml:space="preserve"> </w:t>
      </w:r>
      <w:r w:rsidR="00CD429B" w:rsidRPr="00205C3D">
        <w:t>partnerships impl</w:t>
      </w:r>
      <w:r w:rsidR="00AA4947">
        <w:t>y</w:t>
      </w:r>
      <w:r w:rsidR="00CD429B" w:rsidRPr="00205C3D">
        <w:t xml:space="preserve"> threats associated with the loss of control over certain parts of the business and the necessity to transfer some key knowledge outside firm boundaries (He</w:t>
      </w:r>
      <w:r w:rsidR="00CD429B">
        <w:t xml:space="preserve"> et al., </w:t>
      </w:r>
      <w:r w:rsidR="00CD429B" w:rsidRPr="00205C3D">
        <w:t xml:space="preserve">2013). </w:t>
      </w:r>
      <w:r w:rsidR="00CD429B">
        <w:t>One</w:t>
      </w:r>
      <w:r w:rsidR="00CD429B" w:rsidRPr="00205C3D">
        <w:t xml:space="preserve"> threat is that a partner can copy the activities that are not under exclusive control of the SME and decide to abandon the SME for a competitor. </w:t>
      </w:r>
      <w:r w:rsidR="00CD429B">
        <w:t>Another threat comes</w:t>
      </w:r>
      <w:r w:rsidR="00CD429B" w:rsidRPr="00205C3D">
        <w:t xml:space="preserve"> </w:t>
      </w:r>
      <w:r w:rsidR="007C6500">
        <w:t xml:space="preserve">from potential </w:t>
      </w:r>
      <w:r w:rsidR="00CD429B" w:rsidRPr="00205C3D">
        <w:t xml:space="preserve">miscommunication or simple </w:t>
      </w:r>
      <w:r w:rsidR="0077207C">
        <w:t>‘</w:t>
      </w:r>
      <w:r w:rsidR="00CD429B" w:rsidRPr="00205C3D">
        <w:t>free-riding</w:t>
      </w:r>
      <w:r w:rsidR="0077207C">
        <w:t>’</w:t>
      </w:r>
      <w:r w:rsidR="00CD429B" w:rsidRPr="00205C3D">
        <w:t xml:space="preserve"> </w:t>
      </w:r>
      <w:r w:rsidR="007C6500">
        <w:t xml:space="preserve">that </w:t>
      </w:r>
      <w:r w:rsidR="00CD429B" w:rsidRPr="00205C3D">
        <w:t xml:space="preserve">can cause a reduction in the quality of service </w:t>
      </w:r>
      <w:r w:rsidR="00CD429B" w:rsidRPr="00205C3D">
        <w:lastRenderedPageBreak/>
        <w:t xml:space="preserve">provided by the partner </w:t>
      </w:r>
      <w:r w:rsidR="00CD429B">
        <w:t>in the foreign market</w:t>
      </w:r>
      <w:r w:rsidR="00623837">
        <w:t>,</w:t>
      </w:r>
      <w:r w:rsidR="00CD429B">
        <w:t xml:space="preserve"> </w:t>
      </w:r>
      <w:r w:rsidR="00CD429B" w:rsidRPr="00205C3D">
        <w:t>reducing any potential benefits that may accrue to the SME</w:t>
      </w:r>
      <w:r w:rsidR="00CD429B">
        <w:t xml:space="preserve">. </w:t>
      </w:r>
      <w:r w:rsidR="00CD429B" w:rsidRPr="00205C3D">
        <w:t>Finally, if the SME forms a foreign partnership with a larger firm, that firm might decide to buy the SME or simply threaten to drop the SME and become a competitor.</w:t>
      </w:r>
    </w:p>
    <w:p w14:paraId="5EE3D5DA" w14:textId="37E3F9B4" w:rsidR="00CD429B" w:rsidRPr="003E04E9" w:rsidRDefault="00314564" w:rsidP="00CD429B">
      <w:pPr>
        <w:spacing w:line="480" w:lineRule="auto"/>
        <w:ind w:right="-108" w:firstLine="567"/>
      </w:pPr>
      <w:r w:rsidRPr="00205C3D">
        <w:t xml:space="preserve">Previous research suggests that </w:t>
      </w:r>
      <w:r>
        <w:t>w</w:t>
      </w:r>
      <w:r w:rsidRPr="00205C3D">
        <w:t xml:space="preserve">hen confronted with business risks in the marketplace </w:t>
      </w:r>
      <w:r>
        <w:t xml:space="preserve">firms with </w:t>
      </w:r>
      <w:r w:rsidRPr="00205C3D">
        <w:t>high</w:t>
      </w:r>
      <w:r>
        <w:t>er</w:t>
      </w:r>
      <w:r w:rsidRPr="00205C3D">
        <w:t xml:space="preserve"> EO </w:t>
      </w:r>
      <w:r>
        <w:t xml:space="preserve">often </w:t>
      </w:r>
      <w:r w:rsidRPr="00205C3D">
        <w:t>adopt a bold, aggressive posture that maximizes the probability of finding and exploiting opportunities (</w:t>
      </w:r>
      <w:proofErr w:type="spellStart"/>
      <w:r w:rsidRPr="00205C3D">
        <w:t>Covin</w:t>
      </w:r>
      <w:proofErr w:type="spellEnd"/>
      <w:r w:rsidRPr="00205C3D">
        <w:t xml:space="preserve"> &amp; </w:t>
      </w:r>
      <w:proofErr w:type="spellStart"/>
      <w:r w:rsidRPr="00205C3D">
        <w:t>Slevin</w:t>
      </w:r>
      <w:proofErr w:type="spellEnd"/>
      <w:r w:rsidRPr="00205C3D">
        <w:t>, 1991</w:t>
      </w:r>
      <w:r w:rsidRPr="00801BFD">
        <w:t>;</w:t>
      </w:r>
      <w:r w:rsidRPr="00205C3D">
        <w:t xml:space="preserve"> </w:t>
      </w:r>
      <w:r w:rsidR="00E204F6" w:rsidRPr="00810B07">
        <w:rPr>
          <w:sz w:val="22"/>
          <w:szCs w:val="22"/>
        </w:rPr>
        <w:t>Knight</w:t>
      </w:r>
      <w:r w:rsidR="00E204F6">
        <w:rPr>
          <w:sz w:val="22"/>
          <w:szCs w:val="22"/>
        </w:rPr>
        <w:t xml:space="preserve"> et al. </w:t>
      </w:r>
      <w:r w:rsidR="00E204F6" w:rsidRPr="00810B07">
        <w:rPr>
          <w:sz w:val="22"/>
          <w:szCs w:val="22"/>
        </w:rPr>
        <w:t>2020</w:t>
      </w:r>
      <w:r w:rsidR="00E204F6">
        <w:rPr>
          <w:sz w:val="22"/>
          <w:szCs w:val="22"/>
        </w:rPr>
        <w:t xml:space="preserve">; </w:t>
      </w:r>
      <w:proofErr w:type="spellStart"/>
      <w:r>
        <w:t>Rosenbusch</w:t>
      </w:r>
      <w:proofErr w:type="spellEnd"/>
      <w:r w:rsidR="000E48EF">
        <w:t>, Rauch &amp; Bausch</w:t>
      </w:r>
      <w:r>
        <w:t xml:space="preserve">, </w:t>
      </w:r>
      <w:r w:rsidRPr="00205C3D">
        <w:t>2013).</w:t>
      </w:r>
      <w:r>
        <w:t xml:space="preserve"> </w:t>
      </w:r>
      <w:r w:rsidR="008D2C78">
        <w:t>W</w:t>
      </w:r>
      <w:r w:rsidR="00CD429B" w:rsidRPr="00205C3D">
        <w:t xml:space="preserve">e </w:t>
      </w:r>
      <w:r w:rsidR="00E72823">
        <w:t>maintain</w:t>
      </w:r>
      <w:r w:rsidR="00CD429B" w:rsidRPr="00205C3D">
        <w:t xml:space="preserve"> that </w:t>
      </w:r>
      <w:r w:rsidR="00CD429B">
        <w:t>SMEs with greater</w:t>
      </w:r>
      <w:r w:rsidR="00CD429B" w:rsidRPr="00205C3D">
        <w:t xml:space="preserve"> EO</w:t>
      </w:r>
      <w:r w:rsidR="00CD429B">
        <w:t xml:space="preserve"> </w:t>
      </w:r>
      <w:r w:rsidR="00C163B9" w:rsidRPr="00314564">
        <w:rPr>
          <w:rFonts w:eastAsiaTheme="minorHAnsi"/>
          <w:lang w:val="en-GB" w:eastAsia="en-US"/>
        </w:rPr>
        <w:t>are willing to bear the costs and business risks associated with cooperation because they believe that the benefits th</w:t>
      </w:r>
      <w:r w:rsidR="00F20189">
        <w:rPr>
          <w:rFonts w:eastAsiaTheme="minorHAnsi"/>
          <w:lang w:val="en-GB" w:eastAsia="en-US"/>
        </w:rPr>
        <w:t xml:space="preserve">at can be </w:t>
      </w:r>
      <w:r w:rsidR="00C163B9" w:rsidRPr="00314564">
        <w:rPr>
          <w:rFonts w:eastAsiaTheme="minorHAnsi"/>
          <w:lang w:val="en-GB" w:eastAsia="en-US"/>
        </w:rPr>
        <w:t>achieve</w:t>
      </w:r>
      <w:r w:rsidR="00F20189">
        <w:rPr>
          <w:rFonts w:eastAsiaTheme="minorHAnsi"/>
          <w:lang w:val="en-GB" w:eastAsia="en-US"/>
        </w:rPr>
        <w:t>d</w:t>
      </w:r>
      <w:r w:rsidR="00C163B9" w:rsidRPr="00314564">
        <w:rPr>
          <w:rFonts w:eastAsiaTheme="minorHAnsi"/>
          <w:lang w:val="en-GB" w:eastAsia="en-US"/>
        </w:rPr>
        <w:t xml:space="preserve"> </w:t>
      </w:r>
      <w:r w:rsidR="008D2C78" w:rsidRPr="00314564">
        <w:rPr>
          <w:rFonts w:eastAsiaTheme="minorHAnsi"/>
          <w:lang w:val="en-GB" w:eastAsia="en-US"/>
        </w:rPr>
        <w:t>through access to</w:t>
      </w:r>
      <w:r w:rsidR="00F20189">
        <w:rPr>
          <w:rFonts w:eastAsiaTheme="minorHAnsi"/>
          <w:lang w:val="en-GB" w:eastAsia="en-US"/>
        </w:rPr>
        <w:t xml:space="preserve"> additional</w:t>
      </w:r>
      <w:r w:rsidR="008D2C78" w:rsidRPr="00314564">
        <w:rPr>
          <w:rFonts w:eastAsiaTheme="minorHAnsi"/>
          <w:lang w:val="en-GB" w:eastAsia="en-US"/>
        </w:rPr>
        <w:t xml:space="preserve"> resources </w:t>
      </w:r>
      <w:r w:rsidR="00C163B9" w:rsidRPr="00314564">
        <w:rPr>
          <w:rFonts w:eastAsiaTheme="minorHAnsi"/>
          <w:lang w:val="en-GB" w:eastAsia="en-US"/>
        </w:rPr>
        <w:t>will outweigh any costs (Teng, 2007).</w:t>
      </w:r>
      <w:r w:rsidR="00CD429B" w:rsidRPr="00CD429B">
        <w:t xml:space="preserve"> </w:t>
      </w:r>
      <w:r w:rsidR="00CD429B" w:rsidRPr="003F5B33">
        <w:t>By working with a foreign partner</w:t>
      </w:r>
      <w:r w:rsidR="00E72823">
        <w:t>,</w:t>
      </w:r>
      <w:r w:rsidR="00CD429B" w:rsidRPr="003F5B33">
        <w:t xml:space="preserve"> higher EO firms can </w:t>
      </w:r>
      <w:r w:rsidR="00CD429B">
        <w:t>gain access</w:t>
      </w:r>
      <w:r w:rsidR="00CD429B" w:rsidRPr="003F5B33">
        <w:t xml:space="preserve"> </w:t>
      </w:r>
      <w:r w:rsidR="00CD429B">
        <w:t xml:space="preserve">to </w:t>
      </w:r>
      <w:r w:rsidR="00CD429B" w:rsidRPr="003F5B33">
        <w:t>partner resources</w:t>
      </w:r>
      <w:r>
        <w:t xml:space="preserve"> (tangible and intangible)</w:t>
      </w:r>
      <w:r w:rsidR="00CD429B" w:rsidRPr="003F5B33">
        <w:t>, experience, and knowledge of the local market and more easily identify and adopt innovative solutions that lead to a competitive advantage.</w:t>
      </w:r>
      <w:r w:rsidR="00CD429B">
        <w:t xml:space="preserve"> </w:t>
      </w:r>
      <w:r w:rsidR="00CD429B" w:rsidRPr="003E04E9">
        <w:t xml:space="preserve">Thus </w:t>
      </w:r>
      <w:r w:rsidR="00CD429B">
        <w:t xml:space="preserve">we theorize that </w:t>
      </w:r>
      <w:r w:rsidR="00CD429B" w:rsidRPr="003E04E9">
        <w:t xml:space="preserve">for </w:t>
      </w:r>
      <w:r w:rsidR="00CD429B">
        <w:t>SMEs with greater</w:t>
      </w:r>
      <w:r w:rsidR="00CD429B" w:rsidRPr="003E04E9">
        <w:t xml:space="preserve"> EO, the potential </w:t>
      </w:r>
      <w:r w:rsidR="00CD429B">
        <w:t>advantages</w:t>
      </w:r>
      <w:r w:rsidR="00CD429B" w:rsidRPr="003E04E9">
        <w:t xml:space="preserve"> that can be generated by using a </w:t>
      </w:r>
      <w:r w:rsidR="00CD429B">
        <w:t>cooperative</w:t>
      </w:r>
      <w:r w:rsidR="00CD429B" w:rsidRPr="003E04E9">
        <w:t xml:space="preserve"> export channel offset the potential costs and risks of working with a partner organization.</w:t>
      </w:r>
    </w:p>
    <w:p w14:paraId="5EE3D5DB" w14:textId="244CFD06" w:rsidR="00E03C2E" w:rsidRPr="00C12F48" w:rsidRDefault="00C163B9" w:rsidP="00132585">
      <w:pPr>
        <w:spacing w:line="480" w:lineRule="auto"/>
        <w:ind w:firstLine="720"/>
      </w:pPr>
      <w:r w:rsidRPr="00DE5C64">
        <w:rPr>
          <w:rFonts w:eastAsiaTheme="minorHAnsi"/>
          <w:lang w:val="en-GB" w:eastAsia="en-US"/>
        </w:rPr>
        <w:t xml:space="preserve"> In contrast, although low</w:t>
      </w:r>
      <w:r w:rsidR="006B38BF" w:rsidRPr="00DE5C64">
        <w:rPr>
          <w:rFonts w:eastAsiaTheme="minorHAnsi"/>
          <w:lang w:val="en-GB" w:eastAsia="en-US"/>
        </w:rPr>
        <w:t>er</w:t>
      </w:r>
      <w:r w:rsidRPr="00DE5C64">
        <w:rPr>
          <w:rFonts w:eastAsiaTheme="minorHAnsi"/>
          <w:lang w:val="en-GB" w:eastAsia="en-US"/>
        </w:rPr>
        <w:t xml:space="preserve"> EO firms might need location specific knowledge, these firms are not willing to accept the added business risks (costs) that accompany intermediate export channels. </w:t>
      </w:r>
      <w:r w:rsidR="0097515E" w:rsidRPr="00DE5C64">
        <w:rPr>
          <w:rFonts w:eastAsiaTheme="minorHAnsi"/>
          <w:lang w:val="en-GB" w:eastAsia="en-US"/>
        </w:rPr>
        <w:t xml:space="preserve">We suggest that </w:t>
      </w:r>
      <w:r w:rsidR="006B38BF" w:rsidRPr="00DE5C64">
        <w:rPr>
          <w:rFonts w:eastAsiaTheme="minorHAnsi"/>
          <w:lang w:val="en-GB" w:eastAsia="en-US"/>
        </w:rPr>
        <w:t>lower EO SMEs</w:t>
      </w:r>
      <w:r w:rsidR="0097515E" w:rsidRPr="00DE5C64">
        <w:rPr>
          <w:rFonts w:eastAsiaTheme="minorHAnsi"/>
          <w:lang w:val="en-GB" w:eastAsia="en-US"/>
        </w:rPr>
        <w:t xml:space="preserve"> will </w:t>
      </w:r>
      <w:r w:rsidR="00DE5C64">
        <w:rPr>
          <w:rFonts w:eastAsiaTheme="minorHAnsi"/>
          <w:lang w:val="en-GB" w:eastAsia="en-US"/>
        </w:rPr>
        <w:t xml:space="preserve">tend to concentrate on transaction cost efficiencies </w:t>
      </w:r>
      <w:r w:rsidR="0097515E" w:rsidRPr="00DE5C64">
        <w:rPr>
          <w:rFonts w:eastAsiaTheme="minorHAnsi"/>
          <w:lang w:val="en-GB" w:eastAsia="en-US"/>
        </w:rPr>
        <w:t>and internalize the foreign expansion</w:t>
      </w:r>
      <w:r w:rsidR="00F20189">
        <w:rPr>
          <w:rFonts w:eastAsiaTheme="minorHAnsi"/>
          <w:lang w:val="en-GB" w:eastAsia="en-US"/>
        </w:rPr>
        <w:t xml:space="preserve"> </w:t>
      </w:r>
      <w:r w:rsidR="00F20189" w:rsidRPr="00DE5C64">
        <w:rPr>
          <w:rFonts w:eastAsiaTheme="minorHAnsi"/>
          <w:lang w:val="en-GB" w:eastAsia="en-US"/>
        </w:rPr>
        <w:t>(e.g., Klein et al., 1990)</w:t>
      </w:r>
      <w:r w:rsidR="00F20189">
        <w:rPr>
          <w:rFonts w:eastAsiaTheme="minorHAnsi"/>
          <w:lang w:val="en-GB" w:eastAsia="en-US"/>
        </w:rPr>
        <w:t>, trading tried and tested products while relying on established processes</w:t>
      </w:r>
      <w:r w:rsidR="0097515E" w:rsidRPr="00DE5C64">
        <w:rPr>
          <w:rFonts w:eastAsiaTheme="minorHAnsi"/>
          <w:lang w:val="en-GB" w:eastAsia="en-US"/>
        </w:rPr>
        <w:t xml:space="preserve">. </w:t>
      </w:r>
      <w:r w:rsidR="006B38BF" w:rsidRPr="00DE5C64">
        <w:rPr>
          <w:rFonts w:eastAsiaTheme="minorHAnsi"/>
          <w:lang w:val="en-GB" w:eastAsia="en-US"/>
        </w:rPr>
        <w:t>These</w:t>
      </w:r>
      <w:r w:rsidRPr="00DE5C64">
        <w:rPr>
          <w:rFonts w:eastAsiaTheme="minorHAnsi"/>
          <w:lang w:val="en-GB" w:eastAsia="en-US"/>
        </w:rPr>
        <w:t xml:space="preserve"> firms might want access to target market knowledge and other resources but do not think that the benefits such knowledge</w:t>
      </w:r>
      <w:r w:rsidR="006B38BF" w:rsidRPr="00DE5C64">
        <w:rPr>
          <w:rFonts w:eastAsiaTheme="minorHAnsi"/>
          <w:lang w:val="en-GB" w:eastAsia="en-US"/>
        </w:rPr>
        <w:t>/resources</w:t>
      </w:r>
      <w:r w:rsidRPr="00DE5C64">
        <w:rPr>
          <w:rFonts w:eastAsiaTheme="minorHAnsi"/>
          <w:lang w:val="en-GB" w:eastAsia="en-US"/>
        </w:rPr>
        <w:t xml:space="preserve"> provide outweigh the business risks (costs) of cooperating (</w:t>
      </w:r>
      <w:proofErr w:type="spellStart"/>
      <w:r w:rsidRPr="00DE5C64">
        <w:rPr>
          <w:rFonts w:eastAsiaTheme="minorHAnsi"/>
          <w:lang w:val="en-GB" w:eastAsia="en-US"/>
        </w:rPr>
        <w:t>Covin</w:t>
      </w:r>
      <w:proofErr w:type="spellEnd"/>
      <w:r w:rsidRPr="00DE5C64">
        <w:rPr>
          <w:rFonts w:eastAsiaTheme="minorHAnsi"/>
          <w:lang w:val="en-GB" w:eastAsia="en-US"/>
        </w:rPr>
        <w:t xml:space="preserve"> &amp; </w:t>
      </w:r>
      <w:proofErr w:type="spellStart"/>
      <w:r w:rsidRPr="00DE5C64">
        <w:rPr>
          <w:rFonts w:eastAsiaTheme="minorHAnsi"/>
          <w:lang w:val="en-GB" w:eastAsia="en-US"/>
        </w:rPr>
        <w:t>Slevin</w:t>
      </w:r>
      <w:proofErr w:type="spellEnd"/>
      <w:r w:rsidRPr="00DE5C64">
        <w:rPr>
          <w:rFonts w:eastAsiaTheme="minorHAnsi"/>
          <w:lang w:val="en-GB" w:eastAsia="en-US"/>
        </w:rPr>
        <w:t>, 1988; Teng, 2007).</w:t>
      </w:r>
      <w:r w:rsidRPr="004515EA">
        <w:rPr>
          <w:rFonts w:eastAsiaTheme="minorHAnsi"/>
          <w:lang w:val="en-GB" w:eastAsia="en-US"/>
        </w:rPr>
        <w:t xml:space="preserve"> </w:t>
      </w:r>
      <w:r w:rsidR="00CD429B">
        <w:t>SMEs</w:t>
      </w:r>
      <w:r w:rsidR="00CD429B" w:rsidRPr="003E04E9">
        <w:t xml:space="preserve"> with </w:t>
      </w:r>
      <w:r w:rsidR="00CD429B">
        <w:t>more limited</w:t>
      </w:r>
      <w:r w:rsidR="00CD429B" w:rsidRPr="003E04E9">
        <w:t xml:space="preserve"> EO are risk</w:t>
      </w:r>
      <w:r w:rsidR="00CD429B">
        <w:t>-averse and r</w:t>
      </w:r>
      <w:r w:rsidR="00CD429B" w:rsidRPr="003E04E9">
        <w:t xml:space="preserve">isk-averse firms typically adopt cautious and incremental behavior in uncertain situations to minimize the probability of making costly </w:t>
      </w:r>
      <w:r w:rsidR="00CD429B" w:rsidRPr="00942F87">
        <w:t>mistakes</w:t>
      </w:r>
      <w:r w:rsidR="00CD429B" w:rsidRPr="003E04E9">
        <w:t xml:space="preserve"> (</w:t>
      </w:r>
      <w:r w:rsidR="00CD429B">
        <w:t>Lumpkin &amp; Dess, 1996</w:t>
      </w:r>
      <w:r w:rsidR="00CD429B" w:rsidRPr="003E04E9">
        <w:t xml:space="preserve">). </w:t>
      </w:r>
      <w:r w:rsidR="00CD429B">
        <w:t>Cooperative</w:t>
      </w:r>
      <w:r w:rsidR="00CD429B" w:rsidRPr="006A78DB">
        <w:t xml:space="preserve"> channels increase risks because firms share </w:t>
      </w:r>
      <w:r w:rsidR="007C6500">
        <w:t>the marketing and distribution functions</w:t>
      </w:r>
      <w:r w:rsidR="00CD429B" w:rsidRPr="006A78DB">
        <w:t>.</w:t>
      </w:r>
      <w:r w:rsidR="00CD429B">
        <w:t xml:space="preserve"> </w:t>
      </w:r>
      <w:r w:rsidR="00CD429B" w:rsidRPr="003E04E9">
        <w:t xml:space="preserve">In hierarchical </w:t>
      </w:r>
      <w:r w:rsidR="00CD429B" w:rsidRPr="003E04E9">
        <w:lastRenderedPageBreak/>
        <w:t xml:space="preserve">channels the SME can maintain control over the foreign operation; </w:t>
      </w:r>
      <w:r w:rsidR="00CD429B" w:rsidRPr="00F20189">
        <w:t xml:space="preserve">reducing the likelihood of </w:t>
      </w:r>
      <w:r w:rsidR="00CE3428">
        <w:t>‘</w:t>
      </w:r>
      <w:r w:rsidR="007C6500" w:rsidRPr="00F20189">
        <w:t>free-riding</w:t>
      </w:r>
      <w:r w:rsidR="00CE3428">
        <w:t>’</w:t>
      </w:r>
      <w:r w:rsidR="00CD429B" w:rsidRPr="00F20189">
        <w:t xml:space="preserve"> or </w:t>
      </w:r>
      <w:r w:rsidR="007C6500" w:rsidRPr="00F20189">
        <w:t>miscommunication</w:t>
      </w:r>
      <w:r w:rsidR="00CD429B" w:rsidRPr="00F20189">
        <w:t xml:space="preserve"> (He et al., 2013).</w:t>
      </w:r>
      <w:r w:rsidR="00CD429B" w:rsidRPr="003E04E9">
        <w:t xml:space="preserve"> </w:t>
      </w:r>
      <w:r w:rsidR="00CD429B">
        <w:t>F</w:t>
      </w:r>
      <w:r w:rsidR="00CD429B" w:rsidRPr="003E04E9">
        <w:t xml:space="preserve">irms </w:t>
      </w:r>
      <w:r w:rsidR="00CD429B">
        <w:t xml:space="preserve">possessing lower EO </w:t>
      </w:r>
      <w:r w:rsidR="00CD429B" w:rsidRPr="003E04E9">
        <w:t xml:space="preserve">believe that the loss of control of certain business functions and the risk of transferring knowledge across firm </w:t>
      </w:r>
      <w:r w:rsidR="00CD429B" w:rsidRPr="00EC70CE">
        <w:t xml:space="preserve">boundaries can lead to the loss of competitive advantage </w:t>
      </w:r>
      <w:r w:rsidR="00CD429B" w:rsidRPr="00342351">
        <w:t>(</w:t>
      </w:r>
      <w:proofErr w:type="spellStart"/>
      <w:r w:rsidR="00CD429B" w:rsidRPr="00342351">
        <w:t>Covin</w:t>
      </w:r>
      <w:proofErr w:type="spellEnd"/>
      <w:r w:rsidR="00CD429B" w:rsidRPr="00342351">
        <w:t xml:space="preserve"> &amp; </w:t>
      </w:r>
      <w:proofErr w:type="spellStart"/>
      <w:r w:rsidR="00CD429B" w:rsidRPr="00342351">
        <w:t>Slevin</w:t>
      </w:r>
      <w:proofErr w:type="spellEnd"/>
      <w:r w:rsidR="00CD429B" w:rsidRPr="00342351">
        <w:t xml:space="preserve">, 1988; Teng, 2007). </w:t>
      </w:r>
      <w:r w:rsidR="00CD429B" w:rsidRPr="00EC70CE">
        <w:t xml:space="preserve">Thus, these firms </w:t>
      </w:r>
      <w:r w:rsidR="00CD429B">
        <w:t>think</w:t>
      </w:r>
      <w:r w:rsidR="00CD429B" w:rsidRPr="00EC70CE">
        <w:t xml:space="preserve"> that the potential advantages </w:t>
      </w:r>
      <w:r w:rsidR="00CD429B">
        <w:t xml:space="preserve">of </w:t>
      </w:r>
      <w:r w:rsidR="00CD429B" w:rsidRPr="00EC70CE">
        <w:t>a</w:t>
      </w:r>
      <w:r w:rsidR="00CD429B">
        <w:t>n export market</w:t>
      </w:r>
      <w:r w:rsidR="00CD429B" w:rsidRPr="00EC70CE">
        <w:t xml:space="preserve"> partnership are offset by the potential costs</w:t>
      </w:r>
      <w:r w:rsidR="00CD429B">
        <w:t xml:space="preserve"> and risks</w:t>
      </w:r>
      <w:r w:rsidR="00CD429B" w:rsidRPr="00EC70CE">
        <w:t>.</w:t>
      </w:r>
      <w:r w:rsidR="00CD429B" w:rsidRPr="003E04E9">
        <w:t xml:space="preserve"> </w:t>
      </w:r>
      <w:r w:rsidR="00C80AC9" w:rsidRPr="00F20189">
        <w:rPr>
          <w:rFonts w:eastAsiaTheme="minorHAnsi"/>
          <w:lang w:val="en-GB" w:eastAsia="en-US"/>
        </w:rPr>
        <w:t>By utilizing internalized exporting channels – especially exporting from the home market - these low</w:t>
      </w:r>
      <w:r w:rsidR="00772FA5" w:rsidRPr="00F20189">
        <w:rPr>
          <w:rFonts w:eastAsiaTheme="minorHAnsi"/>
          <w:lang w:val="en-GB" w:eastAsia="en-US"/>
        </w:rPr>
        <w:t>er</w:t>
      </w:r>
      <w:r w:rsidR="00C80AC9" w:rsidRPr="00F20189">
        <w:rPr>
          <w:rFonts w:eastAsiaTheme="minorHAnsi"/>
          <w:lang w:val="en-GB" w:eastAsia="en-US"/>
        </w:rPr>
        <w:t xml:space="preserve"> EO firms can avoid the costs</w:t>
      </w:r>
      <w:r w:rsidR="00AF3FDF" w:rsidRPr="00F20189">
        <w:rPr>
          <w:rFonts w:eastAsiaTheme="minorHAnsi"/>
          <w:lang w:val="en-GB" w:eastAsia="en-US"/>
        </w:rPr>
        <w:t>/risks</w:t>
      </w:r>
      <w:r w:rsidR="00C80AC9" w:rsidRPr="00F20189">
        <w:rPr>
          <w:rFonts w:eastAsiaTheme="minorHAnsi"/>
          <w:lang w:val="en-GB" w:eastAsia="en-US"/>
        </w:rPr>
        <w:t xml:space="preserve"> of cooperation and learn about the export market from their own experience, before making further investment commitments. </w:t>
      </w:r>
      <w:r w:rsidR="00C80AC9" w:rsidRPr="00CD429B">
        <w:rPr>
          <w:rFonts w:eastAsiaTheme="minorHAnsi"/>
          <w:lang w:val="en-GB" w:eastAsia="en-US"/>
        </w:rPr>
        <w:t xml:space="preserve"> </w:t>
      </w:r>
      <w:r w:rsidR="00F107F7" w:rsidRPr="00F107F7">
        <w:rPr>
          <w:rFonts w:eastAsiaTheme="minorHAnsi"/>
          <w:lang w:val="en-GB" w:eastAsia="en-US"/>
        </w:rPr>
        <w:t>Based on th</w:t>
      </w:r>
      <w:r w:rsidR="003E5CEA">
        <w:rPr>
          <w:rFonts w:eastAsiaTheme="minorHAnsi"/>
          <w:lang w:val="en-GB" w:eastAsia="en-US"/>
        </w:rPr>
        <w:t xml:space="preserve">ese </w:t>
      </w:r>
      <w:r w:rsidR="00944EDE">
        <w:rPr>
          <w:rFonts w:eastAsiaTheme="minorHAnsi"/>
          <w:lang w:val="en-GB" w:eastAsia="en-US"/>
        </w:rPr>
        <w:t>arguments</w:t>
      </w:r>
      <w:r w:rsidR="00F107F7" w:rsidRPr="00F107F7">
        <w:rPr>
          <w:rFonts w:eastAsiaTheme="minorHAnsi"/>
          <w:lang w:val="en-GB" w:eastAsia="en-US"/>
        </w:rPr>
        <w:t xml:space="preserve"> our</w:t>
      </w:r>
      <w:r w:rsidR="00F107F7">
        <w:rPr>
          <w:rFonts w:eastAsiaTheme="minorHAnsi"/>
          <w:b/>
          <w:lang w:val="en-GB" w:eastAsia="en-US"/>
        </w:rPr>
        <w:t xml:space="preserve"> </w:t>
      </w:r>
      <w:r w:rsidR="00E03C2E" w:rsidRPr="00C12F48">
        <w:t xml:space="preserve">first hypothesis states: </w:t>
      </w:r>
    </w:p>
    <w:p w14:paraId="5EE3D5DC" w14:textId="77777777" w:rsidR="00E03C2E" w:rsidRPr="00C12F48" w:rsidRDefault="00E03C2E" w:rsidP="00612BA4">
      <w:pPr>
        <w:ind w:left="567" w:right="571"/>
        <w:rPr>
          <w:b/>
        </w:rPr>
      </w:pPr>
      <w:r w:rsidRPr="00C12F48">
        <w:rPr>
          <w:b/>
        </w:rPr>
        <w:t xml:space="preserve">Hypothesis 1. </w:t>
      </w:r>
      <w:r w:rsidR="00B00B0D">
        <w:rPr>
          <w:b/>
        </w:rPr>
        <w:t>SMEs</w:t>
      </w:r>
      <w:r w:rsidRPr="00C12F48">
        <w:rPr>
          <w:b/>
        </w:rPr>
        <w:t xml:space="preserve"> possessing </w:t>
      </w:r>
      <w:r w:rsidR="00A24E1C">
        <w:rPr>
          <w:b/>
        </w:rPr>
        <w:t>greater</w:t>
      </w:r>
      <w:r w:rsidRPr="00C12F48">
        <w:rPr>
          <w:b/>
        </w:rPr>
        <w:t xml:space="preserve"> EO will </w:t>
      </w:r>
      <w:r w:rsidR="00E932AF">
        <w:rPr>
          <w:b/>
        </w:rPr>
        <w:t>use</w:t>
      </w:r>
      <w:r w:rsidRPr="00C12F48">
        <w:rPr>
          <w:b/>
        </w:rPr>
        <w:t xml:space="preserve"> </w:t>
      </w:r>
      <w:r w:rsidR="005A545C">
        <w:rPr>
          <w:b/>
        </w:rPr>
        <w:t>cooperative</w:t>
      </w:r>
      <w:r w:rsidRPr="00C12F48">
        <w:rPr>
          <w:b/>
        </w:rPr>
        <w:t xml:space="preserve"> export channels while those possessing l</w:t>
      </w:r>
      <w:r w:rsidR="00A24E1C">
        <w:rPr>
          <w:b/>
        </w:rPr>
        <w:t>esser</w:t>
      </w:r>
      <w:r w:rsidRPr="00C12F48">
        <w:rPr>
          <w:b/>
        </w:rPr>
        <w:t xml:space="preserve"> EO will use hierarchical channels.</w:t>
      </w:r>
    </w:p>
    <w:p w14:paraId="5EE3D5DD" w14:textId="77777777" w:rsidR="00E03C2E" w:rsidRPr="00C12F48" w:rsidRDefault="00E03C2E" w:rsidP="00C2704B">
      <w:pPr>
        <w:spacing w:line="480" w:lineRule="auto"/>
        <w:ind w:right="-108" w:firstLine="567"/>
      </w:pPr>
    </w:p>
    <w:p w14:paraId="5EE3D5DE" w14:textId="5D398CB3" w:rsidR="00E03C2E" w:rsidRPr="00C12F48" w:rsidRDefault="00323136" w:rsidP="00F460C6">
      <w:pPr>
        <w:spacing w:line="480" w:lineRule="auto"/>
        <w:ind w:right="-108"/>
        <w:rPr>
          <w:b/>
        </w:rPr>
      </w:pPr>
      <w:r>
        <w:rPr>
          <w:b/>
        </w:rPr>
        <w:t xml:space="preserve">2.2 </w:t>
      </w:r>
      <w:r w:rsidR="00E03C2E" w:rsidRPr="008E25FE">
        <w:rPr>
          <w:b/>
        </w:rPr>
        <w:t>Institutional Distance</w:t>
      </w:r>
      <w:r w:rsidR="00F01908">
        <w:rPr>
          <w:b/>
        </w:rPr>
        <w:t>, EO</w:t>
      </w:r>
      <w:r w:rsidR="00E03C2E" w:rsidRPr="00C12F48">
        <w:rPr>
          <w:b/>
        </w:rPr>
        <w:t xml:space="preserve"> and Export Channel Choice</w:t>
      </w:r>
    </w:p>
    <w:p w14:paraId="5EE3D5DF" w14:textId="184D7003" w:rsidR="00E03C2E" w:rsidRDefault="00E83CB5" w:rsidP="00215DA3">
      <w:pPr>
        <w:spacing w:line="480" w:lineRule="auto"/>
        <w:ind w:right="-108" w:firstLine="567"/>
      </w:pPr>
      <w:r>
        <w:t>O</w:t>
      </w:r>
      <w:r w:rsidR="00E03C2E" w:rsidRPr="005C4165">
        <w:t xml:space="preserve">ther </w:t>
      </w:r>
      <w:r w:rsidR="00E03C2E" w:rsidRPr="00525B7A">
        <w:t xml:space="preserve">research indicates that </w:t>
      </w:r>
      <w:r w:rsidR="00090A2D">
        <w:t xml:space="preserve">the </w:t>
      </w:r>
      <w:r w:rsidR="002F1263">
        <w:t>value</w:t>
      </w:r>
      <w:r w:rsidR="00090A2D">
        <w:t xml:space="preserve"> of </w:t>
      </w:r>
      <w:r w:rsidR="00A44FE0">
        <w:t xml:space="preserve">EO </w:t>
      </w:r>
      <w:r w:rsidR="00090A2D">
        <w:t xml:space="preserve">depends on the </w:t>
      </w:r>
      <w:r w:rsidR="00A44FE0">
        <w:t>institutional setting (Saeed</w:t>
      </w:r>
      <w:r w:rsidR="001B664C">
        <w:t xml:space="preserve"> et al., </w:t>
      </w:r>
      <w:r w:rsidR="00A44FE0">
        <w:t xml:space="preserve">2014). Theory contends that the institutional </w:t>
      </w:r>
      <w:r w:rsidR="00E03C2E">
        <w:t>context</w:t>
      </w:r>
      <w:r w:rsidR="00E03C2E" w:rsidRPr="005C4165">
        <w:t xml:space="preserve"> affects how a firm does business, manages human resources, and interacts with customers and the government (</w:t>
      </w:r>
      <w:proofErr w:type="spellStart"/>
      <w:r w:rsidR="00E03C2E" w:rsidRPr="005C4165">
        <w:t>Kostova</w:t>
      </w:r>
      <w:proofErr w:type="spellEnd"/>
      <w:r w:rsidR="00E03C2E" w:rsidRPr="005C4165">
        <w:t xml:space="preserve"> &amp; Zaheer, 1999; Scott, 1995). Studies have noted that </w:t>
      </w:r>
      <w:r w:rsidR="00F01908">
        <w:t xml:space="preserve">the </w:t>
      </w:r>
      <w:r w:rsidR="00F01908" w:rsidRPr="00525B7A">
        <w:t>difference in institutional context between a firm’s home country and a foreign country</w:t>
      </w:r>
      <w:r w:rsidR="00F01908">
        <w:t xml:space="preserve"> (referred to as the </w:t>
      </w:r>
      <w:r w:rsidR="00E03C2E" w:rsidRPr="005C4165">
        <w:t>institutional distance</w:t>
      </w:r>
      <w:r w:rsidR="00F01908">
        <w:t>)</w:t>
      </w:r>
      <w:r w:rsidR="00E03C2E" w:rsidRPr="005C4165">
        <w:t xml:space="preserve"> is directly related to internationalization strategies (</w:t>
      </w:r>
      <w:proofErr w:type="spellStart"/>
      <w:r w:rsidR="00E03C2E" w:rsidRPr="005C4165">
        <w:t>Kostova</w:t>
      </w:r>
      <w:proofErr w:type="spellEnd"/>
      <w:r w:rsidR="00E03C2E" w:rsidRPr="005C4165">
        <w:t xml:space="preserve"> &amp; Zaheer, 1999), including export channel selection (Campa &amp; Guillen, 1999). Based on </w:t>
      </w:r>
      <w:r w:rsidR="003215B5">
        <w:t>these insights</w:t>
      </w:r>
      <w:r w:rsidR="0020400D">
        <w:t>,</w:t>
      </w:r>
      <w:r w:rsidR="003215B5">
        <w:t xml:space="preserve"> </w:t>
      </w:r>
      <w:r w:rsidR="00E03C2E" w:rsidRPr="005C4165">
        <w:t xml:space="preserve">we extend previous research by </w:t>
      </w:r>
      <w:r w:rsidR="000A67A7">
        <w:t xml:space="preserve">theorizing how </w:t>
      </w:r>
      <w:r w:rsidR="00E03C2E" w:rsidRPr="005C4165">
        <w:t>the regulative, normative and cognitive</w:t>
      </w:r>
      <w:r w:rsidR="003215B5">
        <w:t xml:space="preserve"> (Scott, 1995)</w:t>
      </w:r>
      <w:r w:rsidR="00E03C2E" w:rsidRPr="005C4165">
        <w:t xml:space="preserve"> institutional distance </w:t>
      </w:r>
      <w:r w:rsidR="000A67A7">
        <w:t xml:space="preserve">between home and </w:t>
      </w:r>
      <w:r w:rsidR="00215DA3">
        <w:t>export</w:t>
      </w:r>
      <w:r w:rsidR="000A67A7">
        <w:t xml:space="preserve"> country </w:t>
      </w:r>
      <w:r w:rsidR="00E03C2E" w:rsidRPr="005C4165">
        <w:t xml:space="preserve">will moderate the relation between </w:t>
      </w:r>
      <w:r w:rsidR="00E03C2E">
        <w:t xml:space="preserve">the level of </w:t>
      </w:r>
      <w:r w:rsidR="00E03C2E" w:rsidRPr="005C4165">
        <w:t xml:space="preserve">EO </w:t>
      </w:r>
      <w:r w:rsidR="000A67A7">
        <w:t>a</w:t>
      </w:r>
      <w:r w:rsidR="00E03C2E">
        <w:t xml:space="preserve"> firm possesses </w:t>
      </w:r>
      <w:r w:rsidR="00E03C2E" w:rsidRPr="005C4165">
        <w:t xml:space="preserve">and </w:t>
      </w:r>
      <w:r w:rsidR="000A67A7">
        <w:t xml:space="preserve">the </w:t>
      </w:r>
      <w:r w:rsidR="00E03C2E" w:rsidRPr="005C4165">
        <w:t xml:space="preserve">export channel </w:t>
      </w:r>
      <w:r w:rsidR="000A67A7">
        <w:t>it uses in that particular country</w:t>
      </w:r>
      <w:r w:rsidR="00E03C2E" w:rsidRPr="005C4165">
        <w:t xml:space="preserve">. </w:t>
      </w:r>
    </w:p>
    <w:p w14:paraId="5EE3D5E0" w14:textId="31A63ABA" w:rsidR="007F0D4F" w:rsidRPr="00E65D75" w:rsidRDefault="00E65D75" w:rsidP="007F0D4F">
      <w:pPr>
        <w:spacing w:line="480" w:lineRule="auto"/>
        <w:ind w:firstLine="567"/>
        <w:rPr>
          <w:rFonts w:eastAsiaTheme="minorHAnsi"/>
          <w:lang w:val="en-GB" w:eastAsia="en-US"/>
        </w:rPr>
      </w:pPr>
      <w:r w:rsidRPr="00F1575D">
        <w:t xml:space="preserve">Below we develop two sets of arguments because there are </w:t>
      </w:r>
      <w:r w:rsidR="00C32C52" w:rsidRPr="00F1575D">
        <w:t>subtle difference</w:t>
      </w:r>
      <w:r w:rsidRPr="00F1575D">
        <w:t>s</w:t>
      </w:r>
      <w:r w:rsidR="00C32C52" w:rsidRPr="00F1575D">
        <w:t xml:space="preserve"> between the theory that explains differences in the regulat</w:t>
      </w:r>
      <w:r w:rsidR="00A3638E" w:rsidRPr="00F1575D">
        <w:t>ive</w:t>
      </w:r>
      <w:r w:rsidR="00C32C52" w:rsidRPr="00F1575D">
        <w:t xml:space="preserve"> environment and arguments looking at the normative/cognitive environment.  Basically, the difference is that in the first case </w:t>
      </w:r>
      <w:r w:rsidR="00C32C52" w:rsidRPr="00F1575D">
        <w:lastRenderedPageBreak/>
        <w:t>direction matters – for the regulat</w:t>
      </w:r>
      <w:r w:rsidR="00A3638E" w:rsidRPr="00F1575D">
        <w:t>ive</w:t>
      </w:r>
      <w:r w:rsidR="00C32C52" w:rsidRPr="00F1575D">
        <w:t xml:space="preserve"> environment some differences are </w:t>
      </w:r>
      <w:r w:rsidR="00F1575D" w:rsidRPr="00F1575D">
        <w:t>‘</w:t>
      </w:r>
      <w:r w:rsidR="00C32C52" w:rsidRPr="00F1575D">
        <w:t>good</w:t>
      </w:r>
      <w:r w:rsidR="00F1575D" w:rsidRPr="00F1575D">
        <w:t>’</w:t>
      </w:r>
      <w:r w:rsidR="00C32C52" w:rsidRPr="00F1575D">
        <w:t xml:space="preserve"> while other differences are </w:t>
      </w:r>
      <w:r w:rsidR="00F1575D" w:rsidRPr="00F1575D">
        <w:t>‘</w:t>
      </w:r>
      <w:r w:rsidR="00C32C52" w:rsidRPr="00F1575D">
        <w:t>bad</w:t>
      </w:r>
      <w:r w:rsidR="00F1575D" w:rsidRPr="00F1575D">
        <w:t>’</w:t>
      </w:r>
      <w:r w:rsidR="00C32C52" w:rsidRPr="00F1575D">
        <w:t xml:space="preserve">.  For the later </w:t>
      </w:r>
      <w:r w:rsidR="00E77F54">
        <w:t>institutional</w:t>
      </w:r>
      <w:r w:rsidR="003C4329">
        <w:t xml:space="preserve"> </w:t>
      </w:r>
      <w:r w:rsidR="00C32C52" w:rsidRPr="00F1575D">
        <w:t xml:space="preserve">environmental issues </w:t>
      </w:r>
      <w:r w:rsidRPr="00F1575D">
        <w:t xml:space="preserve">(normative/cognitive) </w:t>
      </w:r>
      <w:r w:rsidR="00C32C52" w:rsidRPr="00F1575D">
        <w:t xml:space="preserve">any difference is considered </w:t>
      </w:r>
      <w:r w:rsidR="00F1575D" w:rsidRPr="00F1575D">
        <w:t>‘</w:t>
      </w:r>
      <w:r w:rsidR="00C32C52" w:rsidRPr="00F1575D">
        <w:t>bad</w:t>
      </w:r>
      <w:r w:rsidR="00F1575D" w:rsidRPr="00F1575D">
        <w:t>’</w:t>
      </w:r>
      <w:r w:rsidR="00C32C52" w:rsidRPr="00F1575D">
        <w:t>, no matter which direction</w:t>
      </w:r>
      <w:r w:rsidR="000E48EF">
        <w:t xml:space="preserve"> (</w:t>
      </w:r>
      <w:r w:rsidR="000E48EF" w:rsidRPr="005C4165">
        <w:t xml:space="preserve">Zaheer, </w:t>
      </w:r>
      <w:proofErr w:type="spellStart"/>
      <w:r w:rsidR="000E48EF" w:rsidRPr="005C4165">
        <w:t>Schomaker</w:t>
      </w:r>
      <w:proofErr w:type="spellEnd"/>
      <w:r w:rsidR="000E48EF">
        <w:t xml:space="preserve"> &amp;</w:t>
      </w:r>
      <w:r w:rsidR="000E48EF" w:rsidRPr="005C4165">
        <w:t xml:space="preserve"> Nachum, 2012)</w:t>
      </w:r>
      <w:r w:rsidR="00C32C52" w:rsidRPr="00F1575D">
        <w:t>.</w:t>
      </w:r>
      <w:r w:rsidR="007F0D4F" w:rsidRPr="00F1575D">
        <w:rPr>
          <w:rFonts w:eastAsiaTheme="minorHAnsi"/>
          <w:lang w:val="en-GB" w:eastAsia="en-US"/>
        </w:rPr>
        <w:t xml:space="preserve"> </w:t>
      </w:r>
      <w:r w:rsidR="00904A07" w:rsidRPr="00F1575D">
        <w:rPr>
          <w:rFonts w:eastAsiaTheme="minorHAnsi"/>
          <w:lang w:val="en-GB" w:eastAsia="en-US"/>
        </w:rPr>
        <w:t>In addition, w</w:t>
      </w:r>
      <w:r w:rsidR="007F0D4F" w:rsidRPr="00F1575D">
        <w:rPr>
          <w:rFonts w:eastAsiaTheme="minorHAnsi"/>
          <w:lang w:val="en-GB" w:eastAsia="en-US"/>
        </w:rPr>
        <w:t xml:space="preserve">hen we explore the moderating influence of institutional distance on the EO-export channel relation we focus on higher EO firms. The reason we do this is that, theoretically, institutional distance moderates the value of EO and firms with lower EO will be impacted to a far lesser extent since they have little or no EO to moderate.  Because we theorize that lower EO firms will internalize the export operation, due to the lack of EO-based value generation abilities and their reluctance to incur the added costs (risks) of sharing the export operation, institutional distance will </w:t>
      </w:r>
      <w:r w:rsidR="00F1575D" w:rsidRPr="00F1575D">
        <w:rPr>
          <w:rFonts w:eastAsiaTheme="minorHAnsi"/>
          <w:lang w:val="en-GB" w:eastAsia="en-US"/>
        </w:rPr>
        <w:t>play a limited role</w:t>
      </w:r>
      <w:r w:rsidR="007F0D4F" w:rsidRPr="00F1575D">
        <w:rPr>
          <w:rFonts w:eastAsiaTheme="minorHAnsi"/>
          <w:lang w:val="en-GB" w:eastAsia="en-US"/>
        </w:rPr>
        <w:t xml:space="preserve"> in this choice. In contrast, for firms possessing higher EO the moderating impact of institutional distance can be significant and reduce </w:t>
      </w:r>
      <w:r w:rsidR="00FB2140" w:rsidRPr="00F1575D">
        <w:rPr>
          <w:rFonts w:eastAsiaTheme="minorHAnsi"/>
          <w:lang w:val="en-GB" w:eastAsia="en-US"/>
        </w:rPr>
        <w:t xml:space="preserve">(increase) </w:t>
      </w:r>
      <w:r w:rsidR="007F0D4F" w:rsidRPr="00F1575D">
        <w:rPr>
          <w:rFonts w:eastAsiaTheme="minorHAnsi"/>
          <w:lang w:val="en-GB" w:eastAsia="en-US"/>
        </w:rPr>
        <w:t>the benefits of using cooperative export channels.</w:t>
      </w:r>
      <w:r w:rsidR="007F0D4F" w:rsidRPr="00E65D75">
        <w:rPr>
          <w:rFonts w:eastAsiaTheme="minorHAnsi"/>
          <w:lang w:val="en-GB" w:eastAsia="en-US"/>
        </w:rPr>
        <w:t xml:space="preserve"> </w:t>
      </w:r>
    </w:p>
    <w:p w14:paraId="5EE3D5E1" w14:textId="77777777" w:rsidR="00E65D75" w:rsidRDefault="00E65D75" w:rsidP="00F01908">
      <w:pPr>
        <w:pStyle w:val="NormalIndent"/>
        <w:spacing w:after="0"/>
        <w:ind w:firstLineChars="0" w:firstLine="0"/>
        <w:jc w:val="left"/>
      </w:pPr>
    </w:p>
    <w:p w14:paraId="5EE3D5E2" w14:textId="2D68FD36" w:rsidR="00F01908" w:rsidRPr="00F01908" w:rsidRDefault="00323136" w:rsidP="00F01908">
      <w:pPr>
        <w:pStyle w:val="NormalIndent"/>
        <w:spacing w:after="0"/>
        <w:ind w:firstLineChars="0" w:firstLine="0"/>
        <w:jc w:val="left"/>
        <w:rPr>
          <w:b/>
        </w:rPr>
      </w:pPr>
      <w:r>
        <w:rPr>
          <w:b/>
        </w:rPr>
        <w:t xml:space="preserve">2.2.1 </w:t>
      </w:r>
      <w:r w:rsidR="00F01908" w:rsidRPr="00F01908">
        <w:rPr>
          <w:b/>
        </w:rPr>
        <w:t>Regulative Distance</w:t>
      </w:r>
    </w:p>
    <w:p w14:paraId="5EE3D5E3" w14:textId="77777777" w:rsidR="00E03C2E" w:rsidRPr="005C4165" w:rsidRDefault="00E03C2E" w:rsidP="00F01BC4">
      <w:pPr>
        <w:pStyle w:val="NormalIndent"/>
        <w:spacing w:after="0"/>
        <w:ind w:firstLineChars="0" w:firstLine="720"/>
        <w:jc w:val="left"/>
      </w:pPr>
      <w:r w:rsidRPr="005C4165">
        <w:t xml:space="preserve">The regulative dimension of the institutional </w:t>
      </w:r>
      <w:r>
        <w:t>context</w:t>
      </w:r>
      <w:r w:rsidRPr="005C4165">
        <w:t xml:space="preserve"> refers to </w:t>
      </w:r>
      <w:r w:rsidR="00570FAA">
        <w:t xml:space="preserve">the </w:t>
      </w:r>
      <w:r w:rsidRPr="005C4165">
        <w:t xml:space="preserve">formal </w:t>
      </w:r>
      <w:r w:rsidR="00570FAA">
        <w:t>laws</w:t>
      </w:r>
      <w:r w:rsidRPr="005C4165">
        <w:t xml:space="preserve"> </w:t>
      </w:r>
      <w:r w:rsidR="00570FAA">
        <w:t xml:space="preserve">and regulations </w:t>
      </w:r>
      <w:r w:rsidRPr="005C4165">
        <w:t xml:space="preserve">set by </w:t>
      </w:r>
      <w:r w:rsidR="00C62DA9">
        <w:t>a</w:t>
      </w:r>
      <w:r w:rsidRPr="005C4165">
        <w:t xml:space="preserve"> </w:t>
      </w:r>
      <w:r w:rsidR="00C62DA9">
        <w:t>government</w:t>
      </w:r>
      <w:r w:rsidRPr="005C4165">
        <w:t xml:space="preserve"> (North, 1990). These regulations are clearly and explicitly </w:t>
      </w:r>
      <w:r w:rsidR="008E25FE" w:rsidRPr="005C4165">
        <w:t>declared</w:t>
      </w:r>
      <w:r w:rsidRPr="005C4165">
        <w:t xml:space="preserve"> (Scott, 1995). With reference to the home country, regulations in a foreign country can be more or less favorable for entrepreneurial firms (Bowen &amp; De </w:t>
      </w:r>
      <w:proofErr w:type="spellStart"/>
      <w:r w:rsidRPr="005C4165">
        <w:t>Clercq</w:t>
      </w:r>
      <w:proofErr w:type="spellEnd"/>
      <w:r w:rsidRPr="005C4165">
        <w:t>, 200</w:t>
      </w:r>
      <w:r w:rsidR="009F2304">
        <w:t>8</w:t>
      </w:r>
      <w:r w:rsidRPr="005C4165">
        <w:t xml:space="preserve">); because regulative distance is asymmetric direction counts </w:t>
      </w:r>
      <w:r w:rsidR="000A67A7">
        <w:t>(</w:t>
      </w:r>
      <w:r w:rsidR="000A67A7" w:rsidRPr="005C4165">
        <w:t>Zaheer</w:t>
      </w:r>
      <w:r w:rsidR="000E48EF">
        <w:t xml:space="preserve"> et al., </w:t>
      </w:r>
      <w:r w:rsidR="000A67A7" w:rsidRPr="005C4165">
        <w:t>2012</w:t>
      </w:r>
      <w:r w:rsidRPr="005C4165">
        <w:t xml:space="preserve">). For example, </w:t>
      </w:r>
      <w:r>
        <w:t>having</w:t>
      </w:r>
      <w:r w:rsidRPr="005C4165">
        <w:t xml:space="preserve"> a higher level of regulatory protection or reducing the complexity of a country’s regulations might encourage entrepreneurial activities. In contrast foreign country regulations can make it more difficult to operate by setting a lower level of policy transparency or poor property </w:t>
      </w:r>
      <w:r>
        <w:t xml:space="preserve">rights </w:t>
      </w:r>
      <w:r w:rsidRPr="005C4165">
        <w:t xml:space="preserve">protection. Thus, differences in the level of regulations can favor or hinder new entrepreneurial entrants. </w:t>
      </w:r>
    </w:p>
    <w:p w14:paraId="5EE3D5E4" w14:textId="46D9121D" w:rsidR="00E03C2E" w:rsidRPr="005C4165" w:rsidRDefault="00E03C2E" w:rsidP="006F3871">
      <w:pPr>
        <w:pStyle w:val="NormalIndent"/>
        <w:spacing w:after="0"/>
        <w:ind w:firstLineChars="0" w:firstLine="720"/>
        <w:jc w:val="left"/>
      </w:pPr>
      <w:r w:rsidRPr="005C4165">
        <w:t xml:space="preserve">When entering markets that present a similar or better regulative </w:t>
      </w:r>
      <w:r>
        <w:t>context</w:t>
      </w:r>
      <w:r w:rsidRPr="005C4165">
        <w:t xml:space="preserve"> compared to </w:t>
      </w:r>
      <w:r w:rsidRPr="005C4165">
        <w:lastRenderedPageBreak/>
        <w:t xml:space="preserve">the home country, firms will face fewer barriers. </w:t>
      </w:r>
      <w:r w:rsidR="003C74E0" w:rsidRPr="00342351">
        <w:t>The reasons for this are twofold</w:t>
      </w:r>
      <w:r w:rsidR="002D1D0A">
        <w:t xml:space="preserve">. </w:t>
      </w:r>
      <w:r w:rsidR="003C74E0" w:rsidRPr="00342351">
        <w:t xml:space="preserve">First, </w:t>
      </w:r>
      <w:r w:rsidR="00D20FD3" w:rsidRPr="00342351">
        <w:t xml:space="preserve">the firm </w:t>
      </w:r>
      <w:r w:rsidR="001B664C">
        <w:t xml:space="preserve">has </w:t>
      </w:r>
      <w:r w:rsidR="005822FE">
        <w:t>experience</w:t>
      </w:r>
      <w:r w:rsidR="00D20FD3" w:rsidRPr="00342351">
        <w:t xml:space="preserve"> dealing with particular types of regulations in its home market and moving to a country with similar or better regulations requires only small adjustments </w:t>
      </w:r>
      <w:r w:rsidRPr="00861660">
        <w:t>(</w:t>
      </w:r>
      <w:r w:rsidR="00861660" w:rsidRPr="00861660">
        <w:t>Gaur &amp; Lu, 2007</w:t>
      </w:r>
      <w:r w:rsidRPr="00861660">
        <w:t xml:space="preserve">). </w:t>
      </w:r>
      <w:r w:rsidR="003C74E0" w:rsidRPr="00342351">
        <w:t>Second, better regulations make it easier to do business</w:t>
      </w:r>
      <w:r w:rsidR="00F91E36" w:rsidRPr="00342351">
        <w:t>;</w:t>
      </w:r>
      <w:r w:rsidR="003C74E0" w:rsidRPr="00342351">
        <w:t xml:space="preserve"> lowering paperwork</w:t>
      </w:r>
      <w:r w:rsidR="00F91E36" w:rsidRPr="00342351">
        <w:t xml:space="preserve"> demands</w:t>
      </w:r>
      <w:r w:rsidR="003C74E0" w:rsidRPr="00342351">
        <w:t>,</w:t>
      </w:r>
      <w:r w:rsidR="00F91E36" w:rsidRPr="00342351">
        <w:t xml:space="preserve"> reducing tariffs, and simplifying processes </w:t>
      </w:r>
      <w:r w:rsidR="00861660">
        <w:t>(</w:t>
      </w:r>
      <w:r w:rsidR="00861660" w:rsidRPr="005C4165">
        <w:t xml:space="preserve">Bowen &amp; De </w:t>
      </w:r>
      <w:proofErr w:type="spellStart"/>
      <w:r w:rsidR="00861660" w:rsidRPr="005C4165">
        <w:t>Clercq</w:t>
      </w:r>
      <w:proofErr w:type="spellEnd"/>
      <w:r w:rsidR="00861660" w:rsidRPr="005C4165">
        <w:t>, 200</w:t>
      </w:r>
      <w:r w:rsidR="009F2304">
        <w:t>8</w:t>
      </w:r>
      <w:r w:rsidR="00861660">
        <w:t>).</w:t>
      </w:r>
      <w:r w:rsidR="003C74E0">
        <w:t xml:space="preserve"> </w:t>
      </w:r>
      <w:r w:rsidRPr="005C4165">
        <w:t>Given the relative ease with which a</w:t>
      </w:r>
      <w:r w:rsidR="002D79A9">
        <w:t>n</w:t>
      </w:r>
      <w:r w:rsidRPr="005C4165">
        <w:t xml:space="preserve"> </w:t>
      </w:r>
      <w:r w:rsidR="00DE5F05">
        <w:t>SME</w:t>
      </w:r>
      <w:r w:rsidRPr="005C4165">
        <w:t xml:space="preserve"> can understand the conditions in the</w:t>
      </w:r>
      <w:r w:rsidR="00F91E36">
        <w:t>se</w:t>
      </w:r>
      <w:r w:rsidRPr="005C4165">
        <w:t xml:space="preserve"> host countr</w:t>
      </w:r>
      <w:r w:rsidR="00F91E36">
        <w:t>ies</w:t>
      </w:r>
      <w:r w:rsidRPr="005C4165">
        <w:t xml:space="preserve">, </w:t>
      </w:r>
      <w:r>
        <w:t xml:space="preserve">firms possessing </w:t>
      </w:r>
      <w:r w:rsidR="00861660">
        <w:t xml:space="preserve">greater </w:t>
      </w:r>
      <w:r w:rsidRPr="005C4165">
        <w:t xml:space="preserve">proactive and innovative </w:t>
      </w:r>
      <w:r w:rsidR="009D339C" w:rsidRPr="006B33FE">
        <w:t>abilities</w:t>
      </w:r>
      <w:r w:rsidR="001429C1">
        <w:t xml:space="preserve"> </w:t>
      </w:r>
      <w:r w:rsidRPr="005C4165">
        <w:t xml:space="preserve">will be able to conform to the </w:t>
      </w:r>
      <w:r w:rsidR="00861660">
        <w:t xml:space="preserve">new </w:t>
      </w:r>
      <w:r w:rsidRPr="005C4165">
        <w:t xml:space="preserve">regulative </w:t>
      </w:r>
      <w:r>
        <w:t>context</w:t>
      </w:r>
      <w:r w:rsidRPr="005C4165">
        <w:t xml:space="preserve"> without </w:t>
      </w:r>
      <w:r w:rsidR="00525B7A">
        <w:t xml:space="preserve">the need for </w:t>
      </w:r>
      <w:r w:rsidR="00D20FD3">
        <w:t xml:space="preserve">the </w:t>
      </w:r>
      <w:r w:rsidR="00525B7A">
        <w:t xml:space="preserve">additional resources </w:t>
      </w:r>
      <w:r w:rsidR="00F91E36">
        <w:t xml:space="preserve">or knowledge </w:t>
      </w:r>
      <w:r w:rsidR="00525B7A">
        <w:t xml:space="preserve">that </w:t>
      </w:r>
      <w:r w:rsidRPr="005C4165">
        <w:t xml:space="preserve">a local partner </w:t>
      </w:r>
      <w:r w:rsidR="00D20FD3">
        <w:t xml:space="preserve">can provide </w:t>
      </w:r>
      <w:r w:rsidRPr="005C4165">
        <w:t xml:space="preserve">(Gaur &amp; Lu, 2007). </w:t>
      </w:r>
      <w:r>
        <w:t>In these circumstances a</w:t>
      </w:r>
      <w:r w:rsidRPr="005C4165">
        <w:t xml:space="preserve">dding a partner </w:t>
      </w:r>
      <w:r w:rsidR="009307E3" w:rsidRPr="005C4165">
        <w:t>offer</w:t>
      </w:r>
      <w:r w:rsidR="009307E3">
        <w:t>s</w:t>
      </w:r>
      <w:r w:rsidRPr="005C4165">
        <w:t xml:space="preserve"> limited added value</w:t>
      </w:r>
      <w:r w:rsidR="00861660">
        <w:t xml:space="preserve"> but increases costs</w:t>
      </w:r>
      <w:r w:rsidRPr="005C4165">
        <w:t>. Therefore, we suggest that when enter</w:t>
      </w:r>
      <w:r w:rsidR="001B664C">
        <w:t>ing</w:t>
      </w:r>
      <w:r w:rsidRPr="005C4165">
        <w:t xml:space="preserve"> markets with </w:t>
      </w:r>
      <w:r w:rsidR="00D20FD3">
        <w:t xml:space="preserve">similar or </w:t>
      </w:r>
      <w:r w:rsidRPr="005C4165">
        <w:t>better regulations</w:t>
      </w:r>
      <w:r w:rsidR="001B664C">
        <w:t>,</w:t>
      </w:r>
      <w:r w:rsidRPr="005C4165">
        <w:t xml:space="preserve"> </w:t>
      </w:r>
      <w:r>
        <w:t xml:space="preserve">SMEs </w:t>
      </w:r>
      <w:r w:rsidR="001B664C">
        <w:t>possessing</w:t>
      </w:r>
      <w:r w:rsidRPr="005C4165">
        <w:t xml:space="preserve"> </w:t>
      </w:r>
      <w:r w:rsidR="00861660">
        <w:t>greater</w:t>
      </w:r>
      <w:r w:rsidRPr="005C4165">
        <w:t xml:space="preserve"> EO will be less inclined to use </w:t>
      </w:r>
      <w:r w:rsidR="008E25FE">
        <w:t>cooperative</w:t>
      </w:r>
      <w:r w:rsidRPr="005C4165">
        <w:t xml:space="preserve"> export channels. </w:t>
      </w:r>
    </w:p>
    <w:p w14:paraId="5EE3D5E5" w14:textId="77777777" w:rsidR="00E03C2E" w:rsidRPr="00A628B7" w:rsidRDefault="00E03C2E" w:rsidP="00A628B7">
      <w:pPr>
        <w:pStyle w:val="NormalIndent"/>
        <w:spacing w:after="0"/>
        <w:ind w:firstLineChars="0" w:firstLine="720"/>
        <w:jc w:val="left"/>
      </w:pPr>
      <w:r w:rsidRPr="00DE5F05">
        <w:t>Yet in some countries the regulative context is worse with respect to aspects like transparency of government policymaking, efficiency of the legal framework, intellectual property protection (Luo &amp; Zhao, 20</w:t>
      </w:r>
      <w:r w:rsidR="00C1778F">
        <w:t>13</w:t>
      </w:r>
      <w:r w:rsidRPr="00DE5F05">
        <w:t xml:space="preserve">) or the level of tariff barriers and burden of regulation (Oliver, 1997). In such conditions </w:t>
      </w:r>
      <w:r w:rsidR="00C62DA9">
        <w:t xml:space="preserve">a </w:t>
      </w:r>
      <w:r w:rsidRPr="00DE5F05">
        <w:t>firm with high</w:t>
      </w:r>
      <w:r w:rsidR="003C61CB" w:rsidRPr="00DE5F05">
        <w:t>er</w:t>
      </w:r>
      <w:r w:rsidRPr="00DE5F05">
        <w:t xml:space="preserve"> EO will </w:t>
      </w:r>
      <w:r w:rsidR="00A141F6" w:rsidRPr="00DE5F05">
        <w:t xml:space="preserve">increase </w:t>
      </w:r>
      <w:r w:rsidR="00A81EDA">
        <w:t>its</w:t>
      </w:r>
      <w:r w:rsidR="00A141F6" w:rsidRPr="00DE5F05">
        <w:t xml:space="preserve"> preference for </w:t>
      </w:r>
      <w:r w:rsidR="008E25FE">
        <w:t>cooperative</w:t>
      </w:r>
      <w:r w:rsidRPr="00DE5F05">
        <w:t xml:space="preserve"> export channels.</w:t>
      </w:r>
      <w:r w:rsidR="00A141F6" w:rsidRPr="00DE5F05">
        <w:t xml:space="preserve"> One reason for this is that entry into worse regulative markets increases the costs of exporting</w:t>
      </w:r>
      <w:r w:rsidR="002D1D0A">
        <w:t xml:space="preserve">. </w:t>
      </w:r>
      <w:r w:rsidR="00967019" w:rsidRPr="00DE5F05">
        <w:t>Countries</w:t>
      </w:r>
      <w:r w:rsidR="00A141F6" w:rsidRPr="00DE5F05">
        <w:t xml:space="preserve"> with worse </w:t>
      </w:r>
      <w:r w:rsidR="00967019" w:rsidRPr="00DE5F05">
        <w:t>regulations</w:t>
      </w:r>
      <w:r w:rsidR="00A141F6" w:rsidRPr="00DE5F05">
        <w:t xml:space="preserve"> impose higher tariffs and paperwork requirements which increas</w:t>
      </w:r>
      <w:r w:rsidR="00CE2229">
        <w:t>es</w:t>
      </w:r>
      <w:r w:rsidR="007A5DF9" w:rsidRPr="00DE5F05">
        <w:t xml:space="preserve"> </w:t>
      </w:r>
      <w:r w:rsidR="00A141F6" w:rsidRPr="00DE5F05">
        <w:t>export</w:t>
      </w:r>
      <w:r w:rsidR="00967019" w:rsidRPr="00DE5F05">
        <w:t>ing</w:t>
      </w:r>
      <w:r w:rsidR="00A141F6" w:rsidRPr="00DE5F05">
        <w:t xml:space="preserve"> </w:t>
      </w:r>
      <w:r w:rsidR="007A5DF9" w:rsidRPr="00DE5F05">
        <w:t xml:space="preserve">costs </w:t>
      </w:r>
      <w:r w:rsidR="00A141F6" w:rsidRPr="00DE5F05">
        <w:t>(</w:t>
      </w:r>
      <w:r w:rsidR="002A5A1C" w:rsidRPr="005C4165">
        <w:t xml:space="preserve">Bowen &amp; De </w:t>
      </w:r>
      <w:proofErr w:type="spellStart"/>
      <w:r w:rsidR="002A5A1C" w:rsidRPr="005C4165">
        <w:t>Clercq</w:t>
      </w:r>
      <w:proofErr w:type="spellEnd"/>
      <w:r w:rsidR="002A5A1C" w:rsidRPr="005C4165">
        <w:t>, 200</w:t>
      </w:r>
      <w:r w:rsidR="009F2304">
        <w:t>8</w:t>
      </w:r>
      <w:r w:rsidR="00A141F6" w:rsidRPr="00DE5F05">
        <w:t>)</w:t>
      </w:r>
      <w:r w:rsidR="002D1D0A">
        <w:t xml:space="preserve">. </w:t>
      </w:r>
      <w:r w:rsidR="00A141F6" w:rsidRPr="00DE5F05">
        <w:t xml:space="preserve">Poor regulations with regards to policymaking </w:t>
      </w:r>
      <w:r w:rsidR="00967019" w:rsidRPr="00DE5F05">
        <w:t>transparency</w:t>
      </w:r>
      <w:r w:rsidR="00DA6055">
        <w:t xml:space="preserve"> or</w:t>
      </w:r>
      <w:r w:rsidR="00967019" w:rsidRPr="00DE5F05">
        <w:t xml:space="preserve"> inefficiencies of the legal framework</w:t>
      </w:r>
      <w:r w:rsidR="00DA6055">
        <w:t xml:space="preserve"> </w:t>
      </w:r>
      <w:r w:rsidR="00A141F6" w:rsidRPr="00DE5F05">
        <w:t xml:space="preserve">increase uncertainty and risk of </w:t>
      </w:r>
      <w:r w:rsidR="00967019" w:rsidRPr="00DE5F05">
        <w:t xml:space="preserve">loss </w:t>
      </w:r>
      <w:r w:rsidR="00DA6055">
        <w:t>for expo</w:t>
      </w:r>
      <w:r w:rsidR="00967019" w:rsidRPr="00DE5F05">
        <w:t>rters (</w:t>
      </w:r>
      <w:r w:rsidR="002A5A1C" w:rsidRPr="005C4165">
        <w:t>Gaur &amp; Lu, 2007</w:t>
      </w:r>
      <w:r w:rsidR="00967019" w:rsidRPr="00DE5F05">
        <w:t>). One way to overcome some of these barriers and decrease the cost of exporting to these countries is to partner with another firm</w:t>
      </w:r>
      <w:r w:rsidR="008E25FE">
        <w:t xml:space="preserve"> located in that country</w:t>
      </w:r>
      <w:r w:rsidR="00967019" w:rsidRPr="00DE5F05">
        <w:t xml:space="preserve">. </w:t>
      </w:r>
      <w:r w:rsidR="000D5E35" w:rsidRPr="00A36F67">
        <w:t>Although cooperating with a local firm carries risks, especially in weaker regulative countries, SMEs with greater EO are more willing to accept such risks to obtain other benefits.</w:t>
      </w:r>
      <w:r w:rsidR="000D5E35">
        <w:t xml:space="preserve"> </w:t>
      </w:r>
      <w:r w:rsidRPr="00DE5F05">
        <w:t xml:space="preserve">By </w:t>
      </w:r>
      <w:r w:rsidR="00967019" w:rsidRPr="00DE5F05">
        <w:t xml:space="preserve">working with a partner familiar with </w:t>
      </w:r>
      <w:r w:rsidR="00967019" w:rsidRPr="00DE5F05">
        <w:lastRenderedPageBreak/>
        <w:t xml:space="preserve">the target market regulative context, exporters </w:t>
      </w:r>
      <w:r w:rsidRPr="00DE5F05">
        <w:t>with high</w:t>
      </w:r>
      <w:r w:rsidR="00DE5F05" w:rsidRPr="00DE5F05">
        <w:t>er</w:t>
      </w:r>
      <w:r w:rsidRPr="00DE5F05">
        <w:t xml:space="preserve"> EO</w:t>
      </w:r>
      <w:r w:rsidR="00DE5F05" w:rsidRPr="00DE5F05">
        <w:t xml:space="preserve"> </w:t>
      </w:r>
      <w:r w:rsidRPr="00DE5F05">
        <w:t xml:space="preserve">are able to speed-up acquisition of </w:t>
      </w:r>
      <w:r w:rsidR="00967019" w:rsidRPr="00DE5F05">
        <w:t>local regulative knowledge and develop or modify current export activities to compensate for these differences (</w:t>
      </w:r>
      <w:proofErr w:type="spellStart"/>
      <w:r w:rsidR="00967019" w:rsidRPr="00DE5F05">
        <w:t>Wiklund</w:t>
      </w:r>
      <w:proofErr w:type="spellEnd"/>
      <w:r w:rsidR="00967019" w:rsidRPr="00DE5F05">
        <w:t xml:space="preserve"> &amp; Shepherd, 2003).</w:t>
      </w:r>
      <w:r w:rsidR="00967019">
        <w:t xml:space="preserve"> </w:t>
      </w:r>
      <w:r w:rsidRPr="005C4165">
        <w:t xml:space="preserve">Hence, our second </w:t>
      </w:r>
      <w:r>
        <w:t xml:space="preserve">hypothesis </w:t>
      </w:r>
      <w:r w:rsidR="00B00B0D">
        <w:t xml:space="preserve">suggests that </w:t>
      </w:r>
      <w:r w:rsidR="00B00B0D" w:rsidRPr="00B00B0D">
        <w:t>the regulative distance between home and export market will moderate the relation between EO and export channel choice such that</w:t>
      </w:r>
      <w:r>
        <w:t>:</w:t>
      </w:r>
    </w:p>
    <w:p w14:paraId="5EE3D5E6" w14:textId="77777777" w:rsidR="00E03C2E" w:rsidRDefault="00E03C2E" w:rsidP="00612BA4">
      <w:pPr>
        <w:pStyle w:val="NormalIndent"/>
        <w:spacing w:after="0" w:line="240" w:lineRule="auto"/>
        <w:ind w:left="708" w:firstLineChars="0" w:firstLine="0"/>
        <w:jc w:val="left"/>
        <w:rPr>
          <w:b/>
        </w:rPr>
      </w:pPr>
      <w:r w:rsidRPr="005C4165">
        <w:rPr>
          <w:b/>
        </w:rPr>
        <w:t xml:space="preserve">Hypothesis 2. </w:t>
      </w:r>
      <w:r w:rsidR="00B00B0D">
        <w:rPr>
          <w:b/>
        </w:rPr>
        <w:t>SMEs</w:t>
      </w:r>
      <w:r w:rsidRPr="005C4165">
        <w:rPr>
          <w:b/>
        </w:rPr>
        <w:t xml:space="preserve"> possessing </w:t>
      </w:r>
      <w:r w:rsidR="00105B89">
        <w:rPr>
          <w:b/>
        </w:rPr>
        <w:t>greater</w:t>
      </w:r>
      <w:r w:rsidRPr="005C4165">
        <w:rPr>
          <w:b/>
        </w:rPr>
        <w:t xml:space="preserve"> EO entering markets with </w:t>
      </w:r>
      <w:r w:rsidR="00F91E36">
        <w:rPr>
          <w:b/>
        </w:rPr>
        <w:t>similar/</w:t>
      </w:r>
      <w:r w:rsidRPr="005C4165">
        <w:rPr>
          <w:b/>
        </w:rPr>
        <w:t xml:space="preserve">better regulations will </w:t>
      </w:r>
      <w:r w:rsidR="001B0F9C">
        <w:rPr>
          <w:b/>
        </w:rPr>
        <w:t xml:space="preserve">have a lower </w:t>
      </w:r>
      <w:r w:rsidR="00E932AF">
        <w:rPr>
          <w:b/>
        </w:rPr>
        <w:t>tendency to use</w:t>
      </w:r>
      <w:r w:rsidR="001B0F9C">
        <w:rPr>
          <w:b/>
        </w:rPr>
        <w:t xml:space="preserve"> </w:t>
      </w:r>
      <w:r w:rsidR="008E25FE">
        <w:rPr>
          <w:b/>
        </w:rPr>
        <w:t>cooperative</w:t>
      </w:r>
      <w:r w:rsidRPr="005C4165">
        <w:rPr>
          <w:b/>
        </w:rPr>
        <w:t xml:space="preserve"> </w:t>
      </w:r>
      <w:r w:rsidR="008E25FE">
        <w:rPr>
          <w:b/>
        </w:rPr>
        <w:t xml:space="preserve">export </w:t>
      </w:r>
      <w:r w:rsidRPr="005C4165">
        <w:rPr>
          <w:b/>
        </w:rPr>
        <w:t xml:space="preserve">channels </w:t>
      </w:r>
      <w:r w:rsidR="001B0F9C">
        <w:rPr>
          <w:b/>
        </w:rPr>
        <w:t xml:space="preserve">compared to </w:t>
      </w:r>
      <w:r w:rsidRPr="005C4165">
        <w:rPr>
          <w:b/>
        </w:rPr>
        <w:t>those same firms entering markets with worse regulations.</w:t>
      </w:r>
    </w:p>
    <w:p w14:paraId="5EE3D5E7" w14:textId="77777777" w:rsidR="002D79A9" w:rsidRDefault="002D79A9" w:rsidP="00F01908">
      <w:pPr>
        <w:pStyle w:val="NormalIndent"/>
        <w:spacing w:after="0"/>
        <w:ind w:firstLineChars="0" w:firstLine="0"/>
        <w:jc w:val="left"/>
        <w:rPr>
          <w:b/>
        </w:rPr>
      </w:pPr>
    </w:p>
    <w:p w14:paraId="5EE3D5E8" w14:textId="7878494D" w:rsidR="00F01908" w:rsidRPr="00F01908" w:rsidRDefault="00323136" w:rsidP="00F01908">
      <w:pPr>
        <w:pStyle w:val="NormalIndent"/>
        <w:spacing w:after="0"/>
        <w:ind w:firstLineChars="0" w:firstLine="0"/>
        <w:jc w:val="left"/>
        <w:rPr>
          <w:b/>
        </w:rPr>
      </w:pPr>
      <w:r>
        <w:rPr>
          <w:b/>
        </w:rPr>
        <w:t xml:space="preserve">2.2.2 </w:t>
      </w:r>
      <w:r w:rsidR="00F01908" w:rsidRPr="00F01908">
        <w:rPr>
          <w:b/>
        </w:rPr>
        <w:t>Cognitive and Normative Distance</w:t>
      </w:r>
    </w:p>
    <w:p w14:paraId="5EE3D5E9" w14:textId="7E4A93DD" w:rsidR="00E03C2E" w:rsidRPr="00B35B00" w:rsidRDefault="00E03C2E" w:rsidP="00A67A7E">
      <w:pPr>
        <w:pStyle w:val="NormalIndent"/>
        <w:spacing w:after="0"/>
        <w:ind w:firstLineChars="295" w:firstLine="708"/>
        <w:jc w:val="left"/>
        <w:rPr>
          <w:b/>
        </w:rPr>
      </w:pPr>
      <w:r w:rsidRPr="005C4165">
        <w:t xml:space="preserve">The normative and cognitive dimensions of the institutional </w:t>
      </w:r>
      <w:r w:rsidR="00C67B53" w:rsidRPr="00A141F6">
        <w:t>context</w:t>
      </w:r>
      <w:r w:rsidRPr="005C4165">
        <w:t xml:space="preserve"> are not explicitly codified, are usually informal, and </w:t>
      </w:r>
      <w:r w:rsidR="004759B1">
        <w:t xml:space="preserve">are </w:t>
      </w:r>
      <w:r w:rsidR="00F1192E" w:rsidRPr="00BE7C7E">
        <w:t>rooted</w:t>
      </w:r>
      <w:r w:rsidRPr="005C4165">
        <w:t xml:space="preserve"> in society </w:t>
      </w:r>
      <w:r>
        <w:t>(Gaur &amp; Lu</w:t>
      </w:r>
      <w:r w:rsidRPr="005C4165">
        <w:t>, 2007). The normative aspect describe</w:t>
      </w:r>
      <w:r w:rsidR="002F67BE">
        <w:t>s</w:t>
      </w:r>
      <w:r w:rsidRPr="005C4165">
        <w:t xml:space="preserve"> how things should be done to achieve a goal in a legitimate way (Scott, 1995). The cognitive dimension is concerned with the beliefs and values of a society (Scott, 1995). Both normative and cognitive aspects represent some implicit knowledge</w:t>
      </w:r>
      <w:r>
        <w:t xml:space="preserve"> and</w:t>
      </w:r>
      <w:r w:rsidRPr="005C4165">
        <w:t xml:space="preserve"> procedures, </w:t>
      </w:r>
      <w:r w:rsidR="0038300D">
        <w:t>‘</w:t>
      </w:r>
      <w:r w:rsidRPr="005C4165">
        <w:t>ways of doing</w:t>
      </w:r>
      <w:r w:rsidR="0038300D">
        <w:t>’</w:t>
      </w:r>
      <w:r w:rsidRPr="005C4165">
        <w:t xml:space="preserve"> that are </w:t>
      </w:r>
      <w:r>
        <w:t>intrinsically part of</w:t>
      </w:r>
      <w:r w:rsidRPr="005C4165">
        <w:t xml:space="preserve"> a </w:t>
      </w:r>
      <w:r w:rsidR="004759B1">
        <w:t>country</w:t>
      </w:r>
      <w:r w:rsidRPr="005C4165">
        <w:t>. The closer the home and host markets are from a normative</w:t>
      </w:r>
      <w:r w:rsidR="00DA6055">
        <w:t xml:space="preserve"> and or </w:t>
      </w:r>
      <w:r w:rsidRPr="005C4165">
        <w:t>cognitive perspective the easier it will be to operate successfully in that market</w:t>
      </w:r>
      <w:r>
        <w:t xml:space="preserve"> </w:t>
      </w:r>
      <w:r w:rsidR="004759B1" w:rsidRPr="00A141F6">
        <w:t>because these informal ways of doing business will be familiar</w:t>
      </w:r>
      <w:r w:rsidR="004759B1">
        <w:t xml:space="preserve"> </w:t>
      </w:r>
      <w:r>
        <w:t>(Gaur &amp; Lu</w:t>
      </w:r>
      <w:r w:rsidRPr="005C4165">
        <w:t xml:space="preserve">, 2007). In contrast, when there are </w:t>
      </w:r>
      <w:r w:rsidR="00B031A7">
        <w:t xml:space="preserve">larger </w:t>
      </w:r>
      <w:r>
        <w:t>normative</w:t>
      </w:r>
      <w:r w:rsidR="00DA6055">
        <w:t xml:space="preserve"> and or </w:t>
      </w:r>
      <w:r>
        <w:t xml:space="preserve">cognitive </w:t>
      </w:r>
      <w:r w:rsidRPr="005C4165">
        <w:t xml:space="preserve">differences (no matter which direction) it will be more challenging for a foreign firm to understand the host market </w:t>
      </w:r>
      <w:r w:rsidR="004759B1" w:rsidRPr="00A141F6">
        <w:t xml:space="preserve">and </w:t>
      </w:r>
      <w:r w:rsidR="00B031A7" w:rsidRPr="00A141F6">
        <w:t xml:space="preserve">to </w:t>
      </w:r>
      <w:r w:rsidR="004759B1" w:rsidRPr="00A141F6">
        <w:t xml:space="preserve">compete effectively </w:t>
      </w:r>
      <w:r w:rsidRPr="005C4165">
        <w:t>(Gaur &amp; Lu, 2007). Thus, normative and cognitive distance</w:t>
      </w:r>
      <w:r w:rsidR="00B031A7">
        <w:t>s</w:t>
      </w:r>
      <w:r w:rsidRPr="005C4165">
        <w:t xml:space="preserve"> are symmetric and we treat the relationships as a dyad (Zaheer</w:t>
      </w:r>
      <w:r>
        <w:t xml:space="preserve"> et al., </w:t>
      </w:r>
      <w:r w:rsidRPr="005C4165">
        <w:t>2012).</w:t>
      </w:r>
    </w:p>
    <w:p w14:paraId="5EE3D5EA" w14:textId="54F9FD21" w:rsidR="00E03C2E" w:rsidRPr="005C4165" w:rsidRDefault="00E03C2E" w:rsidP="00A67A7E">
      <w:pPr>
        <w:pStyle w:val="NormalIndent"/>
        <w:spacing w:after="0"/>
        <w:ind w:firstLineChars="0" w:firstLine="720"/>
        <w:jc w:val="left"/>
      </w:pPr>
      <w:r w:rsidRPr="005C4165">
        <w:t>We argue that normative</w:t>
      </w:r>
      <w:r w:rsidR="00CD5A2E">
        <w:t xml:space="preserve"> and </w:t>
      </w:r>
      <w:r w:rsidRPr="005C4165">
        <w:t>cognitive institutional distance</w:t>
      </w:r>
      <w:r w:rsidR="00B031A7">
        <w:t>s</w:t>
      </w:r>
      <w:r w:rsidRPr="005C4165">
        <w:t xml:space="preserve"> will also moderate the relation between </w:t>
      </w:r>
      <w:r>
        <w:t xml:space="preserve">EO </w:t>
      </w:r>
      <w:r w:rsidRPr="005C4165">
        <w:t xml:space="preserve">and </w:t>
      </w:r>
      <w:r w:rsidR="00B031A7">
        <w:t xml:space="preserve">the way </w:t>
      </w:r>
      <w:r w:rsidR="0073205D">
        <w:t>a firm</w:t>
      </w:r>
      <w:r w:rsidR="00B031A7">
        <w:t xml:space="preserve"> structures its </w:t>
      </w:r>
      <w:r w:rsidRPr="005C4165">
        <w:t xml:space="preserve">export channel. </w:t>
      </w:r>
      <w:r w:rsidR="00381833">
        <w:t>Earlier w</w:t>
      </w:r>
      <w:r w:rsidR="00B031A7">
        <w:t>e theorized that a firm with higher EO w</w:t>
      </w:r>
      <w:r w:rsidR="00381833">
        <w:t>ould</w:t>
      </w:r>
      <w:r w:rsidR="00B031A7">
        <w:t xml:space="preserve"> prefer </w:t>
      </w:r>
      <w:r w:rsidR="00381833">
        <w:t xml:space="preserve">a </w:t>
      </w:r>
      <w:r w:rsidR="0038300D">
        <w:t>cooperative</w:t>
      </w:r>
      <w:r w:rsidR="00B031A7">
        <w:t xml:space="preserve"> </w:t>
      </w:r>
      <w:r w:rsidR="005822FE">
        <w:t xml:space="preserve">export </w:t>
      </w:r>
      <w:r w:rsidR="00942181" w:rsidRPr="00A141F6">
        <w:t>channel</w:t>
      </w:r>
      <w:r w:rsidR="00B031A7">
        <w:t xml:space="preserve"> because it possesses </w:t>
      </w:r>
      <w:r w:rsidR="00B031A7" w:rsidRPr="00A141F6">
        <w:t>th</w:t>
      </w:r>
      <w:r w:rsidR="00942181" w:rsidRPr="00A141F6">
        <w:t>e</w:t>
      </w:r>
      <w:r w:rsidR="00B031A7" w:rsidRPr="00A141F6">
        <w:t xml:space="preserve"> </w:t>
      </w:r>
      <w:r w:rsidR="00612271" w:rsidRPr="002B2C6E">
        <w:t>practices and processes</w:t>
      </w:r>
      <w:r w:rsidR="00B031A7" w:rsidRPr="00A141F6">
        <w:t xml:space="preserve"> </w:t>
      </w:r>
      <w:r w:rsidR="00942181" w:rsidRPr="00A141F6">
        <w:t>needed</w:t>
      </w:r>
      <w:r w:rsidR="00942181">
        <w:t xml:space="preserve"> </w:t>
      </w:r>
      <w:r w:rsidR="00B031A7">
        <w:t>to take external resources</w:t>
      </w:r>
      <w:r w:rsidR="001B2BE0">
        <w:t xml:space="preserve"> (both tangible and intangible)</w:t>
      </w:r>
      <w:r w:rsidR="00B031A7">
        <w:t xml:space="preserve"> provided by a partner and leverage those to improve its </w:t>
      </w:r>
      <w:r w:rsidR="00CD5A2E">
        <w:t>performance</w:t>
      </w:r>
      <w:r w:rsidR="00B031A7">
        <w:t xml:space="preserve"> in the foreign market </w:t>
      </w:r>
      <w:r w:rsidR="00B031A7">
        <w:lastRenderedPageBreak/>
        <w:t>(</w:t>
      </w:r>
      <w:proofErr w:type="spellStart"/>
      <w:r w:rsidR="00942181" w:rsidRPr="00A141F6">
        <w:t>Wiklund</w:t>
      </w:r>
      <w:proofErr w:type="spellEnd"/>
      <w:r w:rsidR="00942181" w:rsidRPr="00A141F6">
        <w:t xml:space="preserve"> &amp; Shepherd, 2003</w:t>
      </w:r>
      <w:r w:rsidR="00B031A7">
        <w:t xml:space="preserve">). </w:t>
      </w:r>
      <w:r w:rsidR="001B2BE0">
        <w:t>However, w</w:t>
      </w:r>
      <w:r w:rsidRPr="005C4165">
        <w:t>hen entering markets with similar normative</w:t>
      </w:r>
      <w:r w:rsidR="00DA6055">
        <w:t xml:space="preserve"> and or </w:t>
      </w:r>
      <w:r w:rsidRPr="005C4165">
        <w:t>cognitive aspects</w:t>
      </w:r>
      <w:r w:rsidR="00B031A7">
        <w:t xml:space="preserve"> fewer additional resources will be required and thus the benefits of partnering with a local </w:t>
      </w:r>
      <w:r w:rsidR="0073205D">
        <w:t xml:space="preserve">firm </w:t>
      </w:r>
      <w:r w:rsidR="00B031A7">
        <w:t>will be reduced</w:t>
      </w:r>
      <w:r w:rsidR="002D1D0A">
        <w:t xml:space="preserve">. </w:t>
      </w:r>
      <w:r w:rsidR="001B2BE0">
        <w:t xml:space="preserve">In </w:t>
      </w:r>
      <w:r w:rsidR="00381833">
        <w:t>more similar</w:t>
      </w:r>
      <w:r w:rsidRPr="005C4165">
        <w:t xml:space="preserve"> </w:t>
      </w:r>
      <w:r w:rsidR="001B2BE0">
        <w:t>normative</w:t>
      </w:r>
      <w:r w:rsidR="00DA6055">
        <w:t xml:space="preserve"> and or </w:t>
      </w:r>
      <w:r w:rsidR="001B2BE0">
        <w:t xml:space="preserve">cognitive countries </w:t>
      </w:r>
      <w:r w:rsidRPr="005C4165">
        <w:t xml:space="preserve">it is easier to transfer and use </w:t>
      </w:r>
      <w:r>
        <w:t xml:space="preserve">capabilities developed in </w:t>
      </w:r>
      <w:r w:rsidR="001B2BE0">
        <w:t xml:space="preserve">the </w:t>
      </w:r>
      <w:r w:rsidRPr="005C4165">
        <w:t>home country (</w:t>
      </w:r>
      <w:r w:rsidR="00100681" w:rsidRPr="005C4165">
        <w:t>Chan &amp; Makino, 2007</w:t>
      </w:r>
      <w:r w:rsidRPr="005C4165">
        <w:t xml:space="preserve">). </w:t>
      </w:r>
      <w:r w:rsidR="001B2BE0">
        <w:t xml:space="preserve">Although SMEs may still require some additional tangible resources, much of the intangible resource needs disappear. </w:t>
      </w:r>
      <w:r w:rsidRPr="005C4165">
        <w:t xml:space="preserve">In this situation, </w:t>
      </w:r>
      <w:r>
        <w:t xml:space="preserve">firms with </w:t>
      </w:r>
      <w:r w:rsidRPr="005C4165">
        <w:t>high</w:t>
      </w:r>
      <w:r w:rsidR="001B2BE0">
        <w:t>er</w:t>
      </w:r>
      <w:r w:rsidRPr="005C4165">
        <w:t xml:space="preserve"> EO will see few</w:t>
      </w:r>
      <w:r w:rsidR="001B2BE0">
        <w:t>er</w:t>
      </w:r>
      <w:r w:rsidRPr="005C4165">
        <w:t xml:space="preserve"> benefits from partnering with a local</w:t>
      </w:r>
      <w:r w:rsidR="001B2BE0">
        <w:t xml:space="preserve"> organization</w:t>
      </w:r>
      <w:r w:rsidR="0038300D">
        <w:t xml:space="preserve"> since </w:t>
      </w:r>
      <w:r w:rsidR="00E40524" w:rsidRPr="005C4165">
        <w:t>little</w:t>
      </w:r>
      <w:r w:rsidRPr="005C4165">
        <w:t xml:space="preserve"> additional knowledge may be needed</w:t>
      </w:r>
      <w:r>
        <w:t xml:space="preserve">; firms can exploit existing capabilities to </w:t>
      </w:r>
      <w:r w:rsidR="00B05803">
        <w:t>create a</w:t>
      </w:r>
      <w:r>
        <w:t xml:space="preserve"> competitive advantage. </w:t>
      </w:r>
      <w:r w:rsidR="00381833">
        <w:t xml:space="preserve">Because of this we suggest firms with </w:t>
      </w:r>
      <w:r w:rsidR="00E34C2F">
        <w:t>greater</w:t>
      </w:r>
      <w:r w:rsidR="00381833" w:rsidRPr="005C4165">
        <w:t xml:space="preserve"> </w:t>
      </w:r>
      <w:r w:rsidR="00381833" w:rsidRPr="001B2BE0">
        <w:t xml:space="preserve">EO </w:t>
      </w:r>
      <w:r w:rsidRPr="005C4165">
        <w:t>entering a country with similar normative</w:t>
      </w:r>
      <w:r w:rsidR="00CD5A2E">
        <w:t xml:space="preserve"> and </w:t>
      </w:r>
      <w:r w:rsidR="00DA6055">
        <w:t xml:space="preserve">or </w:t>
      </w:r>
      <w:r w:rsidRPr="005C4165">
        <w:t xml:space="preserve">cognitive </w:t>
      </w:r>
      <w:r w:rsidR="00E34C2F">
        <w:t>contexts</w:t>
      </w:r>
      <w:r w:rsidRPr="005C4165">
        <w:t xml:space="preserve"> will be less likely to benefit from and use </w:t>
      </w:r>
      <w:r w:rsidR="0038300D">
        <w:t>cooperative</w:t>
      </w:r>
      <w:r w:rsidRPr="005C4165">
        <w:t xml:space="preserve"> export channels.</w:t>
      </w:r>
    </w:p>
    <w:p w14:paraId="5EE3D5EB" w14:textId="1B74ADBE" w:rsidR="00E03C2E" w:rsidRPr="00473489" w:rsidRDefault="00E03C2E" w:rsidP="006F72C4">
      <w:pPr>
        <w:pStyle w:val="NormalIndent"/>
        <w:spacing w:after="0"/>
        <w:ind w:firstLineChars="0" w:firstLine="720"/>
        <w:jc w:val="left"/>
      </w:pPr>
      <w:r w:rsidRPr="005C4165">
        <w:t>In contrast, in a normatively</w:t>
      </w:r>
      <w:r w:rsidR="00CD5A2E">
        <w:t xml:space="preserve"> and or </w:t>
      </w:r>
      <w:r w:rsidRPr="005C4165">
        <w:t xml:space="preserve">cognitively distant country SMEs will need to gain access to information about </w:t>
      </w:r>
      <w:r w:rsidR="00942181" w:rsidRPr="00A141F6">
        <w:t>these</w:t>
      </w:r>
      <w:r w:rsidRPr="005C4165">
        <w:t xml:space="preserve"> differences to develop effective responses (Chan &amp; Makino, 2007). Under th</w:t>
      </w:r>
      <w:r>
        <w:t>e</w:t>
      </w:r>
      <w:r w:rsidRPr="005C4165">
        <w:t xml:space="preserve">se conditions, SMEs with </w:t>
      </w:r>
      <w:r w:rsidR="00281828">
        <w:t>greater</w:t>
      </w:r>
      <w:r w:rsidRPr="005C4165">
        <w:t xml:space="preserve"> EO</w:t>
      </w:r>
      <w:r w:rsidR="001B2BE0">
        <w:t xml:space="preserve"> </w:t>
      </w:r>
      <w:r w:rsidRPr="005C4165">
        <w:t xml:space="preserve">will tend to export </w:t>
      </w:r>
      <w:r w:rsidR="005822FE">
        <w:t xml:space="preserve">with the </w:t>
      </w:r>
      <w:r w:rsidR="00BD5C55">
        <w:t>aid</w:t>
      </w:r>
      <w:r w:rsidR="005822FE">
        <w:t xml:space="preserve"> of</w:t>
      </w:r>
      <w:r w:rsidRPr="005C4165">
        <w:t xml:space="preserve"> local partners</w:t>
      </w:r>
      <w:r>
        <w:t xml:space="preserve">. </w:t>
      </w:r>
      <w:r w:rsidR="00E40524" w:rsidRPr="005C4165">
        <w:t>The</w:t>
      </w:r>
      <w:r w:rsidR="00E40524">
        <w:t xml:space="preserve"> </w:t>
      </w:r>
      <w:r w:rsidR="00E40524" w:rsidRPr="005C4165">
        <w:t>reason</w:t>
      </w:r>
      <w:r w:rsidRPr="005C4165">
        <w:t xml:space="preserve"> for this</w:t>
      </w:r>
      <w:r w:rsidR="00281828">
        <w:t xml:space="preserve"> is that </w:t>
      </w:r>
      <w:r w:rsidRPr="005C4165">
        <w:t xml:space="preserve">these partners can be helpful in </w:t>
      </w:r>
      <w:r w:rsidR="001B2BE0">
        <w:t xml:space="preserve">accessing intangible knowledge </w:t>
      </w:r>
      <w:r w:rsidR="00281828">
        <w:t>rooted in a society</w:t>
      </w:r>
      <w:r w:rsidRPr="005C4165">
        <w:t xml:space="preserve"> (Gaur</w:t>
      </w:r>
      <w:r>
        <w:t xml:space="preserve"> &amp; Lu</w:t>
      </w:r>
      <w:r w:rsidRPr="005C4165">
        <w:t xml:space="preserve">, 2007). Local partners provide knowledge regarding commercial conventions and customer standards of behavior that will help innovative and proactive SMEs to develop new or modify current products to better match the expectations of the foreign market. Through foreign partners </w:t>
      </w:r>
      <w:r w:rsidR="00C62DA9">
        <w:t xml:space="preserve">a </w:t>
      </w:r>
      <w:r>
        <w:t xml:space="preserve">SME with </w:t>
      </w:r>
      <w:r w:rsidR="00233CFF">
        <w:t>greater</w:t>
      </w:r>
      <w:r w:rsidRPr="005C4165">
        <w:t xml:space="preserve"> EO get</w:t>
      </w:r>
      <w:r w:rsidR="00C62DA9">
        <w:t>s</w:t>
      </w:r>
      <w:r w:rsidRPr="005C4165">
        <w:t xml:space="preserve"> access to i</w:t>
      </w:r>
      <w:r w:rsidR="00DA6055">
        <w:t>ntangible resources that allow it</w:t>
      </w:r>
      <w:r w:rsidRPr="005C4165">
        <w:t xml:space="preserve"> to take advantage of </w:t>
      </w:r>
      <w:r w:rsidR="00DA6055">
        <w:t>its</w:t>
      </w:r>
      <w:r w:rsidRPr="005C4165">
        <w:t xml:space="preserve"> </w:t>
      </w:r>
      <w:r w:rsidR="00144AED" w:rsidRPr="00E22220">
        <w:t>EO</w:t>
      </w:r>
      <w:r w:rsidRPr="005C4165">
        <w:t>, compensating for the lack of knowledge about how to position and market products in these countries (</w:t>
      </w:r>
      <w:proofErr w:type="spellStart"/>
      <w:r w:rsidRPr="005C4165">
        <w:t>Nakos</w:t>
      </w:r>
      <w:proofErr w:type="spellEnd"/>
      <w:r>
        <w:t xml:space="preserve"> et al., </w:t>
      </w:r>
      <w:r w:rsidRPr="005C4165">
        <w:t>201</w:t>
      </w:r>
      <w:r w:rsidR="00A00296">
        <w:t>4</w:t>
      </w:r>
      <w:r w:rsidRPr="005C4165">
        <w:t xml:space="preserve">). Thus, we suggest that </w:t>
      </w:r>
      <w:r w:rsidR="00233CFF">
        <w:t xml:space="preserve">these </w:t>
      </w:r>
      <w:r w:rsidR="00281828">
        <w:t xml:space="preserve">firms </w:t>
      </w:r>
      <w:r w:rsidRPr="005C4165">
        <w:t xml:space="preserve">will have a greater tendency to use </w:t>
      </w:r>
      <w:r w:rsidR="0038300D">
        <w:t>cooperative</w:t>
      </w:r>
      <w:r w:rsidRPr="005C4165">
        <w:t xml:space="preserve"> </w:t>
      </w:r>
      <w:r w:rsidR="00BD5C55">
        <w:t xml:space="preserve">export </w:t>
      </w:r>
      <w:r w:rsidRPr="005C4165">
        <w:t>channels</w:t>
      </w:r>
      <w:r w:rsidR="00096506">
        <w:t xml:space="preserve"> </w:t>
      </w:r>
      <w:r w:rsidR="00281828" w:rsidRPr="005C4165">
        <w:t>when entering normatively</w:t>
      </w:r>
      <w:r w:rsidR="00DA6055">
        <w:t xml:space="preserve"> and or </w:t>
      </w:r>
      <w:r w:rsidR="00281828" w:rsidRPr="005C4165">
        <w:t xml:space="preserve">cognitively distant countries </w:t>
      </w:r>
      <w:r w:rsidR="00096506">
        <w:t xml:space="preserve">compared with </w:t>
      </w:r>
      <w:r w:rsidR="00281828">
        <w:t xml:space="preserve">when they </w:t>
      </w:r>
      <w:r w:rsidR="00096506">
        <w:t>enter normatively</w:t>
      </w:r>
      <w:r w:rsidR="00DA6055">
        <w:t xml:space="preserve"> and or </w:t>
      </w:r>
      <w:r w:rsidR="00096506">
        <w:t>cognitively close countries</w:t>
      </w:r>
      <w:r w:rsidRPr="005C4165">
        <w:t>. Based on this our third hypothesis suggests</w:t>
      </w:r>
      <w:r w:rsidR="00473489" w:rsidRPr="00473489">
        <w:rPr>
          <w:b/>
        </w:rPr>
        <w:t xml:space="preserve"> </w:t>
      </w:r>
      <w:r w:rsidR="00473489" w:rsidRPr="00473489">
        <w:t>that</w:t>
      </w:r>
      <w:r w:rsidRPr="00473489">
        <w:t>:</w:t>
      </w:r>
    </w:p>
    <w:p w14:paraId="5EE3D5EC" w14:textId="77777777" w:rsidR="00E03C2E" w:rsidRDefault="00E03C2E" w:rsidP="00A26A6F">
      <w:pPr>
        <w:ind w:left="720" w:right="-108"/>
        <w:rPr>
          <w:b/>
        </w:rPr>
      </w:pPr>
      <w:r w:rsidRPr="005C4165">
        <w:rPr>
          <w:b/>
        </w:rPr>
        <w:lastRenderedPageBreak/>
        <w:t>Hypothesis 3</w:t>
      </w:r>
      <w:r w:rsidR="00A26A6F">
        <w:rPr>
          <w:b/>
        </w:rPr>
        <w:t>a</w:t>
      </w:r>
      <w:r w:rsidRPr="005C4165">
        <w:rPr>
          <w:b/>
        </w:rPr>
        <w:t xml:space="preserve">. </w:t>
      </w:r>
      <w:r w:rsidR="00473489">
        <w:rPr>
          <w:b/>
        </w:rPr>
        <w:t>SMEs</w:t>
      </w:r>
      <w:r w:rsidRPr="005C4165">
        <w:rPr>
          <w:b/>
        </w:rPr>
        <w:t xml:space="preserve"> possessing </w:t>
      </w:r>
      <w:r w:rsidR="00233CFF">
        <w:rPr>
          <w:b/>
        </w:rPr>
        <w:t>greater</w:t>
      </w:r>
      <w:r w:rsidRPr="005C4165">
        <w:rPr>
          <w:b/>
        </w:rPr>
        <w:t xml:space="preserve"> EO entering normatively</w:t>
      </w:r>
      <w:r w:rsidR="00A26A6F">
        <w:rPr>
          <w:b/>
        </w:rPr>
        <w:t xml:space="preserve"> </w:t>
      </w:r>
      <w:r w:rsidRPr="005C4165">
        <w:rPr>
          <w:b/>
        </w:rPr>
        <w:t xml:space="preserve">distant markets will </w:t>
      </w:r>
      <w:r w:rsidR="00096506">
        <w:rPr>
          <w:b/>
        </w:rPr>
        <w:t xml:space="preserve">have a greater </w:t>
      </w:r>
      <w:r w:rsidR="00E932AF">
        <w:rPr>
          <w:b/>
        </w:rPr>
        <w:t xml:space="preserve">tendency to use </w:t>
      </w:r>
      <w:r w:rsidR="0038300D">
        <w:rPr>
          <w:b/>
        </w:rPr>
        <w:t>cooperative</w:t>
      </w:r>
      <w:r w:rsidRPr="005C4165">
        <w:rPr>
          <w:b/>
        </w:rPr>
        <w:t xml:space="preserve"> export channels </w:t>
      </w:r>
      <w:r w:rsidR="00096506">
        <w:rPr>
          <w:b/>
        </w:rPr>
        <w:t xml:space="preserve">compared to </w:t>
      </w:r>
      <w:r w:rsidRPr="005C4165">
        <w:rPr>
          <w:b/>
        </w:rPr>
        <w:t xml:space="preserve">those </w:t>
      </w:r>
      <w:r w:rsidR="001B0F9C">
        <w:rPr>
          <w:b/>
        </w:rPr>
        <w:t xml:space="preserve">same firms </w:t>
      </w:r>
      <w:r w:rsidRPr="005C4165">
        <w:rPr>
          <w:b/>
        </w:rPr>
        <w:t xml:space="preserve">entering </w:t>
      </w:r>
      <w:r w:rsidR="00096506">
        <w:rPr>
          <w:b/>
        </w:rPr>
        <w:t>normatively</w:t>
      </w:r>
      <w:r w:rsidR="00DA6055">
        <w:rPr>
          <w:b/>
        </w:rPr>
        <w:t xml:space="preserve"> </w:t>
      </w:r>
      <w:r w:rsidRPr="005C4165">
        <w:rPr>
          <w:b/>
        </w:rPr>
        <w:t xml:space="preserve">close markets. </w:t>
      </w:r>
    </w:p>
    <w:p w14:paraId="5EE3D5ED" w14:textId="77777777" w:rsidR="00A26A6F" w:rsidRDefault="00A26A6F" w:rsidP="00A26A6F">
      <w:pPr>
        <w:ind w:right="-108"/>
        <w:rPr>
          <w:b/>
        </w:rPr>
      </w:pPr>
    </w:p>
    <w:p w14:paraId="5EE3D5EE" w14:textId="77777777" w:rsidR="00061275" w:rsidRDefault="00A26A6F" w:rsidP="00A26A6F">
      <w:pPr>
        <w:ind w:left="720" w:right="-108"/>
        <w:rPr>
          <w:b/>
        </w:rPr>
      </w:pPr>
      <w:r>
        <w:rPr>
          <w:b/>
        </w:rPr>
        <w:t xml:space="preserve">Hypothesis </w:t>
      </w:r>
      <w:r w:rsidRPr="005C4165">
        <w:rPr>
          <w:b/>
        </w:rPr>
        <w:t>3</w:t>
      </w:r>
      <w:r>
        <w:rPr>
          <w:b/>
        </w:rPr>
        <w:t>b</w:t>
      </w:r>
      <w:r w:rsidRPr="005C4165">
        <w:rPr>
          <w:b/>
        </w:rPr>
        <w:t xml:space="preserve">. </w:t>
      </w:r>
      <w:r>
        <w:rPr>
          <w:b/>
        </w:rPr>
        <w:t>SMEs</w:t>
      </w:r>
      <w:r w:rsidRPr="005C4165">
        <w:rPr>
          <w:b/>
        </w:rPr>
        <w:t xml:space="preserve"> possessing </w:t>
      </w:r>
      <w:r>
        <w:rPr>
          <w:b/>
        </w:rPr>
        <w:t>greater</w:t>
      </w:r>
      <w:r w:rsidRPr="005C4165">
        <w:rPr>
          <w:b/>
        </w:rPr>
        <w:t xml:space="preserve"> EO entering cognitively distant markets will </w:t>
      </w:r>
      <w:r w:rsidR="00E932AF">
        <w:rPr>
          <w:b/>
        </w:rPr>
        <w:t>have a greater tendency to use</w:t>
      </w:r>
      <w:r w:rsidRPr="005C4165">
        <w:rPr>
          <w:b/>
        </w:rPr>
        <w:t xml:space="preserve"> </w:t>
      </w:r>
      <w:r>
        <w:rPr>
          <w:b/>
        </w:rPr>
        <w:t>cooperative</w:t>
      </w:r>
      <w:r w:rsidRPr="005C4165">
        <w:rPr>
          <w:b/>
        </w:rPr>
        <w:t xml:space="preserve"> export channels </w:t>
      </w:r>
      <w:r>
        <w:rPr>
          <w:b/>
        </w:rPr>
        <w:t xml:space="preserve">compared to </w:t>
      </w:r>
      <w:r w:rsidRPr="005C4165">
        <w:rPr>
          <w:b/>
        </w:rPr>
        <w:t xml:space="preserve">those </w:t>
      </w:r>
      <w:r>
        <w:rPr>
          <w:b/>
        </w:rPr>
        <w:t xml:space="preserve">same firms </w:t>
      </w:r>
      <w:r w:rsidRPr="005C4165">
        <w:rPr>
          <w:b/>
        </w:rPr>
        <w:t xml:space="preserve">entering </w:t>
      </w:r>
      <w:r>
        <w:rPr>
          <w:b/>
        </w:rPr>
        <w:t>cognitively</w:t>
      </w:r>
      <w:r w:rsidRPr="005C4165">
        <w:rPr>
          <w:b/>
        </w:rPr>
        <w:t xml:space="preserve"> close markets.</w:t>
      </w:r>
    </w:p>
    <w:p w14:paraId="5EE3D5EF" w14:textId="77777777" w:rsidR="00A26A6F" w:rsidRDefault="00A26A6F" w:rsidP="00A26A6F">
      <w:pPr>
        <w:ind w:left="720" w:right="-108"/>
        <w:rPr>
          <w:b/>
        </w:rPr>
      </w:pPr>
    </w:p>
    <w:p w14:paraId="5EE3D5F0" w14:textId="77777777" w:rsidR="00A26A6F" w:rsidRDefault="00A26A6F" w:rsidP="00A26A6F">
      <w:pPr>
        <w:ind w:left="720" w:right="-108"/>
        <w:rPr>
          <w:b/>
        </w:rPr>
      </w:pPr>
    </w:p>
    <w:p w14:paraId="5EE3D5F1" w14:textId="557A4D16" w:rsidR="00E03C2E" w:rsidRPr="00D5252F" w:rsidRDefault="00323136" w:rsidP="00D90527">
      <w:pPr>
        <w:spacing w:line="480" w:lineRule="auto"/>
        <w:ind w:right="-108"/>
        <w:rPr>
          <w:b/>
        </w:rPr>
      </w:pPr>
      <w:r>
        <w:rPr>
          <w:b/>
        </w:rPr>
        <w:t xml:space="preserve">2.3 </w:t>
      </w:r>
      <w:r w:rsidR="00E03C2E" w:rsidRPr="00612BA4">
        <w:rPr>
          <w:b/>
        </w:rPr>
        <w:t>Export performance</w:t>
      </w:r>
    </w:p>
    <w:p w14:paraId="5EE3D5F2" w14:textId="48E10B3E" w:rsidR="00C06A01" w:rsidRPr="00B20412" w:rsidRDefault="00C06A01" w:rsidP="00C06A01">
      <w:pPr>
        <w:spacing w:line="480" w:lineRule="auto"/>
        <w:ind w:right="-108" w:firstLine="567"/>
      </w:pPr>
      <w:r w:rsidRPr="00B20412">
        <w:t xml:space="preserve">Previous </w:t>
      </w:r>
      <w:r w:rsidRPr="00D13F0E">
        <w:t>research has noted that firms which have greater EO tend to perform better both domestically and in export markets (</w:t>
      </w:r>
      <w:proofErr w:type="spellStart"/>
      <w:r w:rsidRPr="00D13F0E">
        <w:t>Balabanis</w:t>
      </w:r>
      <w:proofErr w:type="spellEnd"/>
      <w:r w:rsidRPr="00D13F0E">
        <w:t xml:space="preserve"> &amp; </w:t>
      </w:r>
      <w:proofErr w:type="spellStart"/>
      <w:r w:rsidRPr="00D13F0E">
        <w:t>Katsikea</w:t>
      </w:r>
      <w:proofErr w:type="spellEnd"/>
      <w:r w:rsidRPr="00D13F0E">
        <w:t>, 2003</w:t>
      </w:r>
      <w:r w:rsidR="006A612C">
        <w:t>;</w:t>
      </w:r>
      <w:r w:rsidR="006A612C" w:rsidRPr="006A612C">
        <w:t xml:space="preserve"> </w:t>
      </w:r>
      <w:r w:rsidR="006A612C" w:rsidRPr="00D13F0E">
        <w:t>Rauch et al., 2009</w:t>
      </w:r>
      <w:r w:rsidR="00C67C15">
        <w:t>; Saeed et al., 2014</w:t>
      </w:r>
      <w:r w:rsidRPr="00D13F0E">
        <w:t xml:space="preserve">). This occurs because </w:t>
      </w:r>
      <w:r w:rsidR="00AA16BE">
        <w:t xml:space="preserve">high EO </w:t>
      </w:r>
      <w:r w:rsidRPr="00D13F0E">
        <w:t xml:space="preserve">firms </w:t>
      </w:r>
      <w:r w:rsidR="00C67C15">
        <w:t>are</w:t>
      </w:r>
      <w:r w:rsidRPr="00D13F0E">
        <w:t xml:space="preserve"> more innovative, proactive and risk-taking (L</w:t>
      </w:r>
      <w:r w:rsidR="006A612C">
        <w:t>ee et al, 2001</w:t>
      </w:r>
      <w:r w:rsidR="00AA16BE">
        <w:t>;</w:t>
      </w:r>
      <w:r w:rsidR="00AA16BE" w:rsidRPr="00AA16BE">
        <w:t xml:space="preserve"> </w:t>
      </w:r>
      <w:r w:rsidR="00AA16BE">
        <w:t>Saeed et al., 2014</w:t>
      </w:r>
      <w:r w:rsidRPr="00D13F0E">
        <w:t xml:space="preserve">). </w:t>
      </w:r>
      <w:r w:rsidR="00FF481E">
        <w:t>T</w:t>
      </w:r>
      <w:r w:rsidRPr="00D13F0E">
        <w:t xml:space="preserve">hese </w:t>
      </w:r>
      <w:r w:rsidR="00C67C15">
        <w:t>attributes</w:t>
      </w:r>
      <w:r w:rsidRPr="00D13F0E">
        <w:t xml:space="preserve"> enable firms to find unique market niches, adjust products to fit consumer demand, and develop processes needed to provide superior service (Lumpkin &amp; Dess, 1996; </w:t>
      </w:r>
      <w:proofErr w:type="spellStart"/>
      <w:r w:rsidRPr="00D13F0E">
        <w:t>Rosenbusch</w:t>
      </w:r>
      <w:proofErr w:type="spellEnd"/>
      <w:r w:rsidRPr="00D13F0E">
        <w:t xml:space="preserve"> et al., 2013). In export markets firms can use EO to develop processes, technologies, and </w:t>
      </w:r>
      <w:r w:rsidR="001A0C15">
        <w:t xml:space="preserve">strategies suitable to exploit </w:t>
      </w:r>
      <w:r w:rsidRPr="00D13F0E">
        <w:t xml:space="preserve">foreign-market opportunities; allowing </w:t>
      </w:r>
      <w:r w:rsidR="00524443">
        <w:t>the firm</w:t>
      </w:r>
      <w:r w:rsidRPr="00D13F0E">
        <w:t xml:space="preserve"> to overcome </w:t>
      </w:r>
      <w:r w:rsidR="00296586">
        <w:t xml:space="preserve">some of </w:t>
      </w:r>
      <w:r w:rsidRPr="00D13F0E">
        <w:t>the liabilities of foreignness encountered as it moves abroad</w:t>
      </w:r>
      <w:r w:rsidR="00C16162">
        <w:t xml:space="preserve"> (</w:t>
      </w:r>
      <w:proofErr w:type="spellStart"/>
      <w:r w:rsidR="009E27A3">
        <w:t>Covin</w:t>
      </w:r>
      <w:proofErr w:type="spellEnd"/>
      <w:r w:rsidR="009E27A3">
        <w:t xml:space="preserve"> &amp; Miller, </w:t>
      </w:r>
      <w:r w:rsidR="009E27A3" w:rsidRPr="00251A9C">
        <w:t>2014</w:t>
      </w:r>
      <w:r w:rsidR="00251A9C" w:rsidRPr="00251A9C">
        <w:t>; Knight et al.</w:t>
      </w:r>
      <w:r w:rsidR="009549A4">
        <w:t>,</w:t>
      </w:r>
      <w:r w:rsidR="00251A9C" w:rsidRPr="00251A9C">
        <w:t xml:space="preserve"> 2020</w:t>
      </w:r>
      <w:r w:rsidR="00C16162" w:rsidRPr="00251A9C">
        <w:t>)</w:t>
      </w:r>
      <w:r w:rsidRPr="00251A9C">
        <w:t>.</w:t>
      </w:r>
      <w:r w:rsidRPr="00D13F0E">
        <w:t xml:space="preserve"> Overall, having </w:t>
      </w:r>
      <w:r w:rsidR="00C67C15">
        <w:t>greater EO</w:t>
      </w:r>
      <w:r w:rsidRPr="00D13F0E">
        <w:t xml:space="preserve"> leads to superior </w:t>
      </w:r>
      <w:r w:rsidR="007D2612">
        <w:t xml:space="preserve">export </w:t>
      </w:r>
      <w:r w:rsidRPr="00D13F0E">
        <w:t xml:space="preserve">performance because it enhances a firm’s ability to </w:t>
      </w:r>
      <w:r w:rsidR="00DA6055">
        <w:t>identify</w:t>
      </w:r>
      <w:r w:rsidR="007D2612">
        <w:t xml:space="preserve"> new opportunities and </w:t>
      </w:r>
      <w:r w:rsidRPr="00D13F0E">
        <w:t>transform the</w:t>
      </w:r>
      <w:r w:rsidR="007D2612">
        <w:t xml:space="preserve">se </w:t>
      </w:r>
      <w:r w:rsidRPr="00D13F0E">
        <w:t>into</w:t>
      </w:r>
      <w:r w:rsidRPr="00B20412">
        <w:t xml:space="preserve"> </w:t>
      </w:r>
      <w:r w:rsidR="007D2612">
        <w:t xml:space="preserve">a value adding </w:t>
      </w:r>
      <w:r w:rsidRPr="00B20412">
        <w:t>competitive advantage</w:t>
      </w:r>
      <w:r w:rsidR="00296586">
        <w:t xml:space="preserve"> </w:t>
      </w:r>
      <w:r w:rsidRPr="003D280A">
        <w:t>(</w:t>
      </w:r>
      <w:r w:rsidR="003D280A" w:rsidRPr="003D280A">
        <w:t>Knight et al.</w:t>
      </w:r>
      <w:r w:rsidR="009549A4">
        <w:t>,</w:t>
      </w:r>
      <w:r w:rsidR="003D280A" w:rsidRPr="003D280A">
        <w:t xml:space="preserve"> 2020</w:t>
      </w:r>
      <w:r w:rsidR="003D280A">
        <w:t xml:space="preserve">; </w:t>
      </w:r>
      <w:proofErr w:type="spellStart"/>
      <w:r w:rsidRPr="003D280A">
        <w:t>Rosenb</w:t>
      </w:r>
      <w:r w:rsidRPr="00B20412">
        <w:t>usch</w:t>
      </w:r>
      <w:proofErr w:type="spellEnd"/>
      <w:r>
        <w:t xml:space="preserve"> et al., 2</w:t>
      </w:r>
      <w:r w:rsidRPr="00B20412">
        <w:t>01</w:t>
      </w:r>
      <w:r>
        <w:t>3</w:t>
      </w:r>
      <w:r w:rsidRPr="00B20412">
        <w:t>)</w:t>
      </w:r>
      <w:r>
        <w:t>.</w:t>
      </w:r>
      <w:r w:rsidR="006B141A" w:rsidRPr="006B141A">
        <w:t xml:space="preserve"> </w:t>
      </w:r>
    </w:p>
    <w:p w14:paraId="5EE3D5F3" w14:textId="5763C76C" w:rsidR="001A0C15" w:rsidRPr="00AA16BE" w:rsidRDefault="00C06A01" w:rsidP="00C06A01">
      <w:pPr>
        <w:spacing w:line="480" w:lineRule="auto"/>
        <w:ind w:right="-108" w:firstLine="567"/>
      </w:pPr>
      <w:r w:rsidRPr="00AA16BE">
        <w:t>Yet the possession of EO may not be sufficient for explaining wealth creation</w:t>
      </w:r>
      <w:r w:rsidR="00CB05D0" w:rsidRPr="00AA16BE">
        <w:t>, especially international wealth creation</w:t>
      </w:r>
      <w:r w:rsidRPr="00AA16BE">
        <w:t xml:space="preserve">; </w:t>
      </w:r>
      <w:r w:rsidR="00C67C15" w:rsidRPr="00AA16BE">
        <w:t>extent research suggests that there may be other mediating and moderating factors (</w:t>
      </w:r>
      <w:r w:rsidR="00254406">
        <w:t xml:space="preserve">Jiang et al., 2018; </w:t>
      </w:r>
      <w:r w:rsidR="00C67C15" w:rsidRPr="00AA16BE">
        <w:t>Wales et al., 201</w:t>
      </w:r>
      <w:r w:rsidR="0041511B" w:rsidRPr="00AA16BE">
        <w:t>3</w:t>
      </w:r>
      <w:r w:rsidR="00C67C15" w:rsidRPr="00AA16BE">
        <w:t xml:space="preserve">). </w:t>
      </w:r>
      <w:r w:rsidR="001E6CBF" w:rsidRPr="00AA16BE">
        <w:t>While a number of factors have been examined</w:t>
      </w:r>
      <w:r w:rsidR="00DA6055">
        <w:t>,</w:t>
      </w:r>
      <w:r w:rsidR="001E6CBF" w:rsidRPr="00AA16BE">
        <w:t xml:space="preserve"> </w:t>
      </w:r>
      <w:r w:rsidR="006B27D2" w:rsidRPr="00AA16BE">
        <w:t xml:space="preserve">such as </w:t>
      </w:r>
      <w:r w:rsidR="00545023" w:rsidRPr="00AA16BE">
        <w:t>transformational leadership behaviors</w:t>
      </w:r>
      <w:r w:rsidR="00E03DAE" w:rsidRPr="00AA16BE">
        <w:t xml:space="preserve"> (</w:t>
      </w:r>
      <w:proofErr w:type="spellStart"/>
      <w:r w:rsidR="00545023" w:rsidRPr="00AA16BE">
        <w:t>Engelen</w:t>
      </w:r>
      <w:proofErr w:type="spellEnd"/>
      <w:r w:rsidR="00545023" w:rsidRPr="00AA16BE">
        <w:t xml:space="preserve">, Gupta, </w:t>
      </w:r>
      <w:proofErr w:type="spellStart"/>
      <w:r w:rsidR="00545023" w:rsidRPr="00AA16BE">
        <w:t>Strenger</w:t>
      </w:r>
      <w:proofErr w:type="spellEnd"/>
      <w:r w:rsidR="00545023" w:rsidRPr="00AA16BE">
        <w:t xml:space="preserve"> &amp; </w:t>
      </w:r>
      <w:proofErr w:type="spellStart"/>
      <w:r w:rsidR="00545023" w:rsidRPr="00AA16BE">
        <w:t>Brettel</w:t>
      </w:r>
      <w:proofErr w:type="spellEnd"/>
      <w:r w:rsidR="00545023" w:rsidRPr="00AA16BE">
        <w:t>, 2015)</w:t>
      </w:r>
      <w:r w:rsidR="00EE6454">
        <w:t>, networks (Jiang et al., 2018),</w:t>
      </w:r>
      <w:r w:rsidR="00545023" w:rsidRPr="00AA16BE">
        <w:t xml:space="preserve"> </w:t>
      </w:r>
      <w:r w:rsidR="00E03DAE" w:rsidRPr="00AA16BE">
        <w:t xml:space="preserve">and </w:t>
      </w:r>
      <w:r w:rsidR="001F241B">
        <w:t xml:space="preserve">alliance participation </w:t>
      </w:r>
      <w:r w:rsidR="00E03DAE" w:rsidRPr="001F241B">
        <w:t>(</w:t>
      </w:r>
      <w:r w:rsidR="001F241B" w:rsidRPr="001F241B">
        <w:t>Brouthers et al., 201</w:t>
      </w:r>
      <w:r w:rsidR="006F2F91">
        <w:t>5</w:t>
      </w:r>
      <w:r w:rsidR="001E6CBF" w:rsidRPr="001F241B">
        <w:t xml:space="preserve">), </w:t>
      </w:r>
      <w:r w:rsidR="001E6CBF" w:rsidRPr="00AA16BE">
        <w:t>no stud</w:t>
      </w:r>
      <w:r w:rsidR="00916989">
        <w:t>y</w:t>
      </w:r>
      <w:r w:rsidR="001E6CBF" w:rsidRPr="00AA16BE">
        <w:t xml:space="preserve"> ha</w:t>
      </w:r>
      <w:r w:rsidR="00916989">
        <w:t>s</w:t>
      </w:r>
      <w:r w:rsidR="001E6CBF" w:rsidRPr="00AA16BE">
        <w:t xml:space="preserve"> looked at the impact of export channel</w:t>
      </w:r>
      <w:r w:rsidR="00C16162" w:rsidRPr="00AA16BE">
        <w:t xml:space="preserve"> choice</w:t>
      </w:r>
      <w:r w:rsidR="001E6CBF" w:rsidRPr="00AA16BE">
        <w:t>. But other research suggests that aligning org</w:t>
      </w:r>
      <w:r w:rsidR="006B27D2" w:rsidRPr="00AA16BE">
        <w:t>anizational structure with firm</w:t>
      </w:r>
      <w:r w:rsidR="00545023" w:rsidRPr="00AA16BE">
        <w:t>-specific abilities</w:t>
      </w:r>
      <w:r w:rsidR="001E6CBF" w:rsidRPr="00AA16BE">
        <w:t xml:space="preserve"> improves performance </w:t>
      </w:r>
      <w:r w:rsidRPr="00AA16BE">
        <w:t>(</w:t>
      </w:r>
      <w:r w:rsidR="008B2F8A" w:rsidRPr="008B2F8A">
        <w:t>He, Brouthers &amp; Filatotchev, 2018</w:t>
      </w:r>
      <w:r w:rsidR="00193AAE">
        <w:t xml:space="preserve">; </w:t>
      </w:r>
      <w:proofErr w:type="spellStart"/>
      <w:r w:rsidR="006B2D1B" w:rsidRPr="006B2D1B">
        <w:t>Hollender</w:t>
      </w:r>
      <w:proofErr w:type="spellEnd"/>
      <w:r w:rsidR="006B2D1B" w:rsidRPr="006B2D1B">
        <w:t xml:space="preserve">, </w:t>
      </w:r>
      <w:proofErr w:type="spellStart"/>
      <w:r w:rsidR="006B2D1B" w:rsidRPr="006B2D1B">
        <w:t>Zapkau</w:t>
      </w:r>
      <w:proofErr w:type="spellEnd"/>
      <w:r w:rsidR="006B2D1B" w:rsidRPr="006B2D1B">
        <w:t xml:space="preserve"> &amp; </w:t>
      </w:r>
      <w:proofErr w:type="spellStart"/>
      <w:r w:rsidR="006B2D1B" w:rsidRPr="006B2D1B">
        <w:t>Schwens</w:t>
      </w:r>
      <w:proofErr w:type="spellEnd"/>
      <w:r w:rsidR="006B2D1B" w:rsidRPr="006B2D1B">
        <w:t>, 2017</w:t>
      </w:r>
      <w:r w:rsidR="006B2D1B">
        <w:t>;</w:t>
      </w:r>
      <w:r w:rsidR="00BF6F64">
        <w:t xml:space="preserve"> </w:t>
      </w:r>
      <w:r w:rsidR="00205362" w:rsidRPr="00205362">
        <w:t>Ishii, 2021</w:t>
      </w:r>
      <w:r w:rsidR="00205362">
        <w:t xml:space="preserve">; </w:t>
      </w:r>
      <w:r w:rsidR="00545023" w:rsidRPr="00AA16BE">
        <w:lastRenderedPageBreak/>
        <w:t>Venkatraman, 1989</w:t>
      </w:r>
      <w:r w:rsidRPr="00AA16BE">
        <w:t>)</w:t>
      </w:r>
      <w:r w:rsidR="00925DE0">
        <w:t xml:space="preserve">; </w:t>
      </w:r>
      <w:r w:rsidR="00AA16BE">
        <w:t>e</w:t>
      </w:r>
      <w:r w:rsidR="00CB05D0" w:rsidRPr="00AA16BE">
        <w:t xml:space="preserve">xport channel choice may be an important mediator between firm </w:t>
      </w:r>
      <w:r w:rsidR="00090A2D">
        <w:t xml:space="preserve">value generating </w:t>
      </w:r>
      <w:r w:rsidR="00821905" w:rsidRPr="00EA3AF5">
        <w:t>abilities</w:t>
      </w:r>
      <w:r w:rsidR="000E2B0F">
        <w:t xml:space="preserve"> </w:t>
      </w:r>
      <w:r w:rsidR="00CB05D0" w:rsidRPr="00AA16BE">
        <w:t xml:space="preserve">and performance (Bello </w:t>
      </w:r>
      <w:r w:rsidR="00DA6055">
        <w:t>&amp;</w:t>
      </w:r>
      <w:r w:rsidR="00CB05D0" w:rsidRPr="00AA16BE">
        <w:t xml:space="preserve"> </w:t>
      </w:r>
      <w:proofErr w:type="spellStart"/>
      <w:r w:rsidR="00CB05D0" w:rsidRPr="00AA16BE">
        <w:t>Lohtia</w:t>
      </w:r>
      <w:proofErr w:type="spellEnd"/>
      <w:r w:rsidR="00CB05D0" w:rsidRPr="00AA16BE">
        <w:t xml:space="preserve">, 1995; </w:t>
      </w:r>
      <w:proofErr w:type="spellStart"/>
      <w:r w:rsidR="00BF6F64">
        <w:t>Cavusgil</w:t>
      </w:r>
      <w:proofErr w:type="spellEnd"/>
      <w:r w:rsidR="00BF6F64">
        <w:t xml:space="preserve"> &amp; Zou, 1994; </w:t>
      </w:r>
      <w:r w:rsidR="00CB05D0" w:rsidRPr="00AA16BE">
        <w:t>He et al., 2013).</w:t>
      </w:r>
    </w:p>
    <w:p w14:paraId="5EE3D5F4" w14:textId="0937569C" w:rsidR="00C06A01" w:rsidRPr="00612BA4" w:rsidRDefault="00CB05D0" w:rsidP="00C06A01">
      <w:pPr>
        <w:spacing w:line="480" w:lineRule="auto"/>
        <w:ind w:right="-108" w:firstLine="567"/>
      </w:pPr>
      <w:r w:rsidRPr="00612BA4">
        <w:t>We theorize that t</w:t>
      </w:r>
      <w:r w:rsidR="00C06A01" w:rsidRPr="00612BA4">
        <w:t xml:space="preserve">he choice of export channel is critical since this organizational structure </w:t>
      </w:r>
      <w:r w:rsidR="00C16162" w:rsidRPr="00612BA4">
        <w:t xml:space="preserve">can </w:t>
      </w:r>
      <w:r w:rsidR="00C06A01" w:rsidRPr="00612BA4">
        <w:t xml:space="preserve">impact a firm’s ability to exploit </w:t>
      </w:r>
      <w:r w:rsidR="00C16162" w:rsidRPr="00612BA4">
        <w:t xml:space="preserve">its </w:t>
      </w:r>
      <w:r w:rsidR="0031068A" w:rsidRPr="00612BA4">
        <w:t>firm specific</w:t>
      </w:r>
      <w:r w:rsidR="00C06A01" w:rsidRPr="00612BA4">
        <w:t xml:space="preserve"> </w:t>
      </w:r>
      <w:r w:rsidR="00C16162" w:rsidRPr="00612BA4">
        <w:t xml:space="preserve">EO </w:t>
      </w:r>
      <w:r w:rsidR="00C06A01" w:rsidRPr="00612BA4">
        <w:t xml:space="preserve">in </w:t>
      </w:r>
      <w:r w:rsidR="00545023" w:rsidRPr="00612BA4">
        <w:t xml:space="preserve">an </w:t>
      </w:r>
      <w:r w:rsidR="00C06A01" w:rsidRPr="00612BA4">
        <w:t>export market. While transaction cost theory suggests that firms should choose the most efficient export channel (</w:t>
      </w:r>
      <w:proofErr w:type="spellStart"/>
      <w:r w:rsidR="00B16E0B">
        <w:t>Cuypers</w:t>
      </w:r>
      <w:proofErr w:type="spellEnd"/>
      <w:r w:rsidR="00B16E0B">
        <w:t xml:space="preserve"> et al., 2021; </w:t>
      </w:r>
      <w:r w:rsidR="00C06A01" w:rsidRPr="00612BA4">
        <w:t>Klein et al, 1990), from a</w:t>
      </w:r>
      <w:r w:rsidR="00ED2EDE" w:rsidRPr="00612BA4">
        <w:t>n entrepreneurial</w:t>
      </w:r>
      <w:r w:rsidR="00C06A01" w:rsidRPr="00612BA4">
        <w:t xml:space="preserve"> perspective </w:t>
      </w:r>
      <w:r w:rsidR="001E0F3B" w:rsidRPr="00612BA4">
        <w:t xml:space="preserve">firms should select the structure that provides the best </w:t>
      </w:r>
      <w:r w:rsidR="00C06A01" w:rsidRPr="00612BA4">
        <w:t>value creation</w:t>
      </w:r>
      <w:r w:rsidR="001E0F3B" w:rsidRPr="00612BA4">
        <w:t xml:space="preserve"> opportunities</w:t>
      </w:r>
      <w:r w:rsidR="00A03A3D">
        <w:t xml:space="preserve"> </w:t>
      </w:r>
      <w:r w:rsidR="00C06A01" w:rsidRPr="00612BA4">
        <w:t xml:space="preserve">by aligning the export channel </w:t>
      </w:r>
      <w:r w:rsidR="00A03A3D" w:rsidRPr="00E17D10">
        <w:t>choice</w:t>
      </w:r>
      <w:r w:rsidR="00A03A3D">
        <w:t xml:space="preserve"> </w:t>
      </w:r>
      <w:r w:rsidR="00C06A01" w:rsidRPr="00612BA4">
        <w:t xml:space="preserve">with firm </w:t>
      </w:r>
      <w:r w:rsidR="00545023" w:rsidRPr="00612BA4">
        <w:t>EO</w:t>
      </w:r>
      <w:r w:rsidR="00C06A01" w:rsidRPr="00612BA4">
        <w:t xml:space="preserve">. Deviations from the </w:t>
      </w:r>
      <w:r w:rsidR="001E0F3B" w:rsidRPr="00612BA4">
        <w:t xml:space="preserve">optimal or </w:t>
      </w:r>
      <w:r w:rsidR="00C06A01" w:rsidRPr="00612BA4">
        <w:t>predicted structure will weaken the alignment and will, therefore, result in lower export performance. Thus, taking a</w:t>
      </w:r>
      <w:r w:rsidR="00ED2EDE" w:rsidRPr="00612BA4">
        <w:t>n entrepreneurship</w:t>
      </w:r>
      <w:r w:rsidR="00C06A01" w:rsidRPr="00612BA4">
        <w:t xml:space="preserve"> perspective moves the </w:t>
      </w:r>
      <w:r w:rsidR="0037798F" w:rsidRPr="00612BA4">
        <w:t xml:space="preserve">cooperative </w:t>
      </w:r>
      <w:r w:rsidR="00C06A01" w:rsidRPr="00612BA4">
        <w:t xml:space="preserve">export channel partner from being simply an independent entity to transact with, to a resource supplier and strategic asset which enables SMEs with higher EO to capture greater value in the export operation. </w:t>
      </w:r>
    </w:p>
    <w:p w14:paraId="5EE3D5F5" w14:textId="77777777" w:rsidR="00E03C2E" w:rsidRPr="00BE12E2" w:rsidRDefault="00C06A01" w:rsidP="00C06A01">
      <w:pPr>
        <w:spacing w:line="480" w:lineRule="auto"/>
        <w:ind w:firstLine="720"/>
      </w:pPr>
      <w:r w:rsidRPr="00612BA4">
        <w:t xml:space="preserve">Further complicating the </w:t>
      </w:r>
      <w:r w:rsidR="004D69D8">
        <w:t>TCE/</w:t>
      </w:r>
      <w:r w:rsidRPr="00612BA4">
        <w:t xml:space="preserve">EO-export channel-performance relation is the fact that regulative, normative and cognitive </w:t>
      </w:r>
      <w:r w:rsidR="007D2612" w:rsidRPr="00612BA4">
        <w:t xml:space="preserve">institutional </w:t>
      </w:r>
      <w:r w:rsidRPr="00612BA4">
        <w:t>differences between home and export market</w:t>
      </w:r>
      <w:r w:rsidR="00E32DB2" w:rsidRPr="00612BA4">
        <w:t>s</w:t>
      </w:r>
      <w:r w:rsidRPr="00612BA4">
        <w:t xml:space="preserve"> </w:t>
      </w:r>
      <w:r w:rsidR="00CB05D0" w:rsidRPr="00612BA4">
        <w:t xml:space="preserve">can </w:t>
      </w:r>
      <w:r w:rsidRPr="00612BA4">
        <w:t>affect the value</w:t>
      </w:r>
      <w:r w:rsidR="00E32DB2" w:rsidRPr="00612BA4">
        <w:t xml:space="preserve"> </w:t>
      </w:r>
      <w:r w:rsidRPr="00612BA4">
        <w:t xml:space="preserve">generation potential of firm-specific </w:t>
      </w:r>
      <w:r w:rsidR="00624337" w:rsidRPr="00612BA4">
        <w:t xml:space="preserve">EO </w:t>
      </w:r>
      <w:r w:rsidRPr="00612BA4">
        <w:t>(</w:t>
      </w:r>
      <w:r w:rsidR="00624337" w:rsidRPr="00612BA4">
        <w:t>Wales et al., 2013</w:t>
      </w:r>
      <w:r w:rsidRPr="00612BA4">
        <w:t xml:space="preserve">). To reduce this impact and generate superior performance, firms need to adapt a structure (export channel) that aligns not just with </w:t>
      </w:r>
      <w:r w:rsidR="0073205D">
        <w:t xml:space="preserve">TCE factors and </w:t>
      </w:r>
      <w:r w:rsidR="007D2612" w:rsidRPr="00612BA4">
        <w:t xml:space="preserve">the </w:t>
      </w:r>
      <w:r w:rsidR="00624337" w:rsidRPr="00612BA4">
        <w:t>EO</w:t>
      </w:r>
      <w:r w:rsidRPr="00612BA4">
        <w:t xml:space="preserve"> the firm possesses but </w:t>
      </w:r>
      <w:r w:rsidR="00524443" w:rsidRPr="00612BA4">
        <w:t xml:space="preserve">also </w:t>
      </w:r>
      <w:r w:rsidRPr="00612BA4">
        <w:t xml:space="preserve">with </w:t>
      </w:r>
      <w:r w:rsidR="00524443" w:rsidRPr="00612BA4">
        <w:t xml:space="preserve">differences in </w:t>
      </w:r>
      <w:r w:rsidRPr="00612BA4">
        <w:t>the foreign market context (</w:t>
      </w:r>
      <w:r w:rsidR="00903DB0" w:rsidRPr="00612BA4">
        <w:t>He et al., 2013</w:t>
      </w:r>
      <w:r w:rsidR="00D957DE" w:rsidRPr="00612BA4">
        <w:t>; Saeed et al., 2014</w:t>
      </w:r>
      <w:r w:rsidRPr="00612BA4">
        <w:t>).</w:t>
      </w:r>
      <w:r w:rsidRPr="002C48EA">
        <w:t xml:space="preserve"> In other words, </w:t>
      </w:r>
      <w:r w:rsidR="00C62DA9">
        <w:t xml:space="preserve">a </w:t>
      </w:r>
      <w:r w:rsidRPr="002C48EA">
        <w:t>firm need</w:t>
      </w:r>
      <w:r w:rsidR="00C62DA9">
        <w:t>s</w:t>
      </w:r>
      <w:r w:rsidRPr="002C48EA">
        <w:t xml:space="preserve"> to use a structure that will allow it to </w:t>
      </w:r>
      <w:r w:rsidR="004D69D8">
        <w:t xml:space="preserve">deal with transaction costs as well as </w:t>
      </w:r>
      <w:r w:rsidRPr="002C48EA">
        <w:t xml:space="preserve">exploit </w:t>
      </w:r>
      <w:r w:rsidR="001E6CBF">
        <w:t xml:space="preserve">its </w:t>
      </w:r>
      <w:r w:rsidRPr="002C48EA">
        <w:t>EO</w:t>
      </w:r>
      <w:r w:rsidR="004D69D8">
        <w:t>,</w:t>
      </w:r>
      <w:r w:rsidRPr="002C48EA">
        <w:t xml:space="preserve"> while taking into consideration the differences in institutional contexts.</w:t>
      </w:r>
      <w:r w:rsidR="00B70B1E">
        <w:t xml:space="preserve"> A</w:t>
      </w:r>
      <w:r w:rsidR="00E32DB2">
        <w:t>ccordingly</w:t>
      </w:r>
      <w:r w:rsidRPr="002D293B">
        <w:t xml:space="preserve">, </w:t>
      </w:r>
      <w:r w:rsidR="00E32DB2">
        <w:t>o</w:t>
      </w:r>
      <w:r w:rsidR="008A5D18">
        <w:t>ur</w:t>
      </w:r>
      <w:r w:rsidR="00E03C2E" w:rsidRPr="00907C28">
        <w:t xml:space="preserve"> final hypothesis states:</w:t>
      </w:r>
    </w:p>
    <w:p w14:paraId="5EE3D5F6" w14:textId="19EA3D48" w:rsidR="00E03C2E" w:rsidRDefault="00E03C2E" w:rsidP="00612BA4">
      <w:pPr>
        <w:ind w:left="567" w:right="-108"/>
        <w:rPr>
          <w:b/>
        </w:rPr>
      </w:pPr>
      <w:r w:rsidRPr="009D3CD4">
        <w:rPr>
          <w:b/>
        </w:rPr>
        <w:t xml:space="preserve">Hypothesis 4. </w:t>
      </w:r>
      <w:r w:rsidR="00C62DA9">
        <w:rPr>
          <w:b/>
        </w:rPr>
        <w:t xml:space="preserve">A </w:t>
      </w:r>
      <w:r w:rsidR="006D5CF1">
        <w:rPr>
          <w:b/>
        </w:rPr>
        <w:t>SME</w:t>
      </w:r>
      <w:r w:rsidRPr="009D3CD4">
        <w:rPr>
          <w:b/>
        </w:rPr>
        <w:t xml:space="preserve"> that align</w:t>
      </w:r>
      <w:r w:rsidR="00C62DA9">
        <w:rPr>
          <w:b/>
        </w:rPr>
        <w:t>s</w:t>
      </w:r>
      <w:r w:rsidRPr="009D3CD4">
        <w:rPr>
          <w:b/>
        </w:rPr>
        <w:t xml:space="preserve"> </w:t>
      </w:r>
      <w:r w:rsidR="00B70B1E">
        <w:rPr>
          <w:b/>
        </w:rPr>
        <w:t>its</w:t>
      </w:r>
      <w:r w:rsidRPr="009D3CD4">
        <w:rPr>
          <w:b/>
        </w:rPr>
        <w:t xml:space="preserve"> export channel </w:t>
      </w:r>
      <w:r w:rsidR="00B70B1E">
        <w:rPr>
          <w:b/>
        </w:rPr>
        <w:t xml:space="preserve">not only </w:t>
      </w:r>
      <w:r w:rsidRPr="009D3CD4">
        <w:rPr>
          <w:b/>
        </w:rPr>
        <w:t xml:space="preserve">with </w:t>
      </w:r>
      <w:r w:rsidR="00B70B1E">
        <w:rPr>
          <w:b/>
        </w:rPr>
        <w:t xml:space="preserve">TCE factors but also with </w:t>
      </w:r>
      <w:r w:rsidRPr="009D3CD4">
        <w:rPr>
          <w:b/>
        </w:rPr>
        <w:t xml:space="preserve">the level of EO </w:t>
      </w:r>
      <w:r w:rsidR="006A612C">
        <w:rPr>
          <w:b/>
        </w:rPr>
        <w:t>it</w:t>
      </w:r>
      <w:r w:rsidRPr="009D3CD4">
        <w:rPr>
          <w:b/>
        </w:rPr>
        <w:t xml:space="preserve"> possess</w:t>
      </w:r>
      <w:r w:rsidR="006A612C">
        <w:rPr>
          <w:b/>
        </w:rPr>
        <w:t>es</w:t>
      </w:r>
      <w:r w:rsidRPr="009D3CD4">
        <w:rPr>
          <w:b/>
        </w:rPr>
        <w:t xml:space="preserve">, contingent on the level of institutional distance, will </w:t>
      </w:r>
      <w:r w:rsidR="00524443">
        <w:rPr>
          <w:b/>
        </w:rPr>
        <w:t>achieve</w:t>
      </w:r>
      <w:r w:rsidRPr="009D3CD4">
        <w:rPr>
          <w:b/>
        </w:rPr>
        <w:t xml:space="preserve"> better </w:t>
      </w:r>
      <w:r w:rsidR="00524443">
        <w:rPr>
          <w:b/>
        </w:rPr>
        <w:t xml:space="preserve">export </w:t>
      </w:r>
      <w:r w:rsidRPr="009D3CD4">
        <w:rPr>
          <w:b/>
        </w:rPr>
        <w:t>perform</w:t>
      </w:r>
      <w:r w:rsidR="00524443">
        <w:rPr>
          <w:b/>
        </w:rPr>
        <w:t>ance</w:t>
      </w:r>
      <w:r w:rsidRPr="009D3CD4">
        <w:rPr>
          <w:b/>
        </w:rPr>
        <w:t xml:space="preserve"> compared to </w:t>
      </w:r>
      <w:r w:rsidR="00C62DA9">
        <w:rPr>
          <w:b/>
        </w:rPr>
        <w:t xml:space="preserve">a </w:t>
      </w:r>
      <w:r w:rsidRPr="009D3CD4">
        <w:rPr>
          <w:b/>
        </w:rPr>
        <w:t>firm that use</w:t>
      </w:r>
      <w:r w:rsidR="00A03A3D" w:rsidRPr="00A03A3D">
        <w:rPr>
          <w:b/>
          <w:highlight w:val="green"/>
        </w:rPr>
        <w:t>s</w:t>
      </w:r>
      <w:r w:rsidRPr="009D3CD4">
        <w:rPr>
          <w:b/>
        </w:rPr>
        <w:t xml:space="preserve"> </w:t>
      </w:r>
      <w:r w:rsidR="00C62DA9">
        <w:rPr>
          <w:b/>
        </w:rPr>
        <w:t>an</w:t>
      </w:r>
      <w:r w:rsidRPr="009D3CD4">
        <w:rPr>
          <w:b/>
        </w:rPr>
        <w:t xml:space="preserve">other export channel. </w:t>
      </w:r>
    </w:p>
    <w:p w14:paraId="4C20707B" w14:textId="77777777" w:rsidR="00A727FC" w:rsidRDefault="00A727FC" w:rsidP="00336F7C">
      <w:pPr>
        <w:spacing w:line="480" w:lineRule="auto"/>
        <w:rPr>
          <w:b/>
        </w:rPr>
      </w:pPr>
    </w:p>
    <w:p w14:paraId="5EE3D5FA" w14:textId="210807D0" w:rsidR="00E03C2E" w:rsidRPr="007D0D49" w:rsidRDefault="00336F7C" w:rsidP="00336F7C">
      <w:pPr>
        <w:spacing w:line="480" w:lineRule="auto"/>
        <w:rPr>
          <w:b/>
        </w:rPr>
      </w:pPr>
      <w:r>
        <w:rPr>
          <w:b/>
        </w:rPr>
        <w:lastRenderedPageBreak/>
        <w:t xml:space="preserve">3.0 </w:t>
      </w:r>
      <w:r w:rsidR="00E03C2E" w:rsidRPr="00B70B1E">
        <w:rPr>
          <w:b/>
        </w:rPr>
        <w:t>METHODS</w:t>
      </w:r>
    </w:p>
    <w:p w14:paraId="7E7AE866" w14:textId="7E76DE22" w:rsidR="000A412E" w:rsidRDefault="00E03C2E" w:rsidP="00CA78F0">
      <w:pPr>
        <w:spacing w:line="480" w:lineRule="auto"/>
        <w:ind w:firstLine="567"/>
      </w:pPr>
      <w:r w:rsidRPr="007D0D49">
        <w:t>To test our hypotheses</w:t>
      </w:r>
      <w:r w:rsidR="00E82E55">
        <w:t>,</w:t>
      </w:r>
      <w:r w:rsidRPr="007D0D49">
        <w:t xml:space="preserve"> we surveyed internationally active privately held </w:t>
      </w:r>
      <w:r>
        <w:t xml:space="preserve">manufacturing </w:t>
      </w:r>
      <w:r w:rsidRPr="007D0D49">
        <w:t xml:space="preserve">SMEs </w:t>
      </w:r>
      <w:r w:rsidRPr="00612B8D">
        <w:t>based in two different</w:t>
      </w:r>
      <w:r w:rsidRPr="007D0D49">
        <w:t xml:space="preserve"> countries to avoid potential biases </w:t>
      </w:r>
      <w:r w:rsidR="00DF2D59">
        <w:t>and confounded variables that arise from</w:t>
      </w:r>
      <w:r w:rsidRPr="007D0D49">
        <w:t xml:space="preserve"> working with a single nation</w:t>
      </w:r>
      <w:r w:rsidR="00DF2D59">
        <w:t xml:space="preserve"> (Brouthers, Marshall &amp; </w:t>
      </w:r>
      <w:proofErr w:type="spellStart"/>
      <w:r w:rsidR="00DF2D59">
        <w:t>Keig</w:t>
      </w:r>
      <w:proofErr w:type="spellEnd"/>
      <w:r w:rsidR="00DF2D59">
        <w:t>, 201</w:t>
      </w:r>
      <w:r w:rsidR="00157ADD">
        <w:t>6</w:t>
      </w:r>
      <w:r w:rsidR="00DF2D59">
        <w:t>)</w:t>
      </w:r>
      <w:r w:rsidRPr="007D0D49">
        <w:t xml:space="preserve">. </w:t>
      </w:r>
      <w:r w:rsidR="008B7D2F" w:rsidRPr="00441EE1">
        <w:t xml:space="preserve">Biases might occur because </w:t>
      </w:r>
      <w:r w:rsidR="00014352" w:rsidRPr="00441EE1">
        <w:t>a</w:t>
      </w:r>
      <w:r w:rsidR="008B7D2F" w:rsidRPr="00441EE1">
        <w:t xml:space="preserve"> single country </w:t>
      </w:r>
      <w:r w:rsidR="00014352" w:rsidRPr="00441EE1">
        <w:t xml:space="preserve">may not be </w:t>
      </w:r>
      <w:r w:rsidR="008B7D2F" w:rsidRPr="00441EE1">
        <w:t xml:space="preserve">representative of other countries (China versus </w:t>
      </w:r>
      <w:r w:rsidR="00797E6D">
        <w:t>Germany</w:t>
      </w:r>
      <w:r w:rsidR="008B7D2F" w:rsidRPr="00441EE1">
        <w:t xml:space="preserve"> or the U.S.</w:t>
      </w:r>
      <w:r w:rsidR="00B259C5" w:rsidRPr="00441EE1">
        <w:t>A.</w:t>
      </w:r>
      <w:r w:rsidR="008B7D2F" w:rsidRPr="00441EE1">
        <w:t xml:space="preserve">). A confounding effect </w:t>
      </w:r>
      <w:r w:rsidR="00B259C5" w:rsidRPr="00441EE1">
        <w:t xml:space="preserve">can </w:t>
      </w:r>
      <w:r w:rsidR="008B7D2F" w:rsidRPr="00441EE1">
        <w:t>occur</w:t>
      </w:r>
      <w:r w:rsidR="00B259C5" w:rsidRPr="00441EE1">
        <w:t xml:space="preserve"> when looking at distance from a single country</w:t>
      </w:r>
      <w:r w:rsidR="008B7D2F" w:rsidRPr="00441EE1">
        <w:t xml:space="preserve"> since scholars cannot distinguish between the distance effects and the country-level effects (Brouthers et al., 201</w:t>
      </w:r>
      <w:r w:rsidR="00157ADD">
        <w:t>6</w:t>
      </w:r>
      <w:r w:rsidR="008B7D2F" w:rsidRPr="00441EE1">
        <w:t>). Hence, following Brouthers</w:t>
      </w:r>
      <w:r w:rsidR="006F2F91">
        <w:t xml:space="preserve">, Marshall and </w:t>
      </w:r>
      <w:proofErr w:type="spellStart"/>
      <w:r w:rsidR="006F2F91">
        <w:t>Keig</w:t>
      </w:r>
      <w:proofErr w:type="spellEnd"/>
      <w:r w:rsidR="008B7D2F" w:rsidRPr="00441EE1">
        <w:t xml:space="preserve"> (2</w:t>
      </w:r>
      <w:r w:rsidR="00B259C5" w:rsidRPr="00441EE1">
        <w:t>0</w:t>
      </w:r>
      <w:r w:rsidR="008B7D2F" w:rsidRPr="00441EE1">
        <w:t>1</w:t>
      </w:r>
      <w:r w:rsidR="00157ADD">
        <w:t>6</w:t>
      </w:r>
      <w:r w:rsidR="008B7D2F" w:rsidRPr="00441EE1">
        <w:t>) we selected two countries that have institutional values that ‘somewhat’ offset each other</w:t>
      </w:r>
      <w:r w:rsidR="00C65165">
        <w:t>.</w:t>
      </w:r>
      <w:r w:rsidR="008B7D2F" w:rsidRPr="007D0D49">
        <w:t xml:space="preserve"> </w:t>
      </w:r>
    </w:p>
    <w:p w14:paraId="0AB5210F" w14:textId="5BC68C2E" w:rsidR="00966A79" w:rsidRPr="003C4553" w:rsidRDefault="00BB32EF" w:rsidP="007452DC">
      <w:pPr>
        <w:spacing w:line="480" w:lineRule="auto"/>
        <w:ind w:firstLine="567"/>
      </w:pPr>
      <w:r w:rsidRPr="003C4553">
        <w:t xml:space="preserve">The two countries included in this paper are the Netherlands and Italy. These two countries were selected for several reasons. First, they provide good variance in institutional dimensions, needed to be sure our institutional distance measures were useful (Brouthers et al., 2016). </w:t>
      </w:r>
      <w:r w:rsidR="00B27DB9" w:rsidRPr="003C4553">
        <w:t xml:space="preserve">For cultural distance variables Italy has the values of 38, 80, 14 and 53 while the Netherlands scores 50, 76, 70 and 75 (PD, ID, MA, UA). Hence, these two countries differ substantially on all cultural measures except individualism. For Regulative measures Italy scores 3.17 while the Netherlands is much higher at 4.83, again a substantial difference. The one area where both countries are very similar is on the Normative measures where Italy scores 6.12 and the Netherlands scores 6.13. </w:t>
      </w:r>
    </w:p>
    <w:p w14:paraId="39286DA9" w14:textId="75E91AC6" w:rsidR="007452DC" w:rsidRPr="003C4553" w:rsidRDefault="00136DF7" w:rsidP="007452DC">
      <w:pPr>
        <w:spacing w:line="480" w:lineRule="auto"/>
        <w:ind w:firstLine="567"/>
      </w:pPr>
      <w:r w:rsidRPr="003C4553">
        <w:t xml:space="preserve">In addition, </w:t>
      </w:r>
      <w:r w:rsidR="00106532" w:rsidRPr="003C4553">
        <w:t>most firms in the Netherlands are privately held SMEs (European Commission, 2018) and they tend to actively export to many parts of the world (European Commission, 2018). In fact</w:t>
      </w:r>
      <w:r w:rsidR="00DE0766" w:rsidRPr="003C4553">
        <w:t>,</w:t>
      </w:r>
      <w:r w:rsidR="00106532" w:rsidRPr="003C4553">
        <w:t xml:space="preserve"> exporting activities make up 64% percent of the country’s overall GDP (Eurostat, 2018). </w:t>
      </w:r>
      <w:r w:rsidR="00C7295D" w:rsidRPr="003C4553">
        <w:t>F</w:t>
      </w:r>
      <w:r w:rsidR="00FA2F1B" w:rsidRPr="003C4553">
        <w:t>urther</w:t>
      </w:r>
      <w:r w:rsidR="00C7295D" w:rsidRPr="003C4553">
        <w:t>,</w:t>
      </w:r>
      <w:r w:rsidR="007452DC" w:rsidRPr="003C4553">
        <w:t xml:space="preserve"> the researchers are familiar with Dutch culture and language, minimizing potential translation errors in the survey instruments.</w:t>
      </w:r>
    </w:p>
    <w:p w14:paraId="137033BE" w14:textId="24E0D053" w:rsidR="00A06910" w:rsidRPr="00BB7705" w:rsidRDefault="006B54D8" w:rsidP="005D2404">
      <w:pPr>
        <w:spacing w:line="480" w:lineRule="auto"/>
        <w:ind w:firstLine="567"/>
      </w:pPr>
      <w:r w:rsidRPr="003C4553">
        <w:t xml:space="preserve">Likewise, </w:t>
      </w:r>
      <w:r w:rsidR="00106532" w:rsidRPr="003C4553">
        <w:t xml:space="preserve">most firms in Italy are also privately held SMEs (European Commission, 2018) and are active exporters (European Commission, 2018), with firms in Northern Italy </w:t>
      </w:r>
      <w:r w:rsidR="00106532" w:rsidRPr="003C4553">
        <w:lastRenderedPageBreak/>
        <w:t xml:space="preserve">representing the vast majority of this export activity (ISTAT, 2012). </w:t>
      </w:r>
      <w:r w:rsidR="00211DAC" w:rsidRPr="003C4553">
        <w:t>Furthermore,</w:t>
      </w:r>
      <w:r w:rsidR="00A06910" w:rsidRPr="003C4553">
        <w:t xml:space="preserve"> the researchers had access to a </w:t>
      </w:r>
      <w:r w:rsidR="009C0A94" w:rsidRPr="003C4553">
        <w:t xml:space="preserve">unique </w:t>
      </w:r>
      <w:r w:rsidR="00A06910" w:rsidRPr="003C4553">
        <w:t xml:space="preserve">list of </w:t>
      </w:r>
      <w:r w:rsidR="002A63F9" w:rsidRPr="003C4553">
        <w:t xml:space="preserve">(Northern) </w:t>
      </w:r>
      <w:r w:rsidR="00A06910" w:rsidRPr="003C4553">
        <w:t>Italian exporting firms and are familiar with Italian culture and language, minimizing potential translation errors in the survey instruments.</w:t>
      </w:r>
      <w:r w:rsidR="00A06910" w:rsidRPr="00BB7705">
        <w:t xml:space="preserve"> </w:t>
      </w:r>
    </w:p>
    <w:p w14:paraId="5EE3D5FB" w14:textId="7A4DBC41" w:rsidR="00E03C2E" w:rsidRPr="007D0D49" w:rsidRDefault="00E03C2E" w:rsidP="00CA78F0">
      <w:pPr>
        <w:spacing w:line="480" w:lineRule="auto"/>
        <w:ind w:firstLine="567"/>
      </w:pPr>
      <w:r w:rsidRPr="007D0D49">
        <w:t>In both countries, we selected firms that met four specific criteria.</w:t>
      </w:r>
      <w:r w:rsidR="004A2696">
        <w:t xml:space="preserve"> </w:t>
      </w:r>
      <w:r w:rsidRPr="007D0D49">
        <w:t>First, they had to be small or medium size companies. We used the European Union definition (European Commission, 20</w:t>
      </w:r>
      <w:r w:rsidR="00517FC7">
        <w:t>18</w:t>
      </w:r>
      <w:r w:rsidRPr="007D0D49">
        <w:t>), that indicates SME</w:t>
      </w:r>
      <w:r>
        <w:t>s are</w:t>
      </w:r>
      <w:r w:rsidRPr="007D0D49">
        <w:t xml:space="preserve"> firm</w:t>
      </w:r>
      <w:r>
        <w:t>s</w:t>
      </w:r>
      <w:r w:rsidRPr="007D0D49">
        <w:t xml:space="preserve"> with a maximum of 250 employees</w:t>
      </w:r>
      <w:r w:rsidR="00515E87">
        <w:t>; w</w:t>
      </w:r>
      <w:r w:rsidRPr="007D0D49">
        <w:t>e excluded micro</w:t>
      </w:r>
      <w:r>
        <w:t>-</w:t>
      </w:r>
      <w:r w:rsidRPr="007D0D49">
        <w:t xml:space="preserve">companies, i.e. those with less than 10 employees. </w:t>
      </w:r>
      <w:r w:rsidRPr="001320F1">
        <w:t>Second, firms needed to be exporters because we were interested in exploring the choice of export channel.</w:t>
      </w:r>
      <w:r w:rsidR="00C038DA" w:rsidRPr="001320F1">
        <w:t xml:space="preserve"> Exporting firms were defined as </w:t>
      </w:r>
      <w:r w:rsidR="00385EF8" w:rsidRPr="001320F1">
        <w:t xml:space="preserve">any firm that recorded ‘export sales’ </w:t>
      </w:r>
      <w:r w:rsidR="008A3F0C" w:rsidRPr="001320F1">
        <w:t>for the fiscal year ended 2011</w:t>
      </w:r>
      <w:r w:rsidR="00385EF8" w:rsidRPr="001320F1">
        <w:t xml:space="preserve"> on the documents filed with the requisite governmental organization from which our population</w:t>
      </w:r>
      <w:r w:rsidR="008A3F0C" w:rsidRPr="001320F1">
        <w:t>s</w:t>
      </w:r>
      <w:r w:rsidR="006E53FC" w:rsidRPr="001320F1">
        <w:t xml:space="preserve"> (lists of firms) </w:t>
      </w:r>
      <w:r w:rsidR="00385EF8" w:rsidRPr="001320F1">
        <w:t>w</w:t>
      </w:r>
      <w:r w:rsidR="008A3F0C" w:rsidRPr="001320F1">
        <w:t>ere</w:t>
      </w:r>
      <w:r w:rsidR="00385EF8" w:rsidRPr="001320F1">
        <w:t xml:space="preserve"> culled</w:t>
      </w:r>
      <w:r w:rsidR="00C038DA" w:rsidRPr="001320F1">
        <w:t>.</w:t>
      </w:r>
      <w:r w:rsidRPr="007D0D49">
        <w:t xml:space="preserve"> Firms that do not export do not make this </w:t>
      </w:r>
      <w:r w:rsidR="00596A4C">
        <w:t xml:space="preserve">‘export channel’ </w:t>
      </w:r>
      <w:r w:rsidRPr="007D0D49">
        <w:t>decision and hence were excluded from our sample. Third, each firm had to be a manufacturer</w:t>
      </w:r>
      <w:r>
        <w:t xml:space="preserve"> because the internationalization of services involves additional issues</w:t>
      </w:r>
      <w:r w:rsidRPr="007D0D49">
        <w:t xml:space="preserve">. Fourth, the firm had to be headquartered in Italy or in the Netherlands. </w:t>
      </w:r>
    </w:p>
    <w:p w14:paraId="78E276EB" w14:textId="29E341CA" w:rsidR="00AA4F61" w:rsidRPr="00832ACB" w:rsidRDefault="00E03C2E" w:rsidP="00153D63">
      <w:pPr>
        <w:spacing w:line="480" w:lineRule="auto"/>
        <w:ind w:firstLine="567"/>
      </w:pPr>
      <w:r w:rsidRPr="007D0D49">
        <w:t xml:space="preserve">In each firm, the target respondent was the person with the greatest experience and knowledge about the </w:t>
      </w:r>
      <w:r w:rsidR="00515E87">
        <w:t xml:space="preserve">export operations; </w:t>
      </w:r>
      <w:r w:rsidRPr="007D0D49">
        <w:t xml:space="preserve">the entrepreneur/owner, CEO, or high-level manager. Similar to previous </w:t>
      </w:r>
      <w:r w:rsidR="0048049E">
        <w:t xml:space="preserve">export </w:t>
      </w:r>
      <w:r w:rsidRPr="007D0D49">
        <w:t>research (He</w:t>
      </w:r>
      <w:r>
        <w:t xml:space="preserve"> et al., </w:t>
      </w:r>
      <w:r w:rsidRPr="007D0D49">
        <w:t>201</w:t>
      </w:r>
      <w:r>
        <w:t>3</w:t>
      </w:r>
      <w:r w:rsidRPr="007D0D49">
        <w:t>), we asked informants to provide information regarding their most important export market (defined as the market in which the firm has its largest sales). We split the questionnaire into two rounds to limit the potential for common method bias (</w:t>
      </w:r>
      <w:r>
        <w:t xml:space="preserve">Podsakoff, </w:t>
      </w:r>
      <w:proofErr w:type="spellStart"/>
      <w:r>
        <w:t>MacKenzie</w:t>
      </w:r>
      <w:proofErr w:type="spellEnd"/>
      <w:r>
        <w:t xml:space="preserve">, </w:t>
      </w:r>
      <w:r w:rsidRPr="007C5BE8">
        <w:t>Lee</w:t>
      </w:r>
      <w:r w:rsidRPr="007C5BE8">
        <w:rPr>
          <w:lang w:eastAsia="zh-CN"/>
        </w:rPr>
        <w:t xml:space="preserve"> </w:t>
      </w:r>
      <w:r>
        <w:rPr>
          <w:lang w:eastAsia="zh-CN"/>
        </w:rPr>
        <w:t>&amp;</w:t>
      </w:r>
      <w:r w:rsidRPr="007C5BE8">
        <w:rPr>
          <w:lang w:eastAsia="zh-CN"/>
        </w:rPr>
        <w:t xml:space="preserve"> </w:t>
      </w:r>
      <w:r w:rsidRPr="007C5BE8">
        <w:t>Podsakoff,</w:t>
      </w:r>
      <w:r w:rsidRPr="007D0D49">
        <w:t xml:space="preserve"> 2003). Data were collected between March and June 2012. </w:t>
      </w:r>
      <w:r w:rsidR="009173B5" w:rsidRPr="00832ACB">
        <w:t xml:space="preserve">Before using the </w:t>
      </w:r>
      <w:r w:rsidR="00E94A4F" w:rsidRPr="00832ACB">
        <w:t>questionnaires,</w:t>
      </w:r>
      <w:r w:rsidR="009173B5" w:rsidRPr="00832ACB">
        <w:t xml:space="preserve"> they had to be translated. One of the authors is fluent in both Italian and English and therefore for the Italian questionnaire that </w:t>
      </w:r>
      <w:r w:rsidR="00324809" w:rsidRPr="00832ACB">
        <w:t>author</w:t>
      </w:r>
      <w:r w:rsidR="009173B5" w:rsidRPr="00832ACB">
        <w:t xml:space="preserve"> translated the original English language questionnaire into Italian. Then we asked an independent academic (also fluent in both Italian and English but not </w:t>
      </w:r>
      <w:r w:rsidR="009173B5" w:rsidRPr="00832ACB">
        <w:lastRenderedPageBreak/>
        <w:t xml:space="preserve">familiar with </w:t>
      </w:r>
      <w:r w:rsidR="000C54F9" w:rsidRPr="00832ACB">
        <w:t>our research</w:t>
      </w:r>
      <w:r w:rsidR="009173B5" w:rsidRPr="00832ACB">
        <w:t xml:space="preserve"> paper) to back-translate into English. After that we cross-checked for differences between the original questions and the back-translated questions. A few discrepancies were found. We then adjusted the Italian questionnaire to improve the translation and asked another independent academic to back-translate this revised Italian version. At this point, we did not find any major differences. </w:t>
      </w:r>
    </w:p>
    <w:p w14:paraId="01381B76" w14:textId="24A8AA92" w:rsidR="00AA4F61" w:rsidRPr="00DD1B13" w:rsidRDefault="009173B5" w:rsidP="00AA4F61">
      <w:pPr>
        <w:spacing w:line="480" w:lineRule="auto"/>
        <w:ind w:firstLine="720"/>
      </w:pPr>
      <w:r w:rsidRPr="00DD1B13">
        <w:t xml:space="preserve">For the Dutch questionnaire we asked two independent </w:t>
      </w:r>
      <w:r w:rsidR="00677BEF" w:rsidRPr="00DD1B13">
        <w:t>academics</w:t>
      </w:r>
      <w:r w:rsidRPr="00DD1B13">
        <w:t xml:space="preserve"> (fluent in both Dutch and English but not familiar with </w:t>
      </w:r>
      <w:r w:rsidR="00677BEF" w:rsidRPr="00DD1B13">
        <w:t>our research</w:t>
      </w:r>
      <w:r w:rsidRPr="00DD1B13">
        <w:t xml:space="preserve"> paper) to translate the questionnaire independently into Dutch. We then cross-checked these two versions and integrated them. We gave this integrated (Dutch) version of the questionnaire to another academic (also fluent in both Dutch and English and not familiar with our research project) to back</w:t>
      </w:r>
      <w:r w:rsidR="00B43ED4" w:rsidRPr="00DD1B13">
        <w:t>-</w:t>
      </w:r>
      <w:r w:rsidRPr="00DD1B13">
        <w:t xml:space="preserve">translate into English. </w:t>
      </w:r>
      <w:r w:rsidR="00B43ED4" w:rsidRPr="00DD1B13">
        <w:t>A</w:t>
      </w:r>
      <w:r w:rsidRPr="00DD1B13">
        <w:t xml:space="preserve"> few differences were found </w:t>
      </w:r>
      <w:r w:rsidR="00FD090A" w:rsidRPr="00DD1B13">
        <w:t>so</w:t>
      </w:r>
      <w:r w:rsidRPr="00DD1B13">
        <w:t xml:space="preserve"> some adjustments made. This final version of the Dutch questionnaire was given to another academic to back</w:t>
      </w:r>
      <w:r w:rsidR="003F2802" w:rsidRPr="00DD1B13">
        <w:t>-</w:t>
      </w:r>
      <w:r w:rsidRPr="00DD1B13">
        <w:t>translate and no major differences were found.</w:t>
      </w:r>
    </w:p>
    <w:p w14:paraId="6BC83E8E" w14:textId="0D0B2FDE" w:rsidR="009173B5" w:rsidRPr="009173B5" w:rsidRDefault="009173B5" w:rsidP="00AA4F61">
      <w:pPr>
        <w:spacing w:line="480" w:lineRule="auto"/>
        <w:ind w:firstLine="720"/>
      </w:pPr>
      <w:r w:rsidRPr="00DD1B13">
        <w:t>Finally, to be sure that these translated questionnaires would not impact our outcomes we tested both the Dutch and Italian questionnaires with a group of 3 to 4 native Italian and Dutch speaking managers. Their understanding of the questions was in accordance with the spirit of the underlying literature.</w:t>
      </w:r>
    </w:p>
    <w:p w14:paraId="5EE3D5FD" w14:textId="0CDF5FB2" w:rsidR="00E03C2E" w:rsidRPr="007D0D49" w:rsidRDefault="00E03C2E" w:rsidP="00CA78F0">
      <w:pPr>
        <w:spacing w:line="480" w:lineRule="auto"/>
        <w:ind w:firstLine="567"/>
      </w:pPr>
      <w:r w:rsidRPr="007D0D49">
        <w:t xml:space="preserve">In the Netherlands, we selected </w:t>
      </w:r>
      <w:r w:rsidR="0060575D">
        <w:t>a</w:t>
      </w:r>
      <w:r w:rsidRPr="007D0D49">
        <w:t xml:space="preserve"> sample from the Orbis database provided by Bureau van Dijk. </w:t>
      </w:r>
      <w:r w:rsidR="006A46B4">
        <w:t>W</w:t>
      </w:r>
      <w:r w:rsidRPr="007D0D49">
        <w:t>e identified approximately 6</w:t>
      </w:r>
      <w:r w:rsidR="007C50B0">
        <w:t>4</w:t>
      </w:r>
      <w:r w:rsidRPr="007D0D49">
        <w:t xml:space="preserve">00 </w:t>
      </w:r>
      <w:r w:rsidR="00CE7FFC" w:rsidRPr="00777C66">
        <w:t>private</w:t>
      </w:r>
      <w:r w:rsidR="00CE7FFC">
        <w:t xml:space="preserve"> </w:t>
      </w:r>
      <w:r w:rsidRPr="007D0D49">
        <w:t>Dutch firms</w:t>
      </w:r>
      <w:r w:rsidR="006A46B4">
        <w:t xml:space="preserve"> </w:t>
      </w:r>
      <w:r w:rsidR="00BB1E2F" w:rsidRPr="00777C66">
        <w:t>that met our criteria</w:t>
      </w:r>
      <w:r w:rsidR="006E4271" w:rsidRPr="00777C66">
        <w:t xml:space="preserve">. </w:t>
      </w:r>
      <w:r w:rsidR="006E4271" w:rsidRPr="00797F43">
        <w:t>W</w:t>
      </w:r>
      <w:r w:rsidR="008F54CE" w:rsidRPr="00797F43">
        <w:t xml:space="preserve">e wanted our </w:t>
      </w:r>
      <w:r w:rsidR="00D620A7" w:rsidRPr="00797F43">
        <w:t>Dutch</w:t>
      </w:r>
      <w:r w:rsidR="008F54CE" w:rsidRPr="00797F43">
        <w:t xml:space="preserve"> sample to be approximately the same size as our Italian sample to avoid issues of sample skewness</w:t>
      </w:r>
      <w:r w:rsidR="00986A7B" w:rsidRPr="00797F43">
        <w:t xml:space="preserve">, therefore we </w:t>
      </w:r>
      <w:r w:rsidRPr="00797F43">
        <w:t xml:space="preserve">limited our study to a random sample </w:t>
      </w:r>
      <w:r w:rsidR="00606FF4" w:rsidRPr="00797F43">
        <w:t>(</w:t>
      </w:r>
      <w:r w:rsidR="00BB1E2F" w:rsidRPr="00797F43">
        <w:t xml:space="preserve">selecting </w:t>
      </w:r>
      <w:r w:rsidR="00606FF4" w:rsidRPr="00797F43">
        <w:t>every sixth firm</w:t>
      </w:r>
      <w:r w:rsidR="00BB1E2F" w:rsidRPr="00797F43">
        <w:t xml:space="preserve"> on the list of qualifying firms</w:t>
      </w:r>
      <w:r w:rsidR="00606FF4" w:rsidRPr="00797F43">
        <w:t xml:space="preserve">) </w:t>
      </w:r>
      <w:r w:rsidRPr="00797F43">
        <w:t xml:space="preserve">of 1070 </w:t>
      </w:r>
      <w:r w:rsidR="006A46B4" w:rsidRPr="00797F43">
        <w:t>of these</w:t>
      </w:r>
      <w:r w:rsidRPr="00797F43">
        <w:t xml:space="preserve"> firms. </w:t>
      </w:r>
      <w:r w:rsidR="006A46B4" w:rsidRPr="00797F43">
        <w:t>E</w:t>
      </w:r>
      <w:r w:rsidRPr="00797F43">
        <w:t xml:space="preserve">ach firm </w:t>
      </w:r>
      <w:r w:rsidR="006A46B4" w:rsidRPr="00797F43">
        <w:t xml:space="preserve">was contacted </w:t>
      </w:r>
      <w:r w:rsidRPr="00797F43">
        <w:t xml:space="preserve">via </w:t>
      </w:r>
      <w:r w:rsidR="00547981" w:rsidRPr="00797F43">
        <w:t>phone and then</w:t>
      </w:r>
      <w:r w:rsidR="00547981">
        <w:t xml:space="preserve"> </w:t>
      </w:r>
      <w:r w:rsidRPr="007D0D49">
        <w:t xml:space="preserve">email to complete an on-line questionnaire. This questionnaire contained only our control and independent variables. Within two weeks 46 companies completed the questionnaire. Subsequently, we </w:t>
      </w:r>
      <w:r w:rsidR="00BB1E2F" w:rsidRPr="00797F43">
        <w:t xml:space="preserve">made two more efforts (spaced two weeks </w:t>
      </w:r>
      <w:r w:rsidR="00BB1E2F" w:rsidRPr="00797F43">
        <w:lastRenderedPageBreak/>
        <w:t xml:space="preserve">apart) to </w:t>
      </w:r>
      <w:r w:rsidRPr="00797F43">
        <w:t xml:space="preserve">contact </w:t>
      </w:r>
      <w:r w:rsidR="00BB1E2F" w:rsidRPr="00797F43">
        <w:t>by phone and email</w:t>
      </w:r>
      <w:r w:rsidR="00BB1E2F">
        <w:t xml:space="preserve"> </w:t>
      </w:r>
      <w:r w:rsidRPr="007D0D49">
        <w:t>the firms that had not answered the questionnaire. This yielded an additional 210 responses</w:t>
      </w:r>
      <w:r>
        <w:t xml:space="preserve">. </w:t>
      </w:r>
      <w:r w:rsidRPr="007D0D49">
        <w:t>Hence</w:t>
      </w:r>
      <w:r w:rsidR="00BB1E2F">
        <w:t>,</w:t>
      </w:r>
      <w:r w:rsidRPr="007D0D49">
        <w:t xml:space="preserve"> we received 256 completed questionnaires (23.4% response rate). One month later we followed a similar procedure asking the 256 </w:t>
      </w:r>
      <w:r w:rsidR="00011CC2">
        <w:t xml:space="preserve">respondent </w:t>
      </w:r>
      <w:r w:rsidRPr="007D0D49">
        <w:t>firms to complete the second part of the questionnaire</w:t>
      </w:r>
      <w:r>
        <w:t xml:space="preserve">, </w:t>
      </w:r>
      <w:r w:rsidRPr="007D0D49">
        <w:t>contain</w:t>
      </w:r>
      <w:r>
        <w:t>ing</w:t>
      </w:r>
      <w:r w:rsidRPr="007D0D49">
        <w:t xml:space="preserve"> our dependent variable measure</w:t>
      </w:r>
      <w:r>
        <w:t>s</w:t>
      </w:r>
      <w:r w:rsidRPr="007D0D49">
        <w:t xml:space="preserve">. After </w:t>
      </w:r>
      <w:r w:rsidR="000E6F58" w:rsidRPr="0037598E">
        <w:t xml:space="preserve">two </w:t>
      </w:r>
      <w:r w:rsidR="00CA6062" w:rsidRPr="0037598E">
        <w:t>additional</w:t>
      </w:r>
      <w:r w:rsidR="00BB1E2F" w:rsidRPr="0037598E">
        <w:t xml:space="preserve"> attempts at</w:t>
      </w:r>
      <w:r w:rsidR="00BB1E2F">
        <w:t xml:space="preserve"> </w:t>
      </w:r>
      <w:r w:rsidRPr="007D0D49">
        <w:t xml:space="preserve">telephone follow-up, we obtained 180 usable </w:t>
      </w:r>
      <w:r w:rsidR="006A46B4">
        <w:t>responses</w:t>
      </w:r>
      <w:r w:rsidRPr="007D0D49">
        <w:t xml:space="preserve">. </w:t>
      </w:r>
    </w:p>
    <w:p w14:paraId="5EE3D5FE" w14:textId="05435E3D" w:rsidR="007B173F" w:rsidRDefault="00E03C2E" w:rsidP="007B173F">
      <w:pPr>
        <w:spacing w:line="480" w:lineRule="auto"/>
        <w:ind w:firstLine="567"/>
      </w:pPr>
      <w:r w:rsidRPr="007D0D49">
        <w:t xml:space="preserve">In Italy, our sample was based on a list of companies </w:t>
      </w:r>
      <w:r w:rsidR="006A46B4">
        <w:t>in</w:t>
      </w:r>
      <w:r w:rsidRPr="007D0D49">
        <w:t xml:space="preserve"> North-east Italy (regions of Veneto, Friuli-Venezia Giulia and Trentino-Alto Adige) provided by the Italian Chamber of Commerce</w:t>
      </w:r>
      <w:r>
        <w:t xml:space="preserve">. </w:t>
      </w:r>
      <w:r w:rsidR="005F773B" w:rsidRPr="009012DD">
        <w:t xml:space="preserve">We believe this is a good place to undertake our research because Northern Italy is the main business area of the country (ISTAT, 2012) generating 70.7% percent of export activity (ISTAT, 2012). </w:t>
      </w:r>
      <w:r w:rsidR="00C35152" w:rsidRPr="009012DD">
        <w:t xml:space="preserve">In addition, </w:t>
      </w:r>
      <w:r w:rsidR="00BB1E2F" w:rsidRPr="009012DD">
        <w:t xml:space="preserve">the authors had contacts in the region that provided access to a list of </w:t>
      </w:r>
      <w:r w:rsidR="00A8317B" w:rsidRPr="009012DD">
        <w:t xml:space="preserve">exporting </w:t>
      </w:r>
      <w:r w:rsidR="00BB1E2F" w:rsidRPr="009012DD">
        <w:t>firms that is not normally publicly available.</w:t>
      </w:r>
      <w:r w:rsidR="00BB1E2F">
        <w:t xml:space="preserve"> </w:t>
      </w:r>
      <w:r w:rsidR="006A46B4">
        <w:t>A</w:t>
      </w:r>
      <w:r w:rsidRPr="007D0D49">
        <w:t xml:space="preserve">pproximately 3200 </w:t>
      </w:r>
      <w:r w:rsidR="00300382" w:rsidRPr="009012DD">
        <w:t>private</w:t>
      </w:r>
      <w:r w:rsidR="00300382">
        <w:t xml:space="preserve"> </w:t>
      </w:r>
      <w:r w:rsidRPr="007D0D49">
        <w:t>firms</w:t>
      </w:r>
      <w:r w:rsidR="006A46B4">
        <w:t xml:space="preserve"> met our criteria</w:t>
      </w:r>
      <w:r w:rsidRPr="007D0D49">
        <w:t xml:space="preserve">. Employing a local research </w:t>
      </w:r>
      <w:r w:rsidR="00B61679">
        <w:t>organization</w:t>
      </w:r>
      <w:r w:rsidR="00591781">
        <w:t>,</w:t>
      </w:r>
      <w:r w:rsidRPr="007D0D49">
        <w:t xml:space="preserve"> </w:t>
      </w:r>
      <w:r w:rsidR="005D2FC8" w:rsidRPr="009012DD">
        <w:t xml:space="preserve">and based on </w:t>
      </w:r>
      <w:r w:rsidR="00591781" w:rsidRPr="009012DD">
        <w:t>budgetary constraints of the research team</w:t>
      </w:r>
      <w:r w:rsidR="00591781">
        <w:t xml:space="preserve">, </w:t>
      </w:r>
      <w:r w:rsidRPr="007D0D49">
        <w:t xml:space="preserve">a randomly selected sample </w:t>
      </w:r>
      <w:r w:rsidR="00606FF4" w:rsidRPr="00441EE1">
        <w:t>(every fourth firm on the list)</w:t>
      </w:r>
      <w:r w:rsidR="00606FF4">
        <w:t xml:space="preserve"> </w:t>
      </w:r>
      <w:r w:rsidRPr="007D0D49">
        <w:t xml:space="preserve">of 800 firms </w:t>
      </w:r>
      <w:r w:rsidR="00471480" w:rsidRPr="007D0D49">
        <w:t>w</w:t>
      </w:r>
      <w:r w:rsidR="00471480">
        <w:t>as</w:t>
      </w:r>
      <w:r w:rsidRPr="007D0D49">
        <w:t xml:space="preserve"> contacted by telephone, of which 299 answered the first</w:t>
      </w:r>
      <w:r w:rsidR="00A21CA7">
        <w:t>-</w:t>
      </w:r>
      <w:r w:rsidRPr="007D0D49">
        <w:t>round questionnaire (37.4% response rate). One month later, each of the 299 firms w</w:t>
      </w:r>
      <w:r w:rsidR="00011CC2">
        <w:t>ere</w:t>
      </w:r>
      <w:r w:rsidRPr="007D0D49">
        <w:t xml:space="preserve"> contacted by phone again to complete the second part of the questionnaire. </w:t>
      </w:r>
      <w:r w:rsidR="00A21CA7" w:rsidRPr="00FC5EE8">
        <w:t>After two additional phone attempts</w:t>
      </w:r>
      <w:r w:rsidR="00A21CA7">
        <w:t>, o</w:t>
      </w:r>
      <w:r w:rsidRPr="007D0D49">
        <w:t xml:space="preserve">nly 85 Italian companies provided </w:t>
      </w:r>
      <w:r w:rsidR="003C7F07">
        <w:t>usable</w:t>
      </w:r>
      <w:r w:rsidRPr="007D0D49">
        <w:t xml:space="preserve"> responses to the second part</w:t>
      </w:r>
      <w:r w:rsidR="002D1D0A">
        <w:t xml:space="preserve">. </w:t>
      </w:r>
      <w:r w:rsidRPr="007D0D49">
        <w:t xml:space="preserve"> </w:t>
      </w:r>
    </w:p>
    <w:p w14:paraId="23F042A7" w14:textId="2FF35771" w:rsidR="00BB1E2F" w:rsidRPr="00441EE1" w:rsidRDefault="00BB1E2F" w:rsidP="00BB1E2F">
      <w:pPr>
        <w:spacing w:line="480" w:lineRule="auto"/>
        <w:ind w:firstLine="567"/>
        <w:rPr>
          <w:rFonts w:eastAsiaTheme="minorHAnsi"/>
          <w:lang w:val="en-GB" w:eastAsia="en-US"/>
        </w:rPr>
      </w:pPr>
      <w:r w:rsidRPr="00892587">
        <w:t xml:space="preserve">To investigate potential response bias we examined differences between respondents that answered only the first round questionnaire and respondents that answered both first and second round questionnaires. We checked for </w:t>
      </w:r>
      <w:r w:rsidR="006A7D96" w:rsidRPr="00892587">
        <w:t xml:space="preserve">differences in </w:t>
      </w:r>
      <w:r w:rsidR="001B6354" w:rsidRPr="00892587">
        <w:t xml:space="preserve">the transaction cost variable </w:t>
      </w:r>
      <w:r w:rsidRPr="00892587">
        <w:rPr>
          <w:i/>
        </w:rPr>
        <w:t xml:space="preserve">R&amp;D intensity </w:t>
      </w:r>
      <w:r w:rsidRPr="00892587">
        <w:t xml:space="preserve">(t = -0.94; p = 0.35), </w:t>
      </w:r>
      <w:r w:rsidR="002132E1" w:rsidRPr="00892587">
        <w:t xml:space="preserve">firm size differences using </w:t>
      </w:r>
      <w:r w:rsidRPr="00892587">
        <w:rPr>
          <w:i/>
        </w:rPr>
        <w:t xml:space="preserve">Number of employees </w:t>
      </w:r>
      <w:r w:rsidRPr="00892587">
        <w:t>(t = -0.39; p = 0.70),</w:t>
      </w:r>
      <w:r w:rsidR="002132E1" w:rsidRPr="00892587">
        <w:t xml:space="preserve"> differences in</w:t>
      </w:r>
      <w:r w:rsidRPr="00892587">
        <w:t xml:space="preserve"> </w:t>
      </w:r>
      <w:r w:rsidRPr="00892587">
        <w:rPr>
          <w:i/>
        </w:rPr>
        <w:t>International experience</w:t>
      </w:r>
      <w:r w:rsidRPr="00892587">
        <w:t xml:space="preserve"> (t = 1.19; p = 0.23), and </w:t>
      </w:r>
      <w:r w:rsidR="002132E1" w:rsidRPr="00892587">
        <w:t xml:space="preserve">specifically </w:t>
      </w:r>
      <w:r w:rsidR="004677CD" w:rsidRPr="00892587">
        <w:t xml:space="preserve">export related differences </w:t>
      </w:r>
      <w:r w:rsidRPr="00892587">
        <w:rPr>
          <w:i/>
        </w:rPr>
        <w:t xml:space="preserve">Number of export markets </w:t>
      </w:r>
      <w:r w:rsidRPr="00892587">
        <w:t>(t = -0.47; p = 0.64)</w:t>
      </w:r>
      <w:r w:rsidR="004677CD" w:rsidRPr="00892587">
        <w:t xml:space="preserve">. We </w:t>
      </w:r>
      <w:r w:rsidRPr="00892587">
        <w:t xml:space="preserve">noted no </w:t>
      </w:r>
      <w:r w:rsidRPr="00892587">
        <w:lastRenderedPageBreak/>
        <w:t xml:space="preserve">significant differences. </w:t>
      </w:r>
      <w:r w:rsidRPr="00892587">
        <w:rPr>
          <w:rFonts w:eastAsiaTheme="minorHAnsi"/>
          <w:lang w:val="en-GB" w:eastAsia="en-US"/>
        </w:rPr>
        <w:t>Thus it appears that firms included in our analysis did not significantly differ from those excluded.</w:t>
      </w:r>
    </w:p>
    <w:p w14:paraId="5EE3D5FF" w14:textId="77777777" w:rsidR="007B173F" w:rsidRDefault="007B173F" w:rsidP="007B173F">
      <w:pPr>
        <w:spacing w:line="480" w:lineRule="auto"/>
      </w:pPr>
    </w:p>
    <w:p w14:paraId="5EE3D600" w14:textId="1F2CC5C6" w:rsidR="007B173F" w:rsidRDefault="00336F7C" w:rsidP="007B173F">
      <w:pPr>
        <w:spacing w:line="480" w:lineRule="auto"/>
        <w:rPr>
          <w:b/>
        </w:rPr>
      </w:pPr>
      <w:r>
        <w:rPr>
          <w:b/>
        </w:rPr>
        <w:t xml:space="preserve">3.1 </w:t>
      </w:r>
      <w:r w:rsidR="00E03C2E" w:rsidRPr="00946553">
        <w:rPr>
          <w:b/>
        </w:rPr>
        <w:t>Dependent Variable</w:t>
      </w:r>
      <w:r w:rsidR="00756C65">
        <w:rPr>
          <w:b/>
        </w:rPr>
        <w:t>s</w:t>
      </w:r>
      <w:r w:rsidR="007B173F">
        <w:rPr>
          <w:b/>
        </w:rPr>
        <w:t xml:space="preserve"> </w:t>
      </w:r>
    </w:p>
    <w:p w14:paraId="5EE3D601" w14:textId="380E9044" w:rsidR="007B173F" w:rsidRDefault="00E03C2E" w:rsidP="007B173F">
      <w:pPr>
        <w:spacing w:line="480" w:lineRule="auto"/>
        <w:ind w:firstLine="567"/>
        <w:rPr>
          <w:rFonts w:eastAsiaTheme="minorHAnsi"/>
          <w:lang w:val="en-GB" w:eastAsia="en-US"/>
        </w:rPr>
      </w:pPr>
      <w:r w:rsidRPr="007D0D49">
        <w:t>As in He, Brouthers and Filatotchev (2013) we ask</w:t>
      </w:r>
      <w:r w:rsidR="00956B11">
        <w:t>ed</w:t>
      </w:r>
      <w:r w:rsidRPr="007D0D49">
        <w:t xml:space="preserve"> respondents to indicate</w:t>
      </w:r>
      <w:r w:rsidR="007B173F">
        <w:t xml:space="preserve"> </w:t>
      </w:r>
      <w:r w:rsidRPr="007D0D49">
        <w:t xml:space="preserve">which statement best represented the firm’s </w:t>
      </w:r>
      <w:r w:rsidR="00956B11">
        <w:t>e</w:t>
      </w:r>
      <w:r w:rsidR="00956B11" w:rsidRPr="002D550B">
        <w:rPr>
          <w:i/>
        </w:rPr>
        <w:t xml:space="preserve">xport </w:t>
      </w:r>
      <w:r w:rsidR="00956B11">
        <w:rPr>
          <w:i/>
        </w:rPr>
        <w:t>c</w:t>
      </w:r>
      <w:r w:rsidR="00956B11" w:rsidRPr="002D550B">
        <w:rPr>
          <w:i/>
        </w:rPr>
        <w:t>hannel</w:t>
      </w:r>
      <w:r w:rsidR="00956B11" w:rsidRPr="007D0D49">
        <w:t xml:space="preserve"> </w:t>
      </w:r>
      <w:r w:rsidRPr="007D0D49">
        <w:t>in their most important (largest) export market</w:t>
      </w:r>
      <w:r>
        <w:t xml:space="preserve">. </w:t>
      </w:r>
      <w:r w:rsidRPr="007D0D49">
        <w:t xml:space="preserve">Based on Klein and Roth (1990) and Klein, Frazier, and Roth (1990), </w:t>
      </w:r>
      <w:r w:rsidR="00A4266E">
        <w:t xml:space="preserve">respondents were provided with 6 different channel choices: </w:t>
      </w:r>
      <w:r w:rsidRPr="007D0D49">
        <w:t>“We are involved in a joint venture with another company to handle sales in this market”</w:t>
      </w:r>
      <w:r w:rsidR="00267DBB">
        <w:t>,</w:t>
      </w:r>
      <w:r w:rsidRPr="007D0D49">
        <w:t xml:space="preserve"> “We sell to a merchant distributor who takes title to our product and contacts buyers directly”</w:t>
      </w:r>
      <w:r w:rsidR="00A4266E">
        <w:t>,</w:t>
      </w:r>
      <w:r w:rsidRPr="007D0D49">
        <w:t xml:space="preserve"> “We use commission agents”</w:t>
      </w:r>
      <w:r w:rsidR="00A4266E">
        <w:t xml:space="preserve">, </w:t>
      </w:r>
      <w:r w:rsidRPr="007D0D49">
        <w:t>“We have a wholly owned sales subsidiary”</w:t>
      </w:r>
      <w:r w:rsidR="00A4266E">
        <w:t xml:space="preserve">, </w:t>
      </w:r>
      <w:r w:rsidRPr="007D0D49">
        <w:t>“We serve it directly from the Netherlands/Italy, using company personnel”</w:t>
      </w:r>
      <w:r w:rsidR="00A4266E">
        <w:t xml:space="preserve"> and “other”. </w:t>
      </w:r>
      <w:r w:rsidR="00A4266E" w:rsidRPr="00FA48AA">
        <w:t xml:space="preserve">As in </w:t>
      </w:r>
      <w:bookmarkStart w:id="1" w:name="_Hlk65138485"/>
      <w:r w:rsidR="00372938" w:rsidRPr="00426037">
        <w:t xml:space="preserve">Ishii </w:t>
      </w:r>
      <w:r w:rsidR="00372938">
        <w:t>(</w:t>
      </w:r>
      <w:r w:rsidR="00372938" w:rsidRPr="00426037">
        <w:t>2021</w:t>
      </w:r>
      <w:r w:rsidR="00372938">
        <w:t xml:space="preserve">) </w:t>
      </w:r>
      <w:bookmarkEnd w:id="1"/>
      <w:r w:rsidR="00372938">
        <w:t xml:space="preserve">and </w:t>
      </w:r>
      <w:r w:rsidR="00A4266E" w:rsidRPr="00FA48AA">
        <w:t xml:space="preserve">He et al. (2013) </w:t>
      </w:r>
      <w:r w:rsidR="00A4266E" w:rsidRPr="00FA48AA">
        <w:rPr>
          <w:i/>
        </w:rPr>
        <w:t>Hierarchical</w:t>
      </w:r>
      <w:r w:rsidR="00A4266E" w:rsidRPr="00FA48AA">
        <w:t xml:space="preserve"> </w:t>
      </w:r>
      <w:r w:rsidR="00C61389">
        <w:t xml:space="preserve">or independent </w:t>
      </w:r>
      <w:r w:rsidR="00A4266E" w:rsidRPr="00FA48AA">
        <w:t xml:space="preserve">channels </w:t>
      </w:r>
      <w:r w:rsidR="00AA32F5" w:rsidRPr="00FA48AA">
        <w:t>were assigned a value of zero</w:t>
      </w:r>
      <w:r w:rsidR="00CA7DC5" w:rsidRPr="00FA48AA">
        <w:t>. In these channels the SME handles all the distribution and selling of the product in the foreign market</w:t>
      </w:r>
      <w:r w:rsidR="000E259C" w:rsidRPr="00FA48AA">
        <w:t xml:space="preserve"> </w:t>
      </w:r>
      <w:r w:rsidR="00CA7DC5" w:rsidRPr="00FA48AA">
        <w:t xml:space="preserve">which </w:t>
      </w:r>
      <w:r w:rsidR="00A4266E" w:rsidRPr="00FA48AA">
        <w:t>include</w:t>
      </w:r>
      <w:r w:rsidR="00CA7DC5" w:rsidRPr="00FA48AA">
        <w:t>s</w:t>
      </w:r>
      <w:r w:rsidR="00A4266E" w:rsidRPr="00FA48AA">
        <w:t xml:space="preserve"> </w:t>
      </w:r>
      <w:r w:rsidR="00EC5A19" w:rsidRPr="00FA48AA">
        <w:t xml:space="preserve">the use of </w:t>
      </w:r>
      <w:r w:rsidR="00A4266E" w:rsidRPr="00FA48AA">
        <w:t xml:space="preserve">wholly owned </w:t>
      </w:r>
      <w:r w:rsidR="00CA7DC5" w:rsidRPr="00FA48AA">
        <w:t xml:space="preserve">subsidiaries </w:t>
      </w:r>
      <w:r w:rsidR="00A4266E" w:rsidRPr="00FA48AA">
        <w:t xml:space="preserve">and </w:t>
      </w:r>
      <w:r w:rsidR="00CA7DC5" w:rsidRPr="00FA48AA">
        <w:t xml:space="preserve">direct </w:t>
      </w:r>
      <w:r w:rsidR="00A4266E" w:rsidRPr="00FA48AA">
        <w:t>exports from the home country</w:t>
      </w:r>
      <w:r w:rsidR="00AA32F5" w:rsidRPr="00FA48AA">
        <w:t xml:space="preserve">. </w:t>
      </w:r>
      <w:r w:rsidR="00A4266E" w:rsidRPr="00FA48AA">
        <w:rPr>
          <w:i/>
        </w:rPr>
        <w:t>Cooperative</w:t>
      </w:r>
      <w:r w:rsidR="00A4266E" w:rsidRPr="00FA48AA">
        <w:t xml:space="preserve"> </w:t>
      </w:r>
      <w:r w:rsidR="00AA32F5" w:rsidRPr="00FA48AA">
        <w:t xml:space="preserve">or intermediate channels were </w:t>
      </w:r>
      <w:r w:rsidR="00A4266E" w:rsidRPr="00FA48AA">
        <w:t xml:space="preserve">assigned a value of </w:t>
      </w:r>
      <w:r w:rsidR="0036017A" w:rsidRPr="00FA48AA">
        <w:t>one</w:t>
      </w:r>
      <w:r w:rsidR="00CA7DC5" w:rsidRPr="00FA48AA">
        <w:t xml:space="preserve">. These channels allow the SME to share all or part of the distribution or sales of products in the foreign market either through a </w:t>
      </w:r>
      <w:r w:rsidR="00AA32F5" w:rsidRPr="00FA48AA">
        <w:t>joint venture</w:t>
      </w:r>
      <w:r w:rsidR="00CA7DC5" w:rsidRPr="00FA48AA">
        <w:t xml:space="preserve">, a </w:t>
      </w:r>
      <w:r w:rsidR="00AA32F5" w:rsidRPr="00FA48AA">
        <w:t>merchant distributor,</w:t>
      </w:r>
      <w:r w:rsidR="00CA7DC5" w:rsidRPr="00FA48AA">
        <w:t xml:space="preserve"> or </w:t>
      </w:r>
      <w:r w:rsidR="00AA32F5" w:rsidRPr="00FA48AA">
        <w:t>commission agents who act for the firm in foreign markets.</w:t>
      </w:r>
      <w:r w:rsidR="007B173F">
        <w:t xml:space="preserve"> </w:t>
      </w:r>
      <w:r w:rsidR="00E147BC" w:rsidRPr="00441EE1">
        <w:rPr>
          <w:rFonts w:eastAsiaTheme="minorHAnsi"/>
          <w:lang w:val="en-GB" w:eastAsia="en-US"/>
        </w:rPr>
        <w:t xml:space="preserve">Respondents selected </w:t>
      </w:r>
      <w:r w:rsidR="00E147BC" w:rsidRPr="00441EE1">
        <w:rPr>
          <w:rFonts w:eastAsiaTheme="minorHAnsi"/>
          <w:i/>
          <w:lang w:val="en-GB" w:eastAsia="en-US"/>
        </w:rPr>
        <w:t>Hierarchical</w:t>
      </w:r>
      <w:r w:rsidR="00E147BC" w:rsidRPr="00441EE1">
        <w:rPr>
          <w:rFonts w:eastAsiaTheme="minorHAnsi"/>
          <w:lang w:val="en-GB" w:eastAsia="en-US"/>
        </w:rPr>
        <w:t xml:space="preserve"> channels 169 times (25 wholly owned and 144 service directly). They selected </w:t>
      </w:r>
      <w:r w:rsidR="00E147BC" w:rsidRPr="00441EE1">
        <w:rPr>
          <w:rFonts w:eastAsiaTheme="minorHAnsi"/>
          <w:i/>
          <w:lang w:val="en-GB" w:eastAsia="en-US"/>
        </w:rPr>
        <w:t>Cooperative</w:t>
      </w:r>
      <w:r w:rsidR="00E147BC" w:rsidRPr="00441EE1">
        <w:rPr>
          <w:rFonts w:eastAsiaTheme="minorHAnsi"/>
          <w:lang w:val="en-GB" w:eastAsia="en-US"/>
        </w:rPr>
        <w:t xml:space="preserve"> channels 85 times (10 joint ventures, 33 agents, and 42 distributors). Respondents selected the “other” option 11 times. After reviewing these “other” responses, we attributed 8 responses to </w:t>
      </w:r>
      <w:r w:rsidR="00DB57CF">
        <w:rPr>
          <w:rFonts w:eastAsiaTheme="minorHAnsi"/>
          <w:lang w:val="en-GB" w:eastAsia="en-US"/>
        </w:rPr>
        <w:t>h</w:t>
      </w:r>
      <w:r w:rsidR="00E147BC" w:rsidRPr="00441EE1">
        <w:rPr>
          <w:rFonts w:eastAsiaTheme="minorHAnsi"/>
          <w:lang w:val="en-GB" w:eastAsia="en-US"/>
        </w:rPr>
        <w:t xml:space="preserve">ierarchical and 3 to </w:t>
      </w:r>
      <w:r w:rsidR="00DB57CF">
        <w:rPr>
          <w:rFonts w:eastAsiaTheme="minorHAnsi"/>
          <w:lang w:val="en-GB" w:eastAsia="en-US"/>
        </w:rPr>
        <w:t>c</w:t>
      </w:r>
      <w:r w:rsidR="00E147BC" w:rsidRPr="00441EE1">
        <w:rPr>
          <w:rFonts w:eastAsiaTheme="minorHAnsi"/>
          <w:lang w:val="en-GB" w:eastAsia="en-US"/>
        </w:rPr>
        <w:t>ooperative channels.</w:t>
      </w:r>
      <w:r w:rsidR="00E147BC" w:rsidRPr="00E147BC">
        <w:rPr>
          <w:rFonts w:eastAsiaTheme="minorHAnsi"/>
          <w:lang w:val="en-GB" w:eastAsia="en-US"/>
        </w:rPr>
        <w:t xml:space="preserve"> </w:t>
      </w:r>
    </w:p>
    <w:p w14:paraId="5EE3D602" w14:textId="77E8193B" w:rsidR="005D09AF" w:rsidRPr="005D09AF" w:rsidRDefault="008F270F" w:rsidP="007B173F">
      <w:pPr>
        <w:spacing w:line="480" w:lineRule="auto"/>
        <w:ind w:firstLine="567"/>
        <w:rPr>
          <w:rFonts w:eastAsiaTheme="minorHAnsi"/>
          <w:b/>
          <w:lang w:val="en-GB" w:eastAsia="en-US"/>
        </w:rPr>
      </w:pPr>
      <w:r w:rsidRPr="00B237E1">
        <w:t xml:space="preserve">Second, as </w:t>
      </w:r>
      <w:proofErr w:type="spellStart"/>
      <w:r w:rsidRPr="00B237E1">
        <w:t>Cavusgil</w:t>
      </w:r>
      <w:proofErr w:type="spellEnd"/>
      <w:r w:rsidRPr="00B237E1">
        <w:t xml:space="preserve"> and Zou (1994) suggest, </w:t>
      </w:r>
      <w:r w:rsidR="00B237E1">
        <w:t>w</w:t>
      </w:r>
      <w:r w:rsidR="00756C65">
        <w:t xml:space="preserve">e </w:t>
      </w:r>
      <w:r w:rsidR="00956B11">
        <w:t xml:space="preserve">measured </w:t>
      </w:r>
      <w:r w:rsidR="00756C65" w:rsidRPr="002D550B">
        <w:rPr>
          <w:i/>
        </w:rPr>
        <w:t>export performance</w:t>
      </w:r>
      <w:r w:rsidR="00756C65">
        <w:t xml:space="preserve"> </w:t>
      </w:r>
      <w:r w:rsidR="00956B11">
        <w:t>for</w:t>
      </w:r>
      <w:r w:rsidR="00756C65">
        <w:t xml:space="preserve"> each firm in the </w:t>
      </w:r>
      <w:r w:rsidR="00956B11">
        <w:t xml:space="preserve">main (largest) export </w:t>
      </w:r>
      <w:r w:rsidR="00756C65">
        <w:t>market</w:t>
      </w:r>
      <w:r w:rsidR="00956B11">
        <w:t xml:space="preserve"> </w:t>
      </w:r>
      <w:r w:rsidR="00956B11" w:rsidRPr="005E37A8">
        <w:t>(</w:t>
      </w:r>
      <w:r w:rsidR="00956B11">
        <w:t>He et al., 2013</w:t>
      </w:r>
      <w:r w:rsidR="00956B11" w:rsidRPr="005E0B8F">
        <w:t>)</w:t>
      </w:r>
      <w:r w:rsidR="00756C65">
        <w:t xml:space="preserve">, not overall firm performance or overall export performance. </w:t>
      </w:r>
      <w:r w:rsidR="00756C65" w:rsidRPr="00E820D1">
        <w:t xml:space="preserve">According to </w:t>
      </w:r>
      <w:bookmarkStart w:id="2" w:name="_Hlk65228495"/>
      <w:proofErr w:type="spellStart"/>
      <w:r w:rsidR="00756C65" w:rsidRPr="00E820D1">
        <w:t>Keupp</w:t>
      </w:r>
      <w:proofErr w:type="spellEnd"/>
      <w:r w:rsidR="00756C65" w:rsidRPr="00E820D1">
        <w:t xml:space="preserve"> and Gassmann (2009</w:t>
      </w:r>
      <w:bookmarkEnd w:id="2"/>
      <w:r w:rsidR="00756C65" w:rsidRPr="00E820D1">
        <w:t>) capturing country-</w:t>
      </w:r>
      <w:r w:rsidR="00756C65" w:rsidRPr="00E820D1">
        <w:lastRenderedPageBreak/>
        <w:t>specific export performance is a bet</w:t>
      </w:r>
      <w:r w:rsidR="00756C65">
        <w:t>ter method of testing export related decisions and activities. We used subjective measures because the firms we contacted were reluctant to provide concrete performance data and because we were exploring performance in a specific foreign market and the data were not available through a third party (e.g. Chambers of Commerce). We included three questions (o</w:t>
      </w:r>
      <w:r w:rsidR="00756C65" w:rsidRPr="00984E03">
        <w:t>n a seven-point Likert-type scale</w:t>
      </w:r>
      <w:r w:rsidR="00756C65">
        <w:t xml:space="preserve">) about the level of satisfaction with the main </w:t>
      </w:r>
      <w:r w:rsidR="00956B11">
        <w:t>export</w:t>
      </w:r>
      <w:r w:rsidR="00756C65">
        <w:t xml:space="preserve"> market over the past three years regarding (a) profitability</w:t>
      </w:r>
      <w:r w:rsidR="005D09AF" w:rsidRPr="00DB57CF">
        <w:rPr>
          <w:rFonts w:eastAsiaTheme="minorHAnsi"/>
          <w:lang w:val="en-GB" w:eastAsia="en-US"/>
        </w:rPr>
        <w:t xml:space="preserve"> </w:t>
      </w:r>
      <w:r w:rsidR="005D09AF" w:rsidRPr="00441EE1">
        <w:rPr>
          <w:rFonts w:eastAsiaTheme="minorHAnsi"/>
          <w:lang w:val="en-GB" w:eastAsia="en-US"/>
        </w:rPr>
        <w:t>(mean</w:t>
      </w:r>
      <w:r w:rsidR="005026FA">
        <w:rPr>
          <w:rFonts w:eastAsiaTheme="minorHAnsi"/>
          <w:lang w:val="en-GB" w:eastAsia="en-US"/>
        </w:rPr>
        <w:t xml:space="preserve"> </w:t>
      </w:r>
      <w:r w:rsidR="005D09AF" w:rsidRPr="00441EE1">
        <w:rPr>
          <w:rFonts w:eastAsiaTheme="minorHAnsi"/>
          <w:lang w:val="en-GB" w:eastAsia="en-US"/>
        </w:rPr>
        <w:t>=</w:t>
      </w:r>
      <w:r w:rsidR="005026FA">
        <w:rPr>
          <w:rFonts w:eastAsiaTheme="minorHAnsi"/>
          <w:lang w:val="en-GB" w:eastAsia="en-US"/>
        </w:rPr>
        <w:t xml:space="preserve"> </w:t>
      </w:r>
      <w:r w:rsidR="005D09AF" w:rsidRPr="00441EE1">
        <w:rPr>
          <w:rFonts w:eastAsiaTheme="minorHAnsi"/>
          <w:lang w:val="en-GB" w:eastAsia="en-US"/>
        </w:rPr>
        <w:t xml:space="preserve">4.56, </w:t>
      </w:r>
      <w:proofErr w:type="spellStart"/>
      <w:r w:rsidR="005D09AF" w:rsidRPr="00441EE1">
        <w:rPr>
          <w:rFonts w:eastAsiaTheme="minorHAnsi"/>
          <w:lang w:val="en-GB" w:eastAsia="en-US"/>
        </w:rPr>
        <w:t>s.d.</w:t>
      </w:r>
      <w:proofErr w:type="spellEnd"/>
      <w:r w:rsidR="005026FA">
        <w:rPr>
          <w:rFonts w:eastAsiaTheme="minorHAnsi"/>
          <w:lang w:val="en-GB" w:eastAsia="en-US"/>
        </w:rPr>
        <w:t xml:space="preserve"> </w:t>
      </w:r>
      <w:r w:rsidR="005D09AF" w:rsidRPr="00441EE1">
        <w:rPr>
          <w:rFonts w:eastAsiaTheme="minorHAnsi"/>
          <w:lang w:val="en-GB" w:eastAsia="en-US"/>
        </w:rPr>
        <w:t>=</w:t>
      </w:r>
      <w:r w:rsidR="005026FA">
        <w:rPr>
          <w:rFonts w:eastAsiaTheme="minorHAnsi"/>
          <w:lang w:val="en-GB" w:eastAsia="en-US"/>
        </w:rPr>
        <w:t xml:space="preserve"> </w:t>
      </w:r>
      <w:r w:rsidR="005D09AF" w:rsidRPr="00441EE1">
        <w:rPr>
          <w:rFonts w:eastAsiaTheme="minorHAnsi"/>
          <w:lang w:val="en-GB" w:eastAsia="en-US"/>
        </w:rPr>
        <w:t>1.58</w:t>
      </w:r>
      <w:r w:rsidR="005D09AF">
        <w:rPr>
          <w:rFonts w:eastAsiaTheme="minorHAnsi"/>
          <w:lang w:val="en-GB" w:eastAsia="en-US"/>
        </w:rPr>
        <w:t>)</w:t>
      </w:r>
      <w:r w:rsidR="00756C65">
        <w:t xml:space="preserve">, (b) overall </w:t>
      </w:r>
      <w:r w:rsidR="00756C65" w:rsidRPr="00583F02">
        <w:t>export performance</w:t>
      </w:r>
      <w:r w:rsidR="00441EE1">
        <w:rPr>
          <w:rFonts w:eastAsiaTheme="minorHAnsi"/>
          <w:lang w:val="en-GB" w:eastAsia="en-US"/>
        </w:rPr>
        <w:t xml:space="preserve"> </w:t>
      </w:r>
      <w:r w:rsidR="005D09AF" w:rsidRPr="00441EE1">
        <w:rPr>
          <w:rFonts w:eastAsiaTheme="minorHAnsi"/>
          <w:lang w:val="en-GB" w:eastAsia="en-US"/>
        </w:rPr>
        <w:t>(mean</w:t>
      </w:r>
      <w:r w:rsidR="005026FA">
        <w:rPr>
          <w:rFonts w:eastAsiaTheme="minorHAnsi"/>
          <w:lang w:val="en-GB" w:eastAsia="en-US"/>
        </w:rPr>
        <w:t xml:space="preserve"> </w:t>
      </w:r>
      <w:r w:rsidR="005D09AF" w:rsidRPr="00441EE1">
        <w:rPr>
          <w:rFonts w:eastAsiaTheme="minorHAnsi"/>
          <w:lang w:val="en-GB" w:eastAsia="en-US"/>
        </w:rPr>
        <w:t>=</w:t>
      </w:r>
      <w:r w:rsidR="005026FA">
        <w:rPr>
          <w:rFonts w:eastAsiaTheme="minorHAnsi"/>
          <w:lang w:val="en-GB" w:eastAsia="en-US"/>
        </w:rPr>
        <w:t xml:space="preserve"> </w:t>
      </w:r>
      <w:r w:rsidR="005D09AF" w:rsidRPr="00441EE1">
        <w:rPr>
          <w:rFonts w:eastAsiaTheme="minorHAnsi"/>
          <w:lang w:val="en-GB" w:eastAsia="en-US"/>
        </w:rPr>
        <w:t xml:space="preserve">4.46, </w:t>
      </w:r>
      <w:proofErr w:type="spellStart"/>
      <w:r w:rsidR="005D09AF" w:rsidRPr="00441EE1">
        <w:rPr>
          <w:rFonts w:eastAsiaTheme="minorHAnsi"/>
          <w:lang w:val="en-GB" w:eastAsia="en-US"/>
        </w:rPr>
        <w:t>s.d.</w:t>
      </w:r>
      <w:proofErr w:type="spellEnd"/>
      <w:r w:rsidR="005026FA">
        <w:rPr>
          <w:rFonts w:eastAsiaTheme="minorHAnsi"/>
          <w:lang w:val="en-GB" w:eastAsia="en-US"/>
        </w:rPr>
        <w:t xml:space="preserve"> </w:t>
      </w:r>
      <w:r w:rsidR="005D09AF" w:rsidRPr="00441EE1">
        <w:rPr>
          <w:rFonts w:eastAsiaTheme="minorHAnsi"/>
          <w:lang w:val="en-GB" w:eastAsia="en-US"/>
        </w:rPr>
        <w:t>=</w:t>
      </w:r>
      <w:r w:rsidR="005026FA">
        <w:rPr>
          <w:rFonts w:eastAsiaTheme="minorHAnsi"/>
          <w:lang w:val="en-GB" w:eastAsia="en-US"/>
        </w:rPr>
        <w:t xml:space="preserve"> </w:t>
      </w:r>
      <w:r w:rsidR="005D09AF" w:rsidRPr="00441EE1">
        <w:rPr>
          <w:rFonts w:eastAsiaTheme="minorHAnsi"/>
          <w:lang w:val="en-GB" w:eastAsia="en-US"/>
        </w:rPr>
        <w:t>1.58</w:t>
      </w:r>
      <w:r w:rsidR="005D09AF">
        <w:rPr>
          <w:rFonts w:eastAsiaTheme="minorHAnsi"/>
          <w:lang w:val="en-GB" w:eastAsia="en-US"/>
        </w:rPr>
        <w:t>)</w:t>
      </w:r>
      <w:r w:rsidR="00756C65" w:rsidRPr="00583F02">
        <w:t>, and (</w:t>
      </w:r>
      <w:r w:rsidR="00756C65">
        <w:t>c</w:t>
      </w:r>
      <w:r w:rsidR="00756C65" w:rsidRPr="00583F02">
        <w:t>) achievement of the company’s initial objectives</w:t>
      </w:r>
      <w:r w:rsidR="005D09AF" w:rsidRPr="00441EE1">
        <w:rPr>
          <w:rFonts w:eastAsiaTheme="minorHAnsi"/>
          <w:lang w:val="en-GB" w:eastAsia="en-US"/>
        </w:rPr>
        <w:t xml:space="preserve"> (mean</w:t>
      </w:r>
      <w:r w:rsidR="005026FA">
        <w:rPr>
          <w:rFonts w:eastAsiaTheme="minorHAnsi"/>
          <w:lang w:val="en-GB" w:eastAsia="en-US"/>
        </w:rPr>
        <w:t xml:space="preserve"> </w:t>
      </w:r>
      <w:r w:rsidR="005D09AF" w:rsidRPr="00441EE1">
        <w:rPr>
          <w:rFonts w:eastAsiaTheme="minorHAnsi"/>
          <w:lang w:val="en-GB" w:eastAsia="en-US"/>
        </w:rPr>
        <w:t>=</w:t>
      </w:r>
      <w:r w:rsidR="005026FA">
        <w:rPr>
          <w:rFonts w:eastAsiaTheme="minorHAnsi"/>
          <w:lang w:val="en-GB" w:eastAsia="en-US"/>
        </w:rPr>
        <w:t xml:space="preserve"> </w:t>
      </w:r>
      <w:r w:rsidR="005D09AF" w:rsidRPr="00441EE1">
        <w:rPr>
          <w:rFonts w:eastAsiaTheme="minorHAnsi"/>
          <w:lang w:val="en-GB" w:eastAsia="en-US"/>
        </w:rPr>
        <w:t xml:space="preserve">4.58, </w:t>
      </w:r>
      <w:proofErr w:type="spellStart"/>
      <w:r w:rsidR="005D09AF" w:rsidRPr="00441EE1">
        <w:rPr>
          <w:rFonts w:eastAsiaTheme="minorHAnsi"/>
          <w:lang w:val="en-GB" w:eastAsia="en-US"/>
        </w:rPr>
        <w:t>s.d.</w:t>
      </w:r>
      <w:proofErr w:type="spellEnd"/>
      <w:r w:rsidR="005026FA">
        <w:rPr>
          <w:rFonts w:eastAsiaTheme="minorHAnsi"/>
          <w:lang w:val="en-GB" w:eastAsia="en-US"/>
        </w:rPr>
        <w:t xml:space="preserve"> </w:t>
      </w:r>
      <w:r w:rsidR="005D09AF" w:rsidRPr="00441EE1">
        <w:rPr>
          <w:rFonts w:eastAsiaTheme="minorHAnsi"/>
          <w:lang w:val="en-GB" w:eastAsia="en-US"/>
        </w:rPr>
        <w:t>=</w:t>
      </w:r>
      <w:r w:rsidR="005026FA">
        <w:rPr>
          <w:rFonts w:eastAsiaTheme="minorHAnsi"/>
          <w:lang w:val="en-GB" w:eastAsia="en-US"/>
        </w:rPr>
        <w:t xml:space="preserve"> </w:t>
      </w:r>
      <w:r w:rsidR="005D09AF" w:rsidRPr="00441EE1">
        <w:rPr>
          <w:rFonts w:eastAsiaTheme="minorHAnsi"/>
          <w:lang w:val="en-GB" w:eastAsia="en-US"/>
        </w:rPr>
        <w:t>1.61</w:t>
      </w:r>
      <w:r w:rsidR="005D09AF">
        <w:rPr>
          <w:rFonts w:eastAsiaTheme="minorHAnsi"/>
          <w:lang w:val="en-GB" w:eastAsia="en-US"/>
        </w:rPr>
        <w:t>)</w:t>
      </w:r>
      <w:r w:rsidR="00756C65" w:rsidRPr="00583F02">
        <w:t xml:space="preserve">. </w:t>
      </w:r>
      <w:r w:rsidR="003277E9" w:rsidRPr="00441EE1">
        <w:t xml:space="preserve">We used factor analysis to look at the loadings </w:t>
      </w:r>
      <w:r w:rsidR="0028500E" w:rsidRPr="00441EE1">
        <w:t xml:space="preserve">for this </w:t>
      </w:r>
      <w:r w:rsidR="003E5AD2" w:rsidRPr="00441EE1">
        <w:t>variable</w:t>
      </w:r>
      <w:r w:rsidR="0028500E" w:rsidRPr="00441EE1">
        <w:t xml:space="preserve"> as well as all other </w:t>
      </w:r>
      <w:r w:rsidR="003277E9" w:rsidRPr="00441EE1">
        <w:t xml:space="preserve">multi-item </w:t>
      </w:r>
      <w:r w:rsidR="003E5AD2" w:rsidRPr="00441EE1">
        <w:t>variables</w:t>
      </w:r>
      <w:r w:rsidR="0028500E" w:rsidRPr="00441EE1">
        <w:t xml:space="preserve"> included in our study</w:t>
      </w:r>
      <w:r w:rsidR="003277E9" w:rsidRPr="00441EE1">
        <w:t xml:space="preserve">. We also looked at the reliabilities of each of these multi-item </w:t>
      </w:r>
      <w:r w:rsidR="003E5AD2" w:rsidRPr="00441EE1">
        <w:t>variables</w:t>
      </w:r>
      <w:r w:rsidR="003277E9" w:rsidRPr="00441EE1">
        <w:t>.</w:t>
      </w:r>
      <w:r w:rsidR="003277E9" w:rsidRPr="00BC2F63">
        <w:rPr>
          <w:b/>
        </w:rPr>
        <w:t xml:space="preserve"> </w:t>
      </w:r>
      <w:r w:rsidR="00756C65" w:rsidRPr="00583F02">
        <w:t>Factor analysis indicated that the three</w:t>
      </w:r>
      <w:r w:rsidR="003277E9">
        <w:t xml:space="preserve"> performance</w:t>
      </w:r>
      <w:r w:rsidR="00756C65" w:rsidRPr="00583F02">
        <w:t xml:space="preserve"> items </w:t>
      </w:r>
      <w:r w:rsidR="00756C65">
        <w:t xml:space="preserve">loaded on one factor (Cronbach alpha = 0.85). The values of the three items were summed to create the </w:t>
      </w:r>
      <w:r w:rsidR="00956B11">
        <w:rPr>
          <w:i/>
        </w:rPr>
        <w:t>ex</w:t>
      </w:r>
      <w:r w:rsidR="00756C65" w:rsidRPr="002D550B">
        <w:rPr>
          <w:i/>
        </w:rPr>
        <w:t>po</w:t>
      </w:r>
      <w:r w:rsidR="00956B11">
        <w:rPr>
          <w:i/>
        </w:rPr>
        <w:t>rt p</w:t>
      </w:r>
      <w:r w:rsidR="00756C65" w:rsidRPr="002D550B">
        <w:rPr>
          <w:i/>
        </w:rPr>
        <w:t>erformance</w:t>
      </w:r>
      <w:r w:rsidR="00756C65">
        <w:t xml:space="preserve"> construct</w:t>
      </w:r>
      <w:r w:rsidR="005D09AF">
        <w:t xml:space="preserve"> </w:t>
      </w:r>
      <w:r w:rsidR="005D09AF" w:rsidRPr="00441EE1">
        <w:rPr>
          <w:rFonts w:eastAsiaTheme="minorHAnsi"/>
          <w:lang w:val="en-GB" w:eastAsia="en-US"/>
        </w:rPr>
        <w:t>(mean</w:t>
      </w:r>
      <w:r w:rsidR="005026FA">
        <w:rPr>
          <w:rFonts w:eastAsiaTheme="minorHAnsi"/>
          <w:lang w:val="en-GB" w:eastAsia="en-US"/>
        </w:rPr>
        <w:t xml:space="preserve"> </w:t>
      </w:r>
      <w:r w:rsidR="005D09AF" w:rsidRPr="00441EE1">
        <w:rPr>
          <w:rFonts w:eastAsiaTheme="minorHAnsi"/>
          <w:lang w:val="en-GB" w:eastAsia="en-US"/>
        </w:rPr>
        <w:t>=</w:t>
      </w:r>
      <w:r w:rsidR="005026FA">
        <w:rPr>
          <w:rFonts w:eastAsiaTheme="minorHAnsi"/>
          <w:lang w:val="en-GB" w:eastAsia="en-US"/>
        </w:rPr>
        <w:t xml:space="preserve"> </w:t>
      </w:r>
      <w:r w:rsidR="005D09AF" w:rsidRPr="00441EE1">
        <w:rPr>
          <w:rFonts w:eastAsiaTheme="minorHAnsi"/>
          <w:lang w:val="en-GB" w:eastAsia="en-US"/>
        </w:rPr>
        <w:t xml:space="preserve">13.58, </w:t>
      </w:r>
      <w:proofErr w:type="spellStart"/>
      <w:r w:rsidR="005026FA">
        <w:rPr>
          <w:rFonts w:eastAsiaTheme="minorHAnsi"/>
          <w:lang w:val="en-GB" w:eastAsia="en-US"/>
        </w:rPr>
        <w:t>s.d.</w:t>
      </w:r>
      <w:proofErr w:type="spellEnd"/>
      <w:r w:rsidR="005026FA">
        <w:rPr>
          <w:rFonts w:eastAsiaTheme="minorHAnsi"/>
          <w:lang w:val="en-GB" w:eastAsia="en-US"/>
        </w:rPr>
        <w:t xml:space="preserve"> </w:t>
      </w:r>
      <w:r w:rsidR="005D09AF" w:rsidRPr="00441EE1">
        <w:rPr>
          <w:rFonts w:eastAsiaTheme="minorHAnsi"/>
          <w:lang w:val="en-GB" w:eastAsia="en-US"/>
        </w:rPr>
        <w:t>=</w:t>
      </w:r>
      <w:r w:rsidR="005026FA">
        <w:rPr>
          <w:rFonts w:eastAsiaTheme="minorHAnsi"/>
          <w:lang w:val="en-GB" w:eastAsia="en-US"/>
        </w:rPr>
        <w:t xml:space="preserve"> </w:t>
      </w:r>
      <w:r w:rsidR="005D09AF" w:rsidRPr="00441EE1">
        <w:rPr>
          <w:rFonts w:eastAsiaTheme="minorHAnsi"/>
          <w:lang w:val="en-GB" w:eastAsia="en-US"/>
        </w:rPr>
        <w:t xml:space="preserve">4.13). </w:t>
      </w:r>
    </w:p>
    <w:p w14:paraId="5EE3D603" w14:textId="77777777" w:rsidR="00E03C2E" w:rsidRPr="007D0D49" w:rsidRDefault="00E03C2E" w:rsidP="007B173F">
      <w:pPr>
        <w:spacing w:line="480" w:lineRule="auto"/>
        <w:ind w:firstLine="567"/>
        <w:rPr>
          <w:b/>
        </w:rPr>
      </w:pPr>
    </w:p>
    <w:p w14:paraId="5EE3D604" w14:textId="57C9C122" w:rsidR="00E03C2E" w:rsidRPr="007D0D49" w:rsidRDefault="00336F7C" w:rsidP="00756C65">
      <w:pPr>
        <w:spacing w:line="480" w:lineRule="auto"/>
        <w:rPr>
          <w:b/>
        </w:rPr>
      </w:pPr>
      <w:r>
        <w:rPr>
          <w:b/>
        </w:rPr>
        <w:t xml:space="preserve">3.2 </w:t>
      </w:r>
      <w:r w:rsidR="00E03C2E" w:rsidRPr="007D0D49">
        <w:rPr>
          <w:b/>
        </w:rPr>
        <w:t>Independent and Moderating Variables</w:t>
      </w:r>
    </w:p>
    <w:p w14:paraId="5EE3D605" w14:textId="5154DD5A" w:rsidR="00E03C2E" w:rsidRPr="00C667BE" w:rsidRDefault="00756C65" w:rsidP="00CA78F0">
      <w:pPr>
        <w:spacing w:line="480" w:lineRule="auto"/>
        <w:ind w:firstLine="567"/>
      </w:pPr>
      <w:r w:rsidRPr="00BE7C7E">
        <w:t>For our export channel choice analysis</w:t>
      </w:r>
      <w:r>
        <w:t xml:space="preserve">, </w:t>
      </w:r>
      <w:r w:rsidR="00E03C2E" w:rsidRPr="002D550B">
        <w:rPr>
          <w:i/>
        </w:rPr>
        <w:t xml:space="preserve">Entrepreneurial </w:t>
      </w:r>
      <w:r w:rsidR="00CB762A">
        <w:rPr>
          <w:i/>
        </w:rPr>
        <w:t>Orientation</w:t>
      </w:r>
      <w:r w:rsidR="008F7BA4" w:rsidRPr="00106E40">
        <w:t xml:space="preserve"> </w:t>
      </w:r>
      <w:r w:rsidR="00CB762A">
        <w:t xml:space="preserve">(EO) </w:t>
      </w:r>
      <w:r w:rsidR="008F7BA4" w:rsidRPr="00106E40">
        <w:t>w</w:t>
      </w:r>
      <w:r w:rsidR="00CB762A">
        <w:t>as</w:t>
      </w:r>
      <w:r w:rsidR="008F7BA4" w:rsidRPr="00106E40">
        <w:t xml:space="preserve"> measured using</w:t>
      </w:r>
      <w:r w:rsidR="00E03C2E" w:rsidRPr="00106E40">
        <w:t xml:space="preserve"> </w:t>
      </w:r>
      <w:r w:rsidR="00E03C2E" w:rsidRPr="007D0D49">
        <w:t xml:space="preserve">nine seven-point Likert-scale items, building on work by </w:t>
      </w:r>
      <w:proofErr w:type="spellStart"/>
      <w:r w:rsidR="00E03C2E" w:rsidRPr="00E10515">
        <w:t>Covin</w:t>
      </w:r>
      <w:proofErr w:type="spellEnd"/>
      <w:r w:rsidR="00E03C2E" w:rsidRPr="00E10515">
        <w:t xml:space="preserve"> and </w:t>
      </w:r>
      <w:proofErr w:type="spellStart"/>
      <w:r w:rsidR="00E03C2E" w:rsidRPr="00E10515">
        <w:t>Slevin</w:t>
      </w:r>
      <w:proofErr w:type="spellEnd"/>
      <w:r w:rsidR="00E03C2E" w:rsidRPr="00E10515">
        <w:t xml:space="preserve"> (1989)</w:t>
      </w:r>
      <w:r w:rsidR="00E03C2E" w:rsidRPr="007D0D49">
        <w:t xml:space="preserve">. </w:t>
      </w:r>
      <w:r w:rsidR="00533A32" w:rsidRPr="00FA48AA">
        <w:t>While there is some debate about the usefulness and dimensionality of this construct (Anderson, et al., 201</w:t>
      </w:r>
      <w:r w:rsidR="006F2F91">
        <w:t>5</w:t>
      </w:r>
      <w:r w:rsidR="00CB762A">
        <w:t>; Wales et al., 201</w:t>
      </w:r>
      <w:r w:rsidR="0041511B">
        <w:t>3</w:t>
      </w:r>
      <w:r w:rsidR="00533A32" w:rsidRPr="00FA48AA">
        <w:t xml:space="preserve">), it is widely used </w:t>
      </w:r>
      <w:r w:rsidR="00F303C0" w:rsidRPr="00FA48AA">
        <w:t xml:space="preserve">in entrepreneurship research </w:t>
      </w:r>
      <w:r w:rsidR="00533A32" w:rsidRPr="00FA48AA">
        <w:t>(Rauch et al., 2009</w:t>
      </w:r>
      <w:r w:rsidR="00CB762A">
        <w:t>; Wales et al., 201</w:t>
      </w:r>
      <w:r w:rsidR="0041511B">
        <w:t>3</w:t>
      </w:r>
      <w:r w:rsidR="00533A32" w:rsidRPr="00FA48AA">
        <w:t xml:space="preserve">) and </w:t>
      </w:r>
      <w:r w:rsidR="00F303C0" w:rsidRPr="00FA48AA">
        <w:t xml:space="preserve">thus </w:t>
      </w:r>
      <w:r w:rsidR="00533A32" w:rsidRPr="00FA48AA">
        <w:t xml:space="preserve">aids in comparisons with previous </w:t>
      </w:r>
      <w:r w:rsidR="00F303C0" w:rsidRPr="00FA48AA">
        <w:t>results</w:t>
      </w:r>
      <w:r w:rsidR="00533A32" w:rsidRPr="00FA48AA">
        <w:t>.</w:t>
      </w:r>
      <w:r w:rsidR="00533A32">
        <w:t xml:space="preserve"> T</w:t>
      </w:r>
      <w:r w:rsidR="00E03C2E" w:rsidRPr="007D0D49">
        <w:t>his variable included the three components of EO: proactiveness, risk a</w:t>
      </w:r>
      <w:r w:rsidR="006A46B4">
        <w:t>version</w:t>
      </w:r>
      <w:r w:rsidR="00E03C2E" w:rsidRPr="007D0D49">
        <w:t>, and innovat</w:t>
      </w:r>
      <w:r w:rsidR="00E03C2E">
        <w:t>iveness</w:t>
      </w:r>
      <w:r w:rsidR="00E03C2E" w:rsidRPr="007D0D49">
        <w:t xml:space="preserve"> (Miller, 1983). </w:t>
      </w:r>
      <w:r w:rsidR="00C667BE" w:rsidRPr="00441EE1">
        <w:t xml:space="preserve">Although </w:t>
      </w:r>
      <w:r w:rsidR="00641F33" w:rsidRPr="00441EE1">
        <w:t xml:space="preserve">the </w:t>
      </w:r>
      <w:r w:rsidR="00C667BE" w:rsidRPr="00441EE1">
        <w:t xml:space="preserve">EO </w:t>
      </w:r>
      <w:r w:rsidR="00641F33" w:rsidRPr="00441EE1">
        <w:t xml:space="preserve">items </w:t>
      </w:r>
      <w:r w:rsidR="00C667BE" w:rsidRPr="00441EE1">
        <w:t xml:space="preserve">loaded on two factors (instead of one), consistent with previous research (Rauch et al., 2009; Wales et al., 2013) we decided to make EO a univariate item. The nine items were summed and averaged to create a single </w:t>
      </w:r>
      <w:r w:rsidR="00144AED" w:rsidRPr="00CA674E">
        <w:t>EO</w:t>
      </w:r>
      <w:r w:rsidR="00144AED" w:rsidRPr="00144AED">
        <w:rPr>
          <w:highlight w:val="green"/>
        </w:rPr>
        <w:t xml:space="preserve"> </w:t>
      </w:r>
      <w:r w:rsidR="00C667BE" w:rsidRPr="00441EE1">
        <w:lastRenderedPageBreak/>
        <w:t>construct. The reliability test indicated that the nine items have good reliability (Cronbach alpha = 0.79).</w:t>
      </w:r>
      <w:r w:rsidR="00E03C2E" w:rsidRPr="00C667BE">
        <w:t xml:space="preserve"> </w:t>
      </w:r>
    </w:p>
    <w:p w14:paraId="5EE3D606" w14:textId="77777777" w:rsidR="007B173F" w:rsidRDefault="00E03C2E" w:rsidP="007B173F">
      <w:pPr>
        <w:spacing w:line="480" w:lineRule="auto"/>
      </w:pPr>
      <w:r w:rsidRPr="007D0D49">
        <w:tab/>
        <w:t xml:space="preserve">Based on institutional theory (Scott, 1995) we developed three measures of the institutional environment as moderators. </w:t>
      </w:r>
      <w:r w:rsidR="000C746C" w:rsidRPr="00441EE1">
        <w:t>Since our data were collected in 2012 we wanted to use values of the institutional environment that corresponded closely with the date of data collection.</w:t>
      </w:r>
      <w:r w:rsidR="000C746C">
        <w:rPr>
          <w:b/>
        </w:rPr>
        <w:t xml:space="preserve">  </w:t>
      </w:r>
      <w:r w:rsidRPr="007D0D49">
        <w:t xml:space="preserve">First, we explored the </w:t>
      </w:r>
      <w:r w:rsidRPr="007D0D49">
        <w:rPr>
          <w:i/>
        </w:rPr>
        <w:t>regulative distance</w:t>
      </w:r>
      <w:r w:rsidRPr="007D0D49">
        <w:t xml:space="preserve"> between </w:t>
      </w:r>
      <w:r>
        <w:t>export</w:t>
      </w:r>
      <w:r w:rsidRPr="007D0D49">
        <w:t xml:space="preserve"> and home country. According to Scott (1995) regulative pillars are connected to rule setting, monitoring, and sanctioning activities. To measure the regulative institutional environment for exporters we took </w:t>
      </w:r>
      <w:r w:rsidR="003C7F07">
        <w:t>seven</w:t>
      </w:r>
      <w:r w:rsidRPr="007D0D49">
        <w:t xml:space="preserve"> items from the World Economic Forum’s Global Competitiveness Report</w:t>
      </w:r>
      <w:r w:rsidR="000C746C">
        <w:t xml:space="preserve"> </w:t>
      </w:r>
      <w:r w:rsidR="000C746C" w:rsidRPr="00441EE1">
        <w:t xml:space="preserve">2011-2012 (Schwab &amp; </w:t>
      </w:r>
      <w:r w:rsidR="000C746C" w:rsidRPr="005D2404">
        <w:t>Sala-</w:t>
      </w:r>
      <w:proofErr w:type="spellStart"/>
      <w:r w:rsidR="000C746C" w:rsidRPr="005D2404">
        <w:t>i</w:t>
      </w:r>
      <w:proofErr w:type="spellEnd"/>
      <w:r w:rsidR="000C746C" w:rsidRPr="005D2404">
        <w:t>-Martin, 2011)</w:t>
      </w:r>
      <w:r w:rsidR="00441EE1" w:rsidRPr="005D2404">
        <w:t>.</w:t>
      </w:r>
      <w:r w:rsidR="000C746C" w:rsidRPr="005D2404">
        <w:rPr>
          <w:b/>
        </w:rPr>
        <w:t xml:space="preserve">  </w:t>
      </w:r>
      <w:r w:rsidRPr="005D2404">
        <w:t xml:space="preserve">As in </w:t>
      </w:r>
      <w:r w:rsidR="00C1778F" w:rsidRPr="005D2404">
        <w:t>Luo a</w:t>
      </w:r>
      <w:r w:rsidRPr="005D2404">
        <w:t>nd Zhao (20</w:t>
      </w:r>
      <w:r w:rsidR="00C1778F" w:rsidRPr="005D2404">
        <w:t>13</w:t>
      </w:r>
      <w:r w:rsidRPr="005D2404">
        <w:t>), we included the protection of intellectual property measure. Exporters are concerned with protecting intellectual property such as brands and trademarks. We also included two items from the government inefficiency measure</w:t>
      </w:r>
      <w:r w:rsidR="00267DBB" w:rsidRPr="005D2404">
        <w:t xml:space="preserve"> -</w:t>
      </w:r>
      <w:r w:rsidRPr="005D2404">
        <w:t xml:space="preserve"> efficiency of legal frameworks, and transparency of policymaking. Such governmental policies/actions can make it difficult for exporters to understand the regulative environment and as a result increase the risk and costs of doing business in a particular market. Third, we included four items from the </w:t>
      </w:r>
      <w:r w:rsidR="00547631" w:rsidRPr="005D2404">
        <w:t>g</w:t>
      </w:r>
      <w:r w:rsidRPr="005D2404">
        <w:t xml:space="preserve">oods </w:t>
      </w:r>
      <w:r w:rsidR="00547631" w:rsidRPr="005D2404">
        <w:t>m</w:t>
      </w:r>
      <w:r w:rsidRPr="005D2404">
        <w:t xml:space="preserve">arket </w:t>
      </w:r>
      <w:r w:rsidR="00547631" w:rsidRPr="005D2404">
        <w:t>e</w:t>
      </w:r>
      <w:r w:rsidRPr="005D2404">
        <w:t>fficiency portion of the database: the effectiveness of anti-monopoly policy, tariff rates, prevalence of foreign ownership, and burden of custom procedures. These factors highlight governmental attitudes toward exporters and the barriers such</w:t>
      </w:r>
      <w:r w:rsidRPr="007D0D49">
        <w:t xml:space="preserve"> firms face in a particular market. </w:t>
      </w:r>
      <w:r>
        <w:t>Each</w:t>
      </w:r>
      <w:r w:rsidRPr="007D0D49">
        <w:t xml:space="preserve"> item w</w:t>
      </w:r>
      <w:r>
        <w:t>as</w:t>
      </w:r>
      <w:r w:rsidRPr="007D0D49">
        <w:t xml:space="preserve"> standardized and </w:t>
      </w:r>
      <w:r>
        <w:t xml:space="preserve">all </w:t>
      </w:r>
      <w:r w:rsidR="003C7F07">
        <w:t>seven</w:t>
      </w:r>
      <w:r>
        <w:t xml:space="preserve"> items load on one factor</w:t>
      </w:r>
      <w:r w:rsidR="00547631">
        <w:t xml:space="preserve"> </w:t>
      </w:r>
      <w:r w:rsidR="00547631" w:rsidRPr="007D0D49">
        <w:t>(Cronbach alpha=0.</w:t>
      </w:r>
      <w:r w:rsidR="00547631">
        <w:t>94</w:t>
      </w:r>
      <w:r w:rsidR="00547631" w:rsidRPr="007D0D49">
        <w:t>)</w:t>
      </w:r>
      <w:r>
        <w:t>.</w:t>
      </w:r>
      <w:r w:rsidRPr="007D0D49">
        <w:t xml:space="preserve"> </w:t>
      </w:r>
      <w:r>
        <w:rPr>
          <w:i/>
        </w:rPr>
        <w:t>Re</w:t>
      </w:r>
      <w:r w:rsidRPr="007D0D49">
        <w:rPr>
          <w:i/>
        </w:rPr>
        <w:t>gulative distance</w:t>
      </w:r>
      <w:r w:rsidRPr="007D0D49">
        <w:t xml:space="preserve"> was calculated </w:t>
      </w:r>
      <w:r>
        <w:t xml:space="preserve">by summing the </w:t>
      </w:r>
      <w:r w:rsidR="003C7F07">
        <w:t>seven</w:t>
      </w:r>
      <w:r>
        <w:t xml:space="preserve"> items and taking</w:t>
      </w:r>
      <w:r w:rsidRPr="007D0D49">
        <w:t xml:space="preserve"> the difference between the </w:t>
      </w:r>
      <w:r>
        <w:t>export</w:t>
      </w:r>
      <w:r w:rsidRPr="007D0D49">
        <w:t xml:space="preserve"> market value and the home market value</w:t>
      </w:r>
      <w:r w:rsidR="009C145E">
        <w:t xml:space="preserve"> (</w:t>
      </w:r>
      <w:r w:rsidR="00A42E44" w:rsidRPr="009C145E">
        <w:t>greater values equate to better regulations</w:t>
      </w:r>
      <w:r w:rsidR="009C145E" w:rsidRPr="009C145E">
        <w:t xml:space="preserve"> in the export market</w:t>
      </w:r>
      <w:r w:rsidR="00A42E44" w:rsidRPr="009C145E">
        <w:t>)</w:t>
      </w:r>
      <w:r w:rsidRPr="009C145E">
        <w:t>.</w:t>
      </w:r>
      <w:r w:rsidR="007B173F">
        <w:t xml:space="preserve"> </w:t>
      </w:r>
    </w:p>
    <w:p w14:paraId="5EE3D607" w14:textId="77777777" w:rsidR="00264B9F" w:rsidRDefault="00E03C2E" w:rsidP="00264B9F">
      <w:pPr>
        <w:spacing w:line="480" w:lineRule="auto"/>
        <w:ind w:firstLine="567"/>
      </w:pPr>
      <w:r>
        <w:t xml:space="preserve">Second, </w:t>
      </w:r>
      <w:r w:rsidRPr="007D0D49">
        <w:t xml:space="preserve">we examined the </w:t>
      </w:r>
      <w:r w:rsidRPr="007D0D49">
        <w:rPr>
          <w:i/>
        </w:rPr>
        <w:t>normative distance</w:t>
      </w:r>
      <w:r w:rsidRPr="007D0D49">
        <w:t xml:space="preserve"> between </w:t>
      </w:r>
      <w:r>
        <w:t>export</w:t>
      </w:r>
      <w:r w:rsidRPr="007D0D49">
        <w:t xml:space="preserve"> and home country. </w:t>
      </w:r>
      <w:r>
        <w:t>According to Scott (1995</w:t>
      </w:r>
      <w:r w:rsidRPr="007D0D49">
        <w:t xml:space="preserve">), norms define legitimate means to pursue valued ends and specify </w:t>
      </w:r>
      <w:r w:rsidRPr="007D0D49">
        <w:lastRenderedPageBreak/>
        <w:t xml:space="preserve">how things should be done. These norms impact how easy (difficult) it is to manage foreign market employees and whether these employees can be trusted to act in the best interest of the exporting firm. Following Brouthers, Brouthers and Werner (2008) and Knack and Keefer (1997), social norms were measured using four items (Cronbach alpha=0.92) taken from </w:t>
      </w:r>
      <w:r>
        <w:t xml:space="preserve">the </w:t>
      </w:r>
      <w:r w:rsidRPr="007D0D49">
        <w:t>World Value Survey</w:t>
      </w:r>
      <w:r w:rsidR="000C746C" w:rsidRPr="000C746C">
        <w:rPr>
          <w:rFonts w:eastAsiaTheme="minorHAnsi"/>
          <w:b/>
          <w:lang w:val="en-GB" w:eastAsia="en-US"/>
        </w:rPr>
        <w:t xml:space="preserve"> </w:t>
      </w:r>
      <w:r w:rsidR="000C746C" w:rsidRPr="00441EE1">
        <w:rPr>
          <w:rFonts w:eastAsiaTheme="minorHAnsi"/>
          <w:lang w:val="en-GB" w:eastAsia="en-US"/>
        </w:rPr>
        <w:t>(downloaded 21.12.2012 from</w:t>
      </w:r>
      <w:r w:rsidR="000C746C" w:rsidRPr="00441EE1">
        <w:rPr>
          <w:rFonts w:eastAsiaTheme="minorHAnsi"/>
          <w:b/>
          <w:lang w:val="en-GB" w:eastAsia="en-US"/>
        </w:rPr>
        <w:t xml:space="preserve"> </w:t>
      </w:r>
      <w:hyperlink r:id="rId8" w:history="1">
        <w:r w:rsidR="000C746C" w:rsidRPr="00DB57CF">
          <w:rPr>
            <w:rFonts w:eastAsiaTheme="minorHAnsi"/>
            <w:color w:val="0000FF" w:themeColor="hyperlink"/>
            <w:u w:val="single"/>
            <w:lang w:val="en-GB" w:eastAsia="en-US"/>
          </w:rPr>
          <w:t>http://www.worldvaluessurvey.org/</w:t>
        </w:r>
      </w:hyperlink>
      <w:r w:rsidR="000C746C" w:rsidRPr="00DB57CF">
        <w:rPr>
          <w:rFonts w:eastAsiaTheme="minorHAnsi"/>
          <w:color w:val="0000FF" w:themeColor="hyperlink"/>
          <w:u w:val="single"/>
          <w:lang w:val="en-GB" w:eastAsia="en-US"/>
        </w:rPr>
        <w:t>.)</w:t>
      </w:r>
      <w:r w:rsidRPr="00DB57CF">
        <w:t>.</w:t>
      </w:r>
      <w:r w:rsidRPr="007D0D49">
        <w:t xml:space="preserve"> The</w:t>
      </w:r>
      <w:r>
        <w:t>se</w:t>
      </w:r>
      <w:r w:rsidRPr="007D0D49">
        <w:t xml:space="preserve"> </w:t>
      </w:r>
      <w:r w:rsidRPr="0073663E">
        <w:t>items include: attitudes toward claiming government benefits, avoiding a fare on public transport, cheating on taxes, and accepting a bribe. Normative</w:t>
      </w:r>
      <w:r w:rsidRPr="007D0D49">
        <w:t xml:space="preserve"> distance was calculated as the absolute value of the difference between the </w:t>
      </w:r>
      <w:r>
        <w:t>export</w:t>
      </w:r>
      <w:r w:rsidRPr="007D0D49">
        <w:t xml:space="preserve"> market social norms value and the home market value</w:t>
      </w:r>
      <w:r w:rsidR="00D6456C">
        <w:t xml:space="preserve"> </w:t>
      </w:r>
      <w:r w:rsidR="00D6456C" w:rsidRPr="00BE7C7E">
        <w:t xml:space="preserve">and then </w:t>
      </w:r>
      <w:r w:rsidR="00BE7C7E">
        <w:t>centered for analysis</w:t>
      </w:r>
      <w:r w:rsidRPr="007D0D49">
        <w:t>.</w:t>
      </w:r>
    </w:p>
    <w:p w14:paraId="5EE3D608" w14:textId="77777777" w:rsidR="00E03C2E" w:rsidRDefault="00BE7C7E" w:rsidP="00264B9F">
      <w:pPr>
        <w:spacing w:line="480" w:lineRule="auto"/>
        <w:ind w:firstLine="567"/>
      </w:pPr>
      <w:r>
        <w:t>Third</w:t>
      </w:r>
      <w:r w:rsidR="00E03C2E" w:rsidRPr="007D0D49">
        <w:t xml:space="preserve">, Scott (1995) highlights that legitimacy is connected with cultural orthodoxy and suggests that the cognitive pillar of the institutional environment </w:t>
      </w:r>
      <w:r w:rsidR="00AA0B13">
        <w:t>captures</w:t>
      </w:r>
      <w:r w:rsidR="00E03C2E" w:rsidRPr="007D0D49">
        <w:t xml:space="preserve"> internal representation</w:t>
      </w:r>
      <w:r w:rsidR="00AA0B13">
        <w:t>s</w:t>
      </w:r>
      <w:r w:rsidR="00E03C2E" w:rsidRPr="007D0D49">
        <w:t xml:space="preserve"> of the environment by actors. Consistent with previous institutional theory research (</w:t>
      </w:r>
      <w:bookmarkStart w:id="3" w:name="_Hlk65573139"/>
      <w:r w:rsidR="00E03C2E" w:rsidRPr="007D0D49">
        <w:t xml:space="preserve">Gaur, </w:t>
      </w:r>
      <w:proofErr w:type="spellStart"/>
      <w:r w:rsidR="00E03C2E" w:rsidRPr="007D0D49">
        <w:t>Delios</w:t>
      </w:r>
      <w:proofErr w:type="spellEnd"/>
      <w:r w:rsidR="00E03C2E">
        <w:t xml:space="preserve"> &amp;</w:t>
      </w:r>
      <w:r w:rsidR="00E03C2E" w:rsidRPr="007D0D49">
        <w:t xml:space="preserve"> Singh, 2007; He et al., 2013</w:t>
      </w:r>
      <w:bookmarkEnd w:id="3"/>
      <w:r w:rsidR="00E03C2E" w:rsidRPr="007D0D49">
        <w:t>) we used cultural distance as our proxy for cognitive institutional distance. Based on Hofstede’s (</w:t>
      </w:r>
      <w:r w:rsidR="00AA0B13">
        <w:t>1980) four cultural dimensions</w:t>
      </w:r>
      <w:r w:rsidR="000C746C">
        <w:t>,</w:t>
      </w:r>
      <w:r w:rsidR="00AA0B13">
        <w:t xml:space="preserve"> </w:t>
      </w:r>
      <w:r w:rsidR="000C746C" w:rsidRPr="00441EE1">
        <w:t>which have been shown to be constant over time (Kirkman et al, 2006),</w:t>
      </w:r>
      <w:r w:rsidR="000C746C">
        <w:t xml:space="preserve"> </w:t>
      </w:r>
      <w:r w:rsidR="00E03C2E" w:rsidRPr="007D0D49">
        <w:t xml:space="preserve">we calculated the </w:t>
      </w:r>
      <w:r w:rsidR="00E03C2E" w:rsidRPr="009469AE">
        <w:t>c</w:t>
      </w:r>
      <w:r w:rsidR="00AA0B13">
        <w:t>ognitive</w:t>
      </w:r>
      <w:r w:rsidR="00E03C2E" w:rsidRPr="007D0D49">
        <w:t xml:space="preserve"> </w:t>
      </w:r>
      <w:r w:rsidR="00E03C2E" w:rsidRPr="009469AE">
        <w:t>distance</w:t>
      </w:r>
      <w:r w:rsidR="00E03C2E" w:rsidRPr="007D0D49">
        <w:t xml:space="preserve"> between the home (Italy or Netherlands) and each </w:t>
      </w:r>
      <w:r w:rsidR="00E03C2E">
        <w:t>export</w:t>
      </w:r>
      <w:r w:rsidR="00E03C2E" w:rsidRPr="007D0D49">
        <w:t xml:space="preserve"> country, using </w:t>
      </w:r>
      <w:proofErr w:type="spellStart"/>
      <w:r w:rsidR="00E03C2E" w:rsidRPr="007D0D49">
        <w:t>Kogut</w:t>
      </w:r>
      <w:proofErr w:type="spellEnd"/>
      <w:r w:rsidR="00E03C2E" w:rsidRPr="007D0D49">
        <w:t xml:space="preserve"> and Singh’s (1988) formula.</w:t>
      </w:r>
      <w:r w:rsidR="00E03C2E">
        <w:t xml:space="preserve"> </w:t>
      </w:r>
    </w:p>
    <w:p w14:paraId="5EE3D609" w14:textId="6F6CE424" w:rsidR="00B259C5" w:rsidRDefault="00BE7C7E" w:rsidP="00B259C5">
      <w:pPr>
        <w:spacing w:line="480" w:lineRule="auto"/>
        <w:ind w:firstLine="567"/>
      </w:pPr>
      <w:r w:rsidRPr="00DD122A">
        <w:t>Finally</w:t>
      </w:r>
      <w:r w:rsidR="00866488">
        <w:t>,</w:t>
      </w:r>
      <w:r w:rsidRPr="00DD122A">
        <w:t xml:space="preserve"> we </w:t>
      </w:r>
      <w:r w:rsidR="007458FE">
        <w:t>calculated</w:t>
      </w:r>
      <w:r w:rsidR="009469AE" w:rsidRPr="00DD122A">
        <w:t xml:space="preserve"> three interaction variables</w:t>
      </w:r>
      <w:r w:rsidR="00FA3039">
        <w:t>. W</w:t>
      </w:r>
      <w:r w:rsidR="009469AE" w:rsidRPr="00DD122A">
        <w:t xml:space="preserve">e centered the values of </w:t>
      </w:r>
      <w:r w:rsidRPr="00DD122A">
        <w:t xml:space="preserve">our </w:t>
      </w:r>
      <w:r w:rsidR="00144AED" w:rsidRPr="001B061E">
        <w:t>EO</w:t>
      </w:r>
      <w:r w:rsidRPr="00DD122A">
        <w:t xml:space="preserve">, regulative, normative and cognitive </w:t>
      </w:r>
      <w:r w:rsidR="009469AE" w:rsidRPr="00DD122A">
        <w:t>distance</w:t>
      </w:r>
      <w:r w:rsidRPr="00DD122A">
        <w:t xml:space="preserve"> variables</w:t>
      </w:r>
      <w:r w:rsidR="00FA3039">
        <w:t xml:space="preserve"> and then</w:t>
      </w:r>
      <w:r w:rsidR="00954CD3" w:rsidRPr="00DD122A">
        <w:t xml:space="preserve"> multiplied the </w:t>
      </w:r>
      <w:r w:rsidRPr="00DD122A">
        <w:t xml:space="preserve">centered </w:t>
      </w:r>
      <w:r w:rsidR="006E0379">
        <w:t xml:space="preserve">EO </w:t>
      </w:r>
      <w:r w:rsidR="00954CD3" w:rsidRPr="00DD122A">
        <w:t>v</w:t>
      </w:r>
      <w:r w:rsidRPr="00DD122A">
        <w:t>ariable</w:t>
      </w:r>
      <w:r w:rsidR="00954CD3" w:rsidRPr="00DD122A">
        <w:t xml:space="preserve"> by the </w:t>
      </w:r>
      <w:r w:rsidRPr="00DD122A">
        <w:t xml:space="preserve">centered </w:t>
      </w:r>
      <w:r w:rsidR="00954CD3" w:rsidRPr="00DD122A">
        <w:t>normative distance measure, the regulative distance measure, and the c</w:t>
      </w:r>
      <w:r w:rsidRPr="00DD122A">
        <w:t>ognitive</w:t>
      </w:r>
      <w:r w:rsidR="00954CD3" w:rsidRPr="00DD122A">
        <w:t xml:space="preserve"> distance measure (Aiken &amp; West, 1991).</w:t>
      </w:r>
    </w:p>
    <w:p w14:paraId="5EE3D60A" w14:textId="1A868826" w:rsidR="00E0452F" w:rsidRPr="00B259C5" w:rsidRDefault="00756C65" w:rsidP="00B259C5">
      <w:pPr>
        <w:spacing w:line="480" w:lineRule="auto"/>
        <w:ind w:firstLine="567"/>
        <w:rPr>
          <w:rFonts w:eastAsiaTheme="minorHAnsi"/>
          <w:highlight w:val="yellow"/>
          <w:lang w:val="en-GB" w:eastAsia="en-US"/>
        </w:rPr>
      </w:pPr>
      <w:r w:rsidRPr="00954CD3">
        <w:t xml:space="preserve">For our performance analysis, </w:t>
      </w:r>
      <w:r w:rsidR="00547631">
        <w:t>we f</w:t>
      </w:r>
      <w:r w:rsidRPr="00954CD3">
        <w:t>ollow</w:t>
      </w:r>
      <w:r w:rsidR="00547631">
        <w:t>ed</w:t>
      </w:r>
      <w:r w:rsidRPr="00954CD3">
        <w:t xml:space="preserve"> previous </w:t>
      </w:r>
      <w:r w:rsidR="00CB762A">
        <w:t xml:space="preserve">international </w:t>
      </w:r>
      <w:r w:rsidRPr="00954CD3">
        <w:t>performance research (Brouthers et al., 2008; He et al., 2013</w:t>
      </w:r>
      <w:r w:rsidR="002B414F">
        <w:t>)</w:t>
      </w:r>
      <w:r w:rsidRPr="00954CD3">
        <w:t xml:space="preserve"> </w:t>
      </w:r>
      <w:r w:rsidR="00547631">
        <w:t>and</w:t>
      </w:r>
      <w:r w:rsidRPr="00954CD3">
        <w:t xml:space="preserve"> examined the alignment </w:t>
      </w:r>
      <w:r w:rsidR="00074D52">
        <w:t>or fit (</w:t>
      </w:r>
      <w:r w:rsidR="00264B9F" w:rsidRPr="00441EE1">
        <w:t>Shaver, 1998</w:t>
      </w:r>
      <w:r w:rsidR="00264B9F">
        <w:t xml:space="preserve">; </w:t>
      </w:r>
      <w:r w:rsidR="00074D52">
        <w:t xml:space="preserve">Venkatraman, </w:t>
      </w:r>
      <w:r w:rsidR="00074D52" w:rsidRPr="007C5BE8">
        <w:t>1989</w:t>
      </w:r>
      <w:r w:rsidR="00074D52">
        <w:t xml:space="preserve">) </w:t>
      </w:r>
      <w:r w:rsidRPr="00954CD3">
        <w:t>of the export channel used by our respondents with the theoretically determined export channel</w:t>
      </w:r>
      <w:r w:rsidR="00E0452F">
        <w:t xml:space="preserve">. </w:t>
      </w:r>
      <w:r w:rsidR="00E0452F" w:rsidRPr="00441EE1">
        <w:rPr>
          <w:rFonts w:eastAsiaTheme="minorHAnsi"/>
          <w:lang w:val="en-GB" w:eastAsia="en-US"/>
        </w:rPr>
        <w:t>Th</w:t>
      </w:r>
      <w:r w:rsidR="00DF12AE">
        <w:rPr>
          <w:rFonts w:eastAsiaTheme="minorHAnsi"/>
          <w:lang w:val="en-GB" w:eastAsia="en-US"/>
        </w:rPr>
        <w:t xml:space="preserve">is </w:t>
      </w:r>
      <w:r w:rsidR="00E0452F" w:rsidRPr="00441EE1">
        <w:rPr>
          <w:rFonts w:eastAsiaTheme="minorHAnsi"/>
          <w:lang w:val="en-GB" w:eastAsia="en-US"/>
        </w:rPr>
        <w:t>method is widely used in</w:t>
      </w:r>
      <w:r w:rsidR="00B259C5" w:rsidRPr="00441EE1">
        <w:rPr>
          <w:rFonts w:eastAsiaTheme="minorHAnsi"/>
          <w:lang w:val="en-GB" w:eastAsia="en-US"/>
        </w:rPr>
        <w:t xml:space="preserve"> the</w:t>
      </w:r>
      <w:r w:rsidR="00E0452F" w:rsidRPr="00441EE1">
        <w:rPr>
          <w:rFonts w:eastAsiaTheme="minorHAnsi"/>
          <w:lang w:val="en-GB" w:eastAsia="en-US"/>
        </w:rPr>
        <w:t xml:space="preserve"> international entry mode </w:t>
      </w:r>
      <w:r w:rsidR="00E0452F" w:rsidRPr="00441EE1">
        <w:rPr>
          <w:rFonts w:eastAsiaTheme="minorHAnsi"/>
          <w:lang w:val="en-GB" w:eastAsia="en-US"/>
        </w:rPr>
        <w:lastRenderedPageBreak/>
        <w:t xml:space="preserve">literature (Brouthers, 2013; </w:t>
      </w:r>
      <w:proofErr w:type="spellStart"/>
      <w:r w:rsidR="00E0452F" w:rsidRPr="00441EE1">
        <w:rPr>
          <w:rFonts w:eastAsiaTheme="minorHAnsi"/>
          <w:lang w:val="en-GB" w:eastAsia="en-US"/>
        </w:rPr>
        <w:t>Hult</w:t>
      </w:r>
      <w:proofErr w:type="spellEnd"/>
      <w:r w:rsidR="00E0452F" w:rsidRPr="00441EE1">
        <w:rPr>
          <w:rFonts w:eastAsiaTheme="minorHAnsi"/>
          <w:lang w:val="en-GB" w:eastAsia="en-US"/>
        </w:rPr>
        <w:t xml:space="preserve"> et al., 2008), and has recently been introduced to the export channel literature (Fernandez-Olmos &amp; Diez-Vial, 2015; He et al., 2013). It is based on the idea of strategic fit first </w:t>
      </w:r>
      <w:r w:rsidR="00DD376C" w:rsidRPr="00441EE1">
        <w:rPr>
          <w:rFonts w:eastAsiaTheme="minorHAnsi"/>
          <w:lang w:val="en-GB" w:eastAsia="en-US"/>
        </w:rPr>
        <w:t>developed</w:t>
      </w:r>
      <w:r w:rsidR="00E0452F" w:rsidRPr="00441EE1">
        <w:rPr>
          <w:rFonts w:eastAsiaTheme="minorHAnsi"/>
          <w:lang w:val="en-GB" w:eastAsia="en-US"/>
        </w:rPr>
        <w:t xml:space="preserve"> by Venkatraman (1989). In the strategic fit literature scholars test the notion that firms using the strategy that best fits the theoretical variables will generate the best performance. </w:t>
      </w:r>
      <w:r w:rsidR="002E3F5C" w:rsidRPr="00441EE1">
        <w:rPr>
          <w:rFonts w:eastAsiaTheme="minorHAnsi"/>
          <w:lang w:val="en-GB" w:eastAsia="en-US"/>
        </w:rPr>
        <w:t>We use</w:t>
      </w:r>
      <w:r w:rsidR="00590F4E" w:rsidRPr="00441EE1">
        <w:rPr>
          <w:rFonts w:eastAsiaTheme="minorHAnsi"/>
          <w:lang w:val="en-GB" w:eastAsia="en-US"/>
        </w:rPr>
        <w:t xml:space="preserve"> a Heckman type two-step </w:t>
      </w:r>
      <w:r w:rsidR="002E3F5C" w:rsidRPr="00441EE1">
        <w:rPr>
          <w:rFonts w:eastAsiaTheme="minorHAnsi"/>
          <w:lang w:val="en-GB" w:eastAsia="en-US"/>
        </w:rPr>
        <w:t xml:space="preserve">method </w:t>
      </w:r>
      <w:r w:rsidR="00590F4E" w:rsidRPr="00441EE1">
        <w:rPr>
          <w:rFonts w:eastAsiaTheme="minorHAnsi"/>
          <w:lang w:val="en-GB" w:eastAsia="en-US"/>
        </w:rPr>
        <w:t xml:space="preserve">to determine fit and </w:t>
      </w:r>
      <w:r w:rsidR="002E3F5C" w:rsidRPr="00441EE1">
        <w:rPr>
          <w:rFonts w:eastAsiaTheme="minorHAnsi"/>
          <w:lang w:val="en-GB" w:eastAsia="en-US"/>
        </w:rPr>
        <w:t xml:space="preserve">to try </w:t>
      </w:r>
      <w:r w:rsidR="002E3F5C" w:rsidRPr="00441EE1">
        <w:t>to correct for the fact that export channel choice is non-randomly selected by firms, rather than trying to correct for the fact that the firms in our sample are not randomly observed. We are trying to correct for the endogeneity in the export channel choice variable so we can see its true effect on performance (Shaver, 1998).</w:t>
      </w:r>
      <w:r w:rsidR="002E3F5C" w:rsidRPr="00441EE1">
        <w:rPr>
          <w:b/>
        </w:rPr>
        <w:t xml:space="preserve"> </w:t>
      </w:r>
      <w:proofErr w:type="spellStart"/>
      <w:r w:rsidR="00E0452F" w:rsidRPr="00441EE1">
        <w:rPr>
          <w:rFonts w:eastAsiaTheme="minorHAnsi"/>
          <w:lang w:val="en-GB" w:eastAsia="en-US"/>
        </w:rPr>
        <w:t>Hult</w:t>
      </w:r>
      <w:proofErr w:type="spellEnd"/>
      <w:r w:rsidR="00E0452F" w:rsidRPr="00441EE1">
        <w:rPr>
          <w:rFonts w:eastAsiaTheme="minorHAnsi"/>
          <w:lang w:val="en-GB" w:eastAsia="en-US"/>
        </w:rPr>
        <w:t xml:space="preserve"> et al. (2008: </w:t>
      </w:r>
      <w:r w:rsidR="002E3F5C" w:rsidRPr="00441EE1">
        <w:rPr>
          <w:rFonts w:eastAsiaTheme="minorHAnsi"/>
          <w:lang w:val="en-GB" w:eastAsia="en-US"/>
        </w:rPr>
        <w:t xml:space="preserve">1074-5) </w:t>
      </w:r>
      <w:r w:rsidR="00E0452F" w:rsidRPr="00441EE1">
        <w:rPr>
          <w:rFonts w:eastAsiaTheme="minorHAnsi"/>
          <w:lang w:val="en-GB" w:eastAsia="en-US"/>
        </w:rPr>
        <w:t>state that “</w:t>
      </w:r>
      <w:r w:rsidR="00E0452F" w:rsidRPr="00441EE1">
        <w:rPr>
          <w:rFonts w:eastAsiaTheme="minorHAnsi"/>
          <w:lang w:eastAsia="en-US"/>
        </w:rPr>
        <w:t>Practically, if the researcher believes that entry mode choice is nonrandom but that the choice of entry mode has a level effect only (i.e., influences the intercept term in the performance model only and not the coefficients on other key explanatory variables), then a 2SLS estimation strategy for entry mode choice is appropriate</w:t>
      </w:r>
      <w:r w:rsidR="002E3F5C" w:rsidRPr="00441EE1">
        <w:rPr>
          <w:rFonts w:eastAsiaTheme="minorHAnsi"/>
          <w:lang w:eastAsia="en-US"/>
        </w:rPr>
        <w:t xml:space="preserve">. </w:t>
      </w:r>
      <w:r w:rsidR="002E3F5C" w:rsidRPr="00441EE1">
        <w:t>However, if the researcher believes that choice of entry mode should influence both level of performance and other explanatory variables on performance (different intercept and differen</w:t>
      </w:r>
      <w:r w:rsidR="00264B9F">
        <w:t>t</w:t>
      </w:r>
      <w:r w:rsidR="002E3F5C" w:rsidRPr="00441EE1">
        <w:t xml:space="preserve"> slopes), a selection correction model such as </w:t>
      </w:r>
      <w:proofErr w:type="spellStart"/>
      <w:r w:rsidR="002E3F5C" w:rsidRPr="00441EE1">
        <w:t>Heckit</w:t>
      </w:r>
      <w:proofErr w:type="spellEnd"/>
      <w:r w:rsidR="002E3F5C" w:rsidRPr="00441EE1">
        <w:t xml:space="preserve"> [the Heckman correction] is appropriate</w:t>
      </w:r>
      <w:r w:rsidR="00E0452F" w:rsidRPr="00441EE1">
        <w:rPr>
          <w:rFonts w:eastAsiaTheme="minorHAnsi"/>
          <w:lang w:eastAsia="en-US"/>
        </w:rPr>
        <w:t>.</w:t>
      </w:r>
      <w:r w:rsidR="00273ED1" w:rsidRPr="00441EE1">
        <w:rPr>
          <w:rFonts w:eastAsiaTheme="minorHAnsi"/>
          <w:lang w:eastAsia="en-US"/>
        </w:rPr>
        <w:t>”</w:t>
      </w:r>
      <w:r w:rsidR="00E0452F" w:rsidRPr="00441EE1">
        <w:rPr>
          <w:rFonts w:ascii="TimesNewRomanPSMT" w:eastAsiaTheme="minorHAnsi" w:hAnsi="TimesNewRomanPSMT" w:cs="TimesNewRomanPSMT"/>
          <w:sz w:val="20"/>
          <w:szCs w:val="20"/>
          <w:lang w:eastAsia="en-US"/>
        </w:rPr>
        <w:t xml:space="preserve"> </w:t>
      </w:r>
    </w:p>
    <w:p w14:paraId="5EE3D60B" w14:textId="634DF13F" w:rsidR="00E00938" w:rsidRDefault="00BE5A69" w:rsidP="00BE7C7E">
      <w:pPr>
        <w:spacing w:line="480" w:lineRule="auto"/>
        <w:ind w:firstLine="567"/>
      </w:pPr>
      <w:r w:rsidRPr="00441EE1">
        <w:t xml:space="preserve">Therefore, as in previous </w:t>
      </w:r>
      <w:r w:rsidR="00B5430A" w:rsidRPr="00441EE1">
        <w:t xml:space="preserve">structure choice </w:t>
      </w:r>
      <w:r w:rsidRPr="00441EE1">
        <w:t>research w</w:t>
      </w:r>
      <w:proofErr w:type="spellStart"/>
      <w:r w:rsidR="00273ED1" w:rsidRPr="00441EE1">
        <w:rPr>
          <w:rFonts w:eastAsiaTheme="minorHAnsi"/>
          <w:lang w:val="en-GB" w:eastAsia="en-US"/>
        </w:rPr>
        <w:t>e</w:t>
      </w:r>
      <w:proofErr w:type="spellEnd"/>
      <w:r w:rsidR="00273ED1" w:rsidRPr="00441EE1">
        <w:rPr>
          <w:rFonts w:eastAsiaTheme="minorHAnsi"/>
          <w:lang w:val="en-GB" w:eastAsia="en-US"/>
        </w:rPr>
        <w:t xml:space="preserve"> used a Heckman type two-step model</w:t>
      </w:r>
      <w:r w:rsidRPr="00441EE1">
        <w:rPr>
          <w:rFonts w:eastAsiaTheme="minorHAnsi"/>
          <w:lang w:val="en-GB" w:eastAsia="en-US"/>
        </w:rPr>
        <w:t xml:space="preserve"> (Brouthers, 2013; He et al., 2013; Shaver, 1998)</w:t>
      </w:r>
      <w:r w:rsidR="00273ED1" w:rsidRPr="00441EE1">
        <w:rPr>
          <w:rFonts w:eastAsiaTheme="minorHAnsi"/>
          <w:lang w:val="en-GB" w:eastAsia="en-US"/>
        </w:rPr>
        <w:t xml:space="preserve">. </w:t>
      </w:r>
      <w:r w:rsidRPr="00441EE1">
        <w:rPr>
          <w:rFonts w:eastAsiaTheme="minorHAnsi"/>
          <w:lang w:val="en-GB" w:eastAsia="en-US"/>
        </w:rPr>
        <w:t>W</w:t>
      </w:r>
      <w:proofErr w:type="spellStart"/>
      <w:r w:rsidR="00273ED1" w:rsidRPr="00441EE1">
        <w:t>e</w:t>
      </w:r>
      <w:proofErr w:type="spellEnd"/>
      <w:r w:rsidR="00273ED1" w:rsidRPr="00441EE1">
        <w:t xml:space="preserve"> </w:t>
      </w:r>
      <w:r w:rsidR="00756C65" w:rsidRPr="00441EE1">
        <w:t>creat</w:t>
      </w:r>
      <w:r w:rsidR="00E0452F" w:rsidRPr="00441EE1">
        <w:t>ed</w:t>
      </w:r>
      <w:r w:rsidR="00756C65" w:rsidRPr="00954CD3">
        <w:t xml:space="preserve"> three Fit variables to test our various export channel selection models. </w:t>
      </w:r>
      <w:r w:rsidR="00273ED1">
        <w:t>W</w:t>
      </w:r>
      <w:r w:rsidR="00756C65" w:rsidRPr="00954CD3">
        <w:t xml:space="preserve">e calculated </w:t>
      </w:r>
      <w:r w:rsidR="00756C65" w:rsidRPr="00954CD3">
        <w:rPr>
          <w:i/>
        </w:rPr>
        <w:t>Fit-controls</w:t>
      </w:r>
      <w:r w:rsidR="00756C65">
        <w:t xml:space="preserve"> by comparing the </w:t>
      </w:r>
      <w:r w:rsidR="00F73EED">
        <w:t xml:space="preserve">theoretically </w:t>
      </w:r>
      <w:r w:rsidR="00756C65">
        <w:t>predicted</w:t>
      </w:r>
      <w:r w:rsidR="00F73EED">
        <w:t xml:space="preserve"> (correct)</w:t>
      </w:r>
      <w:r w:rsidR="00756C65">
        <w:t xml:space="preserve"> export channel from our export </w:t>
      </w:r>
      <w:r w:rsidR="00756C65" w:rsidRPr="00441EE1">
        <w:t>channel regression</w:t>
      </w:r>
      <w:r w:rsidR="00F73EED" w:rsidRPr="00441EE1">
        <w:t xml:space="preserve"> Model 1 (Table 2), that included the TCE variables and all other control variables</w:t>
      </w:r>
      <w:r w:rsidR="00F73EED">
        <w:t>,</w:t>
      </w:r>
      <w:r w:rsidR="00756C65">
        <w:t xml:space="preserve"> to the actual export channel used by each firm. When the export channel used by the firm matched the export channel predicted by our regression model the </w:t>
      </w:r>
      <w:r w:rsidR="00756C65" w:rsidRPr="00E7196B">
        <w:rPr>
          <w:i/>
        </w:rPr>
        <w:t>Fit</w:t>
      </w:r>
      <w:r w:rsidR="00756C65">
        <w:rPr>
          <w:i/>
        </w:rPr>
        <w:t>-controls</w:t>
      </w:r>
      <w:r w:rsidR="00756C65">
        <w:t xml:space="preserve"> variable assumed a value of one, when firms used export channels other than those predicted by our theoretical variables the value was zero. We followed a similar procedure to calculate our </w:t>
      </w:r>
      <w:r w:rsidR="00756C65" w:rsidRPr="0001360C">
        <w:rPr>
          <w:i/>
        </w:rPr>
        <w:t>Fit-EO</w:t>
      </w:r>
      <w:r w:rsidR="00756C65">
        <w:t xml:space="preserve"> and </w:t>
      </w:r>
      <w:r w:rsidR="00756C65" w:rsidRPr="0001360C">
        <w:rPr>
          <w:i/>
        </w:rPr>
        <w:t>Fit-</w:t>
      </w:r>
      <w:r w:rsidR="00756C65" w:rsidRPr="0001360C">
        <w:rPr>
          <w:i/>
        </w:rPr>
        <w:lastRenderedPageBreak/>
        <w:t>EO/Institutional distance</w:t>
      </w:r>
      <w:r w:rsidR="00756C65">
        <w:t xml:space="preserve"> variables, </w:t>
      </w:r>
      <w:r w:rsidR="00756C65" w:rsidRPr="00441EE1">
        <w:t xml:space="preserve">but </w:t>
      </w:r>
      <w:r w:rsidR="00F73EED" w:rsidRPr="00441EE1">
        <w:t xml:space="preserve">for </w:t>
      </w:r>
      <w:r w:rsidR="00F73EED" w:rsidRPr="00441EE1">
        <w:rPr>
          <w:i/>
        </w:rPr>
        <w:t>Fit-EO</w:t>
      </w:r>
      <w:r w:rsidR="00F73EED" w:rsidRPr="00441EE1">
        <w:t xml:space="preserve"> we used the theoretically correct channel based on our regression Model 2 (Table 2) and for </w:t>
      </w:r>
      <w:r w:rsidR="00F73EED" w:rsidRPr="00441EE1">
        <w:rPr>
          <w:i/>
        </w:rPr>
        <w:t>Fit-EO/Institutional distance</w:t>
      </w:r>
      <w:r w:rsidR="00F73EED" w:rsidRPr="00441EE1">
        <w:t xml:space="preserve"> we calculated the theoretically correct channel using Model 6 (Tab</w:t>
      </w:r>
      <w:r w:rsidR="00756C65" w:rsidRPr="00441EE1">
        <w:t xml:space="preserve">le 2). </w:t>
      </w:r>
      <w:r w:rsidRPr="00441EE1">
        <w:t xml:space="preserve">In addition, </w:t>
      </w:r>
      <w:r w:rsidR="00CC7717" w:rsidRPr="00441EE1">
        <w:t>a</w:t>
      </w:r>
      <w:r w:rsidR="00273ED1" w:rsidRPr="00441EE1">
        <w:t xml:space="preserve"> new Inverse Mills ratio was calculated for each of the three performance models using </w:t>
      </w:r>
      <w:proofErr w:type="spellStart"/>
      <w:r w:rsidR="00273ED1" w:rsidRPr="00441EE1">
        <w:t>Probit</w:t>
      </w:r>
      <w:proofErr w:type="spellEnd"/>
      <w:r w:rsidR="00273ED1" w:rsidRPr="00441EE1">
        <w:t xml:space="preserve"> regression analysis. </w:t>
      </w:r>
      <w:r w:rsidR="002B414F" w:rsidRPr="00441EE1">
        <w:t xml:space="preserve">We then used these </w:t>
      </w:r>
      <w:r w:rsidR="00273ED1" w:rsidRPr="00441EE1">
        <w:t>independent variables</w:t>
      </w:r>
      <w:r w:rsidR="002B414F" w:rsidRPr="00441EE1">
        <w:t xml:space="preserve"> in our performance analysis</w:t>
      </w:r>
      <w:r w:rsidR="00273ED1" w:rsidRPr="00441EE1">
        <w:t>.</w:t>
      </w:r>
      <w:r w:rsidR="00E00938">
        <w:t xml:space="preserve"> </w:t>
      </w:r>
    </w:p>
    <w:p w14:paraId="5EE3D60C" w14:textId="77777777" w:rsidR="00E00938" w:rsidRDefault="00E00938" w:rsidP="00E00938">
      <w:pPr>
        <w:spacing w:line="480" w:lineRule="auto"/>
      </w:pPr>
    </w:p>
    <w:p w14:paraId="5EE3D60D" w14:textId="5BC8907B" w:rsidR="00E00938" w:rsidRDefault="00336F7C" w:rsidP="00E00938">
      <w:pPr>
        <w:spacing w:line="480" w:lineRule="auto"/>
        <w:rPr>
          <w:b/>
        </w:rPr>
      </w:pPr>
      <w:r>
        <w:rPr>
          <w:b/>
        </w:rPr>
        <w:t xml:space="preserve">3.3 </w:t>
      </w:r>
      <w:r w:rsidR="00E03C2E">
        <w:rPr>
          <w:b/>
        </w:rPr>
        <w:t>Control</w:t>
      </w:r>
      <w:r w:rsidR="00E03C2E" w:rsidRPr="006304B4">
        <w:rPr>
          <w:b/>
        </w:rPr>
        <w:t xml:space="preserve"> Variables</w:t>
      </w:r>
      <w:r w:rsidR="00E00938">
        <w:rPr>
          <w:b/>
        </w:rPr>
        <w:t xml:space="preserve"> </w:t>
      </w:r>
    </w:p>
    <w:p w14:paraId="5EE3D60E" w14:textId="73D17AF1" w:rsidR="00E00938" w:rsidRDefault="00E03C2E" w:rsidP="00BE7C7E">
      <w:pPr>
        <w:spacing w:line="480" w:lineRule="auto"/>
        <w:ind w:firstLine="567"/>
      </w:pPr>
      <w:r>
        <w:t>We included a number of control variables that according to previous research influence export channel choice (Klein et al., 1990)</w:t>
      </w:r>
      <w:r w:rsidR="00756C65" w:rsidRPr="00756C65">
        <w:t xml:space="preserve"> </w:t>
      </w:r>
      <w:r w:rsidR="0054561C">
        <w:t>and/</w:t>
      </w:r>
      <w:r w:rsidR="00756C65">
        <w:t>or have been linked to export performance</w:t>
      </w:r>
      <w:r w:rsidR="00756C65" w:rsidRPr="00207D03">
        <w:t xml:space="preserve"> (Sousa, Martinez-Lopez &amp; Coelho, 2008)</w:t>
      </w:r>
      <w:r w:rsidR="00756C65">
        <w:t>.</w:t>
      </w:r>
      <w:r>
        <w:t xml:space="preserve"> We began by including </w:t>
      </w:r>
      <w:r w:rsidRPr="00096CC7">
        <w:t>transaction cost variables</w:t>
      </w:r>
      <w:r w:rsidR="003B3D7E">
        <w:t xml:space="preserve"> </w:t>
      </w:r>
      <w:r w:rsidR="003B3D7E" w:rsidRPr="00441EE1">
        <w:t>(asset specificity, internal uncertainty, external uncertainty, and frequency)</w:t>
      </w:r>
      <w:r w:rsidR="002459A8">
        <w:t xml:space="preserve"> </w:t>
      </w:r>
      <w:r w:rsidR="00BE7C7E">
        <w:t xml:space="preserve">since </w:t>
      </w:r>
      <w:r w:rsidR="002459A8" w:rsidRPr="00BE7C7E">
        <w:t xml:space="preserve">past </w:t>
      </w:r>
      <w:r w:rsidR="00BE7C7E" w:rsidRPr="00BE7C7E">
        <w:t xml:space="preserve">export channel choice </w:t>
      </w:r>
      <w:r w:rsidR="002459A8" w:rsidRPr="00BE7C7E">
        <w:t xml:space="preserve">studies have already shown that these variables impact </w:t>
      </w:r>
      <w:r w:rsidR="00BE7C7E" w:rsidRPr="00BE7C7E">
        <w:t>this decision</w:t>
      </w:r>
      <w:r w:rsidR="002459A8" w:rsidRPr="00BE7C7E">
        <w:t xml:space="preserve"> (</w:t>
      </w:r>
      <w:r w:rsidR="00BE7C7E">
        <w:t xml:space="preserve">Anderson &amp; </w:t>
      </w:r>
      <w:r w:rsidR="00BE7C7E" w:rsidRPr="00AE37A6">
        <w:t>Coughlan, 1987; Klein</w:t>
      </w:r>
      <w:r w:rsidR="005B25A5">
        <w:t xml:space="preserve"> et al., </w:t>
      </w:r>
      <w:r w:rsidR="00BE7C7E" w:rsidRPr="00AE37A6">
        <w:t xml:space="preserve">1990; </w:t>
      </w:r>
      <w:proofErr w:type="spellStart"/>
      <w:r w:rsidR="00BE7C7E" w:rsidRPr="00AE37A6">
        <w:t>Shervani</w:t>
      </w:r>
      <w:proofErr w:type="spellEnd"/>
      <w:r w:rsidR="00BE7C7E" w:rsidRPr="00AE37A6">
        <w:t xml:space="preserve"> et al., 2007</w:t>
      </w:r>
      <w:r w:rsidR="002459A8" w:rsidRPr="00BE7C7E">
        <w:t>)</w:t>
      </w:r>
      <w:r w:rsidRPr="00BE7C7E">
        <w:t xml:space="preserve">. </w:t>
      </w:r>
      <w:r w:rsidR="00A44718" w:rsidRPr="00441EE1">
        <w:t xml:space="preserve">Asset specificity is the extent to which specialized investments are needed to support an exchange (Williamson, 1985). </w:t>
      </w:r>
      <w:r w:rsidR="003B3D7E" w:rsidRPr="00441EE1">
        <w:t xml:space="preserve">The greater the asset specificity the more firms use hierarchical channels (Anderson &amp; Coughlan, 1987; Klein et al., 1990). </w:t>
      </w:r>
      <w:r w:rsidR="00A44718" w:rsidRPr="00441EE1">
        <w:t xml:space="preserve">While measuring the specificity of investments is difficult, scholars examining TCE issues in decisions involving export channel or entry mode choice have operationalized asset specificity using R&amp;D intensity (Brouthers &amp; </w:t>
      </w:r>
      <w:proofErr w:type="spellStart"/>
      <w:r w:rsidR="00A44718" w:rsidRPr="00441EE1">
        <w:t>Hennart</w:t>
      </w:r>
      <w:proofErr w:type="spellEnd"/>
      <w:r w:rsidR="00A44718" w:rsidRPr="00441EE1">
        <w:t>, 2007; Campa &amp; Guillen, 1999; He et al., 2013; Zhao</w:t>
      </w:r>
      <w:r w:rsidR="003B3D7E" w:rsidRPr="00441EE1">
        <w:t xml:space="preserve"> et al., </w:t>
      </w:r>
      <w:r w:rsidR="00A44718" w:rsidRPr="00441EE1">
        <w:t>2004)</w:t>
      </w:r>
      <w:r w:rsidR="006A0326" w:rsidRPr="006A0326">
        <w:t xml:space="preserve"> </w:t>
      </w:r>
      <w:r w:rsidR="006A0326" w:rsidRPr="00441EE1">
        <w:t xml:space="preserve">because it </w:t>
      </w:r>
      <w:r w:rsidR="006A0326" w:rsidRPr="00441EE1">
        <w:rPr>
          <w:bCs/>
        </w:rPr>
        <w:t>reflects the degree of complexity of a process, product or investment</w:t>
      </w:r>
      <w:r w:rsidR="006A0326" w:rsidRPr="00441EE1">
        <w:t xml:space="preserve"> (Zhao, Luo &amp; Suh, 2004).</w:t>
      </w:r>
      <w:r w:rsidR="00A44718" w:rsidRPr="00441EE1">
        <w:t>.</w:t>
      </w:r>
      <w:r w:rsidR="00A44718" w:rsidRPr="00441EE1">
        <w:rPr>
          <w:b/>
        </w:rPr>
        <w:t xml:space="preserve"> </w:t>
      </w:r>
      <w:r w:rsidR="003B3D7E" w:rsidRPr="00441EE1">
        <w:t>Following this research, we</w:t>
      </w:r>
      <w:r w:rsidR="003B3D7E">
        <w:t xml:space="preserve"> </w:t>
      </w:r>
      <w:r w:rsidR="003B3D7E" w:rsidRPr="003B3D7E">
        <w:t>measured</w:t>
      </w:r>
      <w:r w:rsidR="003B3D7E">
        <w:rPr>
          <w:b/>
        </w:rPr>
        <w:t xml:space="preserve"> </w:t>
      </w:r>
      <w:r w:rsidRPr="0043576D">
        <w:rPr>
          <w:i/>
        </w:rPr>
        <w:t>Asset specificity</w:t>
      </w:r>
      <w:r>
        <w:t xml:space="preserve"> as the ratio of R&amp;D expenditures to total sales.</w:t>
      </w:r>
    </w:p>
    <w:p w14:paraId="5EE3D60F" w14:textId="77777777" w:rsidR="00EF3691" w:rsidRDefault="007A10F9" w:rsidP="00BE7C7E">
      <w:pPr>
        <w:spacing w:line="480" w:lineRule="auto"/>
        <w:ind w:firstLine="567"/>
      </w:pPr>
      <w:r w:rsidRPr="00441EE1">
        <w:t xml:space="preserve">Internal uncertainty is related to monitoring costs (Williamson, 1985). TCE theory suggests that the greater the internal uncertainty (inability to know what partners are doing) the greater the monitoring costs a firm incurs </w:t>
      </w:r>
      <w:r w:rsidR="003B3D7E" w:rsidRPr="00441EE1">
        <w:t xml:space="preserve">and the greater the use of hierarchical channels </w:t>
      </w:r>
      <w:r w:rsidRPr="00441EE1">
        <w:lastRenderedPageBreak/>
        <w:t xml:space="preserve">(Brouthers </w:t>
      </w:r>
      <w:r w:rsidR="00621CB5" w:rsidRPr="00441EE1">
        <w:t>&amp;</w:t>
      </w:r>
      <w:r w:rsidRPr="00441EE1">
        <w:t xml:space="preserve"> </w:t>
      </w:r>
      <w:proofErr w:type="spellStart"/>
      <w:r w:rsidRPr="00441EE1">
        <w:t>Hennart</w:t>
      </w:r>
      <w:proofErr w:type="spellEnd"/>
      <w:r w:rsidRPr="00441EE1">
        <w:t xml:space="preserve">, 2007; </w:t>
      </w:r>
      <w:proofErr w:type="spellStart"/>
      <w:r w:rsidRPr="00441EE1">
        <w:t>Shervani</w:t>
      </w:r>
      <w:proofErr w:type="spellEnd"/>
      <w:r w:rsidRPr="00441EE1">
        <w:t xml:space="preserve"> et al, 2007).</w:t>
      </w:r>
      <w:r>
        <w:t xml:space="preserve"> </w:t>
      </w:r>
      <w:r w:rsidR="00E03C2E">
        <w:t xml:space="preserve">We measured </w:t>
      </w:r>
      <w:r w:rsidR="00E03C2E">
        <w:rPr>
          <w:i/>
        </w:rPr>
        <w:t xml:space="preserve">internal uncertainty </w:t>
      </w:r>
      <w:r w:rsidR="00E03C2E" w:rsidRPr="00096CC7">
        <w:t>wi</w:t>
      </w:r>
      <w:r w:rsidR="00E03C2E">
        <w:t xml:space="preserve">th a single-item seven-point Likert-scale question that asked about the ease/difficulty of measuring the collective performance of individuals who perform the exporting function in their most important market (He et al., 2013). </w:t>
      </w:r>
    </w:p>
    <w:p w14:paraId="5EE3D610" w14:textId="03E55AB7" w:rsidR="00E03C2E" w:rsidRPr="00BE7C7E" w:rsidRDefault="00814737" w:rsidP="00BE7C7E">
      <w:pPr>
        <w:spacing w:line="480" w:lineRule="auto"/>
        <w:ind w:firstLine="567"/>
        <w:rPr>
          <w:highlight w:val="yellow"/>
        </w:rPr>
      </w:pPr>
      <w:r w:rsidRPr="00441EE1">
        <w:t xml:space="preserve">The greater the uncertainty in the external environment the more difficult it is for managers </w:t>
      </w:r>
      <w:r w:rsidR="00B61206" w:rsidRPr="00441EE1">
        <w:t>to collect, understand and respond to change</w:t>
      </w:r>
      <w:r w:rsidR="00FF2081" w:rsidRPr="00441EE1">
        <w:t>s</w:t>
      </w:r>
      <w:r w:rsidR="00B61206" w:rsidRPr="00441EE1">
        <w:t xml:space="preserve"> that might occur after entry</w:t>
      </w:r>
      <w:r w:rsidR="00FF2081" w:rsidRPr="00441EE1">
        <w:t xml:space="preserve"> into a foreign market</w:t>
      </w:r>
      <w:r w:rsidR="00B61206" w:rsidRPr="00441EE1">
        <w:t xml:space="preserve"> (Williamson, 1995). I</w:t>
      </w:r>
      <w:r w:rsidR="008B03A4" w:rsidRPr="00441EE1">
        <w:t>n</w:t>
      </w:r>
      <w:r w:rsidR="00B61206" w:rsidRPr="00441EE1">
        <w:t xml:space="preserve"> these situations firms look for structures that allow them to be flexible and responsive to </w:t>
      </w:r>
      <w:r w:rsidR="008B03A4" w:rsidRPr="00441EE1">
        <w:t xml:space="preserve">potential </w:t>
      </w:r>
      <w:r w:rsidR="00B61206" w:rsidRPr="00441EE1">
        <w:t xml:space="preserve">changes </w:t>
      </w:r>
      <w:r w:rsidRPr="00441EE1">
        <w:t>(</w:t>
      </w:r>
      <w:r w:rsidR="00621CB5" w:rsidRPr="00441EE1">
        <w:t xml:space="preserve">Bello &amp; </w:t>
      </w:r>
      <w:proofErr w:type="spellStart"/>
      <w:r w:rsidR="00621CB5" w:rsidRPr="00441EE1">
        <w:t>Lohtia</w:t>
      </w:r>
      <w:proofErr w:type="spellEnd"/>
      <w:r w:rsidR="00621CB5" w:rsidRPr="00441EE1">
        <w:t xml:space="preserve">, 1995; </w:t>
      </w:r>
      <w:r w:rsidRPr="00441EE1">
        <w:t xml:space="preserve">Klein et al., 1990). </w:t>
      </w:r>
      <w:r w:rsidR="00BA06CD">
        <w:t>For</w:t>
      </w:r>
      <w:r w:rsidR="00E03C2E">
        <w:t xml:space="preserve"> </w:t>
      </w:r>
      <w:r w:rsidR="00E03C2E">
        <w:rPr>
          <w:i/>
        </w:rPr>
        <w:t>external uncertainty</w:t>
      </w:r>
      <w:r w:rsidR="00E03C2E">
        <w:t xml:space="preserve"> we used the four-item semantic differential scale developed by</w:t>
      </w:r>
      <w:r w:rsidR="00E03C2E" w:rsidRPr="00ED4BFD">
        <w:t xml:space="preserve"> </w:t>
      </w:r>
      <w:proofErr w:type="spellStart"/>
      <w:r w:rsidR="00E03C2E">
        <w:t>Shervani</w:t>
      </w:r>
      <w:proofErr w:type="spellEnd"/>
      <w:r w:rsidR="00E03C2E">
        <w:t xml:space="preserve">, Frazier and </w:t>
      </w:r>
      <w:proofErr w:type="spellStart"/>
      <w:r w:rsidR="00E03C2E">
        <w:t>Challagalla</w:t>
      </w:r>
      <w:proofErr w:type="spellEnd"/>
      <w:r w:rsidR="00E03C2E">
        <w:t xml:space="preserve"> (2007)</w:t>
      </w:r>
      <w:r w:rsidR="00E03C2E">
        <w:rPr>
          <w:i/>
        </w:rPr>
        <w:t xml:space="preserve">. </w:t>
      </w:r>
      <w:r w:rsidR="00E03C2E">
        <w:t xml:space="preserve">These items look at how easy/difficult it is to monitor trends, forecast sales, gauge competition, and understand the export market. All four items load on a single factor (Cronbach alpha = 0.62) and were therefore summed to create the construct. Finally, </w:t>
      </w:r>
      <w:r w:rsidR="007A10F9" w:rsidRPr="00441EE1">
        <w:t>TCE suggests that frequency of transaction</w:t>
      </w:r>
      <w:r w:rsidR="00797760" w:rsidRPr="00441EE1">
        <w:t>s</w:t>
      </w:r>
      <w:r w:rsidR="007A10F9" w:rsidRPr="00441EE1">
        <w:t xml:space="preserve"> influence transaction costs because </w:t>
      </w:r>
      <w:r w:rsidR="00797760" w:rsidRPr="00441EE1">
        <w:t>it is more efficient to internalize transactions when there is high volume since firms can realize economies of scale, but better to rely on markets when volume is low and it is costly to develop expertise (</w:t>
      </w:r>
      <w:r w:rsidR="00621CB5" w:rsidRPr="00441EE1">
        <w:t xml:space="preserve">Bello &amp; </w:t>
      </w:r>
      <w:proofErr w:type="spellStart"/>
      <w:r w:rsidR="00621CB5" w:rsidRPr="00441EE1">
        <w:t>Lohtia</w:t>
      </w:r>
      <w:proofErr w:type="spellEnd"/>
      <w:r w:rsidR="00621CB5" w:rsidRPr="00441EE1">
        <w:t xml:space="preserve">, 1995; </w:t>
      </w:r>
      <w:r w:rsidR="00797760" w:rsidRPr="00441EE1">
        <w:t>Williamson, 1985). Following Klein et al (1990)</w:t>
      </w:r>
      <w:r w:rsidR="00797760">
        <w:t xml:space="preserve"> w</w:t>
      </w:r>
      <w:r w:rsidR="00E03C2E">
        <w:t xml:space="preserve">e measured export </w:t>
      </w:r>
      <w:r w:rsidR="00E03C2E">
        <w:rPr>
          <w:i/>
        </w:rPr>
        <w:t>frequency</w:t>
      </w:r>
      <w:r w:rsidR="00E03C2E">
        <w:t xml:space="preserve"> as the percentage of sales in the target market compared with total export sales for the firm. </w:t>
      </w:r>
    </w:p>
    <w:p w14:paraId="5EE3D611" w14:textId="77777777" w:rsidR="00C50E91" w:rsidRDefault="00E03C2E" w:rsidP="00C50E91">
      <w:pPr>
        <w:spacing w:line="480" w:lineRule="auto"/>
        <w:ind w:firstLine="567"/>
      </w:pPr>
      <w:r>
        <w:t xml:space="preserve">Other control variables included </w:t>
      </w:r>
      <w:r w:rsidRPr="00E64F54">
        <w:rPr>
          <w:i/>
        </w:rPr>
        <w:t>Firm size</w:t>
      </w:r>
      <w:r>
        <w:t xml:space="preserve"> </w:t>
      </w:r>
      <w:r w:rsidRPr="00441EE1">
        <w:t xml:space="preserve">which </w:t>
      </w:r>
      <w:r w:rsidR="00C679D9" w:rsidRPr="00441EE1">
        <w:t>can influence ex</w:t>
      </w:r>
      <w:r w:rsidR="00B41326" w:rsidRPr="00441EE1">
        <w:t>p</w:t>
      </w:r>
      <w:r w:rsidR="00C679D9" w:rsidRPr="00441EE1">
        <w:t xml:space="preserve">ort channel </w:t>
      </w:r>
      <w:r w:rsidR="00B41326" w:rsidRPr="00441EE1">
        <w:t>c</w:t>
      </w:r>
      <w:r w:rsidR="00C679D9" w:rsidRPr="00441EE1">
        <w:t>hoice because</w:t>
      </w:r>
      <w:r w:rsidR="00621CB5" w:rsidRPr="00441EE1">
        <w:t xml:space="preserve"> size means greater availability of resources (Campa &amp; Guillen, 1999). </w:t>
      </w:r>
      <w:r w:rsidR="00C679D9" w:rsidRPr="00441EE1">
        <w:t>It</w:t>
      </w:r>
      <w:r w:rsidR="00C679D9">
        <w:t xml:space="preserve"> </w:t>
      </w:r>
      <w:r>
        <w:t xml:space="preserve">was measured as the number of people employed (full-time equivalent) in the company worldwide. </w:t>
      </w:r>
      <w:r w:rsidR="00C50E91">
        <w:t>Because we have SMEs from two home countries, we created a dichotomous variable (</w:t>
      </w:r>
      <w:r w:rsidR="00C50E91" w:rsidRPr="00E64F54">
        <w:rPr>
          <w:i/>
        </w:rPr>
        <w:t>nationality</w:t>
      </w:r>
      <w:r w:rsidR="00C50E91">
        <w:t xml:space="preserve">) to control for home country differences. Firms from Italy were coded </w:t>
      </w:r>
      <w:r w:rsidR="00C50E91" w:rsidRPr="00E60BB1">
        <w:t xml:space="preserve">zero </w:t>
      </w:r>
      <w:r w:rsidR="00C50E91">
        <w:t xml:space="preserve">while firms from the Netherlands were coded </w:t>
      </w:r>
      <w:r w:rsidR="00C50E91" w:rsidRPr="00E60BB1">
        <w:t>one</w:t>
      </w:r>
      <w:r w:rsidR="00C50E91">
        <w:t xml:space="preserve">. </w:t>
      </w:r>
    </w:p>
    <w:p w14:paraId="5EE3D612" w14:textId="77777777" w:rsidR="00F75D00" w:rsidRDefault="00E03C2E" w:rsidP="00F75D00">
      <w:pPr>
        <w:spacing w:line="480" w:lineRule="auto"/>
        <w:ind w:firstLine="567"/>
      </w:pPr>
      <w:r w:rsidRPr="00441EE1">
        <w:lastRenderedPageBreak/>
        <w:t xml:space="preserve">We </w:t>
      </w:r>
      <w:r w:rsidR="00C50E91" w:rsidRPr="00441EE1">
        <w:t>included</w:t>
      </w:r>
      <w:r w:rsidRPr="00441EE1">
        <w:t xml:space="preserve"> </w:t>
      </w:r>
      <w:r w:rsidR="00C679D9" w:rsidRPr="00441EE1">
        <w:t xml:space="preserve">several aspects of experiential learning that have been shown to influence </w:t>
      </w:r>
      <w:r w:rsidR="00F11AF9" w:rsidRPr="00441EE1">
        <w:t>foreign structure choices</w:t>
      </w:r>
      <w:r w:rsidR="00C679D9" w:rsidRPr="00441EE1">
        <w:t xml:space="preserve">. </w:t>
      </w:r>
      <w:r w:rsidR="00264B9F">
        <w:t>First, y</w:t>
      </w:r>
      <w:r w:rsidR="00C679D9" w:rsidRPr="00441EE1">
        <w:t>ears of exporting experience can provide firms with knowledge and processes that make future export operations easier to establish, and less risky (</w:t>
      </w:r>
      <w:r w:rsidR="00741D07" w:rsidRPr="00441EE1">
        <w:t>Klein &amp; Roth, 199</w:t>
      </w:r>
      <w:r w:rsidR="00E411FE" w:rsidRPr="00441EE1">
        <w:t>0</w:t>
      </w:r>
      <w:r w:rsidR="00C679D9" w:rsidRPr="00441EE1">
        <w:t xml:space="preserve">). </w:t>
      </w:r>
      <w:r w:rsidR="00895308">
        <w:t xml:space="preserve">Our measure </w:t>
      </w:r>
      <w:r w:rsidR="00895308">
        <w:rPr>
          <w:i/>
        </w:rPr>
        <w:t>i</w:t>
      </w:r>
      <w:r w:rsidR="00895308" w:rsidRPr="00E64F54">
        <w:rPr>
          <w:i/>
        </w:rPr>
        <w:t>nternational experience</w:t>
      </w:r>
      <w:r w:rsidR="00895308">
        <w:t xml:space="preserve"> </w:t>
      </w:r>
      <w:r w:rsidR="00C679D9" w:rsidRPr="00C679D9">
        <w:t xml:space="preserve">captured </w:t>
      </w:r>
      <w:r>
        <w:t xml:space="preserve">the number of years the firm had been exporting. We also controlled for the </w:t>
      </w:r>
      <w:r w:rsidRPr="00E64F54">
        <w:rPr>
          <w:i/>
        </w:rPr>
        <w:t>number of countries</w:t>
      </w:r>
      <w:r>
        <w:t xml:space="preserve"> in which the firm has exported its products (calculated as the natural logarithm)</w:t>
      </w:r>
      <w:r w:rsidR="00741D07">
        <w:t xml:space="preserve"> (</w:t>
      </w:r>
      <w:r w:rsidR="00741D07" w:rsidRPr="00441EE1">
        <w:rPr>
          <w:rFonts w:eastAsiaTheme="minorHAnsi"/>
          <w:lang w:val="en-GB" w:eastAsia="en-US"/>
        </w:rPr>
        <w:t>Fernandez-Olmos &amp; Diez-Vial, 2015</w:t>
      </w:r>
      <w:r w:rsidR="00EB13D5" w:rsidRPr="00441EE1">
        <w:rPr>
          <w:rFonts w:eastAsiaTheme="minorHAnsi"/>
          <w:lang w:val="en-GB" w:eastAsia="en-US"/>
        </w:rPr>
        <w:t>; He et al., 2013</w:t>
      </w:r>
      <w:r w:rsidR="00741D07" w:rsidRPr="00441EE1">
        <w:rPr>
          <w:rFonts w:eastAsiaTheme="minorHAnsi"/>
          <w:lang w:val="en-GB" w:eastAsia="en-US"/>
        </w:rPr>
        <w:t>)</w:t>
      </w:r>
      <w:r w:rsidRPr="00441EE1">
        <w:t xml:space="preserve">. </w:t>
      </w:r>
      <w:r w:rsidR="00C679D9" w:rsidRPr="00441EE1">
        <w:t>Th</w:t>
      </w:r>
      <w:r w:rsidR="00B41326" w:rsidRPr="00441EE1">
        <w:t>is</w:t>
      </w:r>
      <w:r w:rsidR="00C679D9" w:rsidRPr="00441EE1">
        <w:t xml:space="preserve"> diversity of international experience can influence export channel choice</w:t>
      </w:r>
      <w:r w:rsidR="00741D07" w:rsidRPr="00441EE1">
        <w:t xml:space="preserve"> b</w:t>
      </w:r>
      <w:r w:rsidR="00EB13D5" w:rsidRPr="00441EE1">
        <w:t>ecause firms can learn to work in different types of markets through varying experience</w:t>
      </w:r>
      <w:r w:rsidR="00F11AF9" w:rsidRPr="00441EE1">
        <w:t>, reducing uncertainty when entering a new market</w:t>
      </w:r>
      <w:r w:rsidR="00EB13D5" w:rsidRPr="00441EE1">
        <w:t xml:space="preserve"> (</w:t>
      </w:r>
      <w:r w:rsidR="004A15E7" w:rsidRPr="00441EE1">
        <w:t xml:space="preserve">Brouthers &amp; </w:t>
      </w:r>
      <w:proofErr w:type="spellStart"/>
      <w:r w:rsidR="004A15E7" w:rsidRPr="00441EE1">
        <w:t>Hennart</w:t>
      </w:r>
      <w:proofErr w:type="spellEnd"/>
      <w:r w:rsidR="004A15E7" w:rsidRPr="00441EE1">
        <w:t>, 2007</w:t>
      </w:r>
      <w:r w:rsidR="00EB13D5" w:rsidRPr="00441EE1">
        <w:t>)</w:t>
      </w:r>
      <w:r w:rsidR="00C679D9" w:rsidRPr="00441EE1">
        <w:t>.</w:t>
      </w:r>
      <w:r w:rsidR="00C679D9">
        <w:t xml:space="preserve"> </w:t>
      </w:r>
      <w:r w:rsidR="00264B9F">
        <w:t>Third, w</w:t>
      </w:r>
      <w:r>
        <w:t xml:space="preserve">e developed a measure </w:t>
      </w:r>
      <w:r w:rsidR="00DE0B2D">
        <w:rPr>
          <w:i/>
        </w:rPr>
        <w:t>e</w:t>
      </w:r>
      <w:r>
        <w:rPr>
          <w:i/>
        </w:rPr>
        <w:t>x</w:t>
      </w:r>
      <w:r w:rsidRPr="00370336">
        <w:rPr>
          <w:i/>
        </w:rPr>
        <w:t>port channel experience</w:t>
      </w:r>
      <w:r>
        <w:t xml:space="preserve"> which captures the number of other countries where the firm has used the same export structure as is used in the target market.</w:t>
      </w:r>
      <w:r w:rsidRPr="006F5055">
        <w:t xml:space="preserve"> </w:t>
      </w:r>
      <w:r w:rsidR="00C679D9" w:rsidRPr="00441EE1">
        <w:t xml:space="preserve">Export channel experience can benefit firms </w:t>
      </w:r>
      <w:r w:rsidR="005026FA">
        <w:t>because</w:t>
      </w:r>
      <w:r w:rsidR="00C679D9" w:rsidRPr="00441EE1">
        <w:t xml:space="preserve"> they </w:t>
      </w:r>
      <w:r w:rsidR="005026FA">
        <w:t xml:space="preserve">can </w:t>
      </w:r>
      <w:r w:rsidR="00C679D9" w:rsidRPr="00441EE1">
        <w:t xml:space="preserve">refine their ability to set-up and operate a specific type of export </w:t>
      </w:r>
      <w:r w:rsidR="00DB0C9C" w:rsidRPr="00441EE1">
        <w:t>structure</w:t>
      </w:r>
      <w:r w:rsidR="00C679D9" w:rsidRPr="00441EE1">
        <w:t xml:space="preserve"> as their experience with these specific </w:t>
      </w:r>
      <w:r w:rsidR="005026FA">
        <w:t>structures</w:t>
      </w:r>
      <w:r w:rsidR="00C679D9" w:rsidRPr="00441EE1">
        <w:t xml:space="preserve"> grow (</w:t>
      </w:r>
      <w:r w:rsidR="00233789" w:rsidRPr="00441EE1">
        <w:t>Padmanabhan &amp; Cho, 1999</w:t>
      </w:r>
      <w:r w:rsidR="00C679D9" w:rsidRPr="00441EE1">
        <w:t>).</w:t>
      </w:r>
      <w:r w:rsidR="00C679D9" w:rsidRPr="00441EE1">
        <w:rPr>
          <w:b/>
        </w:rPr>
        <w:t xml:space="preserve"> </w:t>
      </w:r>
    </w:p>
    <w:p w14:paraId="5EE3D613" w14:textId="360901EA" w:rsidR="007B173F" w:rsidRDefault="00895308" w:rsidP="007B173F">
      <w:pPr>
        <w:spacing w:line="480" w:lineRule="auto"/>
        <w:ind w:firstLine="567"/>
      </w:pPr>
      <w:r>
        <w:t>Finally, i</w:t>
      </w:r>
      <w:r w:rsidR="00E03C2E">
        <w:t xml:space="preserve">n our sample we had SMEs belonging to 21 different </w:t>
      </w:r>
      <w:r w:rsidR="00CF26A1">
        <w:t xml:space="preserve">manufacturing </w:t>
      </w:r>
      <w:r w:rsidR="00E03C2E">
        <w:t xml:space="preserve">industries according to NACE classification. To control for potential </w:t>
      </w:r>
      <w:r w:rsidR="00E03C2E" w:rsidRPr="00C975FC">
        <w:rPr>
          <w:i/>
        </w:rPr>
        <w:t>industry</w:t>
      </w:r>
      <w:r w:rsidR="00E03C2E">
        <w:t xml:space="preserve"> differences, we created seven dummy variables, one each for those industry sectors that are present with 5% or more companies. The industry dummy variables are</w:t>
      </w:r>
      <w:r w:rsidR="00467D2F">
        <w:t xml:space="preserve"> manufacturing of</w:t>
      </w:r>
      <w:r w:rsidR="00E03C2E">
        <w:t xml:space="preserve">: </w:t>
      </w:r>
      <w:r w:rsidR="00E03C2E" w:rsidRPr="00750B81">
        <w:t xml:space="preserve">Machinery and equipment </w:t>
      </w:r>
      <w:proofErr w:type="spellStart"/>
      <w:r w:rsidR="00E03C2E" w:rsidRPr="00750B81">
        <w:t>n.e.c.</w:t>
      </w:r>
      <w:proofErr w:type="spellEnd"/>
      <w:r w:rsidR="00E03C2E">
        <w:t xml:space="preserve"> (NACE code 28), </w:t>
      </w:r>
      <w:r w:rsidR="004B66E9">
        <w:t>F</w:t>
      </w:r>
      <w:r w:rsidR="00E03C2E" w:rsidRPr="00750B81">
        <w:t>abricated metal products</w:t>
      </w:r>
      <w:r w:rsidR="00E03C2E">
        <w:t xml:space="preserve"> </w:t>
      </w:r>
      <w:r w:rsidR="00E03C2E" w:rsidRPr="00750B81">
        <w:t>except machinery and equipment</w:t>
      </w:r>
      <w:r w:rsidR="00E03C2E">
        <w:t xml:space="preserve"> (NACE code 25), </w:t>
      </w:r>
      <w:r w:rsidR="00467D2F">
        <w:t>O</w:t>
      </w:r>
      <w:r w:rsidR="00E03C2E" w:rsidRPr="00750B81">
        <w:t>ther non-metallic mineral products</w:t>
      </w:r>
      <w:r w:rsidR="00E03C2E">
        <w:t xml:space="preserve"> (NACE code 23), </w:t>
      </w:r>
      <w:r w:rsidR="00467D2F">
        <w:t>F</w:t>
      </w:r>
      <w:r w:rsidR="00E03C2E" w:rsidRPr="00750B81">
        <w:t>ood products</w:t>
      </w:r>
      <w:r w:rsidR="00E03C2E">
        <w:t xml:space="preserve"> (NACE code 10), </w:t>
      </w:r>
      <w:r w:rsidR="00467D2F">
        <w:t>F</w:t>
      </w:r>
      <w:r w:rsidR="00E03C2E" w:rsidRPr="00750B81">
        <w:t>urniture</w:t>
      </w:r>
      <w:r w:rsidR="00E03C2E">
        <w:t xml:space="preserve"> (NACE code 31), </w:t>
      </w:r>
      <w:r w:rsidR="00E02123">
        <w:t>R</w:t>
      </w:r>
      <w:r w:rsidR="00E03C2E" w:rsidRPr="00750B81">
        <w:t>ubber and plastic products</w:t>
      </w:r>
      <w:r w:rsidR="00E03C2E">
        <w:t xml:space="preserve"> (NACE code 22)</w:t>
      </w:r>
      <w:r w:rsidR="00E02123">
        <w:t xml:space="preserve"> and </w:t>
      </w:r>
      <w:r w:rsidR="00E02123" w:rsidRPr="00750B81">
        <w:t>Other manufacturing</w:t>
      </w:r>
      <w:r w:rsidR="00E02123">
        <w:t xml:space="preserve"> (NACE code 32)</w:t>
      </w:r>
      <w:r w:rsidR="00E03C2E">
        <w:t xml:space="preserve">. For each dummy variable, a value of one means that firm belongs to the industry, otherwise the value is zero. </w:t>
      </w:r>
    </w:p>
    <w:p w14:paraId="5EE3D614" w14:textId="77777777" w:rsidR="007B173F" w:rsidRDefault="007B173F" w:rsidP="007B173F">
      <w:pPr>
        <w:spacing w:line="480" w:lineRule="auto"/>
      </w:pPr>
    </w:p>
    <w:p w14:paraId="5EE3D615" w14:textId="5F1DE347" w:rsidR="007B173F" w:rsidRDefault="00336F7C" w:rsidP="007B173F">
      <w:pPr>
        <w:spacing w:line="480" w:lineRule="auto"/>
        <w:rPr>
          <w:b/>
        </w:rPr>
      </w:pPr>
      <w:r>
        <w:rPr>
          <w:b/>
        </w:rPr>
        <w:t xml:space="preserve">3.4 </w:t>
      </w:r>
      <w:r w:rsidR="00E03C2E">
        <w:rPr>
          <w:b/>
        </w:rPr>
        <w:t xml:space="preserve">Common </w:t>
      </w:r>
      <w:r w:rsidR="005D7F85">
        <w:rPr>
          <w:b/>
        </w:rPr>
        <w:t>M</w:t>
      </w:r>
      <w:r w:rsidR="00E03C2E">
        <w:rPr>
          <w:b/>
        </w:rPr>
        <w:t xml:space="preserve">ethod </w:t>
      </w:r>
      <w:r w:rsidR="005D7F85">
        <w:rPr>
          <w:b/>
        </w:rPr>
        <w:t>Bias</w:t>
      </w:r>
      <w:r w:rsidR="007B173F">
        <w:rPr>
          <w:b/>
        </w:rPr>
        <w:t xml:space="preserve"> </w:t>
      </w:r>
    </w:p>
    <w:p w14:paraId="5EE3D617" w14:textId="5D4EDC46" w:rsidR="00D23B6F" w:rsidRPr="00441EE1" w:rsidRDefault="00D23B6F" w:rsidP="007B173F">
      <w:pPr>
        <w:spacing w:line="480" w:lineRule="auto"/>
        <w:ind w:firstLine="567"/>
        <w:rPr>
          <w:rFonts w:eastAsiaTheme="minorHAnsi"/>
          <w:lang w:eastAsia="en-US"/>
        </w:rPr>
      </w:pPr>
      <w:r w:rsidRPr="00441EE1">
        <w:rPr>
          <w:rFonts w:eastAsiaTheme="minorHAnsi"/>
          <w:lang w:eastAsia="en-US"/>
        </w:rPr>
        <w:lastRenderedPageBreak/>
        <w:t xml:space="preserve">To be sure our data do not suffer from common methods variance we used several techniques. First, following Chang, van </w:t>
      </w:r>
      <w:proofErr w:type="spellStart"/>
      <w:r w:rsidRPr="00441EE1">
        <w:rPr>
          <w:rFonts w:eastAsiaTheme="minorHAnsi"/>
          <w:lang w:eastAsia="en-US"/>
        </w:rPr>
        <w:t>Witteloostuijn</w:t>
      </w:r>
      <w:proofErr w:type="spellEnd"/>
      <w:r w:rsidRPr="00441EE1">
        <w:rPr>
          <w:rFonts w:eastAsiaTheme="minorHAnsi"/>
          <w:lang w:eastAsia="en-US"/>
        </w:rPr>
        <w:t xml:space="preserve"> and Eden (2010) we designed our data collection effort so that the independent and dependent variable information was collected at different points in time. </w:t>
      </w:r>
      <w:r w:rsidR="005026FA">
        <w:rPr>
          <w:rFonts w:eastAsiaTheme="minorHAnsi"/>
          <w:lang w:eastAsia="en-US"/>
        </w:rPr>
        <w:t>Second, m</w:t>
      </w:r>
      <w:r w:rsidRPr="00441EE1">
        <w:rPr>
          <w:rFonts w:eastAsiaTheme="minorHAnsi"/>
          <w:lang w:eastAsia="en-US"/>
        </w:rPr>
        <w:t xml:space="preserve">uch of our data consisted of fact-based items (like our export channel measure). </w:t>
      </w:r>
      <w:r w:rsidR="005026FA">
        <w:rPr>
          <w:rFonts w:eastAsiaTheme="minorHAnsi"/>
          <w:lang w:eastAsia="en-US"/>
        </w:rPr>
        <w:t>Third,</w:t>
      </w:r>
      <w:r w:rsidRPr="00441EE1">
        <w:rPr>
          <w:rFonts w:eastAsiaTheme="minorHAnsi"/>
          <w:lang w:eastAsia="en-US"/>
        </w:rPr>
        <w:t xml:space="preserve"> we used a variety of scales </w:t>
      </w:r>
      <w:r w:rsidR="005026FA">
        <w:rPr>
          <w:rFonts w:eastAsiaTheme="minorHAnsi"/>
          <w:lang w:eastAsia="en-US"/>
        </w:rPr>
        <w:t xml:space="preserve">and formats for our variables. In addition, </w:t>
      </w:r>
      <w:r w:rsidRPr="00441EE1">
        <w:rPr>
          <w:rFonts w:eastAsiaTheme="minorHAnsi"/>
          <w:lang w:eastAsia="en-US"/>
        </w:rPr>
        <w:t>as recommend</w:t>
      </w:r>
      <w:r w:rsidR="005026FA">
        <w:rPr>
          <w:rFonts w:eastAsiaTheme="minorHAnsi"/>
          <w:lang w:eastAsia="en-US"/>
        </w:rPr>
        <w:t>ed</w:t>
      </w:r>
      <w:r w:rsidRPr="00441EE1">
        <w:rPr>
          <w:rFonts w:eastAsiaTheme="minorHAnsi"/>
          <w:lang w:eastAsia="en-US"/>
        </w:rPr>
        <w:t xml:space="preserve"> (Chang et al., 2010)</w:t>
      </w:r>
      <w:r w:rsidR="005026FA">
        <w:rPr>
          <w:rFonts w:eastAsiaTheme="minorHAnsi"/>
          <w:lang w:eastAsia="en-US"/>
        </w:rPr>
        <w:t>,</w:t>
      </w:r>
      <w:r w:rsidRPr="00441EE1">
        <w:rPr>
          <w:rFonts w:eastAsiaTheme="minorHAnsi"/>
          <w:lang w:eastAsia="en-US"/>
        </w:rPr>
        <w:t xml:space="preserve"> we included interaction terms in our model. </w:t>
      </w:r>
      <w:r w:rsidR="005026FA">
        <w:rPr>
          <w:rFonts w:eastAsiaTheme="minorHAnsi"/>
          <w:lang w:eastAsia="en-US"/>
        </w:rPr>
        <w:t xml:space="preserve">Finally, </w:t>
      </w:r>
      <w:r w:rsidR="008753E6">
        <w:rPr>
          <w:rFonts w:eastAsiaTheme="minorHAnsi"/>
          <w:lang w:eastAsia="en-US"/>
        </w:rPr>
        <w:t>we</w:t>
      </w:r>
      <w:r w:rsidRPr="00441EE1">
        <w:rPr>
          <w:rFonts w:eastAsiaTheme="minorHAnsi"/>
          <w:lang w:val="en-GB" w:eastAsia="en-US"/>
        </w:rPr>
        <w:t xml:space="preserve"> used </w:t>
      </w:r>
      <w:r w:rsidR="00447654" w:rsidRPr="001B061E">
        <w:rPr>
          <w:rFonts w:eastAsiaTheme="minorHAnsi"/>
          <w:lang w:val="en-GB" w:eastAsia="en-US"/>
        </w:rPr>
        <w:t>confirmatory factor analysis</w:t>
      </w:r>
      <w:r w:rsidR="00447654">
        <w:rPr>
          <w:rFonts w:eastAsiaTheme="minorHAnsi"/>
          <w:lang w:val="en-GB" w:eastAsia="en-US"/>
        </w:rPr>
        <w:t xml:space="preserve"> (</w:t>
      </w:r>
      <w:r w:rsidRPr="00441EE1">
        <w:rPr>
          <w:rFonts w:eastAsiaTheme="minorHAnsi"/>
          <w:lang w:val="en-GB" w:eastAsia="en-US"/>
        </w:rPr>
        <w:t>CFA</w:t>
      </w:r>
      <w:r w:rsidR="00447654">
        <w:rPr>
          <w:rFonts w:eastAsiaTheme="minorHAnsi"/>
          <w:lang w:val="en-GB" w:eastAsia="en-US"/>
        </w:rPr>
        <w:t>)</w:t>
      </w:r>
      <w:r w:rsidRPr="00441EE1">
        <w:rPr>
          <w:rFonts w:eastAsiaTheme="minorHAnsi"/>
          <w:lang w:val="en-GB" w:eastAsia="en-US"/>
        </w:rPr>
        <w:t xml:space="preserve"> as </w:t>
      </w:r>
      <w:r w:rsidR="00556783" w:rsidRPr="00441EE1">
        <w:rPr>
          <w:rFonts w:eastAsiaTheme="minorHAnsi"/>
          <w:lang w:val="en-GB" w:eastAsia="en-US"/>
        </w:rPr>
        <w:t xml:space="preserve">an </w:t>
      </w:r>
      <w:r w:rsidRPr="00441EE1">
        <w:rPr>
          <w:rFonts w:eastAsiaTheme="minorHAnsi"/>
          <w:i/>
          <w:lang w:val="en-GB" w:eastAsia="en-US"/>
        </w:rPr>
        <w:t>ex post</w:t>
      </w:r>
      <w:r w:rsidRPr="00441EE1">
        <w:rPr>
          <w:rFonts w:eastAsiaTheme="minorHAnsi"/>
          <w:lang w:val="en-GB" w:eastAsia="en-US"/>
        </w:rPr>
        <w:t xml:space="preserve"> technique to check for common-method variance</w:t>
      </w:r>
      <w:r w:rsidR="00AB693B">
        <w:rPr>
          <w:rFonts w:eastAsiaTheme="minorHAnsi"/>
          <w:lang w:val="en-GB" w:eastAsia="en-US"/>
        </w:rPr>
        <w:t xml:space="preserve"> (Chang et al., 2010)</w:t>
      </w:r>
      <w:r w:rsidRPr="00441EE1">
        <w:rPr>
          <w:rFonts w:eastAsiaTheme="minorHAnsi"/>
          <w:lang w:val="en-GB" w:eastAsia="en-US"/>
        </w:rPr>
        <w:t xml:space="preserve">. To test common methods variance the model had to include all variables used in the regression analysis to see if they explain one factor. </w:t>
      </w:r>
      <w:r w:rsidRPr="00441EE1">
        <w:rPr>
          <w:rFonts w:eastAsiaTheme="minorHAnsi"/>
          <w:lang w:eastAsia="en-US"/>
        </w:rPr>
        <w:t>The CFA analysis revealed a poor model fit (RMSEA index = 0.10; NFI = 0.41; Tucker-Lewis NNFI = 0.36; CFI = 0.44), which indicates a lack of common methods variance (</w:t>
      </w:r>
      <w:proofErr w:type="spellStart"/>
      <w:r w:rsidRPr="00441EE1">
        <w:rPr>
          <w:rFonts w:eastAsiaTheme="minorHAnsi"/>
          <w:lang w:val="en-GB" w:eastAsia="en-US"/>
        </w:rPr>
        <w:t>Podskoff</w:t>
      </w:r>
      <w:proofErr w:type="spellEnd"/>
      <w:r w:rsidRPr="00441EE1">
        <w:rPr>
          <w:rFonts w:eastAsiaTheme="minorHAnsi"/>
          <w:lang w:val="en-GB" w:eastAsia="en-US"/>
        </w:rPr>
        <w:t xml:space="preserve"> et al., 2003)</w:t>
      </w:r>
      <w:r w:rsidRPr="00441EE1">
        <w:rPr>
          <w:rFonts w:eastAsiaTheme="minorHAnsi"/>
          <w:lang w:eastAsia="en-US"/>
        </w:rPr>
        <w:t>.</w:t>
      </w:r>
      <w:r w:rsidRPr="00441EE1">
        <w:rPr>
          <w:rFonts w:eastAsiaTheme="minorHAnsi"/>
          <w:lang w:val="en-GB" w:eastAsia="en-US"/>
        </w:rPr>
        <w:t xml:space="preserve"> </w:t>
      </w:r>
      <w:r w:rsidRPr="00441EE1">
        <w:rPr>
          <w:rFonts w:eastAsiaTheme="minorHAnsi"/>
          <w:lang w:eastAsia="en-US"/>
        </w:rPr>
        <w:t>All these actions help assure that our data do not suffer from common methods variance.</w:t>
      </w:r>
    </w:p>
    <w:p w14:paraId="5EE3D618" w14:textId="77777777" w:rsidR="00E03C2E" w:rsidRDefault="00E03C2E" w:rsidP="00CA78F0">
      <w:pPr>
        <w:spacing w:line="480" w:lineRule="auto"/>
        <w:ind w:firstLine="567"/>
      </w:pPr>
    </w:p>
    <w:p w14:paraId="5EE3D619" w14:textId="1F45484B" w:rsidR="00E03C2E" w:rsidRPr="00F87EA5" w:rsidRDefault="00AE589D" w:rsidP="00AE589D">
      <w:pPr>
        <w:spacing w:line="480" w:lineRule="auto"/>
        <w:rPr>
          <w:b/>
        </w:rPr>
      </w:pPr>
      <w:r>
        <w:rPr>
          <w:b/>
        </w:rPr>
        <w:t xml:space="preserve">4.0 </w:t>
      </w:r>
      <w:r w:rsidR="00E03C2E" w:rsidRPr="00900E85">
        <w:rPr>
          <w:b/>
        </w:rPr>
        <w:t>RESULTS</w:t>
      </w:r>
    </w:p>
    <w:p w14:paraId="5EE3D61A" w14:textId="77777777" w:rsidR="00E03C2E" w:rsidRDefault="00E03C2E" w:rsidP="00F87EA5">
      <w:pPr>
        <w:spacing w:line="480" w:lineRule="auto"/>
        <w:ind w:firstLine="567"/>
      </w:pPr>
      <w:r>
        <w:t xml:space="preserve">As a first step </w:t>
      </w:r>
      <w:r w:rsidR="00A26A6F">
        <w:t>in</w:t>
      </w:r>
      <w:r>
        <w:t xml:space="preserve"> our analysis, we looked at the correlations between variables (see Table 1). There is no sign of multi-</w:t>
      </w:r>
      <w:proofErr w:type="spellStart"/>
      <w:r>
        <w:t>colinearity</w:t>
      </w:r>
      <w:proofErr w:type="spellEnd"/>
      <w:r>
        <w:t xml:space="preserve">. On average, our firms have around 60 employees, over 22 years of international experience, and tended </w:t>
      </w:r>
      <w:r w:rsidRPr="0064052F">
        <w:t xml:space="preserve">to use both hierarchical (66.8%) and </w:t>
      </w:r>
      <w:r w:rsidR="00900E85">
        <w:t>cooperative</w:t>
      </w:r>
      <w:r w:rsidRPr="0064052F">
        <w:t xml:space="preserve"> (33.2%) export</w:t>
      </w:r>
      <w:r>
        <w:t xml:space="preserve"> channels.</w:t>
      </w:r>
    </w:p>
    <w:p w14:paraId="5EE3D61B" w14:textId="77777777" w:rsidR="00B363BD" w:rsidRDefault="00B363BD" w:rsidP="00CD2D84">
      <w:pPr>
        <w:jc w:val="center"/>
      </w:pPr>
      <w:r>
        <w:t>------------------------------------------</w:t>
      </w:r>
    </w:p>
    <w:p w14:paraId="5EE3D61C" w14:textId="77777777" w:rsidR="00E03C2E" w:rsidRDefault="00E03C2E" w:rsidP="00CD2D84">
      <w:pPr>
        <w:jc w:val="center"/>
      </w:pPr>
      <w:r>
        <w:t xml:space="preserve">Insert Tables 1 and 2 </w:t>
      </w:r>
      <w:r w:rsidR="0057172B">
        <w:t>about h</w:t>
      </w:r>
      <w:r w:rsidR="00B363BD">
        <w:t>ere</w:t>
      </w:r>
    </w:p>
    <w:p w14:paraId="5EE3D61D" w14:textId="77777777" w:rsidR="00B363BD" w:rsidRDefault="00B363BD" w:rsidP="003F5074">
      <w:pPr>
        <w:spacing w:line="480" w:lineRule="auto"/>
        <w:jc w:val="center"/>
      </w:pPr>
      <w:r>
        <w:t>-----------------------------------------</w:t>
      </w:r>
    </w:p>
    <w:p w14:paraId="5EE3D61F" w14:textId="53449A20" w:rsidR="00E03C2E" w:rsidRPr="00CE5C3E" w:rsidRDefault="00AE589D" w:rsidP="00DA3B3B">
      <w:pPr>
        <w:spacing w:line="480" w:lineRule="auto"/>
        <w:rPr>
          <w:b/>
        </w:rPr>
      </w:pPr>
      <w:r>
        <w:rPr>
          <w:b/>
        </w:rPr>
        <w:t xml:space="preserve">4.1 </w:t>
      </w:r>
      <w:r w:rsidR="00E03C2E">
        <w:rPr>
          <w:b/>
        </w:rPr>
        <w:t>Export Channel Choice Results</w:t>
      </w:r>
    </w:p>
    <w:p w14:paraId="5EE3D620" w14:textId="7CA60C89" w:rsidR="00D722A8" w:rsidRDefault="00E03C2E" w:rsidP="00E94C36">
      <w:pPr>
        <w:spacing w:line="480" w:lineRule="auto"/>
        <w:ind w:firstLine="567"/>
      </w:pPr>
      <w:r>
        <w:t xml:space="preserve">Since our dependent variable, export channel, is a binary variable we used </w:t>
      </w:r>
      <w:r w:rsidR="003C7F07" w:rsidRPr="005A1E2C">
        <w:t>binomial</w:t>
      </w:r>
      <w:r w:rsidR="003C7F07">
        <w:t xml:space="preserve"> </w:t>
      </w:r>
      <w:r>
        <w:t xml:space="preserve">Logit regression analysis to test our hypotheses. Table 2 reports the </w:t>
      </w:r>
      <w:r w:rsidR="0057172B">
        <w:t xml:space="preserve">results of our </w:t>
      </w:r>
      <w:r>
        <w:t xml:space="preserve">tests. Model 1 is our base model and </w:t>
      </w:r>
      <w:r w:rsidR="00900E85">
        <w:t>incorporated</w:t>
      </w:r>
      <w:r>
        <w:t xml:space="preserve"> </w:t>
      </w:r>
      <w:r w:rsidR="00C2040D">
        <w:t xml:space="preserve">all the transaction cost variables plus other </w:t>
      </w:r>
      <w:r>
        <w:lastRenderedPageBreak/>
        <w:t xml:space="preserve">control variables. Model 1 is significant (p&lt;0.01). </w:t>
      </w:r>
      <w:r w:rsidR="00D722A8" w:rsidRPr="005A1E2C">
        <w:t xml:space="preserve">As in previous TCE </w:t>
      </w:r>
      <w:r w:rsidR="00082B49">
        <w:t xml:space="preserve">export </w:t>
      </w:r>
      <w:r w:rsidR="00D722A8" w:rsidRPr="005A1E2C">
        <w:t>studies (</w:t>
      </w:r>
      <w:r w:rsidR="00A17F7D" w:rsidRPr="005A1E2C">
        <w:t>Anderson &amp; Coughlan, 1987; Klein et al., 1990</w:t>
      </w:r>
      <w:r w:rsidR="00D722A8" w:rsidRPr="005A1E2C">
        <w:t xml:space="preserve">), we find that the </w:t>
      </w:r>
      <w:r w:rsidR="00C2040D" w:rsidRPr="005A1E2C">
        <w:t xml:space="preserve">TCE variables and </w:t>
      </w:r>
      <w:r w:rsidR="00D722A8" w:rsidRPr="005A1E2C">
        <w:t>controls explain a large portion (21%) of the variance in the choice of export channel.</w:t>
      </w:r>
      <w:r w:rsidR="00D722A8">
        <w:t xml:space="preserve"> </w:t>
      </w:r>
      <w:r>
        <w:t xml:space="preserve">Number of countries (p&lt;0.05), NACE 32 (p&lt;0.05), and Asset specificity (R&amp;D intensity) (p&lt;0.10) are significantly related to the use of </w:t>
      </w:r>
      <w:r w:rsidR="00900E85">
        <w:t>cooperative</w:t>
      </w:r>
      <w:r>
        <w:t xml:space="preserve"> channels while Nationality (p&lt;0.01), Export channel experience (p&lt;0.01), NACE 22 (p&lt;0.10) and Frequency (p&lt;0.05) are related to the use of hierarchical channels.</w:t>
      </w:r>
    </w:p>
    <w:p w14:paraId="5EE3D621" w14:textId="708B97DE" w:rsidR="00E56BF2" w:rsidRPr="00E56BF2" w:rsidRDefault="00E03C2E" w:rsidP="00E94C36">
      <w:pPr>
        <w:spacing w:line="480" w:lineRule="auto"/>
        <w:ind w:firstLine="567"/>
        <w:rPr>
          <w:rFonts w:eastAsiaTheme="minorHAnsi"/>
          <w:b/>
          <w:lang w:val="en-GB" w:eastAsia="en-US"/>
        </w:rPr>
      </w:pPr>
      <w:r>
        <w:t>In Model 2 we added our primary independent variable</w:t>
      </w:r>
      <w:r w:rsidR="00C03C20">
        <w:t>:</w:t>
      </w:r>
      <w:r>
        <w:t xml:space="preserve"> </w:t>
      </w:r>
      <w:r w:rsidR="00900E85">
        <w:t>EO</w:t>
      </w:r>
      <w:r>
        <w:t xml:space="preserve">. </w:t>
      </w:r>
      <w:r w:rsidR="00A17F7D">
        <w:t>This m</w:t>
      </w:r>
      <w:r>
        <w:t>odel is significant (p&lt;0.01).</w:t>
      </w:r>
      <w:r w:rsidR="00D722A8">
        <w:t xml:space="preserve"> </w:t>
      </w:r>
      <w:r w:rsidRPr="005A1E2C">
        <w:t>Model 2</w:t>
      </w:r>
      <w:r w:rsidR="00D722A8" w:rsidRPr="005A1E2C">
        <w:t>, which includes EO</w:t>
      </w:r>
      <w:r w:rsidR="00FE4C7D" w:rsidRPr="005A1E2C">
        <w:t>, the TCE variables and other controls</w:t>
      </w:r>
      <w:r w:rsidR="00D722A8" w:rsidRPr="005A1E2C">
        <w:t>,</w:t>
      </w:r>
      <w:r w:rsidRPr="005A1E2C">
        <w:t xml:space="preserve"> explains </w:t>
      </w:r>
      <w:r w:rsidR="00D722A8" w:rsidRPr="005A1E2C">
        <w:t>about 23 percent of the variance in our dependent variable, a</w:t>
      </w:r>
      <w:r w:rsidR="00D722A8" w:rsidRPr="005A1E2C">
        <w:rPr>
          <w:rFonts w:eastAsiaTheme="minorHAnsi"/>
          <w:lang w:val="en-GB" w:eastAsia="en-US"/>
        </w:rPr>
        <w:t xml:space="preserve"> significant </w:t>
      </w:r>
      <w:r w:rsidR="00A17F7D" w:rsidRPr="005A1E2C">
        <w:t>(p&lt;0.05) in</w:t>
      </w:r>
      <w:r w:rsidR="00D722A8" w:rsidRPr="005A1E2C">
        <w:rPr>
          <w:rFonts w:eastAsiaTheme="minorHAnsi"/>
          <w:lang w:val="en-GB" w:eastAsia="en-US"/>
        </w:rPr>
        <w:t xml:space="preserve">crease in explained variance over </w:t>
      </w:r>
      <w:r w:rsidR="00A17F7D" w:rsidRPr="005A1E2C">
        <w:rPr>
          <w:rFonts w:eastAsiaTheme="minorHAnsi"/>
          <w:lang w:val="en-GB" w:eastAsia="en-US"/>
        </w:rPr>
        <w:t xml:space="preserve">Model 1, </w:t>
      </w:r>
      <w:r w:rsidR="00D722A8" w:rsidRPr="005A1E2C">
        <w:rPr>
          <w:rFonts w:eastAsiaTheme="minorHAnsi"/>
          <w:lang w:val="en-GB" w:eastAsia="en-US"/>
        </w:rPr>
        <w:t xml:space="preserve">the TCE </w:t>
      </w:r>
      <w:r w:rsidR="00FE4C7D" w:rsidRPr="005A1E2C">
        <w:rPr>
          <w:rFonts w:eastAsiaTheme="minorHAnsi"/>
          <w:lang w:val="en-GB" w:eastAsia="en-US"/>
        </w:rPr>
        <w:t xml:space="preserve">and controls </w:t>
      </w:r>
      <w:r w:rsidR="00D722A8" w:rsidRPr="005A1E2C">
        <w:rPr>
          <w:rFonts w:eastAsiaTheme="minorHAnsi"/>
          <w:lang w:val="en-GB" w:eastAsia="en-US"/>
        </w:rPr>
        <w:t>model</w:t>
      </w:r>
      <w:r w:rsidRPr="005A1E2C">
        <w:t>.</w:t>
      </w:r>
      <w:r>
        <w:t xml:space="preserve"> In addition, </w:t>
      </w:r>
      <w:r w:rsidR="005A1F03">
        <w:t xml:space="preserve">EO is </w:t>
      </w:r>
      <w:r>
        <w:t>significantly related to export channel (</w:t>
      </w:r>
      <w:r w:rsidR="00043983" w:rsidRPr="00B165C7">
        <w:t>p=0.046</w:t>
      </w:r>
      <w:r>
        <w:t xml:space="preserve">); firms with </w:t>
      </w:r>
      <w:r w:rsidR="0057172B">
        <w:t>greater</w:t>
      </w:r>
      <w:r>
        <w:t xml:space="preserve"> </w:t>
      </w:r>
      <w:r w:rsidR="005A1F03">
        <w:t>EO</w:t>
      </w:r>
      <w:r>
        <w:t xml:space="preserve"> tend to </w:t>
      </w:r>
      <w:r w:rsidR="00A17F7D">
        <w:t>use</w:t>
      </w:r>
      <w:r>
        <w:t xml:space="preserve"> </w:t>
      </w:r>
      <w:r w:rsidR="00A42E44">
        <w:t>cooperative</w:t>
      </w:r>
      <w:r>
        <w:t xml:space="preserve"> channels of exporting, </w:t>
      </w:r>
      <w:r w:rsidRPr="001B57EE">
        <w:t xml:space="preserve">as </w:t>
      </w:r>
      <w:r>
        <w:t>suggested</w:t>
      </w:r>
      <w:r w:rsidRPr="001B57EE">
        <w:t xml:space="preserve"> in hypothesis </w:t>
      </w:r>
      <w:r>
        <w:t xml:space="preserve">1. </w:t>
      </w:r>
    </w:p>
    <w:p w14:paraId="5EE3D622" w14:textId="2E8506A6" w:rsidR="00E03C2E" w:rsidRDefault="00E03C2E" w:rsidP="00E94C36">
      <w:pPr>
        <w:spacing w:line="480" w:lineRule="auto"/>
        <w:ind w:firstLine="567"/>
      </w:pPr>
      <w:r w:rsidRPr="006A78DB">
        <w:t xml:space="preserve">Next we examined the interaction between the three measures of institutional distance and </w:t>
      </w:r>
      <w:r w:rsidR="005A1F03">
        <w:t>EO</w:t>
      </w:r>
      <w:r w:rsidRPr="006A78DB">
        <w:t>.</w:t>
      </w:r>
      <w:r>
        <w:t xml:space="preserve"> In Model</w:t>
      </w:r>
      <w:r w:rsidR="00D968A1">
        <w:t>s</w:t>
      </w:r>
      <w:r>
        <w:t xml:space="preserve"> 3, 4, and 5 (Table 2) we added </w:t>
      </w:r>
      <w:r w:rsidRPr="006A78DB">
        <w:t>Regulative distance</w:t>
      </w:r>
      <w:r>
        <w:t xml:space="preserve">, </w:t>
      </w:r>
      <w:r w:rsidRPr="00F96B2E">
        <w:t xml:space="preserve">Normative </w:t>
      </w:r>
      <w:r>
        <w:t>d</w:t>
      </w:r>
      <w:r w:rsidRPr="00F96B2E">
        <w:t>istance</w:t>
      </w:r>
      <w:r>
        <w:t xml:space="preserve">, and </w:t>
      </w:r>
      <w:r w:rsidRPr="00F96B2E">
        <w:t>C</w:t>
      </w:r>
      <w:r w:rsidR="0057172B">
        <w:t>ognitive</w:t>
      </w:r>
      <w:r w:rsidRPr="00F96B2E">
        <w:t xml:space="preserve"> distance</w:t>
      </w:r>
      <w:r>
        <w:t xml:space="preserve"> separately while Model 6 includes all interactions between </w:t>
      </w:r>
      <w:r w:rsidR="00A361BF">
        <w:t xml:space="preserve">EO </w:t>
      </w:r>
      <w:r>
        <w:t xml:space="preserve">and the three measures of institutional distance. We found that Model 3 </w:t>
      </w:r>
      <w:r w:rsidR="00AC286F">
        <w:t>significantly increases</w:t>
      </w:r>
      <w:r>
        <w:t xml:space="preserve"> the explanatory power over Model 2 (p&lt;0.01) and the interaction variable Regulative Distance/EO is significantly related to export channel (</w:t>
      </w:r>
      <w:r w:rsidR="00394D4A" w:rsidRPr="00B165C7">
        <w:t>p=0.050</w:t>
      </w:r>
      <w:r>
        <w:t xml:space="preserve">). Model 4 also </w:t>
      </w:r>
      <w:r w:rsidR="00216F9C">
        <w:t>significantly increases</w:t>
      </w:r>
      <w:r>
        <w:t xml:space="preserve"> the explanatory power over Model 2 (p&lt;0.10) and the interaction variable Normative Distance/EO is significantly related to export channel (</w:t>
      </w:r>
      <w:r w:rsidR="00394D4A" w:rsidRPr="00B165C7">
        <w:t>p=0.095</w:t>
      </w:r>
      <w:r>
        <w:t xml:space="preserve">). Model 5 does not </w:t>
      </w:r>
      <w:r w:rsidR="00216F9C">
        <w:t>significantly increase</w:t>
      </w:r>
      <w:r>
        <w:t xml:space="preserve"> the explanatory power over Model 2 and the interaction variable C</w:t>
      </w:r>
      <w:r w:rsidR="0057172B">
        <w:t>ognitive</w:t>
      </w:r>
      <w:r>
        <w:t xml:space="preserve"> Distance/EO is not significantly related to export channel</w:t>
      </w:r>
      <w:r w:rsidR="0056246E">
        <w:t xml:space="preserve"> (</w:t>
      </w:r>
      <w:r w:rsidR="00394D4A" w:rsidRPr="00B165C7">
        <w:t>p=0.400</w:t>
      </w:r>
      <w:r w:rsidR="00D04592">
        <w:t>)</w:t>
      </w:r>
      <w:r>
        <w:t xml:space="preserve">. </w:t>
      </w:r>
      <w:r w:rsidR="00D968A1">
        <w:t>O</w:t>
      </w:r>
      <w:r>
        <w:t xml:space="preserve">ur </w:t>
      </w:r>
      <w:r w:rsidR="00D968A1">
        <w:t>final</w:t>
      </w:r>
      <w:r>
        <w:t xml:space="preserve"> model (Model 6) </w:t>
      </w:r>
      <w:r w:rsidR="0060489A">
        <w:t>significantly increases</w:t>
      </w:r>
      <w:r>
        <w:t xml:space="preserve"> the explanatory power over </w:t>
      </w:r>
      <w:r w:rsidRPr="00CF3351">
        <w:t>Model 2 (p&lt;0.0</w:t>
      </w:r>
      <w:r>
        <w:t>1</w:t>
      </w:r>
      <w:r w:rsidRPr="00CF3351">
        <w:t>) and explains</w:t>
      </w:r>
      <w:r>
        <w:t xml:space="preserve"> about 28 percent of </w:t>
      </w:r>
      <w:r w:rsidR="00CC1793">
        <w:t xml:space="preserve">the </w:t>
      </w:r>
      <w:r>
        <w:t xml:space="preserve">variance in our dependent variable, yet due to </w:t>
      </w:r>
      <w:proofErr w:type="spellStart"/>
      <w:r>
        <w:t>colinearity</w:t>
      </w:r>
      <w:proofErr w:type="spellEnd"/>
      <w:r>
        <w:t xml:space="preserve"> </w:t>
      </w:r>
      <w:r>
        <w:lastRenderedPageBreak/>
        <w:t xml:space="preserve">issues the significance </w:t>
      </w:r>
      <w:r w:rsidR="0057172B">
        <w:t xml:space="preserve">of individual items </w:t>
      </w:r>
      <w:r>
        <w:t xml:space="preserve">is not the same as in the </w:t>
      </w:r>
      <w:r w:rsidR="0057172B">
        <w:t>separate</w:t>
      </w:r>
      <w:r>
        <w:t xml:space="preserve"> regression models. </w:t>
      </w:r>
    </w:p>
    <w:p w14:paraId="5EE3D623" w14:textId="77777777" w:rsidR="00B363BD" w:rsidRDefault="00B363BD" w:rsidP="00CD2D84">
      <w:pPr>
        <w:jc w:val="center"/>
      </w:pPr>
      <w:r>
        <w:t>------------------------------------------</w:t>
      </w:r>
    </w:p>
    <w:p w14:paraId="5EE3D624" w14:textId="77777777" w:rsidR="00E03C2E" w:rsidRDefault="00E03C2E" w:rsidP="00CD2D84">
      <w:pPr>
        <w:jc w:val="center"/>
      </w:pPr>
      <w:r>
        <w:t>In</w:t>
      </w:r>
      <w:r w:rsidR="00B363BD">
        <w:t>sert Figures 1 and 2 about here</w:t>
      </w:r>
    </w:p>
    <w:p w14:paraId="5EE3D625" w14:textId="77777777" w:rsidR="00B363BD" w:rsidRDefault="00B363BD" w:rsidP="005E5FC2">
      <w:pPr>
        <w:spacing w:line="480" w:lineRule="auto"/>
        <w:jc w:val="center"/>
      </w:pPr>
      <w:r>
        <w:t>------------------------------------------</w:t>
      </w:r>
    </w:p>
    <w:p w14:paraId="5EE3D626" w14:textId="2EF3A559" w:rsidR="00967033" w:rsidRPr="005A1E2C" w:rsidRDefault="00E03C2E" w:rsidP="00967033">
      <w:pPr>
        <w:spacing w:line="480" w:lineRule="auto"/>
        <w:ind w:right="849" w:firstLine="720"/>
        <w:jc w:val="both"/>
        <w:rPr>
          <w:rFonts w:eastAsiaTheme="minorHAnsi"/>
          <w:lang w:val="en-GB" w:eastAsia="en-US"/>
        </w:rPr>
      </w:pPr>
      <w:r w:rsidRPr="009C145E">
        <w:t xml:space="preserve">To aid in interpreting our significant interactions we plotted them both (see Figures </w:t>
      </w:r>
      <w:r w:rsidR="00DD3336">
        <w:t>2</w:t>
      </w:r>
      <w:r w:rsidRPr="009C145E">
        <w:t xml:space="preserve"> and </w:t>
      </w:r>
      <w:r w:rsidR="00DD3336">
        <w:t>3</w:t>
      </w:r>
      <w:r w:rsidRPr="009C145E">
        <w:t xml:space="preserve">). </w:t>
      </w:r>
      <w:r w:rsidR="00967033" w:rsidRPr="005A1E2C">
        <w:t xml:space="preserve">Because we are dealing with a limited dependent variable </w:t>
      </w:r>
      <w:r w:rsidR="00967033" w:rsidRPr="005A1E2C">
        <w:rPr>
          <w:rFonts w:eastAsiaTheme="minorHAnsi"/>
          <w:lang w:val="en-GB" w:eastAsia="en-US"/>
        </w:rPr>
        <w:t xml:space="preserve">we followed the advice of </w:t>
      </w:r>
      <w:r w:rsidR="00967033" w:rsidRPr="005A1E2C">
        <w:t>Wiersema and Bowen (2009) and others (</w:t>
      </w:r>
      <w:r w:rsidR="00967033" w:rsidRPr="005A1E2C">
        <w:rPr>
          <w:rFonts w:eastAsiaTheme="minorHAnsi"/>
          <w:lang w:val="en-GB" w:eastAsia="en-US"/>
        </w:rPr>
        <w:t xml:space="preserve">Ai &amp; Norton, 2003; </w:t>
      </w:r>
      <w:proofErr w:type="spellStart"/>
      <w:r w:rsidR="00967033" w:rsidRPr="005A1E2C">
        <w:rPr>
          <w:rFonts w:eastAsiaTheme="minorHAnsi"/>
          <w:lang w:val="en-GB" w:eastAsia="en-US"/>
        </w:rPr>
        <w:t>Huett</w:t>
      </w:r>
      <w:proofErr w:type="spellEnd"/>
      <w:r w:rsidR="00967033" w:rsidRPr="005A1E2C">
        <w:rPr>
          <w:rFonts w:eastAsiaTheme="minorHAnsi"/>
          <w:lang w:val="en-GB" w:eastAsia="en-US"/>
        </w:rPr>
        <w:t xml:space="preserve"> et al., 2014) as a basis for developing our figures. For both figures </w:t>
      </w:r>
      <w:r w:rsidR="00492FEC">
        <w:rPr>
          <w:rFonts w:eastAsiaTheme="minorHAnsi"/>
          <w:lang w:val="en-GB" w:eastAsia="en-US"/>
        </w:rPr>
        <w:t>2</w:t>
      </w:r>
      <w:r w:rsidR="00967033" w:rsidRPr="005A1E2C">
        <w:rPr>
          <w:rFonts w:eastAsiaTheme="minorHAnsi"/>
          <w:lang w:val="en-GB" w:eastAsia="en-US"/>
        </w:rPr>
        <w:t xml:space="preserve"> and </w:t>
      </w:r>
      <w:r w:rsidR="00492FEC">
        <w:rPr>
          <w:rFonts w:eastAsiaTheme="minorHAnsi"/>
          <w:lang w:val="en-GB" w:eastAsia="en-US"/>
        </w:rPr>
        <w:t>3</w:t>
      </w:r>
      <w:r w:rsidR="00967033" w:rsidRPr="005A1E2C">
        <w:rPr>
          <w:rFonts w:eastAsiaTheme="minorHAnsi"/>
          <w:lang w:val="en-GB" w:eastAsia="en-US"/>
        </w:rPr>
        <w:t>, the x-axis shows low to high values of EO (</w:t>
      </w:r>
      <w:proofErr w:type="spellStart"/>
      <w:r w:rsidR="00967033" w:rsidRPr="005A1E2C">
        <w:rPr>
          <w:rFonts w:eastAsiaTheme="minorHAnsi"/>
          <w:lang w:val="en-GB" w:eastAsia="en-US"/>
        </w:rPr>
        <w:t>centered</w:t>
      </w:r>
      <w:proofErr w:type="spellEnd"/>
      <w:r w:rsidR="00967033" w:rsidRPr="005A1E2C">
        <w:rPr>
          <w:rFonts w:eastAsiaTheme="minorHAnsi"/>
          <w:lang w:val="en-GB" w:eastAsia="en-US"/>
        </w:rPr>
        <w:t xml:space="preserve"> around the mean); the y-axis displays the probability of choosing the export channel (coded 1 for cooperative export channels and 0 for hierarchical channels). The grey dotted line (labelled Medium in both figures) represents the direct effect of the independent variable (EO) as the ‘medium’ refers to the moderator variable (regulative distance in figure </w:t>
      </w:r>
      <w:r w:rsidR="00492FEC">
        <w:rPr>
          <w:rFonts w:eastAsiaTheme="minorHAnsi"/>
          <w:lang w:val="en-GB" w:eastAsia="en-US"/>
        </w:rPr>
        <w:t>2</w:t>
      </w:r>
      <w:r w:rsidR="00967033" w:rsidRPr="005A1E2C">
        <w:rPr>
          <w:rFonts w:eastAsiaTheme="minorHAnsi"/>
          <w:lang w:val="en-GB" w:eastAsia="en-US"/>
        </w:rPr>
        <w:t xml:space="preserve"> and normative distance in figure </w:t>
      </w:r>
      <w:r w:rsidR="00492FEC">
        <w:rPr>
          <w:rFonts w:eastAsiaTheme="minorHAnsi"/>
          <w:lang w:val="en-GB" w:eastAsia="en-US"/>
        </w:rPr>
        <w:t>3</w:t>
      </w:r>
      <w:r w:rsidR="00967033" w:rsidRPr="005A1E2C">
        <w:rPr>
          <w:rFonts w:eastAsiaTheme="minorHAnsi"/>
          <w:lang w:val="en-GB" w:eastAsia="en-US"/>
        </w:rPr>
        <w:t xml:space="preserve">) having a value of zero </w:t>
      </w:r>
      <w:r w:rsidR="00967033" w:rsidRPr="005A1E2C">
        <w:rPr>
          <w:rFonts w:eastAsiaTheme="minorHAnsi"/>
          <w:lang w:eastAsia="en-US"/>
        </w:rPr>
        <w:t xml:space="preserve">(i.e. equal to their means). </w:t>
      </w:r>
      <w:r w:rsidR="00967033" w:rsidRPr="005A1E2C">
        <w:rPr>
          <w:rFonts w:eastAsiaTheme="minorHAnsi"/>
          <w:lang w:val="en-GB" w:eastAsia="en-US"/>
        </w:rPr>
        <w:t xml:space="preserve">Thus in figures </w:t>
      </w:r>
      <w:r w:rsidR="00492FEC">
        <w:rPr>
          <w:rFonts w:eastAsiaTheme="minorHAnsi"/>
          <w:lang w:val="en-GB" w:eastAsia="en-US"/>
        </w:rPr>
        <w:t>2</w:t>
      </w:r>
      <w:r w:rsidR="00967033" w:rsidRPr="005A1E2C">
        <w:rPr>
          <w:rFonts w:eastAsiaTheme="minorHAnsi"/>
          <w:lang w:val="en-GB" w:eastAsia="en-US"/>
        </w:rPr>
        <w:t xml:space="preserve"> and </w:t>
      </w:r>
      <w:r w:rsidR="00492FEC">
        <w:rPr>
          <w:rFonts w:eastAsiaTheme="minorHAnsi"/>
          <w:lang w:val="en-GB" w:eastAsia="en-US"/>
        </w:rPr>
        <w:t>3</w:t>
      </w:r>
      <w:r w:rsidR="00967033" w:rsidRPr="005A1E2C">
        <w:rPr>
          <w:rFonts w:eastAsiaTheme="minorHAnsi"/>
          <w:lang w:val="en-GB" w:eastAsia="en-US"/>
        </w:rPr>
        <w:t xml:space="preserve"> we find that with increasing degrees of EO the probability of choosing export channel 1 (a cooperative export channel) increases.</w:t>
      </w:r>
    </w:p>
    <w:p w14:paraId="5EE3D627" w14:textId="5E2DD096" w:rsidR="00967033" w:rsidRPr="005A1E2C" w:rsidRDefault="00967033" w:rsidP="00967033">
      <w:pPr>
        <w:spacing w:line="480" w:lineRule="auto"/>
        <w:ind w:right="849" w:firstLine="720"/>
        <w:jc w:val="both"/>
        <w:rPr>
          <w:rFonts w:eastAsiaTheme="minorHAnsi"/>
          <w:lang w:val="en-GB" w:eastAsia="en-US"/>
        </w:rPr>
      </w:pPr>
      <w:r w:rsidRPr="005A1E2C">
        <w:rPr>
          <w:rFonts w:eastAsiaTheme="minorHAnsi"/>
          <w:lang w:val="en-GB" w:eastAsia="en-US"/>
        </w:rPr>
        <w:t xml:space="preserve">The other two lines in these figures represent the effects at low and high values of the moderator variable (one standard deviation below/above the mean). Figure </w:t>
      </w:r>
      <w:r w:rsidR="00EA40F9">
        <w:rPr>
          <w:rFonts w:eastAsiaTheme="minorHAnsi"/>
          <w:lang w:val="en-GB" w:eastAsia="en-US"/>
        </w:rPr>
        <w:t>2</w:t>
      </w:r>
      <w:r w:rsidRPr="005A1E2C">
        <w:rPr>
          <w:rFonts w:eastAsiaTheme="minorHAnsi"/>
          <w:lang w:val="en-GB" w:eastAsia="en-US"/>
        </w:rPr>
        <w:t xml:space="preserve"> explores the interaction of regulative distance on the EO-export channel relation. From figure </w:t>
      </w:r>
      <w:r w:rsidR="00EA40F9">
        <w:rPr>
          <w:rFonts w:eastAsiaTheme="minorHAnsi"/>
          <w:lang w:val="en-GB" w:eastAsia="en-US"/>
        </w:rPr>
        <w:t>2</w:t>
      </w:r>
      <w:r w:rsidRPr="005A1E2C">
        <w:rPr>
          <w:rFonts w:eastAsiaTheme="minorHAnsi"/>
          <w:lang w:val="en-GB" w:eastAsia="en-US"/>
        </w:rPr>
        <w:t xml:space="preserve"> we can see that for firms having higher EO the probability of choosing a cooperative export channel decreases with higher values of regulative distance (similar or better regulative environment in the host market compared to the home market). But when the regulative distance is low (worse regulative environment </w:t>
      </w:r>
      <w:r w:rsidR="00A721BD" w:rsidRPr="005A1E2C">
        <w:rPr>
          <w:rFonts w:eastAsiaTheme="minorHAnsi"/>
          <w:lang w:val="en-GB" w:eastAsia="en-US"/>
        </w:rPr>
        <w:t>in</w:t>
      </w:r>
      <w:r w:rsidRPr="005A1E2C">
        <w:rPr>
          <w:rFonts w:eastAsiaTheme="minorHAnsi"/>
          <w:lang w:val="en-GB" w:eastAsia="en-US"/>
        </w:rPr>
        <w:t xml:space="preserve"> the host market compared to the home market), the probability of choosing a cooperative export channel increases for these SMEs. This provides support for hypothesis 2.</w:t>
      </w:r>
    </w:p>
    <w:p w14:paraId="5EE3D628" w14:textId="2E05B37A" w:rsidR="00E03C2E" w:rsidRPr="00967033" w:rsidRDefault="00967033" w:rsidP="00967033">
      <w:pPr>
        <w:spacing w:line="480" w:lineRule="auto"/>
        <w:ind w:right="849" w:firstLine="720"/>
        <w:jc w:val="both"/>
        <w:rPr>
          <w:rFonts w:eastAsiaTheme="minorHAnsi"/>
          <w:lang w:val="en-GB" w:eastAsia="en-US"/>
        </w:rPr>
      </w:pPr>
      <w:r w:rsidRPr="005A1E2C">
        <w:rPr>
          <w:rFonts w:eastAsiaTheme="minorHAnsi"/>
          <w:lang w:val="en-GB" w:eastAsia="en-US"/>
        </w:rPr>
        <w:lastRenderedPageBreak/>
        <w:t xml:space="preserve">Figure </w:t>
      </w:r>
      <w:r w:rsidR="00EA40F9">
        <w:rPr>
          <w:rFonts w:eastAsiaTheme="minorHAnsi"/>
          <w:lang w:val="en-GB" w:eastAsia="en-US"/>
        </w:rPr>
        <w:t>3</w:t>
      </w:r>
      <w:r w:rsidRPr="005A1E2C">
        <w:rPr>
          <w:rFonts w:eastAsiaTheme="minorHAnsi"/>
          <w:lang w:val="en-GB" w:eastAsia="en-US"/>
        </w:rPr>
        <w:t xml:space="preserve"> looks at the interaction of normative distance on the EO–export channel relation. This figure indicates that for firms with higher EO the probability of choosing a cooperative export channel increases for higher values of normative distance (when the normative environment of the host market is more distant </w:t>
      </w:r>
      <w:r w:rsidR="00541469" w:rsidRPr="005A1E2C">
        <w:rPr>
          <w:rFonts w:eastAsiaTheme="minorHAnsi"/>
          <w:lang w:val="en-GB" w:eastAsia="en-US"/>
        </w:rPr>
        <w:t>from</w:t>
      </w:r>
      <w:r w:rsidRPr="005A1E2C">
        <w:rPr>
          <w:rFonts w:eastAsiaTheme="minorHAnsi"/>
          <w:lang w:val="en-GB" w:eastAsia="en-US"/>
        </w:rPr>
        <w:t xml:space="preserve"> the home market). But when normative distance is low (the normative environment of the host market is similar to the home market), the probability of choosing a cooperative export channel decreases for these SMEs. Thus providing support for hypothesis 3a. </w:t>
      </w:r>
      <w:r w:rsidR="00E03C2E" w:rsidRPr="005A1E2C">
        <w:t xml:space="preserve">However, </w:t>
      </w:r>
      <w:r w:rsidR="00F93FDA" w:rsidRPr="005A1E2C">
        <w:t xml:space="preserve">since </w:t>
      </w:r>
      <w:r w:rsidR="00E03C2E" w:rsidRPr="005A1E2C">
        <w:t xml:space="preserve">the </w:t>
      </w:r>
      <w:r w:rsidR="00A17F7D" w:rsidRPr="005A1E2C">
        <w:t xml:space="preserve">result of the </w:t>
      </w:r>
      <w:r w:rsidR="00E03C2E" w:rsidRPr="005A1E2C">
        <w:t xml:space="preserve">analysis </w:t>
      </w:r>
      <w:r w:rsidR="00F93FDA" w:rsidRPr="005A1E2C">
        <w:t>of</w:t>
      </w:r>
      <w:r w:rsidR="00E03C2E" w:rsidRPr="005A1E2C">
        <w:t xml:space="preserve"> cognitive distance was not significant</w:t>
      </w:r>
      <w:r w:rsidR="00F93FDA" w:rsidRPr="005A1E2C">
        <w:t xml:space="preserve">, </w:t>
      </w:r>
      <w:r w:rsidR="00E03C2E" w:rsidRPr="005A1E2C">
        <w:t xml:space="preserve">we have </w:t>
      </w:r>
      <w:r w:rsidR="00A26A6F" w:rsidRPr="005A1E2C">
        <w:t xml:space="preserve">no </w:t>
      </w:r>
      <w:r w:rsidR="00E03C2E" w:rsidRPr="005A1E2C">
        <w:t>support for hypothesis 3</w:t>
      </w:r>
      <w:r w:rsidR="00A26A6F" w:rsidRPr="005A1E2C">
        <w:t>b</w:t>
      </w:r>
      <w:r w:rsidR="00E03C2E" w:rsidRPr="005A1E2C">
        <w:t>.</w:t>
      </w:r>
    </w:p>
    <w:p w14:paraId="5EE3D629" w14:textId="77777777" w:rsidR="00E03C2E" w:rsidRDefault="00E03C2E" w:rsidP="00250E89">
      <w:pPr>
        <w:spacing w:line="480" w:lineRule="auto"/>
        <w:ind w:firstLine="567"/>
      </w:pPr>
    </w:p>
    <w:p w14:paraId="5EE3D62A" w14:textId="7D11C0A6" w:rsidR="00E03C2E" w:rsidRPr="00CE5C3E" w:rsidRDefault="00AE589D" w:rsidP="00DA3B3B">
      <w:pPr>
        <w:spacing w:line="480" w:lineRule="auto"/>
        <w:rPr>
          <w:b/>
        </w:rPr>
      </w:pPr>
      <w:r>
        <w:rPr>
          <w:b/>
        </w:rPr>
        <w:t xml:space="preserve">4.2 </w:t>
      </w:r>
      <w:r w:rsidR="00E03C2E">
        <w:rPr>
          <w:b/>
        </w:rPr>
        <w:t>Export Performance Results</w:t>
      </w:r>
    </w:p>
    <w:p w14:paraId="5EE3D62B" w14:textId="1C148670" w:rsidR="00E03C2E" w:rsidRDefault="00E03C2E" w:rsidP="00250E89">
      <w:pPr>
        <w:spacing w:line="480" w:lineRule="auto"/>
        <w:ind w:firstLine="567"/>
      </w:pPr>
      <w:r>
        <w:t xml:space="preserve">We developed three models </w:t>
      </w:r>
      <w:r w:rsidR="00F93FDA">
        <w:t>to test</w:t>
      </w:r>
      <w:r>
        <w:t xml:space="preserve"> our performance </w:t>
      </w:r>
      <w:r w:rsidR="00F93FDA">
        <w:t>hypothesis</w:t>
      </w:r>
      <w:r>
        <w:t xml:space="preserve"> (see Table 3). Model 1 in Table 3 is the base model and contains </w:t>
      </w:r>
      <w:r w:rsidR="000662F6">
        <w:t xml:space="preserve">transaction cost and other </w:t>
      </w:r>
      <w:r>
        <w:t xml:space="preserve">control variables, </w:t>
      </w:r>
      <w:r w:rsidR="00E056A2">
        <w:t>an</w:t>
      </w:r>
      <w:r>
        <w:t xml:space="preserve"> inverse Mills ratio variable</w:t>
      </w:r>
      <w:r w:rsidR="00F93FDA">
        <w:t>,</w:t>
      </w:r>
      <w:r>
        <w:t xml:space="preserve"> and our </w:t>
      </w:r>
      <w:r w:rsidRPr="002726C4">
        <w:rPr>
          <w:i/>
        </w:rPr>
        <w:t>Fit-controls</w:t>
      </w:r>
      <w:r>
        <w:t xml:space="preserve"> variable. Fit-controls takes a value of </w:t>
      </w:r>
      <w:r w:rsidR="000662F6">
        <w:t>one</w:t>
      </w:r>
      <w:r>
        <w:t xml:space="preserve"> if the predicted </w:t>
      </w:r>
      <w:r w:rsidR="00CD7A31">
        <w:t xml:space="preserve">(theoretical) </w:t>
      </w:r>
      <w:r>
        <w:t xml:space="preserve">export channel </w:t>
      </w:r>
      <w:r w:rsidR="000662F6">
        <w:t>(</w:t>
      </w:r>
      <w:r>
        <w:t>Model 1 in Table 2</w:t>
      </w:r>
      <w:r w:rsidR="000662F6">
        <w:t>)</w:t>
      </w:r>
      <w:r>
        <w:t xml:space="preserve"> is the one actually used by the firm; otherwise it takes a value of zero. The results show that Model 1 </w:t>
      </w:r>
      <w:r w:rsidR="000662F6">
        <w:t xml:space="preserve">(Table 3) </w:t>
      </w:r>
      <w:r>
        <w:t xml:space="preserve">is significant (p&lt;0.01), but that our </w:t>
      </w:r>
      <w:r w:rsidRPr="002726C4">
        <w:rPr>
          <w:i/>
        </w:rPr>
        <w:t>Fit-controls</w:t>
      </w:r>
      <w:r>
        <w:t xml:space="preserve"> variable is not significant</w:t>
      </w:r>
      <w:r w:rsidR="00766090">
        <w:t xml:space="preserve"> (</w:t>
      </w:r>
      <w:r w:rsidR="00766090" w:rsidRPr="00DD5748">
        <w:t>p=</w:t>
      </w:r>
      <w:r w:rsidR="00130F93" w:rsidRPr="00DD5748">
        <w:t>0.283</w:t>
      </w:r>
      <w:r w:rsidR="00766090">
        <w:t>)</w:t>
      </w:r>
      <w:r>
        <w:t>.</w:t>
      </w:r>
    </w:p>
    <w:p w14:paraId="5EE3D62C" w14:textId="77777777" w:rsidR="00B363BD" w:rsidRDefault="00B363BD" w:rsidP="00CD2D84">
      <w:pPr>
        <w:jc w:val="center"/>
      </w:pPr>
      <w:r>
        <w:t>---------------------------------</w:t>
      </w:r>
    </w:p>
    <w:p w14:paraId="5EE3D62D" w14:textId="77777777" w:rsidR="00E03C2E" w:rsidRDefault="00B363BD" w:rsidP="00CD2D84">
      <w:pPr>
        <w:jc w:val="center"/>
      </w:pPr>
      <w:r>
        <w:t>Insert Table 3 about here</w:t>
      </w:r>
    </w:p>
    <w:p w14:paraId="5EE3D62E" w14:textId="77777777" w:rsidR="00B363BD" w:rsidRDefault="00B363BD" w:rsidP="00883D86">
      <w:pPr>
        <w:spacing w:line="480" w:lineRule="auto"/>
        <w:jc w:val="center"/>
      </w:pPr>
      <w:r>
        <w:t>---------------------------------</w:t>
      </w:r>
    </w:p>
    <w:p w14:paraId="5EE3D62F" w14:textId="11EF1857" w:rsidR="00E03C2E" w:rsidRDefault="00E03C2E" w:rsidP="00883D86">
      <w:pPr>
        <w:spacing w:line="480" w:lineRule="auto"/>
        <w:ind w:firstLine="567"/>
      </w:pPr>
      <w:r>
        <w:t xml:space="preserve">The second export performance model contains the </w:t>
      </w:r>
      <w:r w:rsidR="00E056A2">
        <w:t xml:space="preserve">TCE and </w:t>
      </w:r>
      <w:r>
        <w:t xml:space="preserve">control variables, a new inverse Mills ratio variable, and our </w:t>
      </w:r>
      <w:r w:rsidRPr="002726C4">
        <w:rPr>
          <w:i/>
        </w:rPr>
        <w:t>Fit-EO</w:t>
      </w:r>
      <w:r>
        <w:t xml:space="preserve"> variable. Fit-EO takes a value of </w:t>
      </w:r>
      <w:r w:rsidR="000662F6">
        <w:t>one</w:t>
      </w:r>
      <w:r>
        <w:t xml:space="preserve"> if the predicted </w:t>
      </w:r>
      <w:r w:rsidR="00CD7A31">
        <w:t xml:space="preserve">(theoretical) </w:t>
      </w:r>
      <w:r>
        <w:t xml:space="preserve">export channel </w:t>
      </w:r>
      <w:r w:rsidR="000662F6">
        <w:t>(</w:t>
      </w:r>
      <w:r>
        <w:t>Model 2 in Table 2</w:t>
      </w:r>
      <w:r w:rsidR="000662F6">
        <w:t>)</w:t>
      </w:r>
      <w:r>
        <w:t xml:space="preserve"> is the one actually used by the firm; otherwise it takes a value of zero. The results indicate that Model 2 </w:t>
      </w:r>
      <w:r w:rsidR="000662F6">
        <w:t xml:space="preserve">(Table 3) </w:t>
      </w:r>
      <w:r>
        <w:t xml:space="preserve">is significant (p&lt;0.01), but our </w:t>
      </w:r>
      <w:r w:rsidRPr="002726C4">
        <w:rPr>
          <w:i/>
        </w:rPr>
        <w:t>Fit-EO</w:t>
      </w:r>
      <w:r>
        <w:t xml:space="preserve"> variable is not significant</w:t>
      </w:r>
      <w:r w:rsidR="00766090">
        <w:t xml:space="preserve"> (</w:t>
      </w:r>
      <w:r w:rsidR="00766090" w:rsidRPr="00DD5748">
        <w:t>p=</w:t>
      </w:r>
      <w:r w:rsidR="004948D8" w:rsidRPr="00DD5748">
        <w:t>0.724</w:t>
      </w:r>
      <w:r w:rsidR="00766090">
        <w:t>)</w:t>
      </w:r>
      <w:r>
        <w:t>.</w:t>
      </w:r>
    </w:p>
    <w:p w14:paraId="5EE3D630" w14:textId="3C771120" w:rsidR="00E03C2E" w:rsidRDefault="00E03C2E" w:rsidP="00F660F0">
      <w:pPr>
        <w:spacing w:line="480" w:lineRule="auto"/>
        <w:ind w:firstLine="567"/>
      </w:pPr>
      <w:r>
        <w:lastRenderedPageBreak/>
        <w:t xml:space="preserve">In Model 3 (Table 3), we included the </w:t>
      </w:r>
      <w:r w:rsidR="00E056A2">
        <w:t xml:space="preserve">TCE and </w:t>
      </w:r>
      <w:r>
        <w:t xml:space="preserve">control variables, a new inverse Mills ratio variable, and the </w:t>
      </w:r>
      <w:r w:rsidRPr="002726C4">
        <w:rPr>
          <w:i/>
        </w:rPr>
        <w:t>Fit-</w:t>
      </w:r>
      <w:r>
        <w:rPr>
          <w:i/>
        </w:rPr>
        <w:t>EO/</w:t>
      </w:r>
      <w:r w:rsidRPr="002726C4">
        <w:rPr>
          <w:i/>
        </w:rPr>
        <w:t>Institutional Distance</w:t>
      </w:r>
      <w:r>
        <w:t xml:space="preserve"> variable. Fit-EO/Institutional Distance takes a value of </w:t>
      </w:r>
      <w:r w:rsidR="000662F6">
        <w:t>one</w:t>
      </w:r>
      <w:r>
        <w:t xml:space="preserve"> if the predicted </w:t>
      </w:r>
      <w:r w:rsidR="00EB3CE4">
        <w:t xml:space="preserve">(theoretical) </w:t>
      </w:r>
      <w:r>
        <w:t xml:space="preserve">export channel </w:t>
      </w:r>
      <w:r w:rsidR="000662F6">
        <w:t>(</w:t>
      </w:r>
      <w:r>
        <w:t>Model 6 in Table 2</w:t>
      </w:r>
      <w:r w:rsidR="000662F6">
        <w:t>)</w:t>
      </w:r>
      <w:r>
        <w:t xml:space="preserve"> is the one actually used by the firm; otherwise it takes a value of zero. Model 3 </w:t>
      </w:r>
      <w:r w:rsidR="000662F6">
        <w:t xml:space="preserve">(Table 3) </w:t>
      </w:r>
      <w:r>
        <w:t xml:space="preserve">is significant (p&lt;0.01) and the variable </w:t>
      </w:r>
      <w:r w:rsidRPr="002726C4">
        <w:rPr>
          <w:i/>
        </w:rPr>
        <w:t>Fit-EO/Institutional Distance</w:t>
      </w:r>
      <w:r>
        <w:t xml:space="preserve"> is significantly (and positively) associated with export performance (</w:t>
      </w:r>
      <w:r w:rsidRPr="00DD5748">
        <w:t>p</w:t>
      </w:r>
      <w:r w:rsidR="00C55CA5" w:rsidRPr="00DD5748">
        <w:t>=</w:t>
      </w:r>
      <w:r w:rsidRPr="00DD5748">
        <w:t>0.0</w:t>
      </w:r>
      <w:r w:rsidR="00C55CA5" w:rsidRPr="00DD5748">
        <w:t>42</w:t>
      </w:r>
      <w:r>
        <w:t xml:space="preserve">). These results provide support for hypothesis 4; </w:t>
      </w:r>
      <w:r w:rsidRPr="006A78DB">
        <w:t>firms that use export channels that</w:t>
      </w:r>
      <w:r>
        <w:t xml:space="preserve"> align</w:t>
      </w:r>
      <w:r w:rsidR="000662F6">
        <w:t xml:space="preserve"> with transaction cost factors as well as </w:t>
      </w:r>
      <w:r w:rsidRPr="006A78DB">
        <w:t xml:space="preserve">the level of </w:t>
      </w:r>
      <w:r w:rsidR="005A1F03">
        <w:t>EO</w:t>
      </w:r>
      <w:r w:rsidRPr="006A78DB">
        <w:t xml:space="preserve">, contingent on the institutional distance between home and </w:t>
      </w:r>
      <w:r>
        <w:t>export</w:t>
      </w:r>
      <w:r w:rsidRPr="006A78DB">
        <w:t xml:space="preserve"> market, on average generate superior performance.</w:t>
      </w:r>
    </w:p>
    <w:p w14:paraId="5EE3D631" w14:textId="10A2C44B" w:rsidR="00E03C2E" w:rsidRDefault="00E03C2E" w:rsidP="00F660F0">
      <w:pPr>
        <w:spacing w:line="480" w:lineRule="auto"/>
        <w:ind w:firstLine="567"/>
      </w:pPr>
      <w:r>
        <w:t>As a further test of this relation, we looked at the economic impact of export channel alignment. Firms that use export channels predicted by Model 3</w:t>
      </w:r>
      <w:r w:rsidR="000662F6">
        <w:t>,</w:t>
      </w:r>
      <w:r>
        <w:t xml:space="preserve"> </w:t>
      </w:r>
      <w:r w:rsidR="000662F6">
        <w:t xml:space="preserve">Table 3 </w:t>
      </w:r>
      <w:r>
        <w:t>(</w:t>
      </w:r>
      <w:r w:rsidR="00E056A2">
        <w:t xml:space="preserve">TCE and </w:t>
      </w:r>
      <w:r>
        <w:t>control variables + EO/Institutional Distance interaction) have an average performance of 13.93 (</w:t>
      </w:r>
      <w:proofErr w:type="spellStart"/>
      <w:r w:rsidR="004B6F67">
        <w:t>s.d.</w:t>
      </w:r>
      <w:proofErr w:type="spellEnd"/>
      <w:r>
        <w:t xml:space="preserve"> = 4.02) while firms that do not choose the predicted export channel have an average performance of 12.57 (</w:t>
      </w:r>
      <w:proofErr w:type="spellStart"/>
      <w:r w:rsidR="004B6F67">
        <w:t>s.d.</w:t>
      </w:r>
      <w:proofErr w:type="spellEnd"/>
      <w:r>
        <w:t xml:space="preserve"> = 4.</w:t>
      </w:r>
      <w:r w:rsidR="007458FE">
        <w:t>30</w:t>
      </w:r>
      <w:r>
        <w:t>). A t-test indicates that these two groups differ significantly (</w:t>
      </w:r>
      <w:r w:rsidRPr="00037A8E">
        <w:t>t</w:t>
      </w:r>
      <w:r>
        <w:t xml:space="preserve"> </w:t>
      </w:r>
      <w:r w:rsidRPr="00037A8E">
        <w:t>=</w:t>
      </w:r>
      <w:r>
        <w:t xml:space="preserve"> </w:t>
      </w:r>
      <w:r w:rsidRPr="00037A8E">
        <w:t>-2.2</w:t>
      </w:r>
      <w:r w:rsidR="007458FE">
        <w:t>9</w:t>
      </w:r>
      <w:r w:rsidRPr="00037A8E">
        <w:t>, p</w:t>
      </w:r>
      <w:r>
        <w:t xml:space="preserve"> </w:t>
      </w:r>
      <w:r w:rsidRPr="00037A8E">
        <w:t>=</w:t>
      </w:r>
      <w:r>
        <w:t xml:space="preserve"> </w:t>
      </w:r>
      <w:r w:rsidRPr="00037A8E">
        <w:t>0.02</w:t>
      </w:r>
      <w:r>
        <w:t xml:space="preserve">), </w:t>
      </w:r>
      <w:r w:rsidR="00DA2B96" w:rsidRPr="0014504F">
        <w:t xml:space="preserve">with </w:t>
      </w:r>
      <w:r w:rsidR="005C42C6" w:rsidRPr="0014504F">
        <w:t>firm</w:t>
      </w:r>
      <w:r w:rsidR="00396BD2" w:rsidRPr="0014504F">
        <w:t>s</w:t>
      </w:r>
      <w:r w:rsidR="005C42C6" w:rsidRPr="0014504F">
        <w:t xml:space="preserve"> using export channels that align with our theory </w:t>
      </w:r>
      <w:r w:rsidR="00214F2A" w:rsidRPr="0014504F">
        <w:t xml:space="preserve">indicating greater </w:t>
      </w:r>
      <w:r w:rsidR="005C42C6" w:rsidRPr="0014504F">
        <w:t>perform</w:t>
      </w:r>
      <w:r w:rsidR="00214F2A" w:rsidRPr="0014504F">
        <w:t>ance</w:t>
      </w:r>
      <w:r w:rsidR="005C42C6" w:rsidRPr="0014504F">
        <w:t xml:space="preserve"> than firms that use misaligned export channels, </w:t>
      </w:r>
      <w:r w:rsidRPr="0014504F">
        <w:t>again providing support for hypothesis 4.</w:t>
      </w:r>
    </w:p>
    <w:p w14:paraId="5EE3D632" w14:textId="77777777" w:rsidR="00A36F67" w:rsidRDefault="00A36F67" w:rsidP="00FE0CAE">
      <w:pPr>
        <w:spacing w:line="480" w:lineRule="auto"/>
        <w:jc w:val="center"/>
        <w:rPr>
          <w:b/>
        </w:rPr>
      </w:pPr>
    </w:p>
    <w:p w14:paraId="5EE3D633" w14:textId="0373478C" w:rsidR="00E03C2E" w:rsidRPr="00FE0CAE" w:rsidRDefault="00AE589D" w:rsidP="00AE589D">
      <w:pPr>
        <w:spacing w:line="480" w:lineRule="auto"/>
        <w:rPr>
          <w:b/>
        </w:rPr>
      </w:pPr>
      <w:r>
        <w:rPr>
          <w:b/>
        </w:rPr>
        <w:t xml:space="preserve">5.0 </w:t>
      </w:r>
      <w:r w:rsidR="00E03C2E" w:rsidRPr="007E4C42">
        <w:rPr>
          <w:b/>
        </w:rPr>
        <w:t>DISCUSSION, LIMITATIONS, AND CONCLUSION</w:t>
      </w:r>
    </w:p>
    <w:p w14:paraId="5EE3D634" w14:textId="2EB73136" w:rsidR="003706D3" w:rsidRDefault="005D5957" w:rsidP="00DB2D42">
      <w:pPr>
        <w:spacing w:line="480" w:lineRule="auto"/>
        <w:ind w:firstLine="567"/>
      </w:pPr>
      <w:r>
        <w:t xml:space="preserve">Exporting </w:t>
      </w:r>
      <w:r w:rsidR="00FD714E">
        <w:t>provide</w:t>
      </w:r>
      <w:r w:rsidR="00B93BE8">
        <w:t>s</w:t>
      </w:r>
      <w:r w:rsidR="00FD714E">
        <w:t xml:space="preserve"> a fruitful area of research </w:t>
      </w:r>
      <w:r w:rsidR="00760FB4">
        <w:t>(</w:t>
      </w:r>
      <w:proofErr w:type="spellStart"/>
      <w:r w:rsidR="00C14921" w:rsidRPr="00C14921">
        <w:t>İpek</w:t>
      </w:r>
      <w:proofErr w:type="spellEnd"/>
      <w:r w:rsidR="00C14921" w:rsidRPr="00C14921">
        <w:t>, 2019</w:t>
      </w:r>
      <w:r w:rsidR="00C14921">
        <w:t>; Knight et al, 2020</w:t>
      </w:r>
      <w:r w:rsidR="00760FB4">
        <w:t xml:space="preserve">) </w:t>
      </w:r>
      <w:r>
        <w:t xml:space="preserve">because </w:t>
      </w:r>
      <w:r w:rsidR="00DB2D42" w:rsidRPr="000701FD">
        <w:t xml:space="preserve">SMEs </w:t>
      </w:r>
      <w:r w:rsidR="00DC2A66">
        <w:t>continue to</w:t>
      </w:r>
      <w:r w:rsidR="00DB2D42" w:rsidRPr="000701FD">
        <w:t xml:space="preserve"> </w:t>
      </w:r>
      <w:r w:rsidR="003D3A31">
        <w:t xml:space="preserve">use exporting as they </w:t>
      </w:r>
      <w:r w:rsidR="00DB2D42" w:rsidRPr="000701FD">
        <w:t>expand abroad (</w:t>
      </w:r>
      <w:r w:rsidR="00420A86">
        <w:t xml:space="preserve">European Commission, 2018; </w:t>
      </w:r>
      <w:r w:rsidR="00DB2D42">
        <w:t>OECD, 2008</w:t>
      </w:r>
      <w:r w:rsidR="00DB2D42" w:rsidRPr="000701FD">
        <w:t xml:space="preserve">) </w:t>
      </w:r>
      <w:r w:rsidR="00A526E6">
        <w:t xml:space="preserve">in an attempt to </w:t>
      </w:r>
      <w:r w:rsidR="00D106DB">
        <w:t xml:space="preserve">increase sales </w:t>
      </w:r>
      <w:r w:rsidR="00D17DB1">
        <w:t xml:space="preserve">and profits </w:t>
      </w:r>
      <w:r w:rsidR="00D106DB">
        <w:t>(</w:t>
      </w:r>
      <w:r w:rsidR="009D58CF">
        <w:t>Paul</w:t>
      </w:r>
      <w:r w:rsidR="00D106DB">
        <w:rPr>
          <w:lang w:eastAsia="zh-CN"/>
        </w:rPr>
        <w:t xml:space="preserve"> et al., </w:t>
      </w:r>
      <w:r w:rsidR="00D106DB" w:rsidRPr="009F0809">
        <w:t>20</w:t>
      </w:r>
      <w:r w:rsidR="009D58CF">
        <w:t>17</w:t>
      </w:r>
      <w:r w:rsidR="00D106DB">
        <w:t>). B</w:t>
      </w:r>
      <w:r w:rsidR="00DB2D42" w:rsidRPr="000701FD">
        <w:t xml:space="preserve">ut </w:t>
      </w:r>
      <w:r w:rsidR="00D106DB">
        <w:t>the</w:t>
      </w:r>
      <w:r w:rsidR="003D3A31">
        <w:t>se firms</w:t>
      </w:r>
      <w:r w:rsidR="00D106DB">
        <w:t xml:space="preserve"> face </w:t>
      </w:r>
      <w:r w:rsidR="00AF5A22" w:rsidRPr="000701FD">
        <w:t>several</w:t>
      </w:r>
      <w:r w:rsidR="00DB2D42" w:rsidRPr="000701FD">
        <w:t xml:space="preserve"> choices about how to structure the export operation</w:t>
      </w:r>
      <w:r w:rsidR="00B43EAF">
        <w:t xml:space="preserve"> and this choice influences export performance (</w:t>
      </w:r>
      <w:proofErr w:type="spellStart"/>
      <w:r w:rsidR="00B43EAF" w:rsidRPr="007C5BE8">
        <w:t>Aulakh</w:t>
      </w:r>
      <w:proofErr w:type="spellEnd"/>
      <w:r w:rsidR="00B43EAF">
        <w:t xml:space="preserve"> &amp; </w:t>
      </w:r>
      <w:proofErr w:type="spellStart"/>
      <w:r w:rsidR="00B43EAF">
        <w:t>Kotabe</w:t>
      </w:r>
      <w:proofErr w:type="spellEnd"/>
      <w:r w:rsidR="00B43EAF">
        <w:t xml:space="preserve">, </w:t>
      </w:r>
      <w:r w:rsidR="00B43EAF" w:rsidRPr="007C5BE8">
        <w:t>1997</w:t>
      </w:r>
      <w:r w:rsidR="00B43EAF">
        <w:t>; He et al., 2013</w:t>
      </w:r>
      <w:r w:rsidR="00537C3E">
        <w:t>;</w:t>
      </w:r>
      <w:r w:rsidR="00537C3E" w:rsidRPr="00537C3E">
        <w:t xml:space="preserve"> </w:t>
      </w:r>
      <w:r w:rsidR="00537C3E" w:rsidRPr="00426037">
        <w:t>Ishii</w:t>
      </w:r>
      <w:r w:rsidR="00537C3E">
        <w:t xml:space="preserve">, </w:t>
      </w:r>
      <w:r w:rsidR="00537C3E" w:rsidRPr="00426037">
        <w:t>2021</w:t>
      </w:r>
      <w:r w:rsidR="00B43EAF">
        <w:t>)</w:t>
      </w:r>
      <w:r w:rsidR="00DB2D42">
        <w:t xml:space="preserve">. </w:t>
      </w:r>
      <w:r w:rsidR="00D106DB">
        <w:t>Although p</w:t>
      </w:r>
      <w:r w:rsidR="00DB2D42" w:rsidRPr="000701FD">
        <w:t>ast export channel choice research has provide</w:t>
      </w:r>
      <w:r w:rsidR="00D106DB">
        <w:t>d</w:t>
      </w:r>
      <w:r w:rsidR="00DB2D42" w:rsidRPr="000701FD">
        <w:t xml:space="preserve"> some guidance</w:t>
      </w:r>
      <w:r w:rsidR="00D106DB">
        <w:t>,</w:t>
      </w:r>
      <w:r w:rsidR="00DB2D42" w:rsidRPr="000701FD">
        <w:t xml:space="preserve"> </w:t>
      </w:r>
      <w:r w:rsidR="00DB2D42">
        <w:t xml:space="preserve">based almost exclusively on </w:t>
      </w:r>
      <w:r w:rsidR="00DB2D42">
        <w:lastRenderedPageBreak/>
        <w:t xml:space="preserve">transaction cost theory </w:t>
      </w:r>
      <w:r w:rsidR="00DB2D42" w:rsidRPr="000701FD">
        <w:t>(</w:t>
      </w:r>
      <w:proofErr w:type="spellStart"/>
      <w:r w:rsidR="00DB2D42" w:rsidRPr="000701FD">
        <w:t>Shervani</w:t>
      </w:r>
      <w:proofErr w:type="spellEnd"/>
      <w:r w:rsidR="00DB2D42">
        <w:t xml:space="preserve"> et al., </w:t>
      </w:r>
      <w:r w:rsidR="00DB2D42" w:rsidRPr="000701FD">
        <w:t>2007</w:t>
      </w:r>
      <w:r w:rsidR="003022BB">
        <w:t>; Li et al., 2017</w:t>
      </w:r>
      <w:r w:rsidR="00DB2D42" w:rsidRPr="000701FD">
        <w:t>)</w:t>
      </w:r>
      <w:r w:rsidR="00D106DB">
        <w:t xml:space="preserve">, </w:t>
      </w:r>
      <w:r w:rsidR="00856745" w:rsidRPr="00BA6682">
        <w:t>these studies have</w:t>
      </w:r>
      <w:r w:rsidR="00DB2D42" w:rsidRPr="00BA6682">
        <w:t xml:space="preserve"> overlooked </w:t>
      </w:r>
      <w:r w:rsidR="004B527F" w:rsidRPr="00BA6682">
        <w:t>how firms can generate value when exporting</w:t>
      </w:r>
      <w:r w:rsidR="00856745" w:rsidRPr="00BA6682">
        <w:t xml:space="preserve"> since transaction cost theory focuses on determining the most efficient export channel but not </w:t>
      </w:r>
      <w:r w:rsidR="00B21528" w:rsidRPr="00BA6682">
        <w:t xml:space="preserve">a </w:t>
      </w:r>
      <w:r w:rsidR="00856745" w:rsidRPr="00BA6682">
        <w:t>value creating channel</w:t>
      </w:r>
      <w:r w:rsidR="000578CD" w:rsidRPr="00BA6682">
        <w:t xml:space="preserve"> (</w:t>
      </w:r>
      <w:proofErr w:type="spellStart"/>
      <w:r w:rsidR="000578CD" w:rsidRPr="00BA6682">
        <w:t>Cuypers</w:t>
      </w:r>
      <w:proofErr w:type="spellEnd"/>
      <w:r w:rsidR="000578CD" w:rsidRPr="00BA6682">
        <w:t xml:space="preserve"> et al., 2021)</w:t>
      </w:r>
      <w:r w:rsidR="00DB2D42" w:rsidRPr="00BA6682">
        <w:t xml:space="preserve">. </w:t>
      </w:r>
      <w:r w:rsidR="007023A6" w:rsidRPr="00BA6682">
        <w:t xml:space="preserve">The international entrepreneurship </w:t>
      </w:r>
      <w:r w:rsidR="00D26A53" w:rsidRPr="00BA6682">
        <w:t>literature</w:t>
      </w:r>
      <w:r w:rsidR="007023A6" w:rsidRPr="00BA6682">
        <w:t xml:space="preserve"> has noted that EO can help </w:t>
      </w:r>
      <w:r w:rsidR="00FC4EF7" w:rsidRPr="00BA6682">
        <w:t>SMEs</w:t>
      </w:r>
      <w:r w:rsidR="007023A6" w:rsidRPr="00BA6682">
        <w:t xml:space="preserve"> create value internationally (</w:t>
      </w:r>
      <w:r w:rsidR="00BE7DB5" w:rsidRPr="00BA6682">
        <w:t xml:space="preserve">Brouthers et al., 2015; Jiang et al., 2018; Knight &amp; </w:t>
      </w:r>
      <w:proofErr w:type="spellStart"/>
      <w:r w:rsidR="00BE7DB5" w:rsidRPr="00BA6682">
        <w:t>Cavusgil</w:t>
      </w:r>
      <w:proofErr w:type="spellEnd"/>
      <w:r w:rsidR="00BE7DB5" w:rsidRPr="00BA6682">
        <w:t>, 2004</w:t>
      </w:r>
      <w:r w:rsidR="007023A6" w:rsidRPr="00BA6682">
        <w:t xml:space="preserve">). </w:t>
      </w:r>
      <w:r w:rsidR="00D26A53" w:rsidRPr="00BA6682">
        <w:t>Building on these insights, w</w:t>
      </w:r>
      <w:r w:rsidR="00DB2D42" w:rsidRPr="00BA6682">
        <w:t xml:space="preserve">e suggest </w:t>
      </w:r>
      <w:r w:rsidR="00DB2D42" w:rsidRPr="009A34B1">
        <w:t>that in addition to transaction costs SMEs should consider differences</w:t>
      </w:r>
      <w:r w:rsidR="00DB2D42">
        <w:t xml:space="preserve"> </w:t>
      </w:r>
      <w:r w:rsidR="00DB2D42" w:rsidRPr="00FB5018">
        <w:t>in firm</w:t>
      </w:r>
      <w:r w:rsidR="00D17DB1">
        <w:t>-specific</w:t>
      </w:r>
      <w:r w:rsidR="00DB2D42" w:rsidRPr="00FB5018">
        <w:t xml:space="preserve"> </w:t>
      </w:r>
      <w:r w:rsidR="003757CE">
        <w:t>EO</w:t>
      </w:r>
      <w:r w:rsidR="00224E6E" w:rsidRPr="005A1E2C">
        <w:t>, as moderated by institutional distance,</w:t>
      </w:r>
      <w:r w:rsidR="00DB2D42" w:rsidRPr="000701FD">
        <w:t xml:space="preserve"> when making the export channel decision</w:t>
      </w:r>
      <w:r w:rsidR="00DB2D42">
        <w:t xml:space="preserve">. </w:t>
      </w:r>
      <w:r w:rsidR="0089243A" w:rsidRPr="00BA6682">
        <w:t>Doing so</w:t>
      </w:r>
      <w:r w:rsidR="00E76CD5">
        <w:t xml:space="preserve"> should</w:t>
      </w:r>
      <w:r w:rsidR="0089243A" w:rsidRPr="00BA6682">
        <w:t xml:space="preserve"> </w:t>
      </w:r>
      <w:r w:rsidR="00DB2D42" w:rsidRPr="00BA6682">
        <w:t>lead</w:t>
      </w:r>
      <w:r w:rsidR="00DB2D42" w:rsidRPr="000701FD">
        <w:t xml:space="preserve"> to better </w:t>
      </w:r>
      <w:r w:rsidR="00D106DB">
        <w:t>value creation</w:t>
      </w:r>
      <w:r w:rsidR="00DB2D42" w:rsidRPr="000701FD">
        <w:t xml:space="preserve"> and superior </w:t>
      </w:r>
      <w:r w:rsidR="00836A62">
        <w:t xml:space="preserve">market-specific </w:t>
      </w:r>
      <w:r w:rsidR="00DB2D42" w:rsidRPr="000701FD">
        <w:t>export performance</w:t>
      </w:r>
      <w:r w:rsidR="00DB2D42">
        <w:t xml:space="preserve">. </w:t>
      </w:r>
    </w:p>
    <w:p w14:paraId="5EE3D635" w14:textId="6AC16AAE" w:rsidR="00DB2D42" w:rsidRPr="000701FD" w:rsidRDefault="00DB2D42" w:rsidP="00DB2D42">
      <w:pPr>
        <w:spacing w:line="480" w:lineRule="auto"/>
        <w:ind w:firstLine="567"/>
      </w:pPr>
      <w:r w:rsidRPr="000701FD">
        <w:t>Based on sample</w:t>
      </w:r>
      <w:r w:rsidR="0038341F">
        <w:t>s</w:t>
      </w:r>
      <w:r w:rsidRPr="000701FD">
        <w:t xml:space="preserve"> of Dutch and Italian SMEs we find that </w:t>
      </w:r>
      <w:r w:rsidR="006526B6">
        <w:t xml:space="preserve">in addition to transaction cost factors, </w:t>
      </w:r>
      <w:r w:rsidRPr="000701FD">
        <w:t>EO play</w:t>
      </w:r>
      <w:r w:rsidR="00535565">
        <w:t>s</w:t>
      </w:r>
      <w:r w:rsidRPr="000701FD">
        <w:t xml:space="preserve"> a vital role in the export channel decision. Our results also suggest that the EO-export channel relation </w:t>
      </w:r>
      <w:r w:rsidR="00EA688F">
        <w:t>is</w:t>
      </w:r>
      <w:r w:rsidRPr="000701FD">
        <w:t xml:space="preserve"> influenced by </w:t>
      </w:r>
      <w:r w:rsidR="00D17DB1">
        <w:t xml:space="preserve">the </w:t>
      </w:r>
      <w:r w:rsidRPr="000701FD">
        <w:t>institutional distance between home and export country</w:t>
      </w:r>
      <w:r w:rsidR="00E719F5">
        <w:t>, although more research is needed here</w:t>
      </w:r>
      <w:r w:rsidRPr="002C6681">
        <w:t xml:space="preserve">. </w:t>
      </w:r>
      <w:r w:rsidR="0074629E" w:rsidRPr="002C6681">
        <w:t xml:space="preserve">While we found that both regulative distance and normative distance significantly impact the relation between EO and export channel choice, </w:t>
      </w:r>
      <w:r w:rsidR="00833D8F" w:rsidRPr="002C6681">
        <w:t xml:space="preserve">as suggested by our theory, </w:t>
      </w:r>
      <w:r w:rsidR="0074629E" w:rsidRPr="002C6681">
        <w:t xml:space="preserve">we found no such significance for cognitive distance. </w:t>
      </w:r>
      <w:r w:rsidR="00833D8F" w:rsidRPr="002C6681">
        <w:t>O</w:t>
      </w:r>
      <w:r w:rsidR="0074629E" w:rsidRPr="002C6681">
        <w:t>ur lack of significance for cognitive distance might be the result of the way we measure this construct. We relied on a commonly used instrument (cultural distance) to proxy cognitive distance (</w:t>
      </w:r>
      <w:r w:rsidR="00833D8F" w:rsidRPr="002C6681">
        <w:t xml:space="preserve">Gaur, </w:t>
      </w:r>
      <w:proofErr w:type="spellStart"/>
      <w:r w:rsidR="00833D8F" w:rsidRPr="002C6681">
        <w:t>Delios</w:t>
      </w:r>
      <w:proofErr w:type="spellEnd"/>
      <w:r w:rsidR="00833D8F" w:rsidRPr="002C6681">
        <w:t xml:space="preserve"> &amp; Singh, 2007; He et al., 2013</w:t>
      </w:r>
      <w:r w:rsidR="0074629E" w:rsidRPr="002C6681">
        <w:t>). But as in these p</w:t>
      </w:r>
      <w:r w:rsidR="00833D8F" w:rsidRPr="002C6681">
        <w:t>rior</w:t>
      </w:r>
      <w:r w:rsidR="0074629E" w:rsidRPr="002C6681">
        <w:t xml:space="preserve"> studies we had non-</w:t>
      </w:r>
      <w:r w:rsidR="00833D8F" w:rsidRPr="002C6681">
        <w:t>significant</w:t>
      </w:r>
      <w:r w:rsidR="0074629E" w:rsidRPr="002C6681">
        <w:t xml:space="preserve"> results. Future research needs to </w:t>
      </w:r>
      <w:r w:rsidR="00190868" w:rsidRPr="002C6681">
        <w:t xml:space="preserve">explore this issue further and possibly </w:t>
      </w:r>
      <w:r w:rsidR="0074629E" w:rsidRPr="002C6681">
        <w:t>develop a better measure of cognitive instit</w:t>
      </w:r>
      <w:r w:rsidR="00833D8F" w:rsidRPr="002C6681">
        <w:t>ut</w:t>
      </w:r>
      <w:r w:rsidR="0074629E" w:rsidRPr="002C6681">
        <w:t>ional distance</w:t>
      </w:r>
      <w:r w:rsidR="00833D8F" w:rsidRPr="002C6681">
        <w:t>, one that captures decision-specific aspects of cognition</w:t>
      </w:r>
      <w:r w:rsidR="0074629E" w:rsidRPr="002C6681">
        <w:t xml:space="preserve"> and apply that measure to these questions of instit</w:t>
      </w:r>
      <w:r w:rsidR="00833D8F" w:rsidRPr="002C6681">
        <w:t>ut</w:t>
      </w:r>
      <w:r w:rsidR="0074629E" w:rsidRPr="002C6681">
        <w:t xml:space="preserve">ional distance. </w:t>
      </w:r>
      <w:r w:rsidR="00C838A8" w:rsidRPr="00260EA8">
        <w:t xml:space="preserve">Despite this one </w:t>
      </w:r>
      <w:r w:rsidR="004B1BA4" w:rsidRPr="00260EA8">
        <w:t>insignificant result</w:t>
      </w:r>
      <w:r w:rsidRPr="00260EA8">
        <w:t xml:space="preserve">, our analysis suggests that firms using export channels that align </w:t>
      </w:r>
      <w:r w:rsidR="00833D8F" w:rsidRPr="00260EA8">
        <w:t xml:space="preserve">not only </w:t>
      </w:r>
      <w:r w:rsidRPr="00260EA8">
        <w:t xml:space="preserve">with transaction costs </w:t>
      </w:r>
      <w:r w:rsidR="00833D8F" w:rsidRPr="00260EA8">
        <w:t>but also</w:t>
      </w:r>
      <w:r w:rsidRPr="00260EA8">
        <w:t xml:space="preserve"> EO, contingent on institutional distance, generate superior perform</w:t>
      </w:r>
      <w:r w:rsidR="00833D8F" w:rsidRPr="00260EA8">
        <w:t xml:space="preserve">ing export </w:t>
      </w:r>
      <w:r w:rsidR="001656A8" w:rsidRPr="00260EA8">
        <w:t>operations</w:t>
      </w:r>
      <w:r w:rsidR="00833D8F" w:rsidRPr="00260EA8">
        <w:t>. This suggests that taking a value generating perceptive, instead of relying</w:t>
      </w:r>
      <w:r w:rsidR="00F0324A" w:rsidRPr="00260EA8">
        <w:t xml:space="preserve"> </w:t>
      </w:r>
      <w:r w:rsidR="00CC2159" w:rsidRPr="00260EA8">
        <w:t>exclusively</w:t>
      </w:r>
      <w:r w:rsidR="00833D8F" w:rsidRPr="00260EA8">
        <w:t xml:space="preserve"> on the TCE underlying </w:t>
      </w:r>
      <w:r w:rsidR="00833D8F" w:rsidRPr="00260EA8">
        <w:lastRenderedPageBreak/>
        <w:t>assumption of efficiency, might result in export channel choices that help firms perform better</w:t>
      </w:r>
      <w:r w:rsidR="002D1D0A" w:rsidRPr="00260EA8">
        <w:t>.</w:t>
      </w:r>
      <w:r w:rsidR="002D1D0A">
        <w:t xml:space="preserve"> </w:t>
      </w:r>
      <w:r w:rsidRPr="000701FD">
        <w:t xml:space="preserve"> </w:t>
      </w:r>
    </w:p>
    <w:p w14:paraId="3DAC17DD" w14:textId="32EAF15F" w:rsidR="007B38E0" w:rsidRDefault="00DB2D42" w:rsidP="00DB2D42">
      <w:pPr>
        <w:spacing w:line="480" w:lineRule="auto"/>
        <w:ind w:firstLine="567"/>
      </w:pPr>
      <w:r w:rsidRPr="00A55F92">
        <w:t xml:space="preserve">Thus, we make several important contributions to the existing literature. First, we contribute to research on export </w:t>
      </w:r>
      <w:r w:rsidR="00535565">
        <w:t xml:space="preserve">channel choice </w:t>
      </w:r>
      <w:r w:rsidR="004C46A4">
        <w:t xml:space="preserve">which </w:t>
      </w:r>
      <w:r w:rsidRPr="00A55F92">
        <w:t xml:space="preserve">has </w:t>
      </w:r>
      <w:r w:rsidR="00B43EAF">
        <w:t xml:space="preserve">mainly </w:t>
      </w:r>
      <w:r w:rsidRPr="00A55F92">
        <w:t xml:space="preserve">focused on </w:t>
      </w:r>
      <w:r w:rsidR="00B43EAF">
        <w:t>t</w:t>
      </w:r>
      <w:r w:rsidR="004C46A4">
        <w:t>ransaction</w:t>
      </w:r>
      <w:r w:rsidR="00B43EAF">
        <w:t xml:space="preserve"> </w:t>
      </w:r>
      <w:r w:rsidRPr="00A55F92">
        <w:t>cost minimization (</w:t>
      </w:r>
      <w:r w:rsidR="00C404C2" w:rsidRPr="00C404C2">
        <w:t>Ishii, 2021</w:t>
      </w:r>
      <w:r w:rsidR="00C404C2">
        <w:t xml:space="preserve">; Li et al., 2017; </w:t>
      </w:r>
      <w:proofErr w:type="spellStart"/>
      <w:r w:rsidRPr="00A55F92">
        <w:t>Shervani</w:t>
      </w:r>
      <w:proofErr w:type="spellEnd"/>
      <w:r w:rsidRPr="00A55F92">
        <w:t xml:space="preserve"> et al., 2007)</w:t>
      </w:r>
      <w:r w:rsidR="00B43EAF">
        <w:t xml:space="preserve">. </w:t>
      </w:r>
      <w:r w:rsidR="00B43EAF" w:rsidRPr="00BF5C9C">
        <w:t xml:space="preserve">While helpful </w:t>
      </w:r>
      <w:r w:rsidR="007B38E0" w:rsidRPr="00BF5C9C">
        <w:t>TCE assume</w:t>
      </w:r>
      <w:r w:rsidR="002A74AD" w:rsidRPr="00BF5C9C">
        <w:t>s</w:t>
      </w:r>
      <w:r w:rsidR="007B38E0" w:rsidRPr="00BF5C9C">
        <w:t xml:space="preserve"> that firms are interested in creating the most efficient organizational structure</w:t>
      </w:r>
      <w:r w:rsidR="0065552E" w:rsidRPr="00BF5C9C">
        <w:t xml:space="preserve"> (</w:t>
      </w:r>
      <w:proofErr w:type="spellStart"/>
      <w:r w:rsidR="0065552E" w:rsidRPr="00BF5C9C">
        <w:t>Cuypers</w:t>
      </w:r>
      <w:proofErr w:type="spellEnd"/>
      <w:r w:rsidR="0065552E" w:rsidRPr="00BF5C9C">
        <w:t xml:space="preserve"> et al., 2021)</w:t>
      </w:r>
      <w:r w:rsidR="00F0324A" w:rsidRPr="00BF5C9C">
        <w:t>;</w:t>
      </w:r>
      <w:r w:rsidR="007B38E0" w:rsidRPr="00BF5C9C">
        <w:t xml:space="preserve"> </w:t>
      </w:r>
      <w:r w:rsidR="00B43EAF" w:rsidRPr="00BF5C9C">
        <w:t>this</w:t>
      </w:r>
      <w:r w:rsidR="00B43EAF">
        <w:t xml:space="preserve"> perspective does not </w:t>
      </w:r>
      <w:r w:rsidR="008F2C24">
        <w:t>consider</w:t>
      </w:r>
      <w:r w:rsidR="00B43EAF" w:rsidRPr="005A1E2C">
        <w:t xml:space="preserve"> </w:t>
      </w:r>
      <w:r w:rsidR="00067A72" w:rsidRPr="005A1E2C">
        <w:t xml:space="preserve">internal firm-specific factors that an organization can use to generate value (Zajac &amp; Olsen, 1993). But the </w:t>
      </w:r>
      <w:r w:rsidR="004B6F67">
        <w:t xml:space="preserve">international </w:t>
      </w:r>
      <w:r w:rsidR="00067A72" w:rsidRPr="005A1E2C">
        <w:t xml:space="preserve">entrepreneurship literature suggests that SMEs can generate value in </w:t>
      </w:r>
      <w:r w:rsidR="004B6F67">
        <w:t>foreign</w:t>
      </w:r>
      <w:r w:rsidR="00067A72" w:rsidRPr="005A1E2C">
        <w:t xml:space="preserve"> markets by </w:t>
      </w:r>
      <w:r w:rsidR="00EB3CE4" w:rsidRPr="005A1E2C">
        <w:t>leveraging</w:t>
      </w:r>
      <w:r w:rsidR="00067A72" w:rsidRPr="005A1E2C">
        <w:t xml:space="preserve"> their </w:t>
      </w:r>
      <w:r w:rsidR="00E27941">
        <w:t>EO</w:t>
      </w:r>
      <w:r w:rsidR="00067A72" w:rsidRPr="005A1E2C">
        <w:t xml:space="preserve"> (Brouthers</w:t>
      </w:r>
      <w:r w:rsidR="00CA169B" w:rsidRPr="005A1E2C">
        <w:t xml:space="preserve"> et al., </w:t>
      </w:r>
      <w:r w:rsidR="00067A72" w:rsidRPr="005A1E2C">
        <w:t>201</w:t>
      </w:r>
      <w:r w:rsidR="005961DA">
        <w:t>5</w:t>
      </w:r>
      <w:r w:rsidR="00067A72" w:rsidRPr="005A1E2C">
        <w:t xml:space="preserve">; </w:t>
      </w:r>
      <w:r w:rsidR="00C404C2" w:rsidRPr="00C404C2">
        <w:t xml:space="preserve">Jiang </w:t>
      </w:r>
      <w:r w:rsidR="00C404C2">
        <w:t xml:space="preserve">et al., 2018; </w:t>
      </w:r>
      <w:r w:rsidR="00067A72" w:rsidRPr="005A1E2C">
        <w:t xml:space="preserve">Knight &amp; </w:t>
      </w:r>
      <w:proofErr w:type="spellStart"/>
      <w:r w:rsidR="00067A72" w:rsidRPr="005A1E2C">
        <w:t>Cavusgil</w:t>
      </w:r>
      <w:proofErr w:type="spellEnd"/>
      <w:r w:rsidR="00067A72" w:rsidRPr="005A1E2C">
        <w:t>, 2004).</w:t>
      </w:r>
      <w:r w:rsidR="00067A72" w:rsidRPr="000C6A09">
        <w:rPr>
          <w:b/>
        </w:rPr>
        <w:t xml:space="preserve"> </w:t>
      </w:r>
      <w:r w:rsidRPr="00A55F92">
        <w:t>B</w:t>
      </w:r>
      <w:r w:rsidR="00B43EAF">
        <w:t xml:space="preserve">uilding </w:t>
      </w:r>
      <w:r w:rsidRPr="00A55F92">
        <w:t xml:space="preserve">on </w:t>
      </w:r>
      <w:r w:rsidR="00067A72">
        <w:t xml:space="preserve">this </w:t>
      </w:r>
      <w:r w:rsidR="00DF568A">
        <w:t>entrepreneur</w:t>
      </w:r>
      <w:r w:rsidR="003B59FF">
        <w:t>ship</w:t>
      </w:r>
      <w:r w:rsidR="00DF568A">
        <w:t xml:space="preserve"> research (Rauch et al, 2008; Saeed et al, 2014; Wales et al., 20</w:t>
      </w:r>
      <w:r w:rsidR="0041511B">
        <w:t>13</w:t>
      </w:r>
      <w:r w:rsidR="004C46A4">
        <w:t xml:space="preserve">), </w:t>
      </w:r>
      <w:r w:rsidR="00067A72">
        <w:t>w</w:t>
      </w:r>
      <w:r w:rsidRPr="00A55F92">
        <w:t>e theorize and find that although transaction cost factors are important, a</w:t>
      </w:r>
      <w:r w:rsidR="00B43EAF">
        <w:t>n</w:t>
      </w:r>
      <w:r w:rsidRPr="00A55F92">
        <w:t xml:space="preserve"> SME </w:t>
      </w:r>
      <w:r w:rsidR="003D3A31">
        <w:t xml:space="preserve">also </w:t>
      </w:r>
      <w:r w:rsidR="00B43EAF">
        <w:t xml:space="preserve">needs to </w:t>
      </w:r>
      <w:r w:rsidR="003D3A31">
        <w:t xml:space="preserve">consider </w:t>
      </w:r>
      <w:r w:rsidR="00DF568A">
        <w:t>its</w:t>
      </w:r>
      <w:r w:rsidR="003D3A31">
        <w:t xml:space="preserve"> </w:t>
      </w:r>
      <w:r w:rsidRPr="00A55F92">
        <w:t xml:space="preserve">EO </w:t>
      </w:r>
      <w:r w:rsidR="003D3A31">
        <w:t xml:space="preserve">when making the export channel choice decision </w:t>
      </w:r>
      <w:r w:rsidR="00B43EAF">
        <w:t xml:space="preserve">in order to </w:t>
      </w:r>
      <w:r w:rsidR="00380EBF">
        <w:t>create</w:t>
      </w:r>
      <w:r w:rsidRPr="00A55F92">
        <w:t xml:space="preserve"> better perform</w:t>
      </w:r>
      <w:r w:rsidR="00767025">
        <w:t>ing export operations</w:t>
      </w:r>
      <w:r w:rsidRPr="00A55F92">
        <w:t>.</w:t>
      </w:r>
      <w:r w:rsidR="003D3A31">
        <w:t xml:space="preserve"> </w:t>
      </w:r>
    </w:p>
    <w:p w14:paraId="5EE3D636" w14:textId="3B1FA4F6" w:rsidR="00B43EAF" w:rsidRDefault="00707566" w:rsidP="00DB2D42">
      <w:pPr>
        <w:spacing w:line="480" w:lineRule="auto"/>
        <w:ind w:firstLine="567"/>
      </w:pPr>
      <w:r w:rsidRPr="003008D4">
        <w:t>Th</w:t>
      </w:r>
      <w:r w:rsidR="0087345F" w:rsidRPr="003008D4">
        <w:t>ese new insights</w:t>
      </w:r>
      <w:r w:rsidRPr="003008D4">
        <w:t xml:space="preserve"> ha</w:t>
      </w:r>
      <w:r w:rsidR="0087345F" w:rsidRPr="003008D4">
        <w:t>ve</w:t>
      </w:r>
      <w:r w:rsidRPr="003008D4">
        <w:t xml:space="preserve"> important implications for </w:t>
      </w:r>
      <w:r w:rsidR="004E3E44" w:rsidRPr="003008D4">
        <w:t>managers</w:t>
      </w:r>
      <w:r w:rsidRPr="003008D4">
        <w:t xml:space="preserve"> and for </w:t>
      </w:r>
      <w:r w:rsidR="0087345F" w:rsidRPr="003008D4">
        <w:t xml:space="preserve">future </w:t>
      </w:r>
      <w:r w:rsidR="004E3E44" w:rsidRPr="003008D4">
        <w:t>research</w:t>
      </w:r>
      <w:r w:rsidRPr="003008D4">
        <w:t xml:space="preserve">. </w:t>
      </w:r>
      <w:r w:rsidR="00D420F4" w:rsidRPr="003008D4">
        <w:t xml:space="preserve">Managers of SMEs can use the results of our research when making export channel decisions.  </w:t>
      </w:r>
      <w:r w:rsidR="00F5784F" w:rsidRPr="003008D4">
        <w:t>Unlike</w:t>
      </w:r>
      <w:r w:rsidR="00D420F4" w:rsidRPr="003008D4">
        <w:t xml:space="preserve"> research that suggests that firms need to develop an EO to be successful</w:t>
      </w:r>
      <w:r w:rsidR="00F5784F" w:rsidRPr="003008D4">
        <w:t xml:space="preserve"> (</w:t>
      </w:r>
      <w:r w:rsidR="001B6AC6" w:rsidRPr="003008D4">
        <w:t xml:space="preserve">Rauch et al., </w:t>
      </w:r>
      <w:r w:rsidR="007E61CD" w:rsidRPr="003008D4">
        <w:t>2009</w:t>
      </w:r>
      <w:r w:rsidR="00F5784F" w:rsidRPr="003008D4">
        <w:t>)</w:t>
      </w:r>
      <w:r w:rsidR="00D420F4" w:rsidRPr="003008D4">
        <w:t>, our research intimates that both high and low EO firms can cr</w:t>
      </w:r>
      <w:r w:rsidR="00641FD9">
        <w:t>aft</w:t>
      </w:r>
      <w:r w:rsidR="00D420F4" w:rsidRPr="003008D4">
        <w:t xml:space="preserve"> successful export operations if they select an appropriate export channel. Hence, managers need to understand their level of </w:t>
      </w:r>
      <w:r w:rsidR="00DC64CC" w:rsidRPr="003008D4">
        <w:t>entrepreneurial</w:t>
      </w:r>
      <w:r w:rsidR="00D420F4" w:rsidRPr="003008D4">
        <w:t xml:space="preserve"> activities (</w:t>
      </w:r>
      <w:r w:rsidR="0087345F" w:rsidRPr="003008D4">
        <w:t>proactiveness</w:t>
      </w:r>
      <w:r w:rsidR="00D420F4" w:rsidRPr="003008D4">
        <w:t>, innovativeness and tolerance for business risk</w:t>
      </w:r>
      <w:r w:rsidR="00D87DC5" w:rsidRPr="003008D4">
        <w:t xml:space="preserve"> - EO</w:t>
      </w:r>
      <w:r w:rsidR="00D420F4" w:rsidRPr="003008D4">
        <w:t xml:space="preserve">) and </w:t>
      </w:r>
      <w:r w:rsidR="00D661AA" w:rsidRPr="003008D4">
        <w:t>using those insights select an export channel that aligns with</w:t>
      </w:r>
      <w:r w:rsidR="00F0324A" w:rsidRPr="003008D4">
        <w:t xml:space="preserve"> that level</w:t>
      </w:r>
      <w:r w:rsidR="00D661AA" w:rsidRPr="003008D4">
        <w:t xml:space="preserve">. </w:t>
      </w:r>
      <w:r w:rsidR="007B38E0" w:rsidRPr="003008D4">
        <w:t xml:space="preserve">Future research can </w:t>
      </w:r>
      <w:r w:rsidR="0087345F" w:rsidRPr="003008D4">
        <w:t xml:space="preserve">also </w:t>
      </w:r>
      <w:r w:rsidR="007B38E0" w:rsidRPr="003008D4">
        <w:t xml:space="preserve">build on these insights </w:t>
      </w:r>
      <w:r w:rsidR="00836102" w:rsidRPr="003008D4">
        <w:t xml:space="preserve">to </w:t>
      </w:r>
      <w:r w:rsidR="007B38E0" w:rsidRPr="003008D4">
        <w:t xml:space="preserve">explore other ways </w:t>
      </w:r>
      <w:r w:rsidR="00836102" w:rsidRPr="003008D4">
        <w:t>in which SMEs can</w:t>
      </w:r>
      <w:r w:rsidR="007B38E0" w:rsidRPr="003008D4">
        <w:t xml:space="preserve"> generat</w:t>
      </w:r>
      <w:r w:rsidR="00836102" w:rsidRPr="003008D4">
        <w:t>e</w:t>
      </w:r>
      <w:r w:rsidR="007B38E0" w:rsidRPr="003008D4">
        <w:t xml:space="preserve"> value in foreign markets.</w:t>
      </w:r>
      <w:r w:rsidR="00836102" w:rsidRPr="003008D4">
        <w:t xml:space="preserve"> For ex</w:t>
      </w:r>
      <w:r w:rsidR="004E2BAD" w:rsidRPr="003008D4">
        <w:t xml:space="preserve">ample, there is </w:t>
      </w:r>
      <w:r w:rsidR="00A67CFA" w:rsidRPr="003008D4">
        <w:t xml:space="preserve">some evidence that having a global mindset </w:t>
      </w:r>
      <w:r w:rsidR="00056189">
        <w:t xml:space="preserve">or cultural intelligence </w:t>
      </w:r>
      <w:r w:rsidR="00A67CFA" w:rsidRPr="003008D4">
        <w:t xml:space="preserve">improves the effectiveness of international </w:t>
      </w:r>
      <w:r w:rsidR="00655AB0" w:rsidRPr="003008D4">
        <w:t>operations</w:t>
      </w:r>
      <w:r w:rsidR="00A67CFA" w:rsidRPr="003008D4">
        <w:t xml:space="preserve">, because globally oriented managers </w:t>
      </w:r>
      <w:r w:rsidR="00966DD0" w:rsidRPr="003008D4">
        <w:t xml:space="preserve">make decisions that improve value creation in foreign </w:t>
      </w:r>
      <w:r w:rsidR="00966DD0" w:rsidRPr="003008D4">
        <w:lastRenderedPageBreak/>
        <w:t xml:space="preserve">markets </w:t>
      </w:r>
      <w:r w:rsidR="00966DD0" w:rsidRPr="00F41D03">
        <w:t>(</w:t>
      </w:r>
      <w:proofErr w:type="spellStart"/>
      <w:r w:rsidR="004066F1" w:rsidRPr="004066F1">
        <w:t>Felício</w:t>
      </w:r>
      <w:proofErr w:type="spellEnd"/>
      <w:r w:rsidR="004066F1" w:rsidRPr="004066F1">
        <w:t xml:space="preserve">, </w:t>
      </w:r>
      <w:proofErr w:type="spellStart"/>
      <w:r w:rsidR="004066F1" w:rsidRPr="004066F1">
        <w:t>Meidutė</w:t>
      </w:r>
      <w:proofErr w:type="spellEnd"/>
      <w:r w:rsidR="004066F1" w:rsidRPr="004066F1">
        <w:t xml:space="preserve"> &amp; </w:t>
      </w:r>
      <w:proofErr w:type="spellStart"/>
      <w:r w:rsidR="004066F1" w:rsidRPr="004066F1">
        <w:t>Kyvik</w:t>
      </w:r>
      <w:proofErr w:type="spellEnd"/>
      <w:r w:rsidR="004066F1" w:rsidRPr="004066F1">
        <w:t>, 2016</w:t>
      </w:r>
      <w:r w:rsidR="004066F1">
        <w:t xml:space="preserve">; </w:t>
      </w:r>
      <w:proofErr w:type="spellStart"/>
      <w:r w:rsidR="00F41D03" w:rsidRPr="00F41D03">
        <w:t>Yari</w:t>
      </w:r>
      <w:proofErr w:type="spellEnd"/>
      <w:r w:rsidR="00F41D03" w:rsidRPr="00F41D03">
        <w:t xml:space="preserve">, </w:t>
      </w:r>
      <w:proofErr w:type="spellStart"/>
      <w:r w:rsidR="00F41D03" w:rsidRPr="00F41D03">
        <w:t>Lankut</w:t>
      </w:r>
      <w:proofErr w:type="spellEnd"/>
      <w:r w:rsidR="00F41D03" w:rsidRPr="00F41D03">
        <w:t>, Alon &amp; Richter, 2020</w:t>
      </w:r>
      <w:r w:rsidR="00966DD0" w:rsidRPr="00F41D03">
        <w:t xml:space="preserve">). </w:t>
      </w:r>
      <w:r w:rsidR="00966DD0" w:rsidRPr="003008D4">
        <w:t xml:space="preserve">Building on this </w:t>
      </w:r>
      <w:r w:rsidR="00B95475" w:rsidRPr="003008D4">
        <w:t xml:space="preserve">mindset literature </w:t>
      </w:r>
      <w:r w:rsidR="00655AB0" w:rsidRPr="003008D4">
        <w:t>future</w:t>
      </w:r>
      <w:r w:rsidR="00B95475" w:rsidRPr="003008D4">
        <w:t xml:space="preserve"> research could explore how the </w:t>
      </w:r>
      <w:r w:rsidR="00655AB0" w:rsidRPr="003008D4">
        <w:t>cognitions</w:t>
      </w:r>
      <w:r w:rsidR="00B95475" w:rsidRPr="003008D4">
        <w:t xml:space="preserve"> of top managers (or top management teams) in SMEs influence the value creating choices it makes when exporting</w:t>
      </w:r>
      <w:r w:rsidR="000A3BF5" w:rsidRPr="003008D4">
        <w:t xml:space="preserve"> and how these cognitions influence the export channel that will lead to value creation in foreign markets.</w:t>
      </w:r>
      <w:r w:rsidR="000A3BF5">
        <w:t xml:space="preserve"> </w:t>
      </w:r>
      <w:r w:rsidR="00B95475">
        <w:t xml:space="preserve"> </w:t>
      </w:r>
      <w:r w:rsidR="007B38E0">
        <w:t xml:space="preserve"> </w:t>
      </w:r>
    </w:p>
    <w:p w14:paraId="51021491" w14:textId="45EBB9C6" w:rsidR="007B38E0" w:rsidRDefault="00DB2D42" w:rsidP="00F51373">
      <w:pPr>
        <w:spacing w:line="480" w:lineRule="auto"/>
        <w:ind w:right="-108" w:firstLine="567"/>
      </w:pPr>
      <w:r w:rsidRPr="0016433B">
        <w:t xml:space="preserve">Second, we contribute to the international entrepreneurship literature </w:t>
      </w:r>
      <w:r w:rsidR="00C404C2">
        <w:t>(</w:t>
      </w:r>
      <w:proofErr w:type="spellStart"/>
      <w:r w:rsidR="00C404C2" w:rsidRPr="00736A01">
        <w:t>Zucchella</w:t>
      </w:r>
      <w:proofErr w:type="spellEnd"/>
      <w:r w:rsidR="00C404C2" w:rsidRPr="00736A01">
        <w:t>, 2021</w:t>
      </w:r>
      <w:r w:rsidR="00C404C2">
        <w:t xml:space="preserve">) </w:t>
      </w:r>
      <w:r w:rsidRPr="0016433B">
        <w:t xml:space="preserve">by considering the impact of institutional distance on </w:t>
      </w:r>
      <w:r w:rsidR="00224E6E" w:rsidRPr="005A1E2C">
        <w:t xml:space="preserve">the </w:t>
      </w:r>
      <w:r w:rsidRPr="005A1E2C">
        <w:t>EO</w:t>
      </w:r>
      <w:r w:rsidR="00224E6E" w:rsidRPr="005A1E2C">
        <w:t xml:space="preserve"> -</w:t>
      </w:r>
      <w:r w:rsidRPr="005A1E2C">
        <w:t xml:space="preserve"> export channel choice</w:t>
      </w:r>
      <w:r w:rsidR="00424BA9" w:rsidRPr="005A1E2C">
        <w:t xml:space="preserve"> </w:t>
      </w:r>
      <w:r w:rsidR="00224E6E" w:rsidRPr="005A1E2C">
        <w:t>relation</w:t>
      </w:r>
      <w:r w:rsidRPr="0016433B">
        <w:t>.</w:t>
      </w:r>
      <w:r>
        <w:t xml:space="preserve"> </w:t>
      </w:r>
      <w:r w:rsidR="002111FF" w:rsidRPr="009B543D">
        <w:t xml:space="preserve">Because countries differ with respect to </w:t>
      </w:r>
      <w:r w:rsidR="009265B6">
        <w:t xml:space="preserve">regulative, normative and cognitive </w:t>
      </w:r>
      <w:r w:rsidR="002111FF" w:rsidRPr="009B543D">
        <w:t>institutional factors (</w:t>
      </w:r>
      <w:r w:rsidR="009B543D" w:rsidRPr="009B543D">
        <w:t>Scott, 1995</w:t>
      </w:r>
      <w:r w:rsidR="002111FF" w:rsidRPr="009B543D">
        <w:t xml:space="preserve">), when firms expand aboard they may encounter very different institutional pressures than </w:t>
      </w:r>
      <w:r w:rsidR="007B38E0">
        <w:t>those</w:t>
      </w:r>
      <w:r w:rsidR="002111FF" w:rsidRPr="009B543D">
        <w:t xml:space="preserve"> they </w:t>
      </w:r>
      <w:r w:rsidR="00535565">
        <w:t xml:space="preserve">face </w:t>
      </w:r>
      <w:r w:rsidR="002111FF" w:rsidRPr="009B543D">
        <w:t>at home</w:t>
      </w:r>
      <w:r w:rsidR="003D3A31">
        <w:t xml:space="preserve">. </w:t>
      </w:r>
      <w:r w:rsidR="002111FF" w:rsidRPr="003D3A31">
        <w:t xml:space="preserve">As a result of these institutional differences </w:t>
      </w:r>
      <w:r w:rsidR="003B59FF">
        <w:t>products and procedures</w:t>
      </w:r>
      <w:r w:rsidR="003D3A31" w:rsidRPr="003D3A31">
        <w:t xml:space="preserve"> that have value in one institutional context may have a different (or no) value in another context</w:t>
      </w:r>
      <w:r w:rsidR="003B59FF">
        <w:t xml:space="preserve"> (Brouthers et al., 2008)</w:t>
      </w:r>
      <w:r w:rsidRPr="003D3A31">
        <w:t xml:space="preserve">. </w:t>
      </w:r>
      <w:r w:rsidR="009B543D" w:rsidRPr="009B543D">
        <w:t>Expanding on these ideas</w:t>
      </w:r>
      <w:r w:rsidR="00E9510C">
        <w:t xml:space="preserve"> and previous EO research (</w:t>
      </w:r>
      <w:proofErr w:type="spellStart"/>
      <w:r w:rsidR="00E9510C">
        <w:t>Covin</w:t>
      </w:r>
      <w:proofErr w:type="spellEnd"/>
      <w:r w:rsidR="00E9510C">
        <w:t xml:space="preserve"> &amp; Miller, 2014; </w:t>
      </w:r>
      <w:r w:rsidR="00C404C2">
        <w:t xml:space="preserve">He et al., 2018; </w:t>
      </w:r>
      <w:r w:rsidR="00E9510C">
        <w:t>Saeed et al., 2014)</w:t>
      </w:r>
      <w:r w:rsidR="009B543D" w:rsidRPr="009B543D">
        <w:t xml:space="preserve">, </w:t>
      </w:r>
      <w:r w:rsidRPr="009B543D">
        <w:t>we theorize that differences in regulative</w:t>
      </w:r>
      <w:r w:rsidR="009B543D" w:rsidRPr="009B543D">
        <w:t xml:space="preserve">, normative, and cognitive </w:t>
      </w:r>
      <w:r w:rsidRPr="009B543D">
        <w:t xml:space="preserve">institutions </w:t>
      </w:r>
      <w:r w:rsidR="009B543D" w:rsidRPr="009B543D">
        <w:t xml:space="preserve">will </w:t>
      </w:r>
      <w:r w:rsidRPr="009B543D">
        <w:t xml:space="preserve">influence the value </w:t>
      </w:r>
      <w:r w:rsidR="003A1CBA" w:rsidRPr="005A1E2C">
        <w:t>a firm can generate from its</w:t>
      </w:r>
      <w:r w:rsidR="003A1CBA">
        <w:t xml:space="preserve"> </w:t>
      </w:r>
      <w:r w:rsidRPr="009B543D">
        <w:t>EO</w:t>
      </w:r>
      <w:r w:rsidR="007B38E0">
        <w:t xml:space="preserve"> and as a </w:t>
      </w:r>
      <w:r w:rsidR="004D1BA6">
        <w:t>consequence</w:t>
      </w:r>
      <w:r w:rsidR="007B38E0">
        <w:t xml:space="preserve"> </w:t>
      </w:r>
      <w:r w:rsidRPr="009B543D">
        <w:t>hav</w:t>
      </w:r>
      <w:r w:rsidR="003C0E1D">
        <w:t>e</w:t>
      </w:r>
      <w:r w:rsidRPr="009B543D">
        <w:t xml:space="preserve"> an impact on export channel choice. </w:t>
      </w:r>
      <w:r w:rsidR="009B543D" w:rsidRPr="009B543D">
        <w:t xml:space="preserve">Our results provide </w:t>
      </w:r>
      <w:r w:rsidR="007B38E0">
        <w:t>some</w:t>
      </w:r>
      <w:r w:rsidR="00DF568A">
        <w:t xml:space="preserve"> </w:t>
      </w:r>
      <w:r w:rsidR="009B543D" w:rsidRPr="009B543D">
        <w:t xml:space="preserve">support indicating that </w:t>
      </w:r>
      <w:r w:rsidR="007B38E0">
        <w:t>regulative and normative</w:t>
      </w:r>
      <w:r w:rsidR="007B38E0" w:rsidRPr="009B543D">
        <w:t xml:space="preserve"> </w:t>
      </w:r>
      <w:r w:rsidR="007B38E0">
        <w:t>institutional distance does appear to impact the value generation ability of EO and hence the export channel a firm should use.</w:t>
      </w:r>
    </w:p>
    <w:p w14:paraId="5EE3D638" w14:textId="608399A5" w:rsidR="00DB2D42" w:rsidRDefault="00C81F25" w:rsidP="00F51373">
      <w:pPr>
        <w:spacing w:line="480" w:lineRule="auto"/>
        <w:ind w:right="-108" w:firstLine="567"/>
      </w:pPr>
      <w:r w:rsidRPr="001F5382">
        <w:t>Again</w:t>
      </w:r>
      <w:r w:rsidR="00BC3500" w:rsidRPr="001F5382">
        <w:t>,</w:t>
      </w:r>
      <w:r w:rsidRPr="001F5382">
        <w:t xml:space="preserve"> these insights have important implications for managers and future research </w:t>
      </w:r>
      <w:r w:rsidR="00BC3500" w:rsidRPr="001F5382">
        <w:t>endeavors</w:t>
      </w:r>
      <w:r w:rsidRPr="001F5382">
        <w:t xml:space="preserve">. </w:t>
      </w:r>
      <w:r w:rsidR="00AF782B" w:rsidRPr="001F5382">
        <w:t xml:space="preserve">Managers need to be aware of institutional differences when expanding abroad. </w:t>
      </w:r>
      <w:r w:rsidR="00545D1D" w:rsidRPr="001F5382">
        <w:t>What our study shows is that these differences can influence a firm’s ability to generate value from EO. E</w:t>
      </w:r>
      <w:r w:rsidR="00785C48" w:rsidRPr="001F5382">
        <w:t>O</w:t>
      </w:r>
      <w:r w:rsidR="00545D1D" w:rsidRPr="001F5382">
        <w:t xml:space="preserve"> seems to </w:t>
      </w:r>
      <w:r w:rsidR="00D53638" w:rsidRPr="001F5382">
        <w:t xml:space="preserve">provide an </w:t>
      </w:r>
      <w:r w:rsidR="00545D1D" w:rsidRPr="001F5382">
        <w:t>advantage in instit</w:t>
      </w:r>
      <w:r w:rsidR="00785C48" w:rsidRPr="001F5382">
        <w:t>ut</w:t>
      </w:r>
      <w:r w:rsidR="00545D1D" w:rsidRPr="001F5382">
        <w:t>ionally close countries where home</w:t>
      </w:r>
      <w:r w:rsidR="00785C48" w:rsidRPr="001F5382">
        <w:t>-</w:t>
      </w:r>
      <w:r w:rsidR="00545D1D" w:rsidRPr="001F5382">
        <w:t xml:space="preserve">based processes and products can be used to </w:t>
      </w:r>
      <w:r w:rsidR="008E6D64" w:rsidRPr="001F5382">
        <w:t xml:space="preserve">create value. </w:t>
      </w:r>
      <w:r w:rsidR="0029610B" w:rsidRPr="001F5382">
        <w:t>Yet as instit</w:t>
      </w:r>
      <w:r w:rsidR="00785C48" w:rsidRPr="001F5382">
        <w:t>ut</w:t>
      </w:r>
      <w:r w:rsidR="0029610B" w:rsidRPr="001F5382">
        <w:t xml:space="preserve">ional distances increase, firms need to think more carefully about </w:t>
      </w:r>
      <w:r w:rsidR="00785C48" w:rsidRPr="001F5382">
        <w:t>how</w:t>
      </w:r>
      <w:r w:rsidR="0029610B" w:rsidRPr="001F5382">
        <w:t xml:space="preserve"> they structure their export operations so they can </w:t>
      </w:r>
      <w:r w:rsidR="006F4302" w:rsidRPr="001F5382">
        <w:t>generat</w:t>
      </w:r>
      <w:r w:rsidR="00815D99" w:rsidRPr="001F5382">
        <w:t xml:space="preserve">e the greatest value from the </w:t>
      </w:r>
      <w:r w:rsidR="0029610B" w:rsidRPr="001F5382">
        <w:t>EO</w:t>
      </w:r>
      <w:r w:rsidR="00815D99" w:rsidRPr="001F5382">
        <w:t xml:space="preserve"> </w:t>
      </w:r>
      <w:r w:rsidR="009C6CC5" w:rsidRPr="001F5382">
        <w:t xml:space="preserve">practices and processes </w:t>
      </w:r>
      <w:r w:rsidR="00815D99" w:rsidRPr="001F5382">
        <w:t>they possess</w:t>
      </w:r>
      <w:r w:rsidR="0029610B" w:rsidRPr="001F5382">
        <w:t xml:space="preserve">. </w:t>
      </w:r>
      <w:r w:rsidR="007B38E0" w:rsidRPr="001F5382">
        <w:lastRenderedPageBreak/>
        <w:t xml:space="preserve">Researchers </w:t>
      </w:r>
      <w:r w:rsidR="001B1201" w:rsidRPr="001F5382">
        <w:t xml:space="preserve">also </w:t>
      </w:r>
      <w:r w:rsidR="007B38E0" w:rsidRPr="001F5382">
        <w:t xml:space="preserve">could build on these </w:t>
      </w:r>
      <w:r w:rsidR="00C15D76" w:rsidRPr="001F5382">
        <w:t>ideas</w:t>
      </w:r>
      <w:r w:rsidR="007B38E0" w:rsidRPr="001F5382">
        <w:t xml:space="preserve"> and investigate in more detail how</w:t>
      </w:r>
      <w:r w:rsidR="00C15D76" w:rsidRPr="001F5382">
        <w:t xml:space="preserve"> EO and institutions can best be combined to improve firm value creation and as a consequence </w:t>
      </w:r>
      <w:r w:rsidR="00527797" w:rsidRPr="001F5382">
        <w:t xml:space="preserve">export </w:t>
      </w:r>
      <w:r w:rsidR="00C15D76" w:rsidRPr="001F5382">
        <w:t xml:space="preserve">performance. </w:t>
      </w:r>
      <w:r w:rsidR="00BC3500" w:rsidRPr="001F5382">
        <w:t>One approach would be to s</w:t>
      </w:r>
      <w:r w:rsidR="0087559A" w:rsidRPr="001F5382">
        <w:t>t</w:t>
      </w:r>
      <w:r w:rsidR="00BC3500" w:rsidRPr="001F5382">
        <w:t>u</w:t>
      </w:r>
      <w:r w:rsidR="0087559A" w:rsidRPr="001F5382">
        <w:t>d</w:t>
      </w:r>
      <w:r w:rsidR="00BC3500" w:rsidRPr="001F5382">
        <w:t>y the impact of home or host instit</w:t>
      </w:r>
      <w:r w:rsidR="0087559A" w:rsidRPr="001F5382">
        <w:t>ut</w:t>
      </w:r>
      <w:r w:rsidR="00BC3500" w:rsidRPr="001F5382">
        <w:t>ions separately. We explored instit</w:t>
      </w:r>
      <w:r w:rsidR="0087559A" w:rsidRPr="001F5382">
        <w:t>ut</w:t>
      </w:r>
      <w:r w:rsidR="00BC3500" w:rsidRPr="001F5382">
        <w:t xml:space="preserve">ional distance, but home country </w:t>
      </w:r>
      <w:r w:rsidR="0087559A" w:rsidRPr="001F5382">
        <w:t>institutions</w:t>
      </w:r>
      <w:r w:rsidR="00BC3500" w:rsidRPr="001F5382">
        <w:t xml:space="preserve"> might influence a firm’s ability to generate value in foreign </w:t>
      </w:r>
      <w:r w:rsidR="0087559A" w:rsidRPr="001F5382">
        <w:t>markets</w:t>
      </w:r>
      <w:r w:rsidR="00BC3500" w:rsidRPr="001F5382">
        <w:t xml:space="preserve"> and </w:t>
      </w:r>
      <w:r w:rsidR="0087559A" w:rsidRPr="001F5382">
        <w:t>hence</w:t>
      </w:r>
      <w:r w:rsidR="00BC3500" w:rsidRPr="001F5382">
        <w:t xml:space="preserve"> impact export channel choice.  Alternatively, it could be target market </w:t>
      </w:r>
      <w:r w:rsidR="005B6E0D" w:rsidRPr="001F5382">
        <w:t xml:space="preserve">(host) </w:t>
      </w:r>
      <w:r w:rsidR="0087559A" w:rsidRPr="001F5382">
        <w:t>institutions</w:t>
      </w:r>
      <w:r w:rsidR="00BC3500" w:rsidRPr="001F5382">
        <w:t xml:space="preserve"> that influence </w:t>
      </w:r>
      <w:r w:rsidR="0087559A" w:rsidRPr="001F5382">
        <w:t xml:space="preserve">value creation and export channel effectiveness. </w:t>
      </w:r>
      <w:r w:rsidR="00C15D76" w:rsidRPr="001F5382">
        <w:t>International entrepreneurship research focusing on value creation in foreign markets</w:t>
      </w:r>
      <w:r w:rsidR="0087559A" w:rsidRPr="001F5382">
        <w:t xml:space="preserve"> should explore these alternative configures to try and see wh</w:t>
      </w:r>
      <w:r w:rsidR="009574DB" w:rsidRPr="001F5382">
        <w:t>ich</w:t>
      </w:r>
      <w:r w:rsidR="00AF782B" w:rsidRPr="001F5382">
        <w:t xml:space="preserve"> of </w:t>
      </w:r>
      <w:r w:rsidR="0087559A" w:rsidRPr="001F5382">
        <w:t xml:space="preserve">these different </w:t>
      </w:r>
      <w:r w:rsidR="000D14C4" w:rsidRPr="001F5382">
        <w:t xml:space="preserve">sets of </w:t>
      </w:r>
      <w:r w:rsidR="0087559A" w:rsidRPr="001F5382">
        <w:t xml:space="preserve">institutions </w:t>
      </w:r>
      <w:r w:rsidR="00AF782B" w:rsidRPr="001F5382">
        <w:t>influence</w:t>
      </w:r>
      <w:r w:rsidR="0087559A" w:rsidRPr="001F5382">
        <w:t xml:space="preserve"> EO value creation and export channel choice.</w:t>
      </w:r>
      <w:r w:rsidR="00C15D76">
        <w:t xml:space="preserve"> </w:t>
      </w:r>
      <w:r w:rsidR="007B38E0">
        <w:t xml:space="preserve">  </w:t>
      </w:r>
    </w:p>
    <w:p w14:paraId="5EE3D639" w14:textId="77777777" w:rsidR="00DB2D42" w:rsidRPr="000701FD" w:rsidRDefault="00DB2D42" w:rsidP="00DB2D42">
      <w:pPr>
        <w:spacing w:line="480" w:lineRule="auto"/>
        <w:jc w:val="center"/>
        <w:rPr>
          <w:b/>
        </w:rPr>
      </w:pPr>
    </w:p>
    <w:p w14:paraId="5EE3D63A" w14:textId="67DDA952" w:rsidR="00DB2D42" w:rsidRPr="000701FD" w:rsidRDefault="00AE589D" w:rsidP="00DB2D42">
      <w:pPr>
        <w:spacing w:line="480" w:lineRule="auto"/>
        <w:rPr>
          <w:b/>
        </w:rPr>
      </w:pPr>
      <w:r>
        <w:rPr>
          <w:b/>
        </w:rPr>
        <w:t xml:space="preserve">5.1 </w:t>
      </w:r>
      <w:r w:rsidR="00DB2D42" w:rsidRPr="000701FD">
        <w:rPr>
          <w:b/>
        </w:rPr>
        <w:t>Limitations</w:t>
      </w:r>
    </w:p>
    <w:p w14:paraId="5EE3D63B" w14:textId="456255A1" w:rsidR="00DB2D42" w:rsidRPr="00B3227C" w:rsidRDefault="00413FBA" w:rsidP="00DB2D42">
      <w:pPr>
        <w:spacing w:line="480" w:lineRule="auto"/>
        <w:ind w:firstLine="567"/>
      </w:pPr>
      <w:r w:rsidRPr="005A1E2C">
        <w:t xml:space="preserve">Although our study </w:t>
      </w:r>
      <w:r w:rsidR="007C4644">
        <w:t>provides some interesting new insights</w:t>
      </w:r>
      <w:r w:rsidR="00DD2F2A">
        <w:t xml:space="preserve">, </w:t>
      </w:r>
      <w:r>
        <w:t>it</w:t>
      </w:r>
      <w:r w:rsidR="00DB2D42" w:rsidRPr="000701FD">
        <w:t xml:space="preserve"> suffers from limitations which may provide opportunities for future research. First, since our study </w:t>
      </w:r>
      <w:r w:rsidR="00F20DD3">
        <w:t xml:space="preserve">only </w:t>
      </w:r>
      <w:r w:rsidR="00FF7EEA">
        <w:t>looks at</w:t>
      </w:r>
      <w:r w:rsidR="00DB2D42" w:rsidRPr="000701FD">
        <w:t xml:space="preserve"> manufacturing SMEs from two European countries </w:t>
      </w:r>
      <w:r w:rsidR="006F1587">
        <w:t>the</w:t>
      </w:r>
      <w:r w:rsidR="00DB2D42" w:rsidRPr="000701FD">
        <w:t xml:space="preserve"> findings might not be generalizable to </w:t>
      </w:r>
      <w:r w:rsidR="006F1587">
        <w:t xml:space="preserve">firms from </w:t>
      </w:r>
      <w:r w:rsidR="00DB2D42" w:rsidRPr="000701FD">
        <w:t xml:space="preserve">other countries </w:t>
      </w:r>
      <w:r w:rsidR="00DD2F2A">
        <w:t xml:space="preserve">or </w:t>
      </w:r>
      <w:r w:rsidR="006F1587">
        <w:t xml:space="preserve">to </w:t>
      </w:r>
      <w:r w:rsidR="00DB2D42" w:rsidRPr="000701FD">
        <w:t>larger firms. Future research might wish to explore these i</w:t>
      </w:r>
      <w:r w:rsidR="0093078F">
        <w:t>ssues</w:t>
      </w:r>
      <w:r w:rsidR="00DB2D42" w:rsidRPr="000701FD">
        <w:t xml:space="preserve"> in other geographical locations </w:t>
      </w:r>
      <w:r w:rsidR="00DD2F2A">
        <w:t xml:space="preserve">and look at </w:t>
      </w:r>
      <w:r w:rsidR="00DB2D42" w:rsidRPr="000701FD">
        <w:t xml:space="preserve">larger organizations to determine </w:t>
      </w:r>
      <w:r w:rsidR="0093078F">
        <w:t xml:space="preserve">the generalizability of our </w:t>
      </w:r>
      <w:r w:rsidR="0093078F" w:rsidRPr="00B3227C">
        <w:t>ideas</w:t>
      </w:r>
      <w:r w:rsidR="00DB2D42" w:rsidRPr="00B3227C">
        <w:t>.</w:t>
      </w:r>
      <w:r w:rsidR="00C41672" w:rsidRPr="00B3227C">
        <w:t xml:space="preserve"> </w:t>
      </w:r>
    </w:p>
    <w:p w14:paraId="06A4C9F1" w14:textId="48CC7918" w:rsidR="00B3227C" w:rsidRPr="00B3227C" w:rsidRDefault="00B3227C" w:rsidP="00DB2D42">
      <w:pPr>
        <w:spacing w:line="480" w:lineRule="auto"/>
        <w:ind w:firstLine="567"/>
      </w:pPr>
      <w:r w:rsidRPr="00FB3055">
        <w:t>Second, our data collection effort took place in 2012. Since that time many things have changed and mor</w:t>
      </w:r>
      <w:r w:rsidR="00EE6601" w:rsidRPr="00FB3055">
        <w:t>e</w:t>
      </w:r>
      <w:r w:rsidRPr="00FB3055">
        <w:t xml:space="preserve"> firms are going digital. Although we had no SMEs indicating they used digital export channels, data gathered </w:t>
      </w:r>
      <w:r w:rsidR="005A5CE4" w:rsidRPr="00FB3055">
        <w:t>in the next few years</w:t>
      </w:r>
      <w:r w:rsidRPr="00FB3055">
        <w:t xml:space="preserve"> might find that firms are shifting from traditional integrated and shared export channels to online channels for exporting. We suggest that future research needs to </w:t>
      </w:r>
      <w:r w:rsidR="003D57A6" w:rsidRPr="00FB3055">
        <w:t>develop new the</w:t>
      </w:r>
      <w:r w:rsidR="007A24CE" w:rsidRPr="00FB3055">
        <w:t>o</w:t>
      </w:r>
      <w:r w:rsidR="003D57A6" w:rsidRPr="00FB3055">
        <w:t xml:space="preserve">ry </w:t>
      </w:r>
      <w:r w:rsidR="00D36A04" w:rsidRPr="00FB3055">
        <w:t xml:space="preserve">to explain the use and </w:t>
      </w:r>
      <w:r w:rsidR="003D57A6" w:rsidRPr="00FB3055">
        <w:t>impact of digit</w:t>
      </w:r>
      <w:r w:rsidR="007A24CE" w:rsidRPr="00FB3055">
        <w:t>al export</w:t>
      </w:r>
      <w:r w:rsidR="00D36A04" w:rsidRPr="00FB3055">
        <w:t xml:space="preserve"> channels</w:t>
      </w:r>
      <w:r w:rsidR="007A24CE" w:rsidRPr="00FB3055">
        <w:t xml:space="preserve"> on firm exporting value creation and </w:t>
      </w:r>
      <w:r w:rsidRPr="00FB3055">
        <w:t xml:space="preserve">examine </w:t>
      </w:r>
      <w:r w:rsidR="00AA4948" w:rsidRPr="00FB3055">
        <w:t xml:space="preserve">how </w:t>
      </w:r>
      <w:r w:rsidRPr="00FB3055">
        <w:t xml:space="preserve">this move </w:t>
      </w:r>
      <w:r w:rsidR="00CB134F" w:rsidRPr="00FB3055">
        <w:t xml:space="preserve">can be used </w:t>
      </w:r>
      <w:r w:rsidR="00794E40" w:rsidRPr="00FB3055">
        <w:t>to</w:t>
      </w:r>
      <w:r w:rsidRPr="00FB3055">
        <w:t xml:space="preserve"> improve export market performance.</w:t>
      </w:r>
    </w:p>
    <w:p w14:paraId="5EE3D63C" w14:textId="2FE15FDD" w:rsidR="00DB2D42" w:rsidRPr="000701FD" w:rsidRDefault="00B3227C" w:rsidP="00DB2D42">
      <w:pPr>
        <w:spacing w:line="480" w:lineRule="auto"/>
        <w:ind w:firstLine="567"/>
      </w:pPr>
      <w:r>
        <w:lastRenderedPageBreak/>
        <w:t>Third</w:t>
      </w:r>
      <w:r w:rsidR="00DB2D42" w:rsidRPr="000701FD">
        <w:t xml:space="preserve">, our study focused only on the most important export market for the firm. Yet many firms export to multiple markets. In such a case, SMEs will need to carefully allocate scarce resources; which could result in different </w:t>
      </w:r>
      <w:r w:rsidR="00EE3916">
        <w:t>channel</w:t>
      </w:r>
      <w:r w:rsidR="00DB2D42" w:rsidRPr="000701FD">
        <w:t xml:space="preserve"> choices in these other export operations. Future research may wish to explore whether our theory applies to these other markets by collecting data on multiple export markets for each firm</w:t>
      </w:r>
      <w:r w:rsidR="00DB2D42">
        <w:t xml:space="preserve">. </w:t>
      </w:r>
    </w:p>
    <w:p w14:paraId="2FA0F71D" w14:textId="5E8EFC6E" w:rsidR="00856745" w:rsidRDefault="00B3227C" w:rsidP="00DB2D42">
      <w:pPr>
        <w:spacing w:line="480" w:lineRule="auto"/>
        <w:ind w:firstLine="567"/>
      </w:pPr>
      <w:r w:rsidRPr="00B551A5">
        <w:t>Fourth</w:t>
      </w:r>
      <w:r w:rsidR="00DB2D42" w:rsidRPr="00B551A5">
        <w:t xml:space="preserve">, </w:t>
      </w:r>
      <w:r w:rsidR="000A14B7" w:rsidRPr="00B551A5">
        <w:t>in our</w:t>
      </w:r>
      <w:r w:rsidR="00856745" w:rsidRPr="00B551A5">
        <w:t xml:space="preserve"> </w:t>
      </w:r>
      <w:r w:rsidR="00070062" w:rsidRPr="00B551A5">
        <w:t>data collection efforts</w:t>
      </w:r>
      <w:r w:rsidR="000A14B7" w:rsidRPr="00B551A5">
        <w:t xml:space="preserve"> we made</w:t>
      </w:r>
      <w:r w:rsidR="00070062" w:rsidRPr="00B551A5">
        <w:t xml:space="preserve"> numerous attempt</w:t>
      </w:r>
      <w:r w:rsidR="000A14B7" w:rsidRPr="00B551A5">
        <w:t>s</w:t>
      </w:r>
      <w:r w:rsidR="00070062" w:rsidRPr="00B551A5">
        <w:t xml:space="preserve"> to get firms to </w:t>
      </w:r>
      <w:r w:rsidR="00672F3A" w:rsidRPr="00B551A5">
        <w:t xml:space="preserve">participate and </w:t>
      </w:r>
      <w:r w:rsidR="00856745" w:rsidRPr="00B551A5">
        <w:t>increase our response rate</w:t>
      </w:r>
      <w:r w:rsidR="00672F3A" w:rsidRPr="00B551A5">
        <w:t xml:space="preserve"> in </w:t>
      </w:r>
      <w:r w:rsidR="00BC559F" w:rsidRPr="00B551A5">
        <w:t>b</w:t>
      </w:r>
      <w:r w:rsidR="00672F3A" w:rsidRPr="00B551A5">
        <w:t>oth the Netherlands and Italy. For our first</w:t>
      </w:r>
      <w:r w:rsidR="0070621E" w:rsidRPr="00B551A5">
        <w:t>-</w:t>
      </w:r>
      <w:r w:rsidR="00672F3A" w:rsidRPr="00B551A5">
        <w:t xml:space="preserve">round </w:t>
      </w:r>
      <w:r w:rsidR="00BC559F" w:rsidRPr="00B551A5">
        <w:t>questionnaires</w:t>
      </w:r>
      <w:r w:rsidR="00672F3A" w:rsidRPr="00B551A5">
        <w:t xml:space="preserve"> these added efforts paid off and we ha</w:t>
      </w:r>
      <w:r w:rsidR="0070621E" w:rsidRPr="00B551A5">
        <w:t>d</w:t>
      </w:r>
      <w:r w:rsidR="00672F3A" w:rsidRPr="00B551A5">
        <w:t xml:space="preserve"> relatively good response rates.  However</w:t>
      </w:r>
      <w:r w:rsidR="00856745" w:rsidRPr="00B551A5">
        <w:t>, especially for the Italian sample</w:t>
      </w:r>
      <w:r w:rsidR="009C21C3" w:rsidRPr="00B551A5">
        <w:t>,</w:t>
      </w:r>
      <w:r w:rsidR="00856745" w:rsidRPr="00B551A5">
        <w:t xml:space="preserve"> response rates for the second</w:t>
      </w:r>
      <w:r w:rsidR="0070621E" w:rsidRPr="00B551A5">
        <w:t>-round</w:t>
      </w:r>
      <w:r w:rsidR="00856745" w:rsidRPr="00B551A5">
        <w:t xml:space="preserve"> questionnaire were low</w:t>
      </w:r>
      <w:r w:rsidR="005966A7" w:rsidRPr="00B551A5">
        <w:t>er</w:t>
      </w:r>
      <w:r w:rsidR="00856745" w:rsidRPr="00B551A5">
        <w:t>. Future research could look at this issue to determine why Italian SMEs appeared to be more reluctant to answer a second questionnaire, compared to Dutch SMEs</w:t>
      </w:r>
      <w:r w:rsidR="002A4C52" w:rsidRPr="00B551A5">
        <w:t>.</w:t>
      </w:r>
      <w:r w:rsidR="00856745" w:rsidRPr="00B551A5">
        <w:t xml:space="preserve">  Do incentives need to be included to increase response rates</w:t>
      </w:r>
      <w:r w:rsidR="00A20D9F" w:rsidRPr="00B551A5">
        <w:t xml:space="preserve"> for follow-up surveys</w:t>
      </w:r>
      <w:r w:rsidR="00856745" w:rsidRPr="00B551A5">
        <w:t>?  Should research</w:t>
      </w:r>
      <w:r w:rsidR="00C71EAE" w:rsidRPr="00B551A5">
        <w:t>ers budget in additional funds when using research</w:t>
      </w:r>
      <w:r w:rsidR="00856745" w:rsidRPr="00B551A5">
        <w:t xml:space="preserve"> companies to undertake additional steps to collect data for second</w:t>
      </w:r>
      <w:r w:rsidR="00C71EAE" w:rsidRPr="00B551A5">
        <w:t>-round</w:t>
      </w:r>
      <w:r w:rsidR="00856745" w:rsidRPr="00B551A5">
        <w:t xml:space="preserve"> </w:t>
      </w:r>
      <w:r w:rsidRPr="00B551A5">
        <w:t>questionnaires</w:t>
      </w:r>
      <w:r w:rsidR="00856745" w:rsidRPr="00B551A5">
        <w:t>?</w:t>
      </w:r>
      <w:r w:rsidRPr="00B551A5">
        <w:t xml:space="preserve"> </w:t>
      </w:r>
      <w:r w:rsidR="00C615DE" w:rsidRPr="00B551A5">
        <w:t>Are there alternatives to using two rounds of questionnaire</w:t>
      </w:r>
      <w:r w:rsidR="00B551A5">
        <w:t>s</w:t>
      </w:r>
      <w:r w:rsidR="00C615DE" w:rsidRPr="00B551A5">
        <w:t xml:space="preserve"> to deal with </w:t>
      </w:r>
      <w:r w:rsidR="00660D92" w:rsidRPr="00B551A5">
        <w:t>common</w:t>
      </w:r>
      <w:r w:rsidR="00C615DE" w:rsidRPr="00B551A5">
        <w:t xml:space="preserve"> methods bias? </w:t>
      </w:r>
      <w:r w:rsidRPr="00B551A5">
        <w:t>These issues need further investigation to improve response rates in similar situations.</w:t>
      </w:r>
      <w:r>
        <w:t xml:space="preserve">  </w:t>
      </w:r>
    </w:p>
    <w:p w14:paraId="5EE3D63D" w14:textId="56B7CE12" w:rsidR="00DB2D42" w:rsidRPr="000701FD" w:rsidRDefault="00856745" w:rsidP="00DB2D42">
      <w:pPr>
        <w:spacing w:line="480" w:lineRule="auto"/>
        <w:ind w:firstLine="567"/>
      </w:pPr>
      <w:r>
        <w:t>F</w:t>
      </w:r>
      <w:r w:rsidR="00B3227C">
        <w:t>ifth</w:t>
      </w:r>
      <w:r>
        <w:t xml:space="preserve">, </w:t>
      </w:r>
      <w:r w:rsidR="00DB2D42" w:rsidRPr="000701FD">
        <w:t xml:space="preserve">our data </w:t>
      </w:r>
      <w:r w:rsidR="0093078F">
        <w:t>were</w:t>
      </w:r>
      <w:r w:rsidR="00DB2D42" w:rsidRPr="000701FD">
        <w:t xml:space="preserve"> based on the responses from only one person in each firm. Although we looked for the most experienced and knowledgeable person regarding the export operations of the firm and we split the data collection at two different times, the use of multiple respondents may help assure that the data collected does not suffer from common methods</w:t>
      </w:r>
      <w:r w:rsidR="00DB2D42">
        <w:t xml:space="preserve"> or other</w:t>
      </w:r>
      <w:r w:rsidR="00DB2D42" w:rsidRPr="000701FD">
        <w:t xml:space="preserve"> bias</w:t>
      </w:r>
      <w:r w:rsidR="00DB2D42">
        <w:t xml:space="preserve">es. </w:t>
      </w:r>
      <w:r w:rsidR="00DB2D42" w:rsidRPr="000701FD">
        <w:t>Identifying sources of secondary data (as we did for the institutional measures) also help reduce any chance of bias affecting results.</w:t>
      </w:r>
    </w:p>
    <w:p w14:paraId="5EE3D63E" w14:textId="52A17EAB" w:rsidR="00E719F5" w:rsidRDefault="00B3227C" w:rsidP="00DB2D42">
      <w:pPr>
        <w:spacing w:line="480" w:lineRule="auto"/>
        <w:ind w:firstLine="567"/>
      </w:pPr>
      <w:r>
        <w:t>Sixth</w:t>
      </w:r>
      <w:r w:rsidR="00E719F5" w:rsidRPr="00BD6B85">
        <w:t xml:space="preserve">, while we found some support for the moderating impact of institutional distance, our results were disappointing. It could be that our measures of the </w:t>
      </w:r>
      <w:r w:rsidR="00BD6B85" w:rsidRPr="00BD6B85">
        <w:t>normative and cognitive</w:t>
      </w:r>
      <w:r w:rsidR="00E719F5" w:rsidRPr="00BD6B85">
        <w:t xml:space="preserve"> components of the institutional environment are not appropriate for exporting operations. </w:t>
      </w:r>
      <w:r w:rsidR="00E719F5" w:rsidRPr="00BD6B85">
        <w:lastRenderedPageBreak/>
        <w:t>Future research could make an important contribution by building on this area and developing more export</w:t>
      </w:r>
      <w:r w:rsidR="00BD6B85" w:rsidRPr="00BD6B85">
        <w:t>-</w:t>
      </w:r>
      <w:r w:rsidR="00E719F5" w:rsidRPr="00BD6B85">
        <w:t>specific measures of the institutional environment.</w:t>
      </w:r>
      <w:r w:rsidR="00E719F5">
        <w:t xml:space="preserve"> </w:t>
      </w:r>
    </w:p>
    <w:p w14:paraId="2EF9726E" w14:textId="2BD07E22" w:rsidR="004248DD" w:rsidRPr="00C163B9" w:rsidRDefault="004248DD" w:rsidP="004248DD">
      <w:pPr>
        <w:spacing w:line="480" w:lineRule="auto"/>
        <w:ind w:firstLine="567"/>
      </w:pPr>
      <w:r w:rsidRPr="00073D04">
        <w:t xml:space="preserve">Seventh, we advance knowledge of export channel </w:t>
      </w:r>
      <w:r w:rsidR="00CA18D7" w:rsidRPr="00073D04">
        <w:t>choice</w:t>
      </w:r>
      <w:r w:rsidRPr="00073D04">
        <w:t xml:space="preserve"> by examining how it is related to market-specific performance, instead of overall firm performance thus overcoming an issue encountered in past export studies (</w:t>
      </w:r>
      <w:proofErr w:type="spellStart"/>
      <w:r w:rsidRPr="00073D04">
        <w:t>Cavusgil</w:t>
      </w:r>
      <w:proofErr w:type="spellEnd"/>
      <w:r w:rsidRPr="00073D04">
        <w:t xml:space="preserve"> &amp; Zou, 1994; </w:t>
      </w:r>
      <w:proofErr w:type="spellStart"/>
      <w:r w:rsidRPr="00073D04">
        <w:t>Keupp</w:t>
      </w:r>
      <w:proofErr w:type="spellEnd"/>
      <w:r w:rsidRPr="00073D04">
        <w:t xml:space="preserve"> &amp; Gassmann, 2009). But our performance regression, while significant, does not explain a large portion of the variance in market-specific performance. It seems that there are other factors, not captured in our study </w:t>
      </w:r>
      <w:r w:rsidR="00CA18D7" w:rsidRPr="00073D04">
        <w:t>that need to be considered</w:t>
      </w:r>
      <w:r w:rsidRPr="00073D04">
        <w:t xml:space="preserve">.  Despite </w:t>
      </w:r>
      <w:r w:rsidR="00725C94" w:rsidRPr="00073D04">
        <w:t xml:space="preserve">the volume of research looking at export performance, </w:t>
      </w:r>
      <w:r w:rsidRPr="00073D04">
        <w:t xml:space="preserve">we </w:t>
      </w:r>
      <w:r w:rsidR="00CA18D7" w:rsidRPr="00073D04">
        <w:t xml:space="preserve">appear </w:t>
      </w:r>
      <w:r w:rsidRPr="00073D04">
        <w:t xml:space="preserve">to need </w:t>
      </w:r>
      <w:r w:rsidR="00896B83" w:rsidRPr="00073D04">
        <w:t>additional</w:t>
      </w:r>
      <w:r w:rsidR="007F331E" w:rsidRPr="00073D04">
        <w:t xml:space="preserve"> </w:t>
      </w:r>
      <w:r w:rsidRPr="00073D04">
        <w:t xml:space="preserve">research to examine more fully the factors that impact </w:t>
      </w:r>
      <w:r w:rsidR="00CA18D7" w:rsidRPr="00073D04">
        <w:t xml:space="preserve">market-specific </w:t>
      </w:r>
      <w:r w:rsidRPr="00073D04">
        <w:t>export performance</w:t>
      </w:r>
      <w:r w:rsidR="00403E24" w:rsidRPr="00073D04">
        <w:t xml:space="preserve"> as many studies actually look at firm actions that influence exporting in one specific market and hence will have only a minimal impact of overall firm export performance</w:t>
      </w:r>
      <w:r w:rsidRPr="00073D04">
        <w:t>.</w:t>
      </w:r>
      <w:r>
        <w:t xml:space="preserve">  </w:t>
      </w:r>
    </w:p>
    <w:p w14:paraId="5EE3D643" w14:textId="13B4F16F" w:rsidR="00C163B9" w:rsidRDefault="004F3889" w:rsidP="00DB2D42">
      <w:pPr>
        <w:spacing w:line="480" w:lineRule="auto"/>
        <w:ind w:firstLine="567"/>
      </w:pPr>
      <w:r w:rsidRPr="005A1E2C">
        <w:t xml:space="preserve">In addition, </w:t>
      </w:r>
      <w:r w:rsidR="00C163B9" w:rsidRPr="005A1E2C">
        <w:t xml:space="preserve">we tested </w:t>
      </w:r>
      <w:r w:rsidR="004248DD">
        <w:t xml:space="preserve">market-specific </w:t>
      </w:r>
      <w:r w:rsidR="00C163B9" w:rsidRPr="005A1E2C">
        <w:t>performance difference</w:t>
      </w:r>
      <w:r w:rsidR="003D39E8" w:rsidRPr="005A1E2C">
        <w:t>s</w:t>
      </w:r>
      <w:r w:rsidR="00C163B9" w:rsidRPr="005A1E2C">
        <w:t xml:space="preserve"> between firms using the theoretically </w:t>
      </w:r>
      <w:r w:rsidR="008076AF" w:rsidRPr="005A1E2C">
        <w:t>predicted</w:t>
      </w:r>
      <w:r w:rsidR="00C163B9" w:rsidRPr="005A1E2C">
        <w:t xml:space="preserve"> export channel and firms using other export channels. This raises</w:t>
      </w:r>
      <w:r w:rsidR="009D1BD7" w:rsidRPr="005A1E2C">
        <w:t xml:space="preserve"> a</w:t>
      </w:r>
      <w:r w:rsidR="00C163B9" w:rsidRPr="005A1E2C">
        <w:t xml:space="preserve"> question about why firms might use a non-optimal export channel. </w:t>
      </w:r>
      <w:r w:rsidR="00935CF5">
        <w:t>T</w:t>
      </w:r>
      <w:r w:rsidR="00C163B9" w:rsidRPr="005A1E2C">
        <w:t>here are many reasons firms might not select the best performing export channel. For example, past history (past export channel experience) might bias firms to choose one channel over another. Through inertia firms might select the same export channel in each foreign market. While we try to control for such contingencies, these still do not completely explain why firms make</w:t>
      </w:r>
      <w:r w:rsidR="008076AF" w:rsidRPr="005A1E2C">
        <w:t xml:space="preserve"> non-optimal</w:t>
      </w:r>
      <w:r w:rsidR="00C163B9" w:rsidRPr="005A1E2C">
        <w:t xml:space="preserve"> choices. Future research might want to develop and test theory to explain why firms choose export channels other than those determined by the</w:t>
      </w:r>
      <w:r w:rsidR="00DD2F2A" w:rsidRPr="005A1E2C">
        <w:t>ories</w:t>
      </w:r>
      <w:r w:rsidR="00C163B9" w:rsidRPr="005A1E2C">
        <w:t xml:space="preserve"> like TCE.</w:t>
      </w:r>
    </w:p>
    <w:p w14:paraId="5EE3D644" w14:textId="77777777" w:rsidR="00DB2D42" w:rsidRDefault="0051161C" w:rsidP="00DB2D42">
      <w:pPr>
        <w:spacing w:line="480" w:lineRule="auto"/>
        <w:ind w:firstLine="567"/>
      </w:pPr>
      <w:r>
        <w:t xml:space="preserve">Finally, </w:t>
      </w:r>
      <w:r w:rsidR="00DB2D42" w:rsidRPr="000701FD">
        <w:t xml:space="preserve">we collected cross-sectional data, which is an appropriate method to analyze what is happening at a certain moment </w:t>
      </w:r>
      <w:r w:rsidR="001005BD">
        <w:t>in</w:t>
      </w:r>
      <w:r w:rsidR="00DB2D42" w:rsidRPr="000701FD">
        <w:t xml:space="preserve"> time. However, there might be dynamic interactions between the development of EO, export channel selection</w:t>
      </w:r>
      <w:r w:rsidR="00DB2D42">
        <w:t>,</w:t>
      </w:r>
      <w:r w:rsidR="00DB2D42" w:rsidRPr="000701FD">
        <w:t xml:space="preserve"> and performance. EO</w:t>
      </w:r>
      <w:r w:rsidR="001005BD">
        <w:t xml:space="preserve"> </w:t>
      </w:r>
      <w:r w:rsidR="00DB2D42" w:rsidRPr="000701FD">
        <w:t>may only provide an advantage to the firm early in the export operation; over time firms with low</w:t>
      </w:r>
      <w:r w:rsidR="004D727A">
        <w:t>er</w:t>
      </w:r>
      <w:r w:rsidR="00DB2D42" w:rsidRPr="000701FD">
        <w:t xml:space="preserve"> EO </w:t>
      </w:r>
      <w:r w:rsidR="00DB2D42" w:rsidRPr="000701FD">
        <w:lastRenderedPageBreak/>
        <w:t xml:space="preserve">might adjust to the export market and reduce or eliminate any EO </w:t>
      </w:r>
      <w:r w:rsidR="0093078F">
        <w:t>dis</w:t>
      </w:r>
      <w:r w:rsidR="00DB2D42" w:rsidRPr="000701FD">
        <w:t>advantage</w:t>
      </w:r>
      <w:r w:rsidR="0093078F">
        <w:t xml:space="preserve"> they initially possessed</w:t>
      </w:r>
      <w:r w:rsidR="00DB2D42">
        <w:t xml:space="preserve">. </w:t>
      </w:r>
      <w:r w:rsidR="00DB2D42" w:rsidRPr="000701FD">
        <w:t xml:space="preserve">Hence, future research could employ longitudinal data and explore the relation between EO, export channel </w:t>
      </w:r>
      <w:r w:rsidR="00DB2D42">
        <w:t xml:space="preserve">choice, </w:t>
      </w:r>
      <w:r w:rsidR="00DB2D42" w:rsidRPr="000701FD">
        <w:t>and export performance over time.</w:t>
      </w:r>
    </w:p>
    <w:p w14:paraId="5EE3D645" w14:textId="77777777" w:rsidR="00DB2D42" w:rsidRDefault="00DB2D42" w:rsidP="00DB2D42">
      <w:pPr>
        <w:spacing w:line="480" w:lineRule="auto"/>
        <w:ind w:firstLine="567"/>
      </w:pPr>
    </w:p>
    <w:p w14:paraId="5EE3D646" w14:textId="7A38DDD2" w:rsidR="00DB2D42" w:rsidRPr="00EB1377" w:rsidRDefault="00AE589D" w:rsidP="00DB2D42">
      <w:pPr>
        <w:spacing w:line="480" w:lineRule="auto"/>
        <w:rPr>
          <w:b/>
        </w:rPr>
      </w:pPr>
      <w:r>
        <w:rPr>
          <w:b/>
        </w:rPr>
        <w:t xml:space="preserve">5.2 </w:t>
      </w:r>
      <w:r w:rsidR="00DB2D42" w:rsidRPr="00EB1377">
        <w:rPr>
          <w:b/>
        </w:rPr>
        <w:t>Conclusion</w:t>
      </w:r>
    </w:p>
    <w:p w14:paraId="5EE3D647" w14:textId="42C8DE7B" w:rsidR="00D27F34" w:rsidRDefault="00B06DEF" w:rsidP="00424BA9">
      <w:pPr>
        <w:spacing w:line="480" w:lineRule="auto"/>
        <w:ind w:firstLine="567"/>
      </w:pPr>
      <w:r w:rsidRPr="00404BE7">
        <w:t xml:space="preserve">SMEs continue to use exporting to expand </w:t>
      </w:r>
      <w:r w:rsidR="000234AC" w:rsidRPr="00404BE7">
        <w:t>abroad</w:t>
      </w:r>
      <w:r w:rsidRPr="00404BE7">
        <w:t xml:space="preserve"> (E</w:t>
      </w:r>
      <w:r w:rsidR="000234AC" w:rsidRPr="00404BE7">
        <w:t xml:space="preserve">uropean Commission, 2018), </w:t>
      </w:r>
      <w:r w:rsidR="005A58B4" w:rsidRPr="00404BE7">
        <w:t>so understanding how best to structure these export operations is critically important</w:t>
      </w:r>
      <w:r w:rsidR="005A58B4">
        <w:t>. O</w:t>
      </w:r>
      <w:r w:rsidR="00DB2D42" w:rsidRPr="00EB1377">
        <w:t xml:space="preserve">ur study helps advance knowledge </w:t>
      </w:r>
      <w:r w:rsidR="0083796D" w:rsidRPr="00404BE7">
        <w:t>and overcome a problem with past research</w:t>
      </w:r>
      <w:r w:rsidR="0083796D">
        <w:t xml:space="preserve"> </w:t>
      </w:r>
      <w:r w:rsidR="00DB2D42" w:rsidRPr="00EB1377">
        <w:t xml:space="preserve">concerning </w:t>
      </w:r>
      <w:r w:rsidR="0051161C" w:rsidRPr="00EB1377">
        <w:t>value creation in exporting</w:t>
      </w:r>
      <w:r w:rsidR="00F635C2">
        <w:t xml:space="preserve"> SMEs</w:t>
      </w:r>
      <w:r w:rsidR="002D1D0A">
        <w:t xml:space="preserve">. </w:t>
      </w:r>
      <w:r w:rsidR="00927B04" w:rsidRPr="00F42077">
        <w:t>We</w:t>
      </w:r>
      <w:r w:rsidR="00DB2D42" w:rsidRPr="00F42077">
        <w:t xml:space="preserve"> add a</w:t>
      </w:r>
      <w:r w:rsidR="004D727A" w:rsidRPr="00F42077">
        <w:t>n entrepreneurship</w:t>
      </w:r>
      <w:r w:rsidR="00DB2D42" w:rsidRPr="00F42077">
        <w:t xml:space="preserve"> perspective to existing transaction cost research </w:t>
      </w:r>
      <w:r w:rsidR="00927B04" w:rsidRPr="00F42077">
        <w:t>and</w:t>
      </w:r>
      <w:r w:rsidR="00DB2D42" w:rsidRPr="00F42077">
        <w:t xml:space="preserve"> develop</w:t>
      </w:r>
      <w:r w:rsidR="00DB2D42" w:rsidRPr="00EB1377">
        <w:t xml:space="preserve"> </w:t>
      </w:r>
      <w:r w:rsidR="0051161C" w:rsidRPr="00EB1377">
        <w:t xml:space="preserve">new </w:t>
      </w:r>
      <w:r w:rsidR="00DB2D42" w:rsidRPr="00EB1377">
        <w:t xml:space="preserve">theory to explain how the level of </w:t>
      </w:r>
      <w:r w:rsidR="00AE573C">
        <w:t>EO</w:t>
      </w:r>
      <w:r w:rsidR="00DB2D42" w:rsidRPr="00EB1377">
        <w:t xml:space="preserve"> a firm </w:t>
      </w:r>
      <w:r w:rsidR="0051161C" w:rsidRPr="00EB1377">
        <w:t xml:space="preserve">possesses </w:t>
      </w:r>
      <w:r w:rsidR="00DB2D42" w:rsidRPr="00EB1377">
        <w:t xml:space="preserve">impacts the export channel decision and consequently export performance. </w:t>
      </w:r>
      <w:r w:rsidR="0051161C" w:rsidRPr="00EB1377">
        <w:t>B</w:t>
      </w:r>
      <w:r w:rsidR="00DB2D42" w:rsidRPr="00EB1377">
        <w:t xml:space="preserve">uilding on insights from institutional theory, we </w:t>
      </w:r>
      <w:r w:rsidR="0051161C" w:rsidRPr="00EB1377">
        <w:t xml:space="preserve">also </w:t>
      </w:r>
      <w:r w:rsidR="00DB2D42" w:rsidRPr="00EB1377">
        <w:t xml:space="preserve">develop a unique perspective to explain how institutional differences influence the value </w:t>
      </w:r>
      <w:r w:rsidR="00641C91" w:rsidRPr="00EB1377">
        <w:t xml:space="preserve">a </w:t>
      </w:r>
      <w:r w:rsidR="0051161C" w:rsidRPr="00EB1377">
        <w:t>firm can generate from its</w:t>
      </w:r>
      <w:r w:rsidR="00DB2D42" w:rsidRPr="00EB1377">
        <w:t xml:space="preserve"> EO when expand</w:t>
      </w:r>
      <w:r w:rsidR="0051161C" w:rsidRPr="00EB1377">
        <w:t>ing</w:t>
      </w:r>
      <w:r w:rsidR="00DB2D42" w:rsidRPr="00EB1377">
        <w:t xml:space="preserve"> abroad and how this interaction</w:t>
      </w:r>
      <w:r w:rsidR="0051161C" w:rsidRPr="00EB1377">
        <w:t xml:space="preserve"> </w:t>
      </w:r>
      <w:r w:rsidR="00DB2D42" w:rsidRPr="00EB1377">
        <w:t xml:space="preserve">influences export channel choice and export performance. </w:t>
      </w:r>
      <w:r w:rsidR="000114D4" w:rsidRPr="00EB1377">
        <w:t>Accordingly</w:t>
      </w:r>
      <w:r w:rsidR="00DB2D42" w:rsidRPr="00EB1377">
        <w:t xml:space="preserve">, our study </w:t>
      </w:r>
      <w:r w:rsidR="0051161C" w:rsidRPr="00EB1377">
        <w:t xml:space="preserve">makes several </w:t>
      </w:r>
      <w:r w:rsidR="00DB2D42" w:rsidRPr="00EB1377">
        <w:t>contributes</w:t>
      </w:r>
      <w:r w:rsidR="0051161C" w:rsidRPr="00EB1377">
        <w:t>;</w:t>
      </w:r>
      <w:r w:rsidR="00DB2D42" w:rsidRPr="00EB1377">
        <w:t xml:space="preserve"> </w:t>
      </w:r>
      <w:r w:rsidR="00DB2D42" w:rsidRPr="00E9088A">
        <w:t xml:space="preserve">suggesting that </w:t>
      </w:r>
      <w:r w:rsidR="00963D99" w:rsidRPr="00E9088A">
        <w:t xml:space="preserve">firms can create more successful export operation </w:t>
      </w:r>
      <w:r w:rsidR="00815C7C" w:rsidRPr="00E9088A">
        <w:t>by</w:t>
      </w:r>
      <w:r w:rsidR="00815C7C">
        <w:t xml:space="preserve"> </w:t>
      </w:r>
      <w:r w:rsidR="00DB2D42" w:rsidRPr="00EB1377">
        <w:t xml:space="preserve">not only </w:t>
      </w:r>
      <w:r w:rsidR="00815C7C">
        <w:t>considering</w:t>
      </w:r>
      <w:r w:rsidR="0051161C" w:rsidRPr="00EB1377">
        <w:t xml:space="preserve"> </w:t>
      </w:r>
      <w:r w:rsidR="00DB2D42" w:rsidRPr="00EB1377">
        <w:t xml:space="preserve">transaction cost factors but </w:t>
      </w:r>
      <w:r w:rsidR="0051161C" w:rsidRPr="00EB1377">
        <w:t xml:space="preserve">also </w:t>
      </w:r>
      <w:r w:rsidR="00DB2D42" w:rsidRPr="00EB1377">
        <w:t xml:space="preserve">the </w:t>
      </w:r>
      <w:r w:rsidR="004D727A">
        <w:t xml:space="preserve">level of </w:t>
      </w:r>
      <w:r w:rsidR="0051161C" w:rsidRPr="00EB1377">
        <w:t>EO of</w:t>
      </w:r>
      <w:r w:rsidR="00DB2D42" w:rsidRPr="00EB1377">
        <w:t xml:space="preserve"> the firm</w:t>
      </w:r>
      <w:r w:rsidR="00F635C2">
        <w:t xml:space="preserve">, </w:t>
      </w:r>
      <w:r w:rsidR="00F635C2" w:rsidRPr="005A1E2C">
        <w:t>contingent on</w:t>
      </w:r>
      <w:r w:rsidR="00DB2D42" w:rsidRPr="00EB1377">
        <w:t xml:space="preserve"> </w:t>
      </w:r>
      <w:r w:rsidR="0051161C" w:rsidRPr="00EB1377">
        <w:t xml:space="preserve">the </w:t>
      </w:r>
      <w:r w:rsidR="00DB2D42" w:rsidRPr="00EB1377">
        <w:t>institutional distance</w:t>
      </w:r>
      <w:r w:rsidR="0051161C" w:rsidRPr="00EB1377">
        <w:t xml:space="preserve"> of the export market</w:t>
      </w:r>
      <w:r w:rsidR="00DB2D42" w:rsidRPr="00EB1377">
        <w:t>. Hence, our paper helps advance</w:t>
      </w:r>
      <w:r w:rsidR="000114D4" w:rsidRPr="00EB1377">
        <w:t xml:space="preserve"> our understanding of</w:t>
      </w:r>
      <w:r w:rsidR="00DB2D42" w:rsidRPr="00EB1377">
        <w:t xml:space="preserve"> international entrepreneurship and exporting by developing and testing new theory that</w:t>
      </w:r>
      <w:r w:rsidR="00D267B4">
        <w:t xml:space="preserve"> </w:t>
      </w:r>
      <w:r w:rsidR="00D267B4" w:rsidRPr="00E9088A">
        <w:t xml:space="preserve">overcomes a </w:t>
      </w:r>
      <w:r w:rsidR="00A94908">
        <w:t>short-coming</w:t>
      </w:r>
      <w:r w:rsidR="00D267B4" w:rsidRPr="00E9088A">
        <w:t xml:space="preserve"> with past research</w:t>
      </w:r>
      <w:r w:rsidR="00A94908">
        <w:t>,</w:t>
      </w:r>
      <w:r w:rsidR="00D267B4" w:rsidRPr="00E9088A">
        <w:t xml:space="preserve"> to</w:t>
      </w:r>
      <w:r w:rsidR="00DB2D42" w:rsidRPr="00E9088A">
        <w:t xml:space="preserve"> explain</w:t>
      </w:r>
      <w:r w:rsidR="00DB2D42" w:rsidRPr="00EB1377">
        <w:t xml:space="preserve"> </w:t>
      </w:r>
      <w:r w:rsidR="000114D4" w:rsidRPr="00EB1377">
        <w:t xml:space="preserve">value creation as firms </w:t>
      </w:r>
      <w:r w:rsidR="00DB2D42" w:rsidRPr="00EB1377">
        <w:t xml:space="preserve">internationalize. </w:t>
      </w:r>
    </w:p>
    <w:p w14:paraId="6E50CAE5" w14:textId="77777777" w:rsidR="002B5CAC" w:rsidRDefault="002B5CAC">
      <w:pPr>
        <w:rPr>
          <w:b/>
        </w:rPr>
      </w:pPr>
      <w:r>
        <w:rPr>
          <w:b/>
        </w:rPr>
        <w:br w:type="page"/>
      </w:r>
    </w:p>
    <w:p w14:paraId="5EE3D64F" w14:textId="78220133" w:rsidR="00E03C2E" w:rsidRPr="00EB1377" w:rsidRDefault="00E03C2E" w:rsidP="00AE589D">
      <w:pPr>
        <w:rPr>
          <w:b/>
        </w:rPr>
      </w:pPr>
      <w:r w:rsidRPr="00EB1377">
        <w:rPr>
          <w:b/>
        </w:rPr>
        <w:lastRenderedPageBreak/>
        <w:t>R</w:t>
      </w:r>
      <w:r w:rsidR="00935A59">
        <w:rPr>
          <w:b/>
        </w:rPr>
        <w:t>EFERENCES</w:t>
      </w:r>
    </w:p>
    <w:p w14:paraId="5EE3D650" w14:textId="77777777" w:rsidR="00E03C2E" w:rsidRPr="00EB1377" w:rsidRDefault="00E03C2E" w:rsidP="00342351">
      <w:pPr>
        <w:ind w:right="-108" w:firstLine="567"/>
      </w:pPr>
    </w:p>
    <w:p w14:paraId="5EE3D651" w14:textId="77777777" w:rsidR="004167C3" w:rsidRPr="002B5CAC" w:rsidRDefault="004167C3" w:rsidP="00533FD2">
      <w:pPr>
        <w:ind w:right="849"/>
        <w:rPr>
          <w:rFonts w:eastAsiaTheme="minorHAnsi"/>
          <w:sz w:val="22"/>
          <w:szCs w:val="22"/>
          <w:lang w:val="en-GB" w:eastAsia="en-US"/>
        </w:rPr>
      </w:pPr>
      <w:r w:rsidRPr="002B5CAC">
        <w:rPr>
          <w:rFonts w:eastAsiaTheme="minorHAnsi"/>
          <w:sz w:val="22"/>
          <w:szCs w:val="22"/>
          <w:lang w:eastAsia="en-US"/>
        </w:rPr>
        <w:t xml:space="preserve">Ai, C., &amp; Norton, E.C. 2003. </w:t>
      </w:r>
      <w:r w:rsidRPr="002B5CAC">
        <w:rPr>
          <w:rFonts w:eastAsiaTheme="minorHAnsi"/>
          <w:sz w:val="22"/>
          <w:szCs w:val="22"/>
          <w:lang w:val="en-GB" w:eastAsia="en-US"/>
        </w:rPr>
        <w:t xml:space="preserve">Interaction terms in logit and </w:t>
      </w:r>
      <w:proofErr w:type="spellStart"/>
      <w:r w:rsidRPr="002B5CAC">
        <w:rPr>
          <w:rFonts w:eastAsiaTheme="minorHAnsi"/>
          <w:sz w:val="22"/>
          <w:szCs w:val="22"/>
          <w:lang w:val="en-GB" w:eastAsia="en-US"/>
        </w:rPr>
        <w:t>probit</w:t>
      </w:r>
      <w:proofErr w:type="spellEnd"/>
      <w:r w:rsidRPr="002B5CAC">
        <w:rPr>
          <w:rFonts w:eastAsiaTheme="minorHAnsi"/>
          <w:sz w:val="22"/>
          <w:szCs w:val="22"/>
          <w:lang w:val="en-GB" w:eastAsia="en-US"/>
        </w:rPr>
        <w:t xml:space="preserve"> models.</w:t>
      </w:r>
      <w:r w:rsidR="00E61DFE" w:rsidRPr="002B5CAC">
        <w:rPr>
          <w:rFonts w:eastAsiaTheme="minorHAnsi"/>
          <w:sz w:val="22"/>
          <w:szCs w:val="22"/>
          <w:lang w:val="en-GB" w:eastAsia="en-US"/>
        </w:rPr>
        <w:t xml:space="preserve"> E</w:t>
      </w:r>
      <w:r w:rsidRPr="002B5CAC">
        <w:rPr>
          <w:rFonts w:eastAsiaTheme="minorHAnsi"/>
          <w:i/>
          <w:sz w:val="22"/>
          <w:szCs w:val="22"/>
          <w:lang w:val="en-GB" w:eastAsia="en-US"/>
        </w:rPr>
        <w:t xml:space="preserve">conomics </w:t>
      </w:r>
      <w:r w:rsidR="00E61DFE" w:rsidRPr="002B5CAC">
        <w:rPr>
          <w:rFonts w:eastAsiaTheme="minorHAnsi"/>
          <w:i/>
          <w:sz w:val="22"/>
          <w:szCs w:val="22"/>
          <w:lang w:val="en-GB" w:eastAsia="en-US"/>
        </w:rPr>
        <w:t>L</w:t>
      </w:r>
      <w:r w:rsidRPr="002B5CAC">
        <w:rPr>
          <w:rFonts w:eastAsiaTheme="minorHAnsi"/>
          <w:i/>
          <w:sz w:val="22"/>
          <w:szCs w:val="22"/>
          <w:lang w:val="en-GB" w:eastAsia="en-US"/>
        </w:rPr>
        <w:t>etters</w:t>
      </w:r>
      <w:r w:rsidRPr="002B5CAC">
        <w:rPr>
          <w:rFonts w:eastAsiaTheme="minorHAnsi"/>
          <w:sz w:val="22"/>
          <w:szCs w:val="22"/>
          <w:lang w:val="en-GB" w:eastAsia="en-US"/>
        </w:rPr>
        <w:t>, 80(1): 123-129.</w:t>
      </w:r>
    </w:p>
    <w:p w14:paraId="5EE3D652" w14:textId="77777777" w:rsidR="004167C3" w:rsidRPr="002B5CAC" w:rsidRDefault="004167C3" w:rsidP="00533FD2">
      <w:pPr>
        <w:ind w:right="849"/>
        <w:rPr>
          <w:rFonts w:eastAsiaTheme="minorHAnsi"/>
          <w:sz w:val="22"/>
          <w:szCs w:val="22"/>
          <w:lang w:val="en-GB" w:eastAsia="en-US"/>
        </w:rPr>
      </w:pPr>
    </w:p>
    <w:p w14:paraId="5EE3D653" w14:textId="77777777" w:rsidR="008D4A62" w:rsidRPr="002B5CAC" w:rsidRDefault="008D4A62" w:rsidP="00533FD2">
      <w:pPr>
        <w:ind w:right="-108"/>
        <w:rPr>
          <w:sz w:val="22"/>
          <w:szCs w:val="22"/>
        </w:rPr>
      </w:pPr>
      <w:r w:rsidRPr="002B5CAC">
        <w:rPr>
          <w:sz w:val="22"/>
          <w:szCs w:val="22"/>
        </w:rPr>
        <w:t xml:space="preserve">Aiken, L.S., &amp; West, S.G. 1991. </w:t>
      </w:r>
      <w:r w:rsidRPr="002B5CAC">
        <w:rPr>
          <w:i/>
          <w:sz w:val="22"/>
          <w:szCs w:val="22"/>
        </w:rPr>
        <w:t xml:space="preserve">Multiple </w:t>
      </w:r>
      <w:r w:rsidR="00903DB0" w:rsidRPr="002B5CAC">
        <w:rPr>
          <w:i/>
          <w:sz w:val="22"/>
          <w:szCs w:val="22"/>
        </w:rPr>
        <w:t>R</w:t>
      </w:r>
      <w:r w:rsidRPr="002B5CAC">
        <w:rPr>
          <w:i/>
          <w:sz w:val="22"/>
          <w:szCs w:val="22"/>
        </w:rPr>
        <w:t xml:space="preserve">egression: Testing and </w:t>
      </w:r>
      <w:r w:rsidR="00903DB0" w:rsidRPr="002B5CAC">
        <w:rPr>
          <w:i/>
          <w:sz w:val="22"/>
          <w:szCs w:val="22"/>
        </w:rPr>
        <w:t>I</w:t>
      </w:r>
      <w:r w:rsidRPr="002B5CAC">
        <w:rPr>
          <w:i/>
          <w:sz w:val="22"/>
          <w:szCs w:val="22"/>
        </w:rPr>
        <w:t xml:space="preserve">nterpreting </w:t>
      </w:r>
      <w:r w:rsidR="00903DB0" w:rsidRPr="002B5CAC">
        <w:rPr>
          <w:i/>
          <w:sz w:val="22"/>
          <w:szCs w:val="22"/>
        </w:rPr>
        <w:t>I</w:t>
      </w:r>
      <w:r w:rsidRPr="002B5CAC">
        <w:rPr>
          <w:i/>
          <w:sz w:val="22"/>
          <w:szCs w:val="22"/>
        </w:rPr>
        <w:t>nteractions</w:t>
      </w:r>
      <w:r w:rsidRPr="002B5CAC">
        <w:rPr>
          <w:sz w:val="22"/>
          <w:szCs w:val="22"/>
        </w:rPr>
        <w:t>. Sage: Thousand Oaks, CA.</w:t>
      </w:r>
    </w:p>
    <w:p w14:paraId="5EE3D654" w14:textId="77777777" w:rsidR="00516C0A" w:rsidRPr="002B5CAC" w:rsidRDefault="00516C0A" w:rsidP="00533FD2">
      <w:pPr>
        <w:rPr>
          <w:rFonts w:eastAsiaTheme="minorHAnsi" w:cs="Arial"/>
          <w:b/>
          <w:sz w:val="22"/>
          <w:szCs w:val="22"/>
          <w:lang w:eastAsia="en-US"/>
        </w:rPr>
      </w:pPr>
    </w:p>
    <w:p w14:paraId="5EE3D655" w14:textId="77777777" w:rsidR="00516C0A" w:rsidRPr="002B5CAC" w:rsidRDefault="00516C0A" w:rsidP="00533FD2">
      <w:pPr>
        <w:rPr>
          <w:rFonts w:eastAsiaTheme="minorHAnsi" w:cs="Arial"/>
          <w:sz w:val="22"/>
          <w:szCs w:val="22"/>
          <w:lang w:eastAsia="en-US"/>
        </w:rPr>
      </w:pPr>
      <w:r w:rsidRPr="002B5CAC">
        <w:rPr>
          <w:rFonts w:eastAsiaTheme="minorHAnsi" w:cs="Arial"/>
          <w:sz w:val="22"/>
          <w:szCs w:val="22"/>
          <w:lang w:eastAsia="en-US"/>
        </w:rPr>
        <w:t>Alvarez, S.A.</w:t>
      </w:r>
      <w:r w:rsidR="00E61DFE" w:rsidRPr="002B5CAC">
        <w:rPr>
          <w:rFonts w:eastAsiaTheme="minorHAnsi" w:cs="Arial"/>
          <w:sz w:val="22"/>
          <w:szCs w:val="22"/>
          <w:lang w:eastAsia="en-US"/>
        </w:rPr>
        <w:t>,</w:t>
      </w:r>
      <w:r w:rsidRPr="002B5CAC">
        <w:rPr>
          <w:rFonts w:eastAsiaTheme="minorHAnsi" w:cs="Arial"/>
          <w:sz w:val="22"/>
          <w:szCs w:val="22"/>
          <w:lang w:eastAsia="en-US"/>
        </w:rPr>
        <w:t xml:space="preserve"> &amp; Barney, J.B. 2007. The entrepreneurial theory of the firm. </w:t>
      </w:r>
      <w:r w:rsidRPr="002B5CAC">
        <w:rPr>
          <w:rFonts w:eastAsiaTheme="minorHAnsi" w:cs="Arial"/>
          <w:i/>
          <w:sz w:val="22"/>
          <w:szCs w:val="22"/>
          <w:lang w:eastAsia="en-US"/>
        </w:rPr>
        <w:t>Journal of Management Studies</w:t>
      </w:r>
      <w:r w:rsidRPr="002B5CAC">
        <w:rPr>
          <w:rFonts w:eastAsiaTheme="minorHAnsi" w:cs="Arial"/>
          <w:sz w:val="22"/>
          <w:szCs w:val="22"/>
          <w:lang w:eastAsia="en-US"/>
        </w:rPr>
        <w:t>, 44(7): 1057-1063.</w:t>
      </w:r>
    </w:p>
    <w:p w14:paraId="5EE3D656" w14:textId="77777777" w:rsidR="008D4A62" w:rsidRPr="002B5CAC" w:rsidRDefault="008D4A62" w:rsidP="00533FD2">
      <w:pPr>
        <w:ind w:right="-108" w:hanging="720"/>
        <w:rPr>
          <w:sz w:val="22"/>
          <w:szCs w:val="22"/>
        </w:rPr>
      </w:pPr>
    </w:p>
    <w:p w14:paraId="5EE3D657" w14:textId="77777777" w:rsidR="009E6595" w:rsidRPr="002B5CAC" w:rsidRDefault="009E6595" w:rsidP="00533FD2">
      <w:pPr>
        <w:ind w:right="-108"/>
        <w:rPr>
          <w:sz w:val="22"/>
          <w:szCs w:val="22"/>
        </w:rPr>
      </w:pPr>
      <w:r w:rsidRPr="002B5CAC">
        <w:rPr>
          <w:sz w:val="22"/>
          <w:szCs w:val="22"/>
        </w:rPr>
        <w:t xml:space="preserve">Alvarez, S.A., &amp; </w:t>
      </w:r>
      <w:proofErr w:type="spellStart"/>
      <w:r w:rsidRPr="002B5CAC">
        <w:rPr>
          <w:sz w:val="22"/>
          <w:szCs w:val="22"/>
        </w:rPr>
        <w:t>Busenitz</w:t>
      </w:r>
      <w:proofErr w:type="spellEnd"/>
      <w:r w:rsidRPr="002B5CAC">
        <w:rPr>
          <w:sz w:val="22"/>
          <w:szCs w:val="22"/>
        </w:rPr>
        <w:t xml:space="preserve">, L.W. 2001. The entrepreneurship of resource-based theory. </w:t>
      </w:r>
      <w:r w:rsidRPr="002B5CAC">
        <w:rPr>
          <w:i/>
          <w:sz w:val="22"/>
          <w:szCs w:val="22"/>
        </w:rPr>
        <w:t xml:space="preserve">Journal of </w:t>
      </w:r>
      <w:r w:rsidR="00903DB0" w:rsidRPr="002B5CAC">
        <w:rPr>
          <w:i/>
          <w:sz w:val="22"/>
          <w:szCs w:val="22"/>
        </w:rPr>
        <w:t>M</w:t>
      </w:r>
      <w:r w:rsidRPr="002B5CAC">
        <w:rPr>
          <w:i/>
          <w:sz w:val="22"/>
          <w:szCs w:val="22"/>
        </w:rPr>
        <w:t>anagement</w:t>
      </w:r>
      <w:r w:rsidRPr="002B5CAC">
        <w:rPr>
          <w:sz w:val="22"/>
          <w:szCs w:val="22"/>
        </w:rPr>
        <w:t>, 27(6): 755-775.</w:t>
      </w:r>
    </w:p>
    <w:p w14:paraId="5EE3D658" w14:textId="77777777" w:rsidR="009E6595" w:rsidRPr="002B5CAC" w:rsidRDefault="009E6595" w:rsidP="00533FD2">
      <w:pPr>
        <w:ind w:right="-108" w:hanging="720"/>
        <w:rPr>
          <w:sz w:val="22"/>
          <w:szCs w:val="22"/>
        </w:rPr>
      </w:pPr>
    </w:p>
    <w:p w14:paraId="5EE3D659" w14:textId="77777777" w:rsidR="00E03C2E" w:rsidRPr="002B5CAC" w:rsidRDefault="00E03C2E" w:rsidP="00533FD2">
      <w:pPr>
        <w:ind w:right="-108"/>
        <w:rPr>
          <w:sz w:val="22"/>
          <w:szCs w:val="22"/>
        </w:rPr>
      </w:pPr>
      <w:r w:rsidRPr="002B5CAC">
        <w:rPr>
          <w:sz w:val="22"/>
          <w:szCs w:val="22"/>
        </w:rPr>
        <w:t xml:space="preserve">Anderson, E., &amp; Coughlan, A.T. 1987. International market entry and expansion via independent or integrated channels of distribution. </w:t>
      </w:r>
      <w:r w:rsidRPr="002B5CAC">
        <w:rPr>
          <w:i/>
          <w:sz w:val="22"/>
          <w:szCs w:val="22"/>
        </w:rPr>
        <w:t>Journal of Marketing</w:t>
      </w:r>
      <w:r w:rsidRPr="002B5CAC">
        <w:rPr>
          <w:sz w:val="22"/>
          <w:szCs w:val="22"/>
        </w:rPr>
        <w:t>, 51(1): 71-82.</w:t>
      </w:r>
    </w:p>
    <w:p w14:paraId="5EE3D65A" w14:textId="77777777" w:rsidR="00E03C2E" w:rsidRPr="002B5CAC" w:rsidRDefault="00E03C2E" w:rsidP="00533FD2">
      <w:pPr>
        <w:ind w:right="-108" w:hanging="720"/>
        <w:rPr>
          <w:sz w:val="22"/>
          <w:szCs w:val="22"/>
        </w:rPr>
      </w:pPr>
    </w:p>
    <w:p w14:paraId="5EE3D65B" w14:textId="77777777" w:rsidR="004702F7" w:rsidRPr="002B5CAC" w:rsidRDefault="004702F7" w:rsidP="00533FD2">
      <w:pPr>
        <w:ind w:right="-108"/>
        <w:rPr>
          <w:sz w:val="22"/>
          <w:szCs w:val="22"/>
        </w:rPr>
      </w:pPr>
      <w:r w:rsidRPr="002B5CAC">
        <w:rPr>
          <w:sz w:val="22"/>
          <w:szCs w:val="22"/>
        </w:rPr>
        <w:t xml:space="preserve">Anderson, B.S., </w:t>
      </w:r>
      <w:proofErr w:type="spellStart"/>
      <w:r w:rsidRPr="002B5CAC">
        <w:rPr>
          <w:sz w:val="22"/>
          <w:szCs w:val="22"/>
        </w:rPr>
        <w:t>Kreiser</w:t>
      </w:r>
      <w:proofErr w:type="spellEnd"/>
      <w:r w:rsidRPr="002B5CAC">
        <w:rPr>
          <w:sz w:val="22"/>
          <w:szCs w:val="22"/>
        </w:rPr>
        <w:t xml:space="preserve">, P.M., </w:t>
      </w:r>
      <w:r w:rsidR="007E4C42" w:rsidRPr="002B5CAC">
        <w:rPr>
          <w:sz w:val="22"/>
          <w:szCs w:val="22"/>
        </w:rPr>
        <w:t xml:space="preserve">Kuratko, D.F., </w:t>
      </w:r>
      <w:r w:rsidRPr="002B5CAC">
        <w:rPr>
          <w:sz w:val="22"/>
          <w:szCs w:val="22"/>
        </w:rPr>
        <w:t>Hornsby, J.S. &amp; Eshima, Y. 201</w:t>
      </w:r>
      <w:r w:rsidR="006F2F91" w:rsidRPr="002B5CAC">
        <w:rPr>
          <w:sz w:val="22"/>
          <w:szCs w:val="22"/>
        </w:rPr>
        <w:t>5</w:t>
      </w:r>
      <w:r w:rsidRPr="002B5CAC">
        <w:rPr>
          <w:sz w:val="22"/>
          <w:szCs w:val="22"/>
        </w:rPr>
        <w:t xml:space="preserve">. Reconceptualizing entrepreneurial orientation. </w:t>
      </w:r>
      <w:r w:rsidRPr="002B5CAC">
        <w:rPr>
          <w:i/>
          <w:sz w:val="22"/>
          <w:szCs w:val="22"/>
        </w:rPr>
        <w:t>Strategic Management Journal</w:t>
      </w:r>
      <w:r w:rsidR="007E4C42" w:rsidRPr="002B5CAC">
        <w:rPr>
          <w:i/>
          <w:sz w:val="22"/>
          <w:szCs w:val="22"/>
        </w:rPr>
        <w:t>.</w:t>
      </w:r>
      <w:r w:rsidRPr="002B5CAC">
        <w:rPr>
          <w:sz w:val="22"/>
          <w:szCs w:val="22"/>
        </w:rPr>
        <w:t xml:space="preserve"> </w:t>
      </w:r>
      <w:r w:rsidR="006F2F91" w:rsidRPr="002B5CAC">
        <w:rPr>
          <w:sz w:val="22"/>
          <w:szCs w:val="22"/>
        </w:rPr>
        <w:t>36: 1579–1596.</w:t>
      </w:r>
    </w:p>
    <w:p w14:paraId="5EE3D65C" w14:textId="77777777" w:rsidR="006F2F91" w:rsidRPr="002B5CAC" w:rsidRDefault="006F2F91" w:rsidP="00533FD2">
      <w:pPr>
        <w:ind w:right="-108"/>
        <w:rPr>
          <w:sz w:val="22"/>
          <w:szCs w:val="22"/>
        </w:rPr>
      </w:pPr>
    </w:p>
    <w:p w14:paraId="5EE3D65D" w14:textId="77777777" w:rsidR="00E03C2E" w:rsidRPr="002B5CAC" w:rsidRDefault="00E03C2E" w:rsidP="00533FD2">
      <w:pPr>
        <w:ind w:right="-108"/>
        <w:rPr>
          <w:sz w:val="22"/>
          <w:szCs w:val="22"/>
        </w:rPr>
      </w:pPr>
      <w:proofErr w:type="spellStart"/>
      <w:r w:rsidRPr="002B5CAC">
        <w:rPr>
          <w:sz w:val="22"/>
          <w:szCs w:val="22"/>
        </w:rPr>
        <w:t>Aulakh</w:t>
      </w:r>
      <w:proofErr w:type="spellEnd"/>
      <w:r w:rsidRPr="002B5CAC">
        <w:rPr>
          <w:sz w:val="22"/>
          <w:szCs w:val="22"/>
        </w:rPr>
        <w:t xml:space="preserve">, P.S., &amp; </w:t>
      </w:r>
      <w:proofErr w:type="spellStart"/>
      <w:r w:rsidRPr="002B5CAC">
        <w:rPr>
          <w:sz w:val="22"/>
          <w:szCs w:val="22"/>
        </w:rPr>
        <w:t>Kotabe</w:t>
      </w:r>
      <w:proofErr w:type="spellEnd"/>
      <w:r w:rsidRPr="002B5CAC">
        <w:rPr>
          <w:sz w:val="22"/>
          <w:szCs w:val="22"/>
        </w:rPr>
        <w:t xml:space="preserve">, M. 1997. Antecedents and </w:t>
      </w:r>
      <w:r w:rsidR="00C13099" w:rsidRPr="002B5CAC">
        <w:rPr>
          <w:sz w:val="22"/>
          <w:szCs w:val="22"/>
        </w:rPr>
        <w:t>p</w:t>
      </w:r>
      <w:r w:rsidRPr="002B5CAC">
        <w:rPr>
          <w:sz w:val="22"/>
          <w:szCs w:val="22"/>
        </w:rPr>
        <w:t xml:space="preserve">erformance </w:t>
      </w:r>
      <w:r w:rsidR="00C13099" w:rsidRPr="002B5CAC">
        <w:rPr>
          <w:sz w:val="22"/>
          <w:szCs w:val="22"/>
        </w:rPr>
        <w:t>i</w:t>
      </w:r>
      <w:r w:rsidRPr="002B5CAC">
        <w:rPr>
          <w:sz w:val="22"/>
          <w:szCs w:val="22"/>
        </w:rPr>
        <w:t xml:space="preserve">mplications of </w:t>
      </w:r>
      <w:r w:rsidR="00C13099" w:rsidRPr="002B5CAC">
        <w:rPr>
          <w:sz w:val="22"/>
          <w:szCs w:val="22"/>
        </w:rPr>
        <w:t>c</w:t>
      </w:r>
      <w:r w:rsidRPr="002B5CAC">
        <w:rPr>
          <w:sz w:val="22"/>
          <w:szCs w:val="22"/>
        </w:rPr>
        <w:t xml:space="preserve">hannel </w:t>
      </w:r>
      <w:r w:rsidR="00C13099" w:rsidRPr="002B5CAC">
        <w:rPr>
          <w:sz w:val="22"/>
          <w:szCs w:val="22"/>
        </w:rPr>
        <w:t>i</w:t>
      </w:r>
      <w:r w:rsidRPr="002B5CAC">
        <w:rPr>
          <w:sz w:val="22"/>
          <w:szCs w:val="22"/>
        </w:rPr>
        <w:t xml:space="preserve">ntegration in </w:t>
      </w:r>
      <w:r w:rsidR="00C13099" w:rsidRPr="002B5CAC">
        <w:rPr>
          <w:sz w:val="22"/>
          <w:szCs w:val="22"/>
        </w:rPr>
        <w:t>f</w:t>
      </w:r>
      <w:r w:rsidRPr="002B5CAC">
        <w:rPr>
          <w:sz w:val="22"/>
          <w:szCs w:val="22"/>
        </w:rPr>
        <w:t xml:space="preserve">oreign </w:t>
      </w:r>
      <w:r w:rsidR="00C13099" w:rsidRPr="002B5CAC">
        <w:rPr>
          <w:sz w:val="22"/>
          <w:szCs w:val="22"/>
        </w:rPr>
        <w:t>m</w:t>
      </w:r>
      <w:r w:rsidRPr="002B5CAC">
        <w:rPr>
          <w:sz w:val="22"/>
          <w:szCs w:val="22"/>
        </w:rPr>
        <w:t xml:space="preserve">arkets. </w:t>
      </w:r>
      <w:r w:rsidRPr="002B5CAC">
        <w:rPr>
          <w:i/>
          <w:iCs/>
          <w:sz w:val="22"/>
          <w:szCs w:val="22"/>
        </w:rPr>
        <w:t>Journal of International Business Studies</w:t>
      </w:r>
      <w:r w:rsidRPr="002B5CAC">
        <w:rPr>
          <w:sz w:val="22"/>
          <w:szCs w:val="22"/>
        </w:rPr>
        <w:t>, 28(1): 145-175.</w:t>
      </w:r>
    </w:p>
    <w:p w14:paraId="5EE3D65E" w14:textId="77777777" w:rsidR="00E03C2E" w:rsidRPr="002B5CAC" w:rsidRDefault="00E03C2E" w:rsidP="00533FD2">
      <w:pPr>
        <w:ind w:right="-108" w:hanging="720"/>
        <w:rPr>
          <w:sz w:val="22"/>
          <w:szCs w:val="22"/>
        </w:rPr>
      </w:pPr>
    </w:p>
    <w:p w14:paraId="5EE3D661" w14:textId="77777777" w:rsidR="00E03C2E" w:rsidRPr="002B5CAC" w:rsidRDefault="00E03C2E" w:rsidP="00533FD2">
      <w:pPr>
        <w:ind w:right="-108"/>
        <w:rPr>
          <w:sz w:val="22"/>
          <w:szCs w:val="22"/>
        </w:rPr>
      </w:pPr>
      <w:proofErr w:type="spellStart"/>
      <w:r w:rsidRPr="002B5CAC">
        <w:rPr>
          <w:sz w:val="22"/>
          <w:szCs w:val="22"/>
        </w:rPr>
        <w:t>Balabanis</w:t>
      </w:r>
      <w:proofErr w:type="spellEnd"/>
      <w:r w:rsidRPr="002B5CAC">
        <w:rPr>
          <w:sz w:val="22"/>
          <w:szCs w:val="22"/>
        </w:rPr>
        <w:t xml:space="preserve">, G.I., &amp; </w:t>
      </w:r>
      <w:proofErr w:type="spellStart"/>
      <w:r w:rsidRPr="002B5CAC">
        <w:rPr>
          <w:sz w:val="22"/>
          <w:szCs w:val="22"/>
        </w:rPr>
        <w:t>Katsikea</w:t>
      </w:r>
      <w:proofErr w:type="spellEnd"/>
      <w:r w:rsidRPr="002B5CAC">
        <w:rPr>
          <w:sz w:val="22"/>
          <w:szCs w:val="22"/>
        </w:rPr>
        <w:t xml:space="preserve">, E.S. 2003. Being an entrepreneurial exporter: Does it pay? </w:t>
      </w:r>
      <w:r w:rsidRPr="002B5CAC">
        <w:rPr>
          <w:i/>
          <w:sz w:val="22"/>
          <w:szCs w:val="22"/>
        </w:rPr>
        <w:t>International Business Review</w:t>
      </w:r>
      <w:r w:rsidRPr="002B5CAC">
        <w:rPr>
          <w:sz w:val="22"/>
          <w:szCs w:val="22"/>
        </w:rPr>
        <w:t xml:space="preserve">, 12(2): 233-252. </w:t>
      </w:r>
    </w:p>
    <w:p w14:paraId="5EE3D662" w14:textId="77777777" w:rsidR="00E03C2E" w:rsidRPr="002B5CAC" w:rsidRDefault="00E03C2E" w:rsidP="00533FD2">
      <w:pPr>
        <w:ind w:right="-108" w:hanging="720"/>
        <w:rPr>
          <w:sz w:val="22"/>
          <w:szCs w:val="22"/>
        </w:rPr>
      </w:pPr>
    </w:p>
    <w:p w14:paraId="5EE3D663" w14:textId="77777777" w:rsidR="00E03C2E" w:rsidRPr="002B5CAC" w:rsidRDefault="00E03C2E" w:rsidP="00533FD2">
      <w:pPr>
        <w:ind w:right="-108"/>
        <w:rPr>
          <w:sz w:val="22"/>
          <w:szCs w:val="22"/>
        </w:rPr>
      </w:pPr>
      <w:r w:rsidRPr="002B5CAC">
        <w:rPr>
          <w:sz w:val="22"/>
          <w:szCs w:val="22"/>
        </w:rPr>
        <w:t xml:space="preserve">Bello, D.C., &amp; </w:t>
      </w:r>
      <w:proofErr w:type="spellStart"/>
      <w:r w:rsidRPr="002B5CAC">
        <w:rPr>
          <w:sz w:val="22"/>
          <w:szCs w:val="22"/>
        </w:rPr>
        <w:t>Lohtia</w:t>
      </w:r>
      <w:proofErr w:type="spellEnd"/>
      <w:r w:rsidRPr="002B5CAC">
        <w:rPr>
          <w:sz w:val="22"/>
          <w:szCs w:val="22"/>
        </w:rPr>
        <w:t xml:space="preserve">, R. 1995. Export channel design: The use of foreign distributors and agents. </w:t>
      </w:r>
      <w:r w:rsidRPr="002B5CAC">
        <w:rPr>
          <w:i/>
          <w:sz w:val="22"/>
          <w:szCs w:val="22"/>
        </w:rPr>
        <w:t>Journal of the Academy of Marketing Science</w:t>
      </w:r>
      <w:r w:rsidRPr="002B5CAC">
        <w:rPr>
          <w:sz w:val="22"/>
          <w:szCs w:val="22"/>
        </w:rPr>
        <w:t>, 23(2): 83-93.</w:t>
      </w:r>
    </w:p>
    <w:p w14:paraId="5EE3D664" w14:textId="77777777" w:rsidR="00E03C2E" w:rsidRPr="002B5CAC" w:rsidRDefault="00E03C2E" w:rsidP="00533FD2">
      <w:pPr>
        <w:ind w:hanging="720"/>
        <w:rPr>
          <w:sz w:val="22"/>
          <w:szCs w:val="22"/>
        </w:rPr>
      </w:pPr>
    </w:p>
    <w:p w14:paraId="5EE3D665" w14:textId="77777777" w:rsidR="00741E4D" w:rsidRPr="002B5CAC" w:rsidRDefault="00E03C2E" w:rsidP="00533FD2">
      <w:pPr>
        <w:rPr>
          <w:sz w:val="22"/>
          <w:szCs w:val="22"/>
        </w:rPr>
      </w:pPr>
      <w:r w:rsidRPr="002B5CAC">
        <w:rPr>
          <w:sz w:val="22"/>
          <w:szCs w:val="22"/>
        </w:rPr>
        <w:t xml:space="preserve">Bowen, H.P., &amp; De </w:t>
      </w:r>
      <w:proofErr w:type="spellStart"/>
      <w:r w:rsidRPr="002B5CAC">
        <w:rPr>
          <w:sz w:val="22"/>
          <w:szCs w:val="22"/>
        </w:rPr>
        <w:t>Clercq</w:t>
      </w:r>
      <w:proofErr w:type="spellEnd"/>
      <w:r w:rsidRPr="002B5CAC">
        <w:rPr>
          <w:sz w:val="22"/>
          <w:szCs w:val="22"/>
        </w:rPr>
        <w:t>, D. 200</w:t>
      </w:r>
      <w:r w:rsidR="009F2304" w:rsidRPr="002B5CAC">
        <w:rPr>
          <w:sz w:val="22"/>
          <w:szCs w:val="22"/>
        </w:rPr>
        <w:t>8</w:t>
      </w:r>
      <w:r w:rsidRPr="002B5CAC">
        <w:rPr>
          <w:sz w:val="22"/>
          <w:szCs w:val="22"/>
        </w:rPr>
        <w:t>. Institutional context and the allocation of</w:t>
      </w:r>
      <w:r w:rsidR="00E61DFE" w:rsidRPr="002B5CAC">
        <w:rPr>
          <w:sz w:val="22"/>
          <w:szCs w:val="22"/>
        </w:rPr>
        <w:t xml:space="preserve"> </w:t>
      </w:r>
      <w:r w:rsidRPr="002B5CAC">
        <w:rPr>
          <w:sz w:val="22"/>
          <w:szCs w:val="22"/>
        </w:rPr>
        <w:t xml:space="preserve">entrepreneurial effort. </w:t>
      </w:r>
      <w:r w:rsidRPr="002B5CAC">
        <w:rPr>
          <w:i/>
          <w:sz w:val="22"/>
          <w:szCs w:val="22"/>
        </w:rPr>
        <w:t>Journal of International Business Studies</w:t>
      </w:r>
      <w:r w:rsidR="006B141A" w:rsidRPr="002B5CAC">
        <w:rPr>
          <w:sz w:val="22"/>
          <w:szCs w:val="22"/>
        </w:rPr>
        <w:t>, 39(4): 7</w:t>
      </w:r>
      <w:r w:rsidR="00741E4D" w:rsidRPr="002B5CAC">
        <w:rPr>
          <w:sz w:val="22"/>
          <w:szCs w:val="22"/>
        </w:rPr>
        <w:t xml:space="preserve">47-767. </w:t>
      </w:r>
    </w:p>
    <w:p w14:paraId="5EE3D666" w14:textId="77777777" w:rsidR="00741E4D" w:rsidRPr="002B5CAC" w:rsidRDefault="00741E4D" w:rsidP="00533FD2">
      <w:pPr>
        <w:rPr>
          <w:sz w:val="22"/>
          <w:szCs w:val="22"/>
        </w:rPr>
      </w:pPr>
    </w:p>
    <w:p w14:paraId="5EE3D667" w14:textId="31B2ECCA" w:rsidR="000E48EF" w:rsidRPr="002B5CAC" w:rsidRDefault="000E48EF" w:rsidP="00533FD2">
      <w:pPr>
        <w:rPr>
          <w:sz w:val="22"/>
          <w:szCs w:val="22"/>
        </w:rPr>
      </w:pPr>
      <w:r w:rsidRPr="002B5CAC">
        <w:rPr>
          <w:sz w:val="22"/>
          <w:szCs w:val="22"/>
          <w:lang w:eastAsia="en-US"/>
        </w:rPr>
        <w:t xml:space="preserve">Brouthers, K.D. 2013. A retrospective on: Institutional, cultural and transaction cost influences on entry mode choice and performance. </w:t>
      </w:r>
      <w:r w:rsidRPr="002B5CAC">
        <w:rPr>
          <w:i/>
          <w:iCs/>
          <w:sz w:val="22"/>
          <w:szCs w:val="22"/>
          <w:lang w:eastAsia="en-US"/>
        </w:rPr>
        <w:t>Journal of International Business Studies</w:t>
      </w:r>
      <w:r w:rsidRPr="002B5CAC">
        <w:rPr>
          <w:sz w:val="22"/>
          <w:szCs w:val="22"/>
          <w:lang w:eastAsia="en-US"/>
        </w:rPr>
        <w:t xml:space="preserve">, </w:t>
      </w:r>
      <w:r w:rsidRPr="002B5CAC">
        <w:rPr>
          <w:i/>
          <w:iCs/>
          <w:sz w:val="22"/>
          <w:szCs w:val="22"/>
          <w:lang w:eastAsia="en-US"/>
        </w:rPr>
        <w:t>44</w:t>
      </w:r>
      <w:r w:rsidRPr="002B5CAC">
        <w:rPr>
          <w:sz w:val="22"/>
          <w:szCs w:val="22"/>
          <w:lang w:eastAsia="en-US"/>
        </w:rPr>
        <w:t>(1)</w:t>
      </w:r>
      <w:r w:rsidR="001145F5">
        <w:rPr>
          <w:sz w:val="22"/>
          <w:szCs w:val="22"/>
          <w:lang w:eastAsia="en-US"/>
        </w:rPr>
        <w:t>:</w:t>
      </w:r>
      <w:r w:rsidRPr="002B5CAC">
        <w:rPr>
          <w:sz w:val="22"/>
          <w:szCs w:val="22"/>
          <w:lang w:eastAsia="en-US"/>
        </w:rPr>
        <w:t xml:space="preserve"> 14-22.</w:t>
      </w:r>
    </w:p>
    <w:p w14:paraId="5EE3D668" w14:textId="77777777" w:rsidR="006B141A" w:rsidRPr="002B5CAC" w:rsidRDefault="006B141A" w:rsidP="00533FD2">
      <w:pPr>
        <w:ind w:hanging="720"/>
        <w:rPr>
          <w:sz w:val="22"/>
          <w:szCs w:val="22"/>
        </w:rPr>
      </w:pPr>
    </w:p>
    <w:p w14:paraId="5EE3D669" w14:textId="77777777" w:rsidR="00741E4D" w:rsidRPr="002B5CAC" w:rsidRDefault="00E03C2E" w:rsidP="00533FD2">
      <w:pPr>
        <w:rPr>
          <w:sz w:val="22"/>
          <w:szCs w:val="22"/>
        </w:rPr>
      </w:pPr>
      <w:r w:rsidRPr="002B5CAC">
        <w:rPr>
          <w:sz w:val="22"/>
          <w:szCs w:val="22"/>
        </w:rPr>
        <w:t>Brouthers, K</w:t>
      </w:r>
      <w:r w:rsidRPr="002B5CAC">
        <w:rPr>
          <w:sz w:val="22"/>
          <w:szCs w:val="22"/>
          <w:lang w:eastAsia="zh-CN"/>
        </w:rPr>
        <w:t>.</w:t>
      </w:r>
      <w:r w:rsidRPr="002B5CAC">
        <w:rPr>
          <w:sz w:val="22"/>
          <w:szCs w:val="22"/>
        </w:rPr>
        <w:t>D</w:t>
      </w:r>
      <w:r w:rsidRPr="002B5CAC">
        <w:rPr>
          <w:sz w:val="22"/>
          <w:szCs w:val="22"/>
          <w:lang w:eastAsia="zh-CN"/>
        </w:rPr>
        <w:t>.</w:t>
      </w:r>
      <w:r w:rsidRPr="002B5CAC">
        <w:rPr>
          <w:sz w:val="22"/>
          <w:szCs w:val="22"/>
        </w:rPr>
        <w:t>, Brouthers, L</w:t>
      </w:r>
      <w:r w:rsidRPr="002B5CAC">
        <w:rPr>
          <w:sz w:val="22"/>
          <w:szCs w:val="22"/>
          <w:lang w:eastAsia="zh-CN"/>
        </w:rPr>
        <w:t>.</w:t>
      </w:r>
      <w:r w:rsidRPr="002B5CAC">
        <w:rPr>
          <w:sz w:val="22"/>
          <w:szCs w:val="22"/>
        </w:rPr>
        <w:t>E</w:t>
      </w:r>
      <w:r w:rsidRPr="002B5CAC">
        <w:rPr>
          <w:sz w:val="22"/>
          <w:szCs w:val="22"/>
          <w:lang w:eastAsia="zh-CN"/>
        </w:rPr>
        <w:t>.</w:t>
      </w:r>
      <w:r w:rsidRPr="002B5CAC">
        <w:rPr>
          <w:sz w:val="22"/>
          <w:szCs w:val="22"/>
        </w:rPr>
        <w:t xml:space="preserve">, </w:t>
      </w:r>
      <w:r w:rsidRPr="002B5CAC">
        <w:rPr>
          <w:sz w:val="22"/>
          <w:szCs w:val="22"/>
          <w:lang w:eastAsia="zh-CN"/>
        </w:rPr>
        <w:t xml:space="preserve">&amp; </w:t>
      </w:r>
      <w:r w:rsidRPr="002B5CAC">
        <w:rPr>
          <w:sz w:val="22"/>
          <w:szCs w:val="22"/>
        </w:rPr>
        <w:t xml:space="preserve">Werner, S. 2008. Resource-based advantages in an international context. </w:t>
      </w:r>
      <w:r w:rsidRPr="002B5CAC">
        <w:rPr>
          <w:i/>
          <w:sz w:val="22"/>
          <w:szCs w:val="22"/>
        </w:rPr>
        <w:t>Journal of Management</w:t>
      </w:r>
      <w:r w:rsidR="00741E4D" w:rsidRPr="002B5CAC">
        <w:rPr>
          <w:sz w:val="22"/>
          <w:szCs w:val="22"/>
        </w:rPr>
        <w:t>, 34(2): 189-217.</w:t>
      </w:r>
    </w:p>
    <w:p w14:paraId="5EE3D66A" w14:textId="77777777" w:rsidR="00741E4D" w:rsidRPr="002B5CAC" w:rsidRDefault="00741E4D" w:rsidP="00533FD2">
      <w:pPr>
        <w:rPr>
          <w:sz w:val="22"/>
          <w:szCs w:val="22"/>
        </w:rPr>
      </w:pPr>
    </w:p>
    <w:p w14:paraId="5EE3D66B" w14:textId="07F56144" w:rsidR="00741E4D" w:rsidRPr="002B5CAC" w:rsidRDefault="000E48EF" w:rsidP="00533FD2">
      <w:pPr>
        <w:rPr>
          <w:sz w:val="22"/>
          <w:szCs w:val="22"/>
        </w:rPr>
      </w:pPr>
      <w:r w:rsidRPr="002B5CAC">
        <w:rPr>
          <w:rFonts w:eastAsiaTheme="minorHAnsi"/>
          <w:sz w:val="22"/>
          <w:szCs w:val="22"/>
          <w:lang w:eastAsia="en-US"/>
        </w:rPr>
        <w:t xml:space="preserve">Brouthers, K.D., &amp; </w:t>
      </w:r>
      <w:proofErr w:type="spellStart"/>
      <w:r w:rsidRPr="002B5CAC">
        <w:rPr>
          <w:rFonts w:eastAsiaTheme="minorHAnsi"/>
          <w:sz w:val="22"/>
          <w:szCs w:val="22"/>
          <w:lang w:eastAsia="en-US"/>
        </w:rPr>
        <w:t>Hennart</w:t>
      </w:r>
      <w:proofErr w:type="spellEnd"/>
      <w:r w:rsidRPr="002B5CAC">
        <w:rPr>
          <w:rFonts w:eastAsiaTheme="minorHAnsi"/>
          <w:sz w:val="22"/>
          <w:szCs w:val="22"/>
          <w:lang w:eastAsia="en-US"/>
        </w:rPr>
        <w:t xml:space="preserve">, J.F. 2007. Boundaries of the firm: Insights from international entry mode research. </w:t>
      </w:r>
      <w:r w:rsidRPr="002B5CAC">
        <w:rPr>
          <w:rFonts w:eastAsiaTheme="minorHAnsi"/>
          <w:i/>
          <w:sz w:val="22"/>
          <w:szCs w:val="22"/>
          <w:lang w:eastAsia="en-US"/>
        </w:rPr>
        <w:t>Journal of Management</w:t>
      </w:r>
      <w:r w:rsidRPr="002B5CAC">
        <w:rPr>
          <w:rFonts w:eastAsiaTheme="minorHAnsi"/>
          <w:sz w:val="22"/>
          <w:szCs w:val="22"/>
          <w:lang w:eastAsia="en-US"/>
        </w:rPr>
        <w:t>, 33(3)</w:t>
      </w:r>
      <w:r w:rsidR="004A7C49">
        <w:rPr>
          <w:rFonts w:eastAsiaTheme="minorHAnsi"/>
          <w:sz w:val="22"/>
          <w:szCs w:val="22"/>
          <w:lang w:eastAsia="en-US"/>
        </w:rPr>
        <w:t>:</w:t>
      </w:r>
      <w:r w:rsidRPr="002B5CAC">
        <w:rPr>
          <w:rFonts w:eastAsiaTheme="minorHAnsi"/>
          <w:sz w:val="22"/>
          <w:szCs w:val="22"/>
          <w:lang w:eastAsia="en-US"/>
        </w:rPr>
        <w:t xml:space="preserve"> 395-425.</w:t>
      </w:r>
    </w:p>
    <w:p w14:paraId="5EE3D66C" w14:textId="77777777" w:rsidR="00741E4D" w:rsidRPr="002B5CAC" w:rsidRDefault="00741E4D" w:rsidP="00533FD2">
      <w:pPr>
        <w:rPr>
          <w:sz w:val="22"/>
          <w:szCs w:val="22"/>
        </w:rPr>
      </w:pPr>
    </w:p>
    <w:p w14:paraId="5EE3D66D" w14:textId="77777777" w:rsidR="006F2F91" w:rsidRPr="002B5CAC" w:rsidRDefault="006F2F91" w:rsidP="00533FD2">
      <w:pPr>
        <w:rPr>
          <w:sz w:val="22"/>
          <w:szCs w:val="22"/>
        </w:rPr>
      </w:pPr>
      <w:r w:rsidRPr="002B5CAC">
        <w:rPr>
          <w:rFonts w:eastAsiaTheme="minorHAnsi"/>
          <w:sz w:val="22"/>
          <w:szCs w:val="22"/>
          <w:lang w:eastAsia="en-US"/>
        </w:rPr>
        <w:t xml:space="preserve">Brouthers, K.D., </w:t>
      </w:r>
      <w:proofErr w:type="spellStart"/>
      <w:r w:rsidRPr="002B5CAC">
        <w:rPr>
          <w:rFonts w:eastAsiaTheme="minorHAnsi"/>
          <w:sz w:val="22"/>
          <w:szCs w:val="22"/>
          <w:lang w:eastAsia="en-US"/>
        </w:rPr>
        <w:t>Nakos</w:t>
      </w:r>
      <w:proofErr w:type="spellEnd"/>
      <w:r w:rsidRPr="002B5CAC">
        <w:rPr>
          <w:rFonts w:eastAsiaTheme="minorHAnsi"/>
          <w:sz w:val="22"/>
          <w:szCs w:val="22"/>
          <w:lang w:eastAsia="en-US"/>
        </w:rPr>
        <w:t>, G.</w:t>
      </w:r>
      <w:r w:rsidR="000E48EF" w:rsidRPr="002B5CAC">
        <w:rPr>
          <w:rFonts w:eastAsiaTheme="minorHAnsi"/>
          <w:sz w:val="22"/>
          <w:szCs w:val="22"/>
          <w:lang w:eastAsia="en-US"/>
        </w:rPr>
        <w:t>,</w:t>
      </w:r>
      <w:r w:rsidRPr="002B5CAC">
        <w:rPr>
          <w:rFonts w:eastAsiaTheme="minorHAnsi"/>
          <w:sz w:val="22"/>
          <w:szCs w:val="22"/>
          <w:lang w:eastAsia="en-US"/>
        </w:rPr>
        <w:t xml:space="preserve"> &amp; </w:t>
      </w:r>
      <w:proofErr w:type="spellStart"/>
      <w:r w:rsidRPr="002B5CAC">
        <w:rPr>
          <w:rFonts w:eastAsiaTheme="minorHAnsi"/>
          <w:sz w:val="22"/>
          <w:szCs w:val="22"/>
          <w:lang w:eastAsia="en-US"/>
        </w:rPr>
        <w:t>Dimitratos</w:t>
      </w:r>
      <w:proofErr w:type="spellEnd"/>
      <w:r w:rsidRPr="002B5CAC">
        <w:rPr>
          <w:rFonts w:eastAsiaTheme="minorHAnsi"/>
          <w:sz w:val="22"/>
          <w:szCs w:val="22"/>
          <w:lang w:eastAsia="en-US"/>
        </w:rPr>
        <w:t xml:space="preserve">, P. 2015. SME entrepreneurial orientation, international performance, and the moderating role of strategic alliances. </w:t>
      </w:r>
      <w:r w:rsidRPr="002B5CAC">
        <w:rPr>
          <w:rFonts w:eastAsiaTheme="minorHAnsi"/>
          <w:i/>
          <w:sz w:val="22"/>
          <w:szCs w:val="22"/>
          <w:lang w:eastAsia="en-US"/>
        </w:rPr>
        <w:t>Entrepreneurship Theory and Practice</w:t>
      </w:r>
      <w:r w:rsidRPr="002B5CAC">
        <w:rPr>
          <w:rFonts w:eastAsiaTheme="minorHAnsi"/>
          <w:sz w:val="22"/>
          <w:szCs w:val="22"/>
          <w:lang w:eastAsia="en-US"/>
        </w:rPr>
        <w:t>, 39: 1161–1187.</w:t>
      </w:r>
    </w:p>
    <w:p w14:paraId="5EE3D66E" w14:textId="77777777" w:rsidR="00DF2D59" w:rsidRPr="002B5CAC" w:rsidRDefault="00DF2D59" w:rsidP="00533FD2">
      <w:pPr>
        <w:ind w:right="-108" w:hanging="720"/>
        <w:rPr>
          <w:sz w:val="22"/>
          <w:szCs w:val="22"/>
        </w:rPr>
      </w:pPr>
    </w:p>
    <w:p w14:paraId="5EE3D66F" w14:textId="04FA8A02" w:rsidR="00DF2D59" w:rsidRPr="002B5CAC" w:rsidRDefault="00DF2D59" w:rsidP="00533FD2">
      <w:pPr>
        <w:ind w:right="-108"/>
        <w:rPr>
          <w:sz w:val="22"/>
          <w:szCs w:val="22"/>
        </w:rPr>
      </w:pPr>
      <w:r w:rsidRPr="002B5CAC">
        <w:rPr>
          <w:sz w:val="22"/>
          <w:szCs w:val="22"/>
        </w:rPr>
        <w:t>Brouthers, L.E., Marshall, V.B.</w:t>
      </w:r>
      <w:r w:rsidR="000E48EF" w:rsidRPr="002B5CAC">
        <w:rPr>
          <w:sz w:val="22"/>
          <w:szCs w:val="22"/>
        </w:rPr>
        <w:t>,</w:t>
      </w:r>
      <w:r w:rsidRPr="002B5CAC">
        <w:rPr>
          <w:sz w:val="22"/>
          <w:szCs w:val="22"/>
        </w:rPr>
        <w:t xml:space="preserve"> &amp; </w:t>
      </w:r>
      <w:proofErr w:type="spellStart"/>
      <w:r w:rsidRPr="002B5CAC">
        <w:rPr>
          <w:sz w:val="22"/>
          <w:szCs w:val="22"/>
        </w:rPr>
        <w:t>Keig</w:t>
      </w:r>
      <w:proofErr w:type="spellEnd"/>
      <w:r w:rsidRPr="002B5CAC">
        <w:rPr>
          <w:sz w:val="22"/>
          <w:szCs w:val="22"/>
        </w:rPr>
        <w:t>, D.L. 201</w:t>
      </w:r>
      <w:r w:rsidR="00454C7F">
        <w:rPr>
          <w:sz w:val="22"/>
          <w:szCs w:val="22"/>
        </w:rPr>
        <w:t>6</w:t>
      </w:r>
      <w:r w:rsidRPr="002B5CAC">
        <w:rPr>
          <w:sz w:val="22"/>
          <w:szCs w:val="22"/>
        </w:rPr>
        <w:t>. Solving the single country sample proble</w:t>
      </w:r>
      <w:r w:rsidR="00335891" w:rsidRPr="002B5CAC">
        <w:rPr>
          <w:sz w:val="22"/>
          <w:szCs w:val="22"/>
        </w:rPr>
        <w:t xml:space="preserve">m in cultural distance studies. </w:t>
      </w:r>
      <w:r w:rsidR="000C1B67" w:rsidRPr="002B5CAC">
        <w:rPr>
          <w:i/>
          <w:sz w:val="22"/>
          <w:szCs w:val="22"/>
        </w:rPr>
        <w:t>Journal of International Business Studies</w:t>
      </w:r>
      <w:r w:rsidR="000C1B67" w:rsidRPr="002B5CAC">
        <w:rPr>
          <w:sz w:val="22"/>
          <w:szCs w:val="22"/>
        </w:rPr>
        <w:t xml:space="preserve">, </w:t>
      </w:r>
      <w:r w:rsidR="00454C7F">
        <w:rPr>
          <w:sz w:val="22"/>
          <w:szCs w:val="22"/>
        </w:rPr>
        <w:t>47(4)</w:t>
      </w:r>
      <w:r w:rsidR="004A7C49">
        <w:rPr>
          <w:sz w:val="22"/>
          <w:szCs w:val="22"/>
        </w:rPr>
        <w:t>: 471-479</w:t>
      </w:r>
      <w:r w:rsidR="00335891" w:rsidRPr="002B5CAC">
        <w:rPr>
          <w:sz w:val="22"/>
          <w:szCs w:val="22"/>
        </w:rPr>
        <w:t>.</w:t>
      </w:r>
    </w:p>
    <w:p w14:paraId="5EE3D670" w14:textId="77777777" w:rsidR="00A00296" w:rsidRPr="002B5CAC" w:rsidRDefault="00A00296" w:rsidP="00533FD2">
      <w:pPr>
        <w:ind w:right="-108" w:hanging="720"/>
        <w:rPr>
          <w:sz w:val="22"/>
          <w:szCs w:val="22"/>
        </w:rPr>
      </w:pPr>
    </w:p>
    <w:p w14:paraId="5EE3D671" w14:textId="77777777" w:rsidR="00BF6F64" w:rsidRPr="002B5CAC" w:rsidRDefault="00E03C2E" w:rsidP="00533FD2">
      <w:pPr>
        <w:ind w:right="-108"/>
        <w:rPr>
          <w:sz w:val="22"/>
          <w:szCs w:val="22"/>
        </w:rPr>
      </w:pPr>
      <w:r w:rsidRPr="002B5CAC">
        <w:rPr>
          <w:sz w:val="22"/>
          <w:szCs w:val="22"/>
        </w:rPr>
        <w:t xml:space="preserve">Campa, J.M., &amp; Guillen, M.F. 1999. The internationalization of exports: Firm- and location-specific factors in a middle-income country. </w:t>
      </w:r>
      <w:r w:rsidRPr="002B5CAC">
        <w:rPr>
          <w:i/>
          <w:iCs/>
          <w:sz w:val="22"/>
          <w:szCs w:val="22"/>
        </w:rPr>
        <w:t>Management Science</w:t>
      </w:r>
      <w:r w:rsidRPr="002B5CAC">
        <w:rPr>
          <w:sz w:val="22"/>
          <w:szCs w:val="22"/>
        </w:rPr>
        <w:t>, 45(11): 1463-1478.</w:t>
      </w:r>
    </w:p>
    <w:p w14:paraId="5EE3D672" w14:textId="77777777" w:rsidR="00BF6F64" w:rsidRPr="002B5CAC" w:rsidRDefault="00BF6F64" w:rsidP="00533FD2">
      <w:pPr>
        <w:ind w:right="-108"/>
        <w:rPr>
          <w:sz w:val="22"/>
          <w:szCs w:val="22"/>
        </w:rPr>
      </w:pPr>
    </w:p>
    <w:p w14:paraId="5EE3D673" w14:textId="77777777" w:rsidR="00E03C2E" w:rsidRPr="002B5CAC" w:rsidRDefault="00BF6F64" w:rsidP="00533FD2">
      <w:pPr>
        <w:ind w:right="-108"/>
        <w:rPr>
          <w:sz w:val="22"/>
          <w:szCs w:val="22"/>
        </w:rPr>
      </w:pPr>
      <w:proofErr w:type="spellStart"/>
      <w:r w:rsidRPr="002B5CAC">
        <w:rPr>
          <w:sz w:val="22"/>
          <w:szCs w:val="22"/>
        </w:rPr>
        <w:t>Cavusgil</w:t>
      </w:r>
      <w:proofErr w:type="spellEnd"/>
      <w:r w:rsidRPr="002B5CAC">
        <w:rPr>
          <w:sz w:val="22"/>
          <w:szCs w:val="22"/>
        </w:rPr>
        <w:t xml:space="preserve">, S.T. &amp; Zou, S. 1994. Marketing strategy-performance relationship: An investigation of the empirical link in export market ventures. </w:t>
      </w:r>
      <w:r w:rsidRPr="002B5CAC">
        <w:rPr>
          <w:i/>
          <w:sz w:val="22"/>
          <w:szCs w:val="22"/>
        </w:rPr>
        <w:t>Journal of Marketing</w:t>
      </w:r>
      <w:r w:rsidRPr="002B5CAC">
        <w:rPr>
          <w:sz w:val="22"/>
          <w:szCs w:val="22"/>
        </w:rPr>
        <w:t>, 58(January): 1-21.</w:t>
      </w:r>
      <w:r w:rsidR="00E03C2E" w:rsidRPr="002B5CAC">
        <w:rPr>
          <w:sz w:val="22"/>
          <w:szCs w:val="22"/>
        </w:rPr>
        <w:t xml:space="preserve"> </w:t>
      </w:r>
    </w:p>
    <w:p w14:paraId="5EE3D674" w14:textId="77777777" w:rsidR="00E03C2E" w:rsidRPr="002B5CAC" w:rsidRDefault="00E03C2E" w:rsidP="00533FD2">
      <w:pPr>
        <w:ind w:right="-108" w:hanging="720"/>
        <w:rPr>
          <w:sz w:val="22"/>
          <w:szCs w:val="22"/>
        </w:rPr>
      </w:pPr>
    </w:p>
    <w:p w14:paraId="5EE3D675" w14:textId="77777777" w:rsidR="00B6447D" w:rsidRPr="002B5CAC" w:rsidRDefault="00E03C2E" w:rsidP="00533FD2">
      <w:pPr>
        <w:rPr>
          <w:sz w:val="22"/>
          <w:szCs w:val="22"/>
        </w:rPr>
      </w:pPr>
      <w:r w:rsidRPr="002B5CAC">
        <w:rPr>
          <w:sz w:val="22"/>
          <w:szCs w:val="22"/>
        </w:rPr>
        <w:lastRenderedPageBreak/>
        <w:t xml:space="preserve">Chan, C.M., &amp; Makino, S. 2007. Legitimacy and multi-level institutional environments: Implications for foreign subsidiary ownership structure. </w:t>
      </w:r>
      <w:r w:rsidRPr="002B5CAC">
        <w:rPr>
          <w:i/>
          <w:sz w:val="22"/>
          <w:szCs w:val="22"/>
        </w:rPr>
        <w:t>Journal of International Business Studies</w:t>
      </w:r>
      <w:r w:rsidRPr="002B5CAC">
        <w:rPr>
          <w:sz w:val="22"/>
          <w:szCs w:val="22"/>
        </w:rPr>
        <w:t xml:space="preserve">, 38(4): 621-638. </w:t>
      </w:r>
    </w:p>
    <w:p w14:paraId="5EE3D676" w14:textId="77777777" w:rsidR="00B6447D" w:rsidRPr="002B5CAC" w:rsidRDefault="00B6447D" w:rsidP="00533FD2">
      <w:pPr>
        <w:rPr>
          <w:sz w:val="22"/>
          <w:szCs w:val="22"/>
        </w:rPr>
      </w:pPr>
    </w:p>
    <w:p w14:paraId="5EE3D677" w14:textId="77777777" w:rsidR="00B6447D" w:rsidRPr="002B5CAC" w:rsidRDefault="00B6447D" w:rsidP="00533FD2">
      <w:pPr>
        <w:rPr>
          <w:sz w:val="22"/>
          <w:szCs w:val="22"/>
          <w:lang w:eastAsia="en-US"/>
        </w:rPr>
      </w:pPr>
      <w:r w:rsidRPr="002B5CAC">
        <w:rPr>
          <w:sz w:val="22"/>
          <w:szCs w:val="22"/>
          <w:lang w:eastAsia="en-US"/>
        </w:rPr>
        <w:t xml:space="preserve">Chang, S.J., Van </w:t>
      </w:r>
      <w:proofErr w:type="spellStart"/>
      <w:r w:rsidRPr="002B5CAC">
        <w:rPr>
          <w:sz w:val="22"/>
          <w:szCs w:val="22"/>
          <w:lang w:eastAsia="en-US"/>
        </w:rPr>
        <w:t>Witteloostuijn</w:t>
      </w:r>
      <w:proofErr w:type="spellEnd"/>
      <w:r w:rsidRPr="002B5CAC">
        <w:rPr>
          <w:sz w:val="22"/>
          <w:szCs w:val="22"/>
          <w:lang w:eastAsia="en-US"/>
        </w:rPr>
        <w:t>, A.</w:t>
      </w:r>
      <w:r w:rsidR="000E48EF" w:rsidRPr="002B5CAC">
        <w:rPr>
          <w:sz w:val="22"/>
          <w:szCs w:val="22"/>
          <w:lang w:eastAsia="en-US"/>
        </w:rPr>
        <w:t>,</w:t>
      </w:r>
      <w:r w:rsidRPr="002B5CAC">
        <w:rPr>
          <w:sz w:val="22"/>
          <w:szCs w:val="22"/>
          <w:lang w:eastAsia="en-US"/>
        </w:rPr>
        <w:t xml:space="preserve"> &amp; Eden, L., 2010. From the editors: Common method variance in international business research. </w:t>
      </w:r>
      <w:r w:rsidRPr="002B5CAC">
        <w:rPr>
          <w:i/>
          <w:iCs/>
          <w:sz w:val="22"/>
          <w:szCs w:val="22"/>
          <w:lang w:eastAsia="en-US"/>
        </w:rPr>
        <w:t>Journal of International Business Studies</w:t>
      </w:r>
      <w:r w:rsidRPr="002B5CAC">
        <w:rPr>
          <w:sz w:val="22"/>
          <w:szCs w:val="22"/>
          <w:lang w:eastAsia="en-US"/>
        </w:rPr>
        <w:t xml:space="preserve">, </w:t>
      </w:r>
      <w:r w:rsidRPr="002B5CAC">
        <w:rPr>
          <w:i/>
          <w:iCs/>
          <w:sz w:val="22"/>
          <w:szCs w:val="22"/>
          <w:lang w:eastAsia="en-US"/>
        </w:rPr>
        <w:t>41</w:t>
      </w:r>
      <w:r w:rsidRPr="002B5CAC">
        <w:rPr>
          <w:sz w:val="22"/>
          <w:szCs w:val="22"/>
          <w:lang w:eastAsia="en-US"/>
        </w:rPr>
        <w:t>(2): 178-184.</w:t>
      </w:r>
    </w:p>
    <w:p w14:paraId="5EE3D678" w14:textId="77777777" w:rsidR="00E03C2E" w:rsidRPr="002B5CAC" w:rsidRDefault="00E03C2E" w:rsidP="00533FD2">
      <w:pPr>
        <w:ind w:right="-108" w:hanging="720"/>
        <w:rPr>
          <w:sz w:val="22"/>
          <w:szCs w:val="22"/>
        </w:rPr>
      </w:pPr>
    </w:p>
    <w:p w14:paraId="5EE3D679" w14:textId="77777777" w:rsidR="006B141A" w:rsidRPr="002B5CAC" w:rsidRDefault="006B141A" w:rsidP="00533FD2">
      <w:pPr>
        <w:ind w:right="-108"/>
        <w:rPr>
          <w:sz w:val="22"/>
          <w:szCs w:val="22"/>
        </w:rPr>
      </w:pPr>
      <w:proofErr w:type="spellStart"/>
      <w:r w:rsidRPr="002B5CAC">
        <w:rPr>
          <w:sz w:val="22"/>
          <w:szCs w:val="22"/>
        </w:rPr>
        <w:t>Covin</w:t>
      </w:r>
      <w:proofErr w:type="spellEnd"/>
      <w:r w:rsidRPr="002B5CAC">
        <w:rPr>
          <w:sz w:val="22"/>
          <w:szCs w:val="22"/>
        </w:rPr>
        <w:t>, J.G.</w:t>
      </w:r>
      <w:r w:rsidR="000E48EF" w:rsidRPr="002B5CAC">
        <w:rPr>
          <w:sz w:val="22"/>
          <w:szCs w:val="22"/>
        </w:rPr>
        <w:t>,</w:t>
      </w:r>
      <w:r w:rsidRPr="002B5CAC">
        <w:rPr>
          <w:sz w:val="22"/>
          <w:szCs w:val="22"/>
        </w:rPr>
        <w:t xml:space="preserve"> &amp; Miller, D. 2014. International entrepren</w:t>
      </w:r>
      <w:r w:rsidR="00B125AC" w:rsidRPr="002B5CAC">
        <w:rPr>
          <w:sz w:val="22"/>
          <w:szCs w:val="22"/>
        </w:rPr>
        <w:t>eu</w:t>
      </w:r>
      <w:r w:rsidRPr="002B5CAC">
        <w:rPr>
          <w:sz w:val="22"/>
          <w:szCs w:val="22"/>
        </w:rPr>
        <w:t xml:space="preserve">rial orientation: Conceptual considerations, research themes, measurement issues, and future research directions. </w:t>
      </w:r>
      <w:r w:rsidRPr="002B5CAC">
        <w:rPr>
          <w:i/>
          <w:sz w:val="22"/>
          <w:szCs w:val="22"/>
        </w:rPr>
        <w:t xml:space="preserve">Entrepreneurship Theory </w:t>
      </w:r>
      <w:r w:rsidR="00811EAE" w:rsidRPr="002B5CAC">
        <w:rPr>
          <w:i/>
          <w:sz w:val="22"/>
          <w:szCs w:val="22"/>
        </w:rPr>
        <w:t>and</w:t>
      </w:r>
      <w:r w:rsidRPr="002B5CAC">
        <w:rPr>
          <w:i/>
          <w:sz w:val="22"/>
          <w:szCs w:val="22"/>
        </w:rPr>
        <w:t xml:space="preserve"> Practice</w:t>
      </w:r>
      <w:r w:rsidRPr="002B5CAC">
        <w:rPr>
          <w:sz w:val="22"/>
          <w:szCs w:val="22"/>
        </w:rPr>
        <w:t xml:space="preserve">, </w:t>
      </w:r>
      <w:r w:rsidR="00B125AC" w:rsidRPr="002B5CAC">
        <w:rPr>
          <w:sz w:val="22"/>
          <w:szCs w:val="22"/>
        </w:rPr>
        <w:t>38(1): 11-44.</w:t>
      </w:r>
    </w:p>
    <w:p w14:paraId="5EE3D67A" w14:textId="77777777" w:rsidR="00B125AC" w:rsidRPr="002B5CAC" w:rsidRDefault="00B125AC" w:rsidP="00533FD2">
      <w:pPr>
        <w:ind w:right="-108" w:hanging="720"/>
        <w:rPr>
          <w:sz w:val="22"/>
          <w:szCs w:val="22"/>
        </w:rPr>
      </w:pPr>
    </w:p>
    <w:p w14:paraId="5EE3D67B" w14:textId="77777777" w:rsidR="00342351" w:rsidRPr="002B5CAC" w:rsidRDefault="00342351" w:rsidP="00533FD2">
      <w:pPr>
        <w:ind w:right="-108"/>
        <w:rPr>
          <w:sz w:val="22"/>
          <w:szCs w:val="22"/>
        </w:rPr>
      </w:pPr>
      <w:proofErr w:type="spellStart"/>
      <w:r w:rsidRPr="002B5CAC">
        <w:rPr>
          <w:sz w:val="22"/>
          <w:szCs w:val="22"/>
        </w:rPr>
        <w:t>Covin</w:t>
      </w:r>
      <w:proofErr w:type="spellEnd"/>
      <w:r w:rsidRPr="002B5CAC">
        <w:rPr>
          <w:sz w:val="22"/>
          <w:szCs w:val="22"/>
        </w:rPr>
        <w:t xml:space="preserve">, J.G., &amp; </w:t>
      </w:r>
      <w:proofErr w:type="spellStart"/>
      <w:r w:rsidRPr="002B5CAC">
        <w:rPr>
          <w:sz w:val="22"/>
          <w:szCs w:val="22"/>
        </w:rPr>
        <w:t>Slevin</w:t>
      </w:r>
      <w:proofErr w:type="spellEnd"/>
      <w:r w:rsidRPr="002B5CAC">
        <w:rPr>
          <w:sz w:val="22"/>
          <w:szCs w:val="22"/>
        </w:rPr>
        <w:t xml:space="preserve">, D.P. 1988. The influence of organization structure on the utility of an </w:t>
      </w:r>
      <w:r w:rsidR="00E40524" w:rsidRPr="002B5CAC">
        <w:rPr>
          <w:sz w:val="22"/>
          <w:szCs w:val="22"/>
        </w:rPr>
        <w:t>entrepreneurial</w:t>
      </w:r>
      <w:r w:rsidRPr="002B5CAC">
        <w:rPr>
          <w:sz w:val="22"/>
          <w:szCs w:val="22"/>
        </w:rPr>
        <w:t xml:space="preserve"> top management style. </w:t>
      </w:r>
      <w:r w:rsidRPr="002B5CAC">
        <w:rPr>
          <w:i/>
          <w:sz w:val="22"/>
          <w:szCs w:val="22"/>
        </w:rPr>
        <w:t>Journal of Management Studies</w:t>
      </w:r>
      <w:r w:rsidRPr="002B5CAC">
        <w:rPr>
          <w:sz w:val="22"/>
          <w:szCs w:val="22"/>
        </w:rPr>
        <w:t>, 25(3): 217-234.</w:t>
      </w:r>
    </w:p>
    <w:p w14:paraId="5EE3D67C" w14:textId="77777777" w:rsidR="00342351" w:rsidRPr="002B5CAC" w:rsidRDefault="00342351" w:rsidP="00533FD2">
      <w:pPr>
        <w:ind w:right="-108" w:hanging="720"/>
        <w:rPr>
          <w:sz w:val="22"/>
          <w:szCs w:val="22"/>
        </w:rPr>
      </w:pPr>
    </w:p>
    <w:p w14:paraId="5EE3D67D" w14:textId="77777777" w:rsidR="00E03C2E" w:rsidRPr="002B5CAC" w:rsidRDefault="00E03C2E" w:rsidP="00533FD2">
      <w:pPr>
        <w:ind w:right="-108"/>
        <w:rPr>
          <w:sz w:val="22"/>
          <w:szCs w:val="22"/>
        </w:rPr>
      </w:pPr>
      <w:proofErr w:type="spellStart"/>
      <w:r w:rsidRPr="002B5CAC">
        <w:rPr>
          <w:sz w:val="22"/>
          <w:szCs w:val="22"/>
        </w:rPr>
        <w:t>Covin</w:t>
      </w:r>
      <w:proofErr w:type="spellEnd"/>
      <w:r w:rsidRPr="002B5CAC">
        <w:rPr>
          <w:sz w:val="22"/>
          <w:szCs w:val="22"/>
        </w:rPr>
        <w:t xml:space="preserve">, J.G., &amp; </w:t>
      </w:r>
      <w:proofErr w:type="spellStart"/>
      <w:r w:rsidRPr="002B5CAC">
        <w:rPr>
          <w:sz w:val="22"/>
          <w:szCs w:val="22"/>
        </w:rPr>
        <w:t>Slevin</w:t>
      </w:r>
      <w:proofErr w:type="spellEnd"/>
      <w:r w:rsidRPr="002B5CAC">
        <w:rPr>
          <w:sz w:val="22"/>
          <w:szCs w:val="22"/>
        </w:rPr>
        <w:t xml:space="preserve">, D.P. 1989. Strategic management of small firms in hostile and benign </w:t>
      </w:r>
      <w:r w:rsidR="00EB1377" w:rsidRPr="002B5CAC">
        <w:rPr>
          <w:sz w:val="22"/>
          <w:szCs w:val="22"/>
        </w:rPr>
        <w:t>environments</w:t>
      </w:r>
      <w:r w:rsidRPr="002B5CAC">
        <w:rPr>
          <w:sz w:val="22"/>
          <w:szCs w:val="22"/>
        </w:rPr>
        <w:t xml:space="preserve">. </w:t>
      </w:r>
      <w:r w:rsidRPr="002B5CAC">
        <w:rPr>
          <w:i/>
          <w:iCs/>
          <w:sz w:val="22"/>
          <w:szCs w:val="22"/>
        </w:rPr>
        <w:t>Strategic Management Journal</w:t>
      </w:r>
      <w:r w:rsidRPr="002B5CAC">
        <w:rPr>
          <w:sz w:val="22"/>
          <w:szCs w:val="22"/>
        </w:rPr>
        <w:t>, 10: 75-87.</w:t>
      </w:r>
    </w:p>
    <w:p w14:paraId="5EE3D67E" w14:textId="77777777" w:rsidR="00E03C2E" w:rsidRPr="002B5CAC" w:rsidRDefault="00E03C2E" w:rsidP="00533FD2">
      <w:pPr>
        <w:ind w:right="-108" w:hanging="720"/>
        <w:rPr>
          <w:sz w:val="22"/>
          <w:szCs w:val="22"/>
        </w:rPr>
      </w:pPr>
    </w:p>
    <w:p w14:paraId="5EE3D67F" w14:textId="405A29CF" w:rsidR="00E03C2E" w:rsidRDefault="00E03C2E" w:rsidP="00533FD2">
      <w:pPr>
        <w:ind w:right="-108"/>
        <w:rPr>
          <w:sz w:val="22"/>
          <w:szCs w:val="22"/>
        </w:rPr>
      </w:pPr>
      <w:proofErr w:type="spellStart"/>
      <w:r w:rsidRPr="002B5CAC">
        <w:rPr>
          <w:sz w:val="22"/>
          <w:szCs w:val="22"/>
        </w:rPr>
        <w:t>Covin</w:t>
      </w:r>
      <w:proofErr w:type="spellEnd"/>
      <w:r w:rsidRPr="002B5CAC">
        <w:rPr>
          <w:sz w:val="22"/>
          <w:szCs w:val="22"/>
        </w:rPr>
        <w:t xml:space="preserve">, J.G., &amp; </w:t>
      </w:r>
      <w:proofErr w:type="spellStart"/>
      <w:r w:rsidRPr="002B5CAC">
        <w:rPr>
          <w:sz w:val="22"/>
          <w:szCs w:val="22"/>
        </w:rPr>
        <w:t>Slevin</w:t>
      </w:r>
      <w:proofErr w:type="spellEnd"/>
      <w:r w:rsidRPr="002B5CAC">
        <w:rPr>
          <w:sz w:val="22"/>
          <w:szCs w:val="22"/>
        </w:rPr>
        <w:t xml:space="preserve">, D.P. 1991. A conceptual model of entrepreneurship as firm behavior. </w:t>
      </w:r>
      <w:r w:rsidRPr="002B5CAC">
        <w:rPr>
          <w:i/>
          <w:iCs/>
          <w:sz w:val="22"/>
          <w:szCs w:val="22"/>
        </w:rPr>
        <w:t>Entrepreneurship Theory and Practice</w:t>
      </w:r>
      <w:r w:rsidRPr="002B5CAC">
        <w:rPr>
          <w:sz w:val="22"/>
          <w:szCs w:val="22"/>
        </w:rPr>
        <w:t>, 16(1): 7–25.</w:t>
      </w:r>
    </w:p>
    <w:p w14:paraId="5E02CEC0" w14:textId="2CC292D0" w:rsidR="00FB3F47" w:rsidRDefault="00FB3F47" w:rsidP="00533FD2">
      <w:pPr>
        <w:ind w:right="-108"/>
        <w:rPr>
          <w:sz w:val="22"/>
          <w:szCs w:val="22"/>
        </w:rPr>
      </w:pPr>
    </w:p>
    <w:p w14:paraId="3F870117" w14:textId="34D29BFE" w:rsidR="00FB3F47" w:rsidRDefault="00FB3F47" w:rsidP="00533FD2">
      <w:pPr>
        <w:ind w:right="-108"/>
        <w:rPr>
          <w:sz w:val="22"/>
          <w:szCs w:val="22"/>
        </w:rPr>
      </w:pPr>
      <w:bookmarkStart w:id="4" w:name="_Hlk66092440"/>
      <w:proofErr w:type="spellStart"/>
      <w:r w:rsidRPr="00D52E04">
        <w:rPr>
          <w:sz w:val="22"/>
          <w:szCs w:val="22"/>
        </w:rPr>
        <w:t>Cuypers</w:t>
      </w:r>
      <w:proofErr w:type="spellEnd"/>
      <w:r w:rsidRPr="00D52E04">
        <w:rPr>
          <w:sz w:val="22"/>
          <w:szCs w:val="22"/>
        </w:rPr>
        <w:t>, I. R</w:t>
      </w:r>
      <w:r w:rsidRPr="00FB3F47">
        <w:rPr>
          <w:sz w:val="22"/>
          <w:szCs w:val="22"/>
        </w:rPr>
        <w:t xml:space="preserve">., </w:t>
      </w:r>
      <w:proofErr w:type="spellStart"/>
      <w:r w:rsidRPr="00FB3F47">
        <w:rPr>
          <w:sz w:val="22"/>
          <w:szCs w:val="22"/>
        </w:rPr>
        <w:t>Hennart</w:t>
      </w:r>
      <w:proofErr w:type="spellEnd"/>
      <w:r w:rsidRPr="00FB3F47">
        <w:rPr>
          <w:sz w:val="22"/>
          <w:szCs w:val="22"/>
        </w:rPr>
        <w:t xml:space="preserve">, J. F., Silverman, B. S., &amp; </w:t>
      </w:r>
      <w:proofErr w:type="spellStart"/>
      <w:r w:rsidRPr="00FB3F47">
        <w:rPr>
          <w:sz w:val="22"/>
          <w:szCs w:val="22"/>
        </w:rPr>
        <w:t>Ertug</w:t>
      </w:r>
      <w:proofErr w:type="spellEnd"/>
      <w:r w:rsidRPr="00FB3F47">
        <w:rPr>
          <w:sz w:val="22"/>
          <w:szCs w:val="22"/>
        </w:rPr>
        <w:t>, G. 2021</w:t>
      </w:r>
      <w:bookmarkEnd w:id="4"/>
      <w:r w:rsidRPr="00FB3F47">
        <w:rPr>
          <w:sz w:val="22"/>
          <w:szCs w:val="22"/>
        </w:rPr>
        <w:t xml:space="preserve">. Transaction cost theory: Past progress, current challenges, and suggestions for the future. </w:t>
      </w:r>
      <w:r w:rsidRPr="00FB3F47">
        <w:rPr>
          <w:i/>
          <w:iCs/>
          <w:sz w:val="22"/>
          <w:szCs w:val="22"/>
        </w:rPr>
        <w:t>Academy of Management Annals</w:t>
      </w:r>
      <w:r w:rsidRPr="00FB3F47">
        <w:rPr>
          <w:sz w:val="22"/>
          <w:szCs w:val="22"/>
        </w:rPr>
        <w:t>, 15(1)</w:t>
      </w:r>
      <w:r>
        <w:rPr>
          <w:sz w:val="22"/>
          <w:szCs w:val="22"/>
        </w:rPr>
        <w:t>:</w:t>
      </w:r>
      <w:r w:rsidRPr="00FB3F47">
        <w:rPr>
          <w:sz w:val="22"/>
          <w:szCs w:val="22"/>
        </w:rPr>
        <w:t xml:space="preserve"> 111-150.</w:t>
      </w:r>
    </w:p>
    <w:p w14:paraId="543A5DAD" w14:textId="77777777" w:rsidR="003D7756" w:rsidRDefault="003D7756" w:rsidP="00533FD2">
      <w:pPr>
        <w:autoSpaceDE w:val="0"/>
        <w:autoSpaceDN w:val="0"/>
        <w:adjustRightInd w:val="0"/>
        <w:rPr>
          <w:sz w:val="22"/>
          <w:szCs w:val="22"/>
        </w:rPr>
      </w:pPr>
    </w:p>
    <w:p w14:paraId="5EE3D681" w14:textId="03A4616E" w:rsidR="00741E4D" w:rsidRPr="002B5CAC" w:rsidRDefault="009C2B06" w:rsidP="00533FD2">
      <w:pPr>
        <w:autoSpaceDE w:val="0"/>
        <w:autoSpaceDN w:val="0"/>
        <w:adjustRightInd w:val="0"/>
        <w:rPr>
          <w:sz w:val="22"/>
          <w:szCs w:val="22"/>
        </w:rPr>
      </w:pPr>
      <w:proofErr w:type="spellStart"/>
      <w:r w:rsidRPr="002B5CAC">
        <w:rPr>
          <w:sz w:val="22"/>
          <w:szCs w:val="22"/>
        </w:rPr>
        <w:t>Engelen</w:t>
      </w:r>
      <w:proofErr w:type="spellEnd"/>
      <w:r w:rsidRPr="002B5CAC">
        <w:rPr>
          <w:sz w:val="22"/>
          <w:szCs w:val="22"/>
        </w:rPr>
        <w:t xml:space="preserve">, A., Gupta, V., </w:t>
      </w:r>
      <w:proofErr w:type="spellStart"/>
      <w:r w:rsidRPr="002B5CAC">
        <w:rPr>
          <w:sz w:val="22"/>
          <w:szCs w:val="22"/>
        </w:rPr>
        <w:t>Strenger</w:t>
      </w:r>
      <w:proofErr w:type="spellEnd"/>
      <w:r w:rsidRPr="002B5CAC">
        <w:rPr>
          <w:sz w:val="22"/>
          <w:szCs w:val="22"/>
        </w:rPr>
        <w:t>, L.</w:t>
      </w:r>
      <w:r w:rsidR="00741E4D" w:rsidRPr="002B5CAC">
        <w:rPr>
          <w:sz w:val="22"/>
          <w:szCs w:val="22"/>
        </w:rPr>
        <w:t>,</w:t>
      </w:r>
      <w:r w:rsidRPr="002B5CAC">
        <w:rPr>
          <w:sz w:val="22"/>
          <w:szCs w:val="22"/>
        </w:rPr>
        <w:t xml:space="preserve"> &amp; </w:t>
      </w:r>
      <w:proofErr w:type="spellStart"/>
      <w:r w:rsidRPr="002B5CAC">
        <w:rPr>
          <w:sz w:val="22"/>
          <w:szCs w:val="22"/>
        </w:rPr>
        <w:t>Brettel</w:t>
      </w:r>
      <w:proofErr w:type="spellEnd"/>
      <w:r w:rsidRPr="002B5CAC">
        <w:rPr>
          <w:sz w:val="22"/>
          <w:szCs w:val="22"/>
        </w:rPr>
        <w:t xml:space="preserve">, M. 2015. Entrepreneurial orientation, firm performance, and the moderating role of transformational leadership behaviors. </w:t>
      </w:r>
      <w:r w:rsidRPr="002B5CAC">
        <w:rPr>
          <w:i/>
          <w:sz w:val="22"/>
          <w:szCs w:val="22"/>
        </w:rPr>
        <w:t>Journal of Management</w:t>
      </w:r>
      <w:r w:rsidRPr="002B5CAC">
        <w:rPr>
          <w:sz w:val="22"/>
          <w:szCs w:val="22"/>
        </w:rPr>
        <w:t>, 41(4): 1069-1097.</w:t>
      </w:r>
    </w:p>
    <w:p w14:paraId="5EE3D682" w14:textId="77777777" w:rsidR="00741E4D" w:rsidRPr="002B5CAC" w:rsidRDefault="00741E4D" w:rsidP="00533FD2">
      <w:pPr>
        <w:autoSpaceDE w:val="0"/>
        <w:autoSpaceDN w:val="0"/>
        <w:adjustRightInd w:val="0"/>
        <w:rPr>
          <w:sz w:val="22"/>
          <w:szCs w:val="22"/>
        </w:rPr>
      </w:pPr>
    </w:p>
    <w:p w14:paraId="5EE3D683" w14:textId="77777777" w:rsidR="00A64D3F" w:rsidRPr="002B5CAC" w:rsidRDefault="00A64D3F" w:rsidP="00533FD2">
      <w:pPr>
        <w:autoSpaceDE w:val="0"/>
        <w:autoSpaceDN w:val="0"/>
        <w:adjustRightInd w:val="0"/>
        <w:rPr>
          <w:sz w:val="22"/>
          <w:szCs w:val="22"/>
        </w:rPr>
      </w:pPr>
      <w:proofErr w:type="spellStart"/>
      <w:r w:rsidRPr="002B5CAC">
        <w:rPr>
          <w:rFonts w:eastAsiaTheme="minorHAnsi" w:cs="Arial"/>
          <w:sz w:val="22"/>
          <w:szCs w:val="22"/>
          <w:lang w:eastAsia="en-US"/>
        </w:rPr>
        <w:t>Erramilli</w:t>
      </w:r>
      <w:proofErr w:type="spellEnd"/>
      <w:r w:rsidRPr="002B5CAC">
        <w:rPr>
          <w:rFonts w:eastAsiaTheme="minorHAnsi" w:cs="Arial"/>
          <w:sz w:val="22"/>
          <w:szCs w:val="22"/>
          <w:lang w:eastAsia="en-US"/>
        </w:rPr>
        <w:t>, M.K.</w:t>
      </w:r>
      <w:r w:rsidR="00741E4D" w:rsidRPr="002B5CAC">
        <w:rPr>
          <w:rFonts w:eastAsiaTheme="minorHAnsi" w:cs="Arial"/>
          <w:sz w:val="22"/>
          <w:szCs w:val="22"/>
          <w:lang w:eastAsia="en-US"/>
        </w:rPr>
        <w:t>,</w:t>
      </w:r>
      <w:r w:rsidRPr="002B5CAC">
        <w:rPr>
          <w:rFonts w:eastAsiaTheme="minorHAnsi" w:cs="Arial"/>
          <w:sz w:val="22"/>
          <w:szCs w:val="22"/>
          <w:lang w:eastAsia="en-US"/>
        </w:rPr>
        <w:t xml:space="preserve"> &amp; Rao, C.P. 1990. Choice of foreign market entry modes by service firms: Role of market knowledge. </w:t>
      </w:r>
      <w:r w:rsidRPr="002B5CAC">
        <w:rPr>
          <w:rFonts w:eastAsiaTheme="minorHAnsi" w:cs="Arial"/>
          <w:i/>
          <w:sz w:val="22"/>
          <w:szCs w:val="22"/>
          <w:lang w:eastAsia="en-US"/>
        </w:rPr>
        <w:t>Management International Review</w:t>
      </w:r>
      <w:r w:rsidRPr="002B5CAC">
        <w:rPr>
          <w:rFonts w:eastAsiaTheme="minorHAnsi" w:cs="Arial"/>
          <w:sz w:val="22"/>
          <w:szCs w:val="22"/>
          <w:lang w:eastAsia="en-US"/>
        </w:rPr>
        <w:t xml:space="preserve">, 30(2): 135-150. </w:t>
      </w:r>
    </w:p>
    <w:p w14:paraId="5EE3D684" w14:textId="77777777" w:rsidR="009C2B06" w:rsidRPr="002B5CAC" w:rsidRDefault="009C2B06" w:rsidP="00533FD2">
      <w:pPr>
        <w:autoSpaceDE w:val="0"/>
        <w:autoSpaceDN w:val="0"/>
        <w:adjustRightInd w:val="0"/>
        <w:ind w:hanging="720"/>
        <w:rPr>
          <w:sz w:val="22"/>
          <w:szCs w:val="22"/>
        </w:rPr>
      </w:pPr>
    </w:p>
    <w:p w14:paraId="6ACE91C5" w14:textId="55CCC38B" w:rsidR="00AC0539" w:rsidRPr="00AC0539" w:rsidRDefault="00AC0539" w:rsidP="00AC0539">
      <w:pPr>
        <w:autoSpaceDE w:val="0"/>
        <w:autoSpaceDN w:val="0"/>
        <w:adjustRightInd w:val="0"/>
        <w:rPr>
          <w:sz w:val="22"/>
          <w:szCs w:val="22"/>
        </w:rPr>
      </w:pPr>
      <w:r w:rsidRPr="00D52E04">
        <w:rPr>
          <w:sz w:val="22"/>
          <w:szCs w:val="22"/>
        </w:rPr>
        <w:t>European</w:t>
      </w:r>
      <w:r w:rsidRPr="00AC0539">
        <w:rPr>
          <w:sz w:val="22"/>
          <w:szCs w:val="22"/>
        </w:rPr>
        <w:t xml:space="preserve"> Commission</w:t>
      </w:r>
      <w:r>
        <w:rPr>
          <w:sz w:val="22"/>
          <w:szCs w:val="22"/>
        </w:rPr>
        <w:t>.</w:t>
      </w:r>
      <w:r w:rsidRPr="00AC0539">
        <w:rPr>
          <w:sz w:val="22"/>
          <w:szCs w:val="22"/>
        </w:rPr>
        <w:t xml:space="preserve"> 2018. </w:t>
      </w:r>
      <w:r w:rsidRPr="009A180B">
        <w:rPr>
          <w:i/>
          <w:iCs/>
          <w:sz w:val="22"/>
          <w:szCs w:val="22"/>
        </w:rPr>
        <w:t>Annual Report on European SMEs 2017/2018</w:t>
      </w:r>
      <w:r w:rsidRPr="00AC0539">
        <w:rPr>
          <w:sz w:val="22"/>
          <w:szCs w:val="22"/>
        </w:rPr>
        <w:t xml:space="preserve"> - SMEs growing beyond borders.</w:t>
      </w:r>
    </w:p>
    <w:p w14:paraId="11BB31F3" w14:textId="77777777" w:rsidR="00AC0539" w:rsidRPr="00AC0539" w:rsidRDefault="00AC0539" w:rsidP="00AC0539">
      <w:pPr>
        <w:autoSpaceDE w:val="0"/>
        <w:autoSpaceDN w:val="0"/>
        <w:adjustRightInd w:val="0"/>
        <w:rPr>
          <w:sz w:val="22"/>
          <w:szCs w:val="22"/>
        </w:rPr>
      </w:pPr>
    </w:p>
    <w:p w14:paraId="2271F4E9" w14:textId="32A7C25B" w:rsidR="00AC0539" w:rsidRDefault="00AC0539" w:rsidP="00AC0539">
      <w:pPr>
        <w:autoSpaceDE w:val="0"/>
        <w:autoSpaceDN w:val="0"/>
        <w:adjustRightInd w:val="0"/>
        <w:rPr>
          <w:sz w:val="22"/>
          <w:szCs w:val="22"/>
        </w:rPr>
      </w:pPr>
      <w:r w:rsidRPr="00D52E04">
        <w:rPr>
          <w:sz w:val="22"/>
          <w:szCs w:val="22"/>
        </w:rPr>
        <w:t>Eurostat</w:t>
      </w:r>
      <w:r w:rsidR="009A180B">
        <w:rPr>
          <w:sz w:val="22"/>
          <w:szCs w:val="22"/>
        </w:rPr>
        <w:t>.</w:t>
      </w:r>
      <w:r w:rsidRPr="00AC0539">
        <w:rPr>
          <w:sz w:val="22"/>
          <w:szCs w:val="22"/>
        </w:rPr>
        <w:t xml:space="preserve"> 2018. </w:t>
      </w:r>
      <w:r w:rsidRPr="009A180B">
        <w:rPr>
          <w:i/>
          <w:iCs/>
          <w:sz w:val="22"/>
          <w:szCs w:val="22"/>
        </w:rPr>
        <w:t>International trade in goods by enterprise size</w:t>
      </w:r>
      <w:r w:rsidRPr="00AC0539">
        <w:rPr>
          <w:sz w:val="22"/>
          <w:szCs w:val="22"/>
        </w:rPr>
        <w:t>. Available at: https://ec.europa.eu/eurostat/statistics-explained/index.php/International_trade_in_goods_by_enterprise_size</w:t>
      </w:r>
    </w:p>
    <w:p w14:paraId="47207D68" w14:textId="730094DB" w:rsidR="00AC0539" w:rsidRDefault="00AC0539" w:rsidP="00533FD2">
      <w:pPr>
        <w:autoSpaceDE w:val="0"/>
        <w:autoSpaceDN w:val="0"/>
        <w:adjustRightInd w:val="0"/>
        <w:rPr>
          <w:sz w:val="22"/>
          <w:szCs w:val="22"/>
        </w:rPr>
      </w:pPr>
    </w:p>
    <w:p w14:paraId="785B7E02" w14:textId="4AA8694D" w:rsidR="00275E63" w:rsidRDefault="00275E63" w:rsidP="00533FD2">
      <w:pPr>
        <w:autoSpaceDE w:val="0"/>
        <w:autoSpaceDN w:val="0"/>
        <w:adjustRightInd w:val="0"/>
        <w:rPr>
          <w:sz w:val="22"/>
          <w:szCs w:val="22"/>
        </w:rPr>
      </w:pPr>
      <w:r w:rsidRPr="00F67E12">
        <w:rPr>
          <w:sz w:val="22"/>
          <w:szCs w:val="22"/>
          <w:lang w:val="it-IT"/>
        </w:rPr>
        <w:t xml:space="preserve">Felício, J.A., Meidutė, I., &amp; Kyvik, Ø. 2016. </w:t>
      </w:r>
      <w:r w:rsidRPr="00275E63">
        <w:rPr>
          <w:sz w:val="22"/>
          <w:szCs w:val="22"/>
        </w:rPr>
        <w:t xml:space="preserve">Global mindset, cultural context, and the internationalization of SMEs. </w:t>
      </w:r>
      <w:r w:rsidRPr="003A462C">
        <w:rPr>
          <w:i/>
          <w:iCs/>
          <w:sz w:val="22"/>
          <w:szCs w:val="22"/>
        </w:rPr>
        <w:t>Journal of Business Research</w:t>
      </w:r>
      <w:r w:rsidRPr="00275E63">
        <w:rPr>
          <w:sz w:val="22"/>
          <w:szCs w:val="22"/>
        </w:rPr>
        <w:t>, 69(11)</w:t>
      </w:r>
      <w:r w:rsidR="003A462C">
        <w:rPr>
          <w:sz w:val="22"/>
          <w:szCs w:val="22"/>
        </w:rPr>
        <w:t>:</w:t>
      </w:r>
      <w:r w:rsidRPr="00275E63">
        <w:rPr>
          <w:sz w:val="22"/>
          <w:szCs w:val="22"/>
        </w:rPr>
        <w:t xml:space="preserve"> 4924-4932.</w:t>
      </w:r>
    </w:p>
    <w:p w14:paraId="7354A6CC" w14:textId="77777777" w:rsidR="00275E63" w:rsidRPr="002B5CAC" w:rsidRDefault="00275E63" w:rsidP="00533FD2">
      <w:pPr>
        <w:autoSpaceDE w:val="0"/>
        <w:autoSpaceDN w:val="0"/>
        <w:adjustRightInd w:val="0"/>
        <w:rPr>
          <w:sz w:val="22"/>
          <w:szCs w:val="22"/>
        </w:rPr>
      </w:pPr>
    </w:p>
    <w:p w14:paraId="5EE3D687" w14:textId="77777777" w:rsidR="00A64D3F" w:rsidRPr="002B5CAC" w:rsidRDefault="00A64D3F" w:rsidP="00533FD2">
      <w:pPr>
        <w:autoSpaceDE w:val="0"/>
        <w:autoSpaceDN w:val="0"/>
        <w:adjustRightInd w:val="0"/>
        <w:rPr>
          <w:sz w:val="22"/>
          <w:szCs w:val="22"/>
        </w:rPr>
      </w:pPr>
      <w:r w:rsidRPr="00F67E12">
        <w:rPr>
          <w:rFonts w:eastAsiaTheme="minorHAnsi" w:cs="Arial"/>
          <w:sz w:val="22"/>
          <w:szCs w:val="22"/>
          <w:lang w:val="en-GB" w:eastAsia="en-US"/>
        </w:rPr>
        <w:t>Fernandez-Olmos, M.</w:t>
      </w:r>
      <w:r w:rsidR="00741E4D" w:rsidRPr="00F67E12">
        <w:rPr>
          <w:rFonts w:eastAsiaTheme="minorHAnsi" w:cs="Arial"/>
          <w:sz w:val="22"/>
          <w:szCs w:val="22"/>
          <w:lang w:val="en-GB" w:eastAsia="en-US"/>
        </w:rPr>
        <w:t>,</w:t>
      </w:r>
      <w:r w:rsidRPr="00F67E12">
        <w:rPr>
          <w:rFonts w:eastAsiaTheme="minorHAnsi" w:cs="Arial"/>
          <w:sz w:val="22"/>
          <w:szCs w:val="22"/>
          <w:lang w:val="en-GB" w:eastAsia="en-US"/>
        </w:rPr>
        <w:t xml:space="preserve"> &amp; Diez-Vial, I. 2015. </w:t>
      </w:r>
      <w:r w:rsidRPr="002B5CAC">
        <w:rPr>
          <w:rFonts w:eastAsiaTheme="minorHAnsi" w:cs="Arial"/>
          <w:sz w:val="22"/>
          <w:szCs w:val="22"/>
          <w:lang w:eastAsia="en-US"/>
        </w:rPr>
        <w:t xml:space="preserve">Intangible resources, export channel and performance: Is there any fit? </w:t>
      </w:r>
      <w:r w:rsidRPr="002B5CAC">
        <w:rPr>
          <w:rFonts w:eastAsiaTheme="minorHAnsi" w:cs="Arial"/>
          <w:i/>
          <w:sz w:val="22"/>
          <w:szCs w:val="22"/>
          <w:lang w:eastAsia="en-US"/>
        </w:rPr>
        <w:t>Journal of Business Economics and Management</w:t>
      </w:r>
      <w:r w:rsidRPr="002B5CAC">
        <w:rPr>
          <w:rFonts w:eastAsiaTheme="minorHAnsi" w:cs="Arial"/>
          <w:sz w:val="22"/>
          <w:szCs w:val="22"/>
          <w:lang w:eastAsia="en-US"/>
        </w:rPr>
        <w:t>, 16(5): 1013-1033.</w:t>
      </w:r>
    </w:p>
    <w:p w14:paraId="5EE3D688" w14:textId="77777777" w:rsidR="00516C0A" w:rsidRPr="002B5CAC" w:rsidRDefault="00516C0A" w:rsidP="00533FD2">
      <w:pPr>
        <w:rPr>
          <w:rFonts w:eastAsiaTheme="minorHAnsi"/>
          <w:b/>
          <w:sz w:val="22"/>
          <w:szCs w:val="22"/>
          <w:lang w:val="en-GB" w:eastAsia="en-US"/>
        </w:rPr>
      </w:pPr>
    </w:p>
    <w:p w14:paraId="5EE3D689" w14:textId="77777777" w:rsidR="00516C0A" w:rsidRPr="002B5CAC" w:rsidRDefault="00516C0A" w:rsidP="00533FD2">
      <w:pPr>
        <w:rPr>
          <w:rFonts w:eastAsiaTheme="minorHAnsi"/>
          <w:sz w:val="22"/>
          <w:szCs w:val="22"/>
          <w:lang w:eastAsia="en-US"/>
        </w:rPr>
      </w:pPr>
      <w:r w:rsidRPr="002B5CAC">
        <w:rPr>
          <w:rFonts w:eastAsiaTheme="minorHAnsi"/>
          <w:sz w:val="22"/>
          <w:szCs w:val="22"/>
          <w:lang w:val="en-GB" w:eastAsia="en-US"/>
        </w:rPr>
        <w:t xml:space="preserve">Foss, N.J., &amp; Klein, P.G. 2012. </w:t>
      </w:r>
      <w:r w:rsidRPr="002B5CAC">
        <w:rPr>
          <w:rFonts w:eastAsiaTheme="minorHAnsi"/>
          <w:i/>
          <w:sz w:val="22"/>
          <w:szCs w:val="22"/>
          <w:lang w:eastAsia="en-US"/>
        </w:rPr>
        <w:t>Organizing Entrepreneurial Judgment: A New Approach to the Firm.</w:t>
      </w:r>
      <w:r w:rsidRPr="002B5CAC">
        <w:rPr>
          <w:rFonts w:eastAsiaTheme="minorHAnsi"/>
          <w:sz w:val="22"/>
          <w:szCs w:val="22"/>
          <w:lang w:eastAsia="en-US"/>
        </w:rPr>
        <w:t xml:space="preserve"> Cambridge University Press.</w:t>
      </w:r>
    </w:p>
    <w:p w14:paraId="5EE3D68A" w14:textId="77777777" w:rsidR="00E03C2E" w:rsidRPr="002B5CAC" w:rsidRDefault="00E03C2E" w:rsidP="00533FD2">
      <w:pPr>
        <w:ind w:hanging="720"/>
        <w:rPr>
          <w:sz w:val="22"/>
          <w:szCs w:val="22"/>
        </w:rPr>
      </w:pPr>
    </w:p>
    <w:p w14:paraId="5EE3D68B" w14:textId="77777777" w:rsidR="00E03C2E" w:rsidRPr="002B5CAC" w:rsidRDefault="00E03C2E" w:rsidP="00533FD2">
      <w:pPr>
        <w:rPr>
          <w:sz w:val="22"/>
          <w:szCs w:val="22"/>
        </w:rPr>
      </w:pPr>
      <w:r w:rsidRPr="002B5CAC">
        <w:rPr>
          <w:sz w:val="22"/>
          <w:szCs w:val="22"/>
        </w:rPr>
        <w:t>Gaur, A</w:t>
      </w:r>
      <w:r w:rsidRPr="002B5CAC">
        <w:rPr>
          <w:sz w:val="22"/>
          <w:szCs w:val="22"/>
          <w:lang w:eastAsia="zh-CN"/>
        </w:rPr>
        <w:t>.</w:t>
      </w:r>
      <w:r w:rsidRPr="002B5CAC">
        <w:rPr>
          <w:sz w:val="22"/>
          <w:szCs w:val="22"/>
        </w:rPr>
        <w:t>S</w:t>
      </w:r>
      <w:r w:rsidRPr="002B5CAC">
        <w:rPr>
          <w:sz w:val="22"/>
          <w:szCs w:val="22"/>
          <w:lang w:eastAsia="zh-CN"/>
        </w:rPr>
        <w:t>.</w:t>
      </w:r>
      <w:r w:rsidRPr="002B5CAC">
        <w:rPr>
          <w:sz w:val="22"/>
          <w:szCs w:val="22"/>
        </w:rPr>
        <w:t xml:space="preserve">, </w:t>
      </w:r>
      <w:proofErr w:type="spellStart"/>
      <w:r w:rsidRPr="002B5CAC">
        <w:rPr>
          <w:sz w:val="22"/>
          <w:szCs w:val="22"/>
        </w:rPr>
        <w:t>Delios</w:t>
      </w:r>
      <w:proofErr w:type="spellEnd"/>
      <w:r w:rsidRPr="002B5CAC">
        <w:rPr>
          <w:sz w:val="22"/>
          <w:szCs w:val="22"/>
        </w:rPr>
        <w:t>, A</w:t>
      </w:r>
      <w:r w:rsidRPr="002B5CAC">
        <w:rPr>
          <w:sz w:val="22"/>
          <w:szCs w:val="22"/>
          <w:lang w:eastAsia="zh-CN"/>
        </w:rPr>
        <w:t>.</w:t>
      </w:r>
      <w:r w:rsidRPr="002B5CAC">
        <w:rPr>
          <w:sz w:val="22"/>
          <w:szCs w:val="22"/>
        </w:rPr>
        <w:t xml:space="preserve">, </w:t>
      </w:r>
      <w:r w:rsidRPr="002B5CAC">
        <w:rPr>
          <w:sz w:val="22"/>
          <w:szCs w:val="22"/>
          <w:lang w:eastAsia="zh-CN"/>
        </w:rPr>
        <w:t xml:space="preserve">&amp; </w:t>
      </w:r>
      <w:r w:rsidRPr="002B5CAC">
        <w:rPr>
          <w:sz w:val="22"/>
          <w:szCs w:val="22"/>
        </w:rPr>
        <w:t xml:space="preserve">Singh, K. 2007. Institutional environments, staffing strategies, and subsidiary performance. </w:t>
      </w:r>
      <w:r w:rsidRPr="002B5CAC">
        <w:rPr>
          <w:i/>
          <w:sz w:val="22"/>
          <w:szCs w:val="22"/>
        </w:rPr>
        <w:t>Journal of Management</w:t>
      </w:r>
      <w:r w:rsidRPr="002B5CAC">
        <w:rPr>
          <w:sz w:val="22"/>
          <w:szCs w:val="22"/>
        </w:rPr>
        <w:t>, 33(4): 611-636.</w:t>
      </w:r>
    </w:p>
    <w:p w14:paraId="5EE3D68C" w14:textId="77777777" w:rsidR="00E03C2E" w:rsidRPr="002B5CAC" w:rsidRDefault="00E03C2E" w:rsidP="00533FD2">
      <w:pPr>
        <w:ind w:right="-108" w:hanging="720"/>
        <w:rPr>
          <w:sz w:val="22"/>
          <w:szCs w:val="22"/>
        </w:rPr>
      </w:pPr>
    </w:p>
    <w:p w14:paraId="5EE3D68D" w14:textId="77777777" w:rsidR="00BE2B78" w:rsidRPr="002B5CAC" w:rsidRDefault="00E03C2E" w:rsidP="00533FD2">
      <w:pPr>
        <w:ind w:right="-108"/>
        <w:rPr>
          <w:sz w:val="22"/>
          <w:szCs w:val="22"/>
        </w:rPr>
      </w:pPr>
      <w:r w:rsidRPr="002B5CAC">
        <w:rPr>
          <w:sz w:val="22"/>
          <w:szCs w:val="22"/>
        </w:rPr>
        <w:t xml:space="preserve">Gaur, A.S., &amp; Lu, J.W. 2007. Ownership strategies and survival of foreign subsidiaries: Impacts of institutional distance and experience. </w:t>
      </w:r>
      <w:r w:rsidRPr="002B5CAC">
        <w:rPr>
          <w:i/>
          <w:sz w:val="22"/>
          <w:szCs w:val="22"/>
        </w:rPr>
        <w:t>Journal of Management</w:t>
      </w:r>
      <w:r w:rsidRPr="002B5CAC">
        <w:rPr>
          <w:sz w:val="22"/>
          <w:szCs w:val="22"/>
        </w:rPr>
        <w:t>, 33(1): 84-110.</w:t>
      </w:r>
    </w:p>
    <w:p w14:paraId="5EE3D68E" w14:textId="77777777" w:rsidR="00BE2B78" w:rsidRPr="002B5CAC" w:rsidRDefault="00BE2B78" w:rsidP="00533FD2">
      <w:pPr>
        <w:ind w:right="-108"/>
        <w:rPr>
          <w:sz w:val="22"/>
          <w:szCs w:val="22"/>
        </w:rPr>
      </w:pPr>
    </w:p>
    <w:p w14:paraId="5EE3D68F" w14:textId="77777777" w:rsidR="00E03C2E" w:rsidRPr="002B5CAC" w:rsidRDefault="00BE2B78" w:rsidP="00533FD2">
      <w:pPr>
        <w:ind w:right="-108"/>
        <w:rPr>
          <w:sz w:val="22"/>
          <w:szCs w:val="22"/>
        </w:rPr>
      </w:pPr>
      <w:r w:rsidRPr="002B5CAC">
        <w:rPr>
          <w:sz w:val="22"/>
          <w:szCs w:val="22"/>
        </w:rPr>
        <w:t xml:space="preserve">Grinstein, A. 20008. The effect of market orientation and its components on innovation consequences: A meta-analysis. </w:t>
      </w:r>
      <w:r w:rsidRPr="002B5CAC">
        <w:rPr>
          <w:i/>
          <w:sz w:val="22"/>
          <w:szCs w:val="22"/>
        </w:rPr>
        <w:t>Journal of the Academy of Marketing Science</w:t>
      </w:r>
      <w:r w:rsidRPr="002B5CAC">
        <w:rPr>
          <w:sz w:val="22"/>
          <w:szCs w:val="22"/>
        </w:rPr>
        <w:t>, 36: 166-173.</w:t>
      </w:r>
      <w:r w:rsidR="00E03C2E" w:rsidRPr="002B5CAC">
        <w:rPr>
          <w:sz w:val="22"/>
          <w:szCs w:val="22"/>
        </w:rPr>
        <w:t xml:space="preserve"> </w:t>
      </w:r>
    </w:p>
    <w:p w14:paraId="5EE3D690" w14:textId="77777777" w:rsidR="00E03C2E" w:rsidRPr="002B5CAC" w:rsidRDefault="00E03C2E" w:rsidP="00533FD2">
      <w:pPr>
        <w:ind w:right="-108" w:hanging="720"/>
        <w:rPr>
          <w:sz w:val="22"/>
          <w:szCs w:val="22"/>
        </w:rPr>
      </w:pPr>
    </w:p>
    <w:p w14:paraId="5EE3D691" w14:textId="054BE8CE" w:rsidR="00741E4D" w:rsidRDefault="00E03C2E" w:rsidP="00533FD2">
      <w:pPr>
        <w:ind w:right="-108"/>
        <w:rPr>
          <w:sz w:val="22"/>
          <w:szCs w:val="22"/>
        </w:rPr>
      </w:pPr>
      <w:r w:rsidRPr="002B5CAC">
        <w:rPr>
          <w:sz w:val="22"/>
          <w:szCs w:val="22"/>
        </w:rPr>
        <w:lastRenderedPageBreak/>
        <w:t>He, X.</w:t>
      </w:r>
      <w:r w:rsidR="007B61C7" w:rsidRPr="002B5CAC">
        <w:rPr>
          <w:sz w:val="22"/>
          <w:szCs w:val="22"/>
        </w:rPr>
        <w:t>,</w:t>
      </w:r>
      <w:r w:rsidRPr="002B5CAC">
        <w:rPr>
          <w:sz w:val="22"/>
          <w:szCs w:val="22"/>
        </w:rPr>
        <w:t xml:space="preserve"> Brouthers, K.D., &amp; Filatotchev, I. 2013. Resource-based and institutional perspectives on export channel selection and export performance. </w:t>
      </w:r>
      <w:r w:rsidRPr="002B5CAC">
        <w:rPr>
          <w:i/>
          <w:sz w:val="22"/>
          <w:szCs w:val="22"/>
        </w:rPr>
        <w:t>Journal of Management</w:t>
      </w:r>
      <w:r w:rsidRPr="002B5CAC">
        <w:rPr>
          <w:sz w:val="22"/>
          <w:szCs w:val="22"/>
        </w:rPr>
        <w:t>, 39(1): 27-47.</w:t>
      </w:r>
    </w:p>
    <w:p w14:paraId="4C2EC94D" w14:textId="39ED7E18" w:rsidR="003A5123" w:rsidRDefault="003A5123" w:rsidP="00533FD2">
      <w:pPr>
        <w:ind w:right="-108"/>
        <w:rPr>
          <w:sz w:val="22"/>
          <w:szCs w:val="22"/>
        </w:rPr>
      </w:pPr>
    </w:p>
    <w:p w14:paraId="670B2081" w14:textId="495EFFB2" w:rsidR="003A5123" w:rsidRPr="002B5CAC" w:rsidRDefault="003A5123" w:rsidP="00533FD2">
      <w:pPr>
        <w:ind w:right="-108"/>
        <w:rPr>
          <w:sz w:val="22"/>
          <w:szCs w:val="22"/>
        </w:rPr>
      </w:pPr>
      <w:r w:rsidRPr="00D52E04">
        <w:rPr>
          <w:sz w:val="22"/>
          <w:szCs w:val="22"/>
        </w:rPr>
        <w:t>He, X., Brouthers</w:t>
      </w:r>
      <w:r w:rsidRPr="003A5123">
        <w:rPr>
          <w:sz w:val="22"/>
          <w:szCs w:val="22"/>
        </w:rPr>
        <w:t xml:space="preserve">, K.D., &amp; Filatotchev, I. 2018. Market </w:t>
      </w:r>
      <w:r w:rsidRPr="00555184">
        <w:rPr>
          <w:sz w:val="22"/>
          <w:szCs w:val="22"/>
        </w:rPr>
        <w:t xml:space="preserve">orientation and export performance: the moderation of channel and institutional distance. </w:t>
      </w:r>
      <w:r w:rsidRPr="00555184">
        <w:rPr>
          <w:i/>
          <w:iCs/>
          <w:sz w:val="22"/>
          <w:szCs w:val="22"/>
        </w:rPr>
        <w:t>International Marketing Review</w:t>
      </w:r>
      <w:r w:rsidRPr="00555184">
        <w:rPr>
          <w:sz w:val="22"/>
          <w:szCs w:val="22"/>
        </w:rPr>
        <w:t>.</w:t>
      </w:r>
      <w:r w:rsidR="00555184" w:rsidRPr="00555184">
        <w:rPr>
          <w:sz w:val="22"/>
          <w:szCs w:val="22"/>
        </w:rPr>
        <w:t xml:space="preserve"> 35(2)</w:t>
      </w:r>
      <w:r w:rsidR="00A26976">
        <w:rPr>
          <w:sz w:val="22"/>
          <w:szCs w:val="22"/>
        </w:rPr>
        <w:t>:</w:t>
      </w:r>
      <w:r w:rsidR="00555184" w:rsidRPr="00555184">
        <w:rPr>
          <w:sz w:val="22"/>
          <w:szCs w:val="22"/>
        </w:rPr>
        <w:t xml:space="preserve"> 258-279</w:t>
      </w:r>
      <w:r w:rsidR="00A26976">
        <w:rPr>
          <w:sz w:val="22"/>
          <w:szCs w:val="22"/>
        </w:rPr>
        <w:t>.</w:t>
      </w:r>
    </w:p>
    <w:p w14:paraId="5EE3D692" w14:textId="77777777" w:rsidR="00741E4D" w:rsidRPr="002B5CAC" w:rsidRDefault="00741E4D" w:rsidP="00533FD2">
      <w:pPr>
        <w:ind w:right="-108"/>
        <w:rPr>
          <w:sz w:val="22"/>
          <w:szCs w:val="22"/>
        </w:rPr>
      </w:pPr>
    </w:p>
    <w:p w14:paraId="5EE3D693" w14:textId="77777777" w:rsidR="00741E4D" w:rsidRPr="002B5CAC" w:rsidRDefault="00101030" w:rsidP="00533FD2">
      <w:pPr>
        <w:ind w:right="-108"/>
        <w:rPr>
          <w:rFonts w:eastAsiaTheme="minorHAnsi"/>
          <w:sz w:val="22"/>
          <w:szCs w:val="22"/>
          <w:lang w:eastAsia="en-US"/>
        </w:rPr>
      </w:pPr>
      <w:proofErr w:type="spellStart"/>
      <w:r w:rsidRPr="002B5CAC">
        <w:rPr>
          <w:rFonts w:eastAsiaTheme="minorHAnsi"/>
          <w:sz w:val="22"/>
          <w:szCs w:val="22"/>
          <w:lang w:eastAsia="en-US"/>
        </w:rPr>
        <w:t>Hitt</w:t>
      </w:r>
      <w:proofErr w:type="spellEnd"/>
      <w:r w:rsidRPr="002B5CAC">
        <w:rPr>
          <w:rFonts w:eastAsiaTheme="minorHAnsi"/>
          <w:sz w:val="22"/>
          <w:szCs w:val="22"/>
          <w:lang w:eastAsia="en-US"/>
        </w:rPr>
        <w:t>, M.A., Ireland, R.D., Camp, S.M.</w:t>
      </w:r>
      <w:r w:rsidR="00741E4D" w:rsidRPr="002B5CAC">
        <w:rPr>
          <w:rFonts w:eastAsiaTheme="minorHAnsi"/>
          <w:sz w:val="22"/>
          <w:szCs w:val="22"/>
          <w:lang w:eastAsia="en-US"/>
        </w:rPr>
        <w:t>,</w:t>
      </w:r>
      <w:r w:rsidRPr="002B5CAC">
        <w:rPr>
          <w:rFonts w:eastAsiaTheme="minorHAnsi"/>
          <w:sz w:val="22"/>
          <w:szCs w:val="22"/>
          <w:lang w:eastAsia="en-US"/>
        </w:rPr>
        <w:t xml:space="preserve"> &amp; Sexton, D.L. 2001. Guest editors’</w:t>
      </w:r>
      <w:r w:rsidR="00741E4D" w:rsidRPr="002B5CAC">
        <w:rPr>
          <w:rFonts w:eastAsiaTheme="minorHAnsi"/>
          <w:sz w:val="22"/>
          <w:szCs w:val="22"/>
          <w:lang w:eastAsia="en-US"/>
        </w:rPr>
        <w:t xml:space="preserve"> </w:t>
      </w:r>
      <w:r w:rsidRPr="002B5CAC">
        <w:rPr>
          <w:rFonts w:eastAsiaTheme="minorHAnsi"/>
          <w:sz w:val="22"/>
          <w:szCs w:val="22"/>
          <w:lang w:eastAsia="en-US"/>
        </w:rPr>
        <w:t xml:space="preserve">introduction to the special issue strategic entrepreneurship: Entrepreneurial strategies for wealth creation. </w:t>
      </w:r>
      <w:r w:rsidRPr="002B5CAC">
        <w:rPr>
          <w:rFonts w:eastAsiaTheme="minorHAnsi"/>
          <w:i/>
          <w:sz w:val="22"/>
          <w:szCs w:val="22"/>
          <w:lang w:eastAsia="en-US"/>
        </w:rPr>
        <w:t>Strategic Management Journal</w:t>
      </w:r>
      <w:r w:rsidRPr="002B5CAC">
        <w:rPr>
          <w:rFonts w:eastAsiaTheme="minorHAnsi"/>
          <w:sz w:val="22"/>
          <w:szCs w:val="22"/>
          <w:lang w:eastAsia="en-US"/>
        </w:rPr>
        <w:t>, 22: 479-491.</w:t>
      </w:r>
    </w:p>
    <w:p w14:paraId="5EE3D694" w14:textId="6DC582C4" w:rsidR="00741E4D" w:rsidRDefault="00741E4D" w:rsidP="00533FD2">
      <w:pPr>
        <w:ind w:right="-108"/>
        <w:rPr>
          <w:rFonts w:eastAsiaTheme="minorHAnsi"/>
          <w:sz w:val="22"/>
          <w:szCs w:val="22"/>
          <w:lang w:eastAsia="en-US"/>
        </w:rPr>
      </w:pPr>
    </w:p>
    <w:p w14:paraId="4D369B6E" w14:textId="3D82A346" w:rsidR="00C62456" w:rsidRDefault="00C62456" w:rsidP="00533FD2">
      <w:pPr>
        <w:ind w:right="-108"/>
        <w:rPr>
          <w:rFonts w:eastAsiaTheme="minorHAnsi"/>
          <w:sz w:val="22"/>
          <w:szCs w:val="22"/>
          <w:lang w:eastAsia="en-US"/>
        </w:rPr>
      </w:pPr>
      <w:proofErr w:type="spellStart"/>
      <w:r w:rsidRPr="00D52E04">
        <w:rPr>
          <w:rFonts w:eastAsiaTheme="minorHAnsi"/>
          <w:sz w:val="22"/>
          <w:szCs w:val="22"/>
          <w:lang w:eastAsia="en-US"/>
        </w:rPr>
        <w:t>Hollender</w:t>
      </w:r>
      <w:proofErr w:type="spellEnd"/>
      <w:r w:rsidRPr="00D52E04">
        <w:rPr>
          <w:rFonts w:eastAsiaTheme="minorHAnsi"/>
          <w:sz w:val="22"/>
          <w:szCs w:val="22"/>
          <w:lang w:eastAsia="en-US"/>
        </w:rPr>
        <w:t>,</w:t>
      </w:r>
      <w:r w:rsidRPr="00C62456">
        <w:rPr>
          <w:rFonts w:eastAsiaTheme="minorHAnsi"/>
          <w:sz w:val="22"/>
          <w:szCs w:val="22"/>
          <w:lang w:eastAsia="en-US"/>
        </w:rPr>
        <w:t xml:space="preserve"> L., </w:t>
      </w:r>
      <w:proofErr w:type="spellStart"/>
      <w:r w:rsidRPr="00C62456">
        <w:rPr>
          <w:rFonts w:eastAsiaTheme="minorHAnsi"/>
          <w:sz w:val="22"/>
          <w:szCs w:val="22"/>
          <w:lang w:eastAsia="en-US"/>
        </w:rPr>
        <w:t>Zapkau</w:t>
      </w:r>
      <w:proofErr w:type="spellEnd"/>
      <w:r w:rsidRPr="00C62456">
        <w:rPr>
          <w:rFonts w:eastAsiaTheme="minorHAnsi"/>
          <w:sz w:val="22"/>
          <w:szCs w:val="22"/>
          <w:lang w:eastAsia="en-US"/>
        </w:rPr>
        <w:t xml:space="preserve">, F. B., &amp; </w:t>
      </w:r>
      <w:proofErr w:type="spellStart"/>
      <w:r w:rsidRPr="00C62456">
        <w:rPr>
          <w:rFonts w:eastAsiaTheme="minorHAnsi"/>
          <w:sz w:val="22"/>
          <w:szCs w:val="22"/>
          <w:lang w:eastAsia="en-US"/>
        </w:rPr>
        <w:t>Schwens</w:t>
      </w:r>
      <w:proofErr w:type="spellEnd"/>
      <w:r w:rsidRPr="00C62456">
        <w:rPr>
          <w:rFonts w:eastAsiaTheme="minorHAnsi"/>
          <w:sz w:val="22"/>
          <w:szCs w:val="22"/>
          <w:lang w:eastAsia="en-US"/>
        </w:rPr>
        <w:t xml:space="preserve">, C. 2017. SME foreign market entry mode choice and foreign venture performance: The moderating effect of international experience and product adaptation. </w:t>
      </w:r>
      <w:r w:rsidRPr="00C62456">
        <w:rPr>
          <w:rFonts w:eastAsiaTheme="minorHAnsi"/>
          <w:i/>
          <w:iCs/>
          <w:sz w:val="22"/>
          <w:szCs w:val="22"/>
          <w:lang w:eastAsia="en-US"/>
        </w:rPr>
        <w:t>International Business Review</w:t>
      </w:r>
      <w:r w:rsidRPr="00C62456">
        <w:rPr>
          <w:rFonts w:eastAsiaTheme="minorHAnsi"/>
          <w:sz w:val="22"/>
          <w:szCs w:val="22"/>
          <w:lang w:eastAsia="en-US"/>
        </w:rPr>
        <w:t>, 26(2)</w:t>
      </w:r>
      <w:r w:rsidR="007C4A2D">
        <w:rPr>
          <w:rFonts w:eastAsiaTheme="minorHAnsi"/>
          <w:sz w:val="22"/>
          <w:szCs w:val="22"/>
          <w:lang w:eastAsia="en-US"/>
        </w:rPr>
        <w:t>:</w:t>
      </w:r>
      <w:r w:rsidRPr="00C62456">
        <w:rPr>
          <w:rFonts w:eastAsiaTheme="minorHAnsi"/>
          <w:sz w:val="22"/>
          <w:szCs w:val="22"/>
          <w:lang w:eastAsia="en-US"/>
        </w:rPr>
        <w:t xml:space="preserve"> 250-263.</w:t>
      </w:r>
    </w:p>
    <w:p w14:paraId="62FFB251" w14:textId="77777777" w:rsidR="00C62456" w:rsidRPr="002B5CAC" w:rsidRDefault="00C62456" w:rsidP="00533FD2">
      <w:pPr>
        <w:ind w:right="-108"/>
        <w:rPr>
          <w:rFonts w:eastAsiaTheme="minorHAnsi"/>
          <w:sz w:val="22"/>
          <w:szCs w:val="22"/>
          <w:lang w:eastAsia="en-US"/>
        </w:rPr>
      </w:pPr>
    </w:p>
    <w:p w14:paraId="5EE3D695" w14:textId="77777777" w:rsidR="00101030" w:rsidRPr="002B5CAC" w:rsidRDefault="00101030" w:rsidP="00533FD2">
      <w:pPr>
        <w:ind w:right="-108"/>
        <w:rPr>
          <w:rFonts w:eastAsiaTheme="minorHAnsi"/>
          <w:sz w:val="22"/>
          <w:szCs w:val="22"/>
          <w:lang w:eastAsia="en-US"/>
        </w:rPr>
      </w:pPr>
      <w:proofErr w:type="spellStart"/>
      <w:r w:rsidRPr="002B5CAC">
        <w:rPr>
          <w:rFonts w:eastAsiaTheme="minorHAnsi"/>
          <w:sz w:val="22"/>
          <w:szCs w:val="22"/>
          <w:lang w:eastAsia="en-US"/>
        </w:rPr>
        <w:t>Hult</w:t>
      </w:r>
      <w:proofErr w:type="spellEnd"/>
      <w:r w:rsidRPr="002B5CAC">
        <w:rPr>
          <w:rFonts w:eastAsiaTheme="minorHAnsi"/>
          <w:sz w:val="22"/>
          <w:szCs w:val="22"/>
          <w:lang w:eastAsia="en-US"/>
        </w:rPr>
        <w:t xml:space="preserve">, G.T.M., </w:t>
      </w:r>
      <w:proofErr w:type="spellStart"/>
      <w:r w:rsidRPr="002B5CAC">
        <w:rPr>
          <w:rFonts w:eastAsiaTheme="minorHAnsi"/>
          <w:sz w:val="22"/>
          <w:szCs w:val="22"/>
          <w:lang w:eastAsia="en-US"/>
        </w:rPr>
        <w:t>Ketchen</w:t>
      </w:r>
      <w:proofErr w:type="spellEnd"/>
      <w:r w:rsidRPr="002B5CAC">
        <w:rPr>
          <w:rFonts w:eastAsiaTheme="minorHAnsi"/>
          <w:sz w:val="22"/>
          <w:szCs w:val="22"/>
          <w:lang w:eastAsia="en-US"/>
        </w:rPr>
        <w:t xml:space="preserve">, D.J., Griffith, D.A, </w:t>
      </w:r>
      <w:proofErr w:type="spellStart"/>
      <w:r w:rsidRPr="002B5CAC">
        <w:rPr>
          <w:rFonts w:eastAsiaTheme="minorHAnsi"/>
          <w:sz w:val="22"/>
          <w:szCs w:val="22"/>
          <w:lang w:eastAsia="en-US"/>
        </w:rPr>
        <w:t>Chabowski</w:t>
      </w:r>
      <w:proofErr w:type="spellEnd"/>
      <w:r w:rsidRPr="002B5CAC">
        <w:rPr>
          <w:rFonts w:eastAsiaTheme="minorHAnsi"/>
          <w:sz w:val="22"/>
          <w:szCs w:val="22"/>
          <w:lang w:eastAsia="en-US"/>
        </w:rPr>
        <w:t xml:space="preserve">, B.R., Hamman, M.K., Dykes, B.J., </w:t>
      </w:r>
      <w:proofErr w:type="spellStart"/>
      <w:r w:rsidRPr="002B5CAC">
        <w:rPr>
          <w:rFonts w:eastAsiaTheme="minorHAnsi"/>
          <w:sz w:val="22"/>
          <w:szCs w:val="22"/>
          <w:lang w:eastAsia="en-US"/>
        </w:rPr>
        <w:t>Pollitte</w:t>
      </w:r>
      <w:proofErr w:type="spellEnd"/>
      <w:r w:rsidRPr="002B5CAC">
        <w:rPr>
          <w:rFonts w:eastAsiaTheme="minorHAnsi"/>
          <w:sz w:val="22"/>
          <w:szCs w:val="22"/>
          <w:lang w:eastAsia="en-US"/>
        </w:rPr>
        <w:t>, W.A.</w:t>
      </w:r>
      <w:r w:rsidR="00741E4D" w:rsidRPr="002B5CAC">
        <w:rPr>
          <w:rFonts w:eastAsiaTheme="minorHAnsi"/>
          <w:sz w:val="22"/>
          <w:szCs w:val="22"/>
          <w:lang w:eastAsia="en-US"/>
        </w:rPr>
        <w:t>,</w:t>
      </w:r>
      <w:r w:rsidRPr="002B5CAC">
        <w:rPr>
          <w:rFonts w:eastAsiaTheme="minorHAnsi"/>
          <w:sz w:val="22"/>
          <w:szCs w:val="22"/>
          <w:lang w:eastAsia="en-US"/>
        </w:rPr>
        <w:t xml:space="preserve"> &amp; </w:t>
      </w:r>
      <w:proofErr w:type="spellStart"/>
      <w:r w:rsidRPr="002B5CAC">
        <w:rPr>
          <w:rFonts w:eastAsiaTheme="minorHAnsi"/>
          <w:sz w:val="22"/>
          <w:szCs w:val="22"/>
          <w:lang w:eastAsia="en-US"/>
        </w:rPr>
        <w:t>Cavusgil</w:t>
      </w:r>
      <w:proofErr w:type="spellEnd"/>
      <w:r w:rsidRPr="002B5CAC">
        <w:rPr>
          <w:rFonts w:eastAsiaTheme="minorHAnsi"/>
          <w:sz w:val="22"/>
          <w:szCs w:val="22"/>
          <w:lang w:eastAsia="en-US"/>
        </w:rPr>
        <w:t xml:space="preserve">, S.T. 2008. An assessment of the measurement of performance in international business research. </w:t>
      </w:r>
      <w:r w:rsidRPr="002B5CAC">
        <w:rPr>
          <w:rFonts w:eastAsiaTheme="minorHAnsi"/>
          <w:i/>
          <w:sz w:val="22"/>
          <w:szCs w:val="22"/>
          <w:lang w:eastAsia="en-US"/>
        </w:rPr>
        <w:t>Journal of International Business Studies</w:t>
      </w:r>
      <w:r w:rsidRPr="002B5CAC">
        <w:rPr>
          <w:rFonts w:eastAsiaTheme="minorHAnsi"/>
          <w:sz w:val="22"/>
          <w:szCs w:val="22"/>
          <w:lang w:eastAsia="en-US"/>
        </w:rPr>
        <w:t>, 39: 1064-1080.</w:t>
      </w:r>
    </w:p>
    <w:p w14:paraId="5EE3D696" w14:textId="77777777" w:rsidR="00A52545" w:rsidRPr="002B5CAC" w:rsidRDefault="00A52545" w:rsidP="00533FD2">
      <w:pPr>
        <w:ind w:right="-108"/>
        <w:rPr>
          <w:sz w:val="22"/>
          <w:szCs w:val="22"/>
        </w:rPr>
      </w:pPr>
    </w:p>
    <w:p w14:paraId="5EE3D697" w14:textId="77777777" w:rsidR="00741E4D" w:rsidRPr="002B5CAC" w:rsidRDefault="00E03C2E" w:rsidP="00533FD2">
      <w:pPr>
        <w:ind w:right="-108"/>
        <w:rPr>
          <w:rFonts w:eastAsiaTheme="minorHAnsi"/>
          <w:color w:val="0000FF" w:themeColor="hyperlink"/>
          <w:sz w:val="22"/>
          <w:szCs w:val="22"/>
          <w:u w:val="single"/>
          <w:lang w:val="en-GB" w:eastAsia="en-US"/>
        </w:rPr>
      </w:pPr>
      <w:r w:rsidRPr="002B5CAC">
        <w:rPr>
          <w:sz w:val="22"/>
          <w:szCs w:val="22"/>
        </w:rPr>
        <w:t xml:space="preserve">Hofstede, G. 1980. </w:t>
      </w:r>
      <w:r w:rsidRPr="002B5CAC">
        <w:rPr>
          <w:i/>
          <w:sz w:val="22"/>
          <w:szCs w:val="22"/>
        </w:rPr>
        <w:t>Culture's consequences</w:t>
      </w:r>
      <w:r w:rsidRPr="002B5CAC">
        <w:rPr>
          <w:sz w:val="22"/>
          <w:szCs w:val="22"/>
        </w:rPr>
        <w:t>. Beverly Hills, CA: Sage.</w:t>
      </w:r>
      <w:r w:rsidR="00A12B05" w:rsidRPr="002B5CAC">
        <w:rPr>
          <w:rFonts w:ascii="Arial" w:eastAsiaTheme="minorHAnsi" w:hAnsi="Arial" w:cs="Arial"/>
          <w:sz w:val="22"/>
          <w:szCs w:val="22"/>
          <w:lang w:val="en-GB" w:eastAsia="en-US"/>
        </w:rPr>
        <w:t xml:space="preserve"> </w:t>
      </w:r>
      <w:hyperlink r:id="rId9" w:history="1">
        <w:r w:rsidR="00A12B05" w:rsidRPr="002B5CAC">
          <w:rPr>
            <w:rFonts w:eastAsiaTheme="minorHAnsi"/>
            <w:color w:val="0000FF" w:themeColor="hyperlink"/>
            <w:sz w:val="22"/>
            <w:szCs w:val="22"/>
            <w:u w:val="single"/>
            <w:lang w:val="en-GB" w:eastAsia="en-US"/>
          </w:rPr>
          <w:t>http://www.geert-hofstede.com/geert_hofstede_resources.shtml</w:t>
        </w:r>
      </w:hyperlink>
      <w:r w:rsidR="00A52545" w:rsidRPr="002B5CAC">
        <w:rPr>
          <w:rFonts w:eastAsiaTheme="minorHAnsi"/>
          <w:color w:val="0000FF" w:themeColor="hyperlink"/>
          <w:sz w:val="22"/>
          <w:szCs w:val="22"/>
          <w:u w:val="single"/>
          <w:lang w:val="en-GB" w:eastAsia="en-US"/>
        </w:rPr>
        <w:t xml:space="preserve"> </w:t>
      </w:r>
    </w:p>
    <w:p w14:paraId="5EE3D698" w14:textId="77777777" w:rsidR="00741E4D" w:rsidRPr="002B5CAC" w:rsidRDefault="00741E4D" w:rsidP="00533FD2">
      <w:pPr>
        <w:ind w:right="-108"/>
        <w:rPr>
          <w:rFonts w:eastAsiaTheme="minorHAnsi"/>
          <w:b/>
          <w:color w:val="0000FF" w:themeColor="hyperlink"/>
          <w:sz w:val="22"/>
          <w:szCs w:val="22"/>
          <w:u w:val="single"/>
          <w:lang w:val="en-GB" w:eastAsia="en-US"/>
        </w:rPr>
      </w:pPr>
    </w:p>
    <w:p w14:paraId="5EE3D699" w14:textId="35809E04" w:rsidR="004167C3" w:rsidRDefault="004167C3" w:rsidP="00533FD2">
      <w:pPr>
        <w:ind w:right="-108"/>
        <w:rPr>
          <w:rFonts w:eastAsiaTheme="minorHAnsi"/>
          <w:sz w:val="22"/>
          <w:szCs w:val="22"/>
          <w:lang w:val="en-GB" w:eastAsia="en-US"/>
        </w:rPr>
      </w:pPr>
      <w:proofErr w:type="spellStart"/>
      <w:r w:rsidRPr="002B5CAC">
        <w:rPr>
          <w:rFonts w:eastAsiaTheme="minorHAnsi"/>
          <w:sz w:val="22"/>
          <w:szCs w:val="22"/>
          <w:lang w:val="en-GB" w:eastAsia="en-US"/>
        </w:rPr>
        <w:t>Huett</w:t>
      </w:r>
      <w:proofErr w:type="spellEnd"/>
      <w:r w:rsidRPr="002B5CAC">
        <w:rPr>
          <w:rFonts w:eastAsiaTheme="minorHAnsi"/>
          <w:sz w:val="22"/>
          <w:szCs w:val="22"/>
          <w:lang w:val="en-GB" w:eastAsia="en-US"/>
        </w:rPr>
        <w:t xml:space="preserve">, P., Baum, M., </w:t>
      </w:r>
      <w:proofErr w:type="spellStart"/>
      <w:r w:rsidRPr="002B5CAC">
        <w:rPr>
          <w:rFonts w:eastAsiaTheme="minorHAnsi"/>
          <w:sz w:val="22"/>
          <w:szCs w:val="22"/>
          <w:lang w:val="en-GB" w:eastAsia="en-US"/>
        </w:rPr>
        <w:t>Schwens</w:t>
      </w:r>
      <w:proofErr w:type="spellEnd"/>
      <w:r w:rsidRPr="002B5CAC">
        <w:rPr>
          <w:rFonts w:eastAsiaTheme="minorHAnsi"/>
          <w:sz w:val="22"/>
          <w:szCs w:val="22"/>
          <w:lang w:val="en-GB" w:eastAsia="en-US"/>
        </w:rPr>
        <w:t xml:space="preserve">, C., &amp; </w:t>
      </w:r>
      <w:proofErr w:type="spellStart"/>
      <w:r w:rsidRPr="002B5CAC">
        <w:rPr>
          <w:rFonts w:eastAsiaTheme="minorHAnsi"/>
          <w:sz w:val="22"/>
          <w:szCs w:val="22"/>
          <w:lang w:val="en-GB" w:eastAsia="en-US"/>
        </w:rPr>
        <w:t>Kabst</w:t>
      </w:r>
      <w:proofErr w:type="spellEnd"/>
      <w:r w:rsidRPr="002B5CAC">
        <w:rPr>
          <w:rFonts w:eastAsiaTheme="minorHAnsi"/>
          <w:sz w:val="22"/>
          <w:szCs w:val="22"/>
          <w:lang w:val="en-GB" w:eastAsia="en-US"/>
        </w:rPr>
        <w:t xml:space="preserve">, R. 2014. Foreign direct investment location choice of small-and medium-sized enterprises: The risk of value erosion of firm-specific resources. </w:t>
      </w:r>
      <w:r w:rsidRPr="002B5CAC">
        <w:rPr>
          <w:rFonts w:eastAsiaTheme="minorHAnsi"/>
          <w:i/>
          <w:sz w:val="22"/>
          <w:szCs w:val="22"/>
          <w:lang w:val="en-GB" w:eastAsia="en-US"/>
        </w:rPr>
        <w:t>International Business Review</w:t>
      </w:r>
      <w:r w:rsidRPr="002B5CAC">
        <w:rPr>
          <w:rFonts w:eastAsiaTheme="minorHAnsi"/>
          <w:sz w:val="22"/>
          <w:szCs w:val="22"/>
          <w:lang w:val="en-GB" w:eastAsia="en-US"/>
        </w:rPr>
        <w:t>, 23(5): 952-965.</w:t>
      </w:r>
    </w:p>
    <w:p w14:paraId="223ACC8E" w14:textId="44C639E7" w:rsidR="00264511" w:rsidRDefault="00264511" w:rsidP="00533FD2">
      <w:pPr>
        <w:ind w:right="-108"/>
        <w:rPr>
          <w:rFonts w:eastAsiaTheme="minorHAnsi"/>
          <w:sz w:val="22"/>
          <w:szCs w:val="22"/>
          <w:lang w:val="en-GB" w:eastAsia="en-US"/>
        </w:rPr>
      </w:pPr>
    </w:p>
    <w:p w14:paraId="03A8365A" w14:textId="10F24C45" w:rsidR="00264511" w:rsidRDefault="00264511" w:rsidP="00533FD2">
      <w:pPr>
        <w:ind w:right="-108"/>
        <w:rPr>
          <w:rFonts w:eastAsiaTheme="minorHAnsi"/>
          <w:sz w:val="22"/>
          <w:szCs w:val="22"/>
          <w:lang w:val="en-GB" w:eastAsia="en-US"/>
        </w:rPr>
      </w:pPr>
      <w:proofErr w:type="spellStart"/>
      <w:r w:rsidRPr="00D52E04">
        <w:rPr>
          <w:rFonts w:eastAsiaTheme="minorHAnsi"/>
          <w:sz w:val="22"/>
          <w:szCs w:val="22"/>
          <w:lang w:val="en-GB" w:eastAsia="en-US"/>
        </w:rPr>
        <w:t>İpek</w:t>
      </w:r>
      <w:proofErr w:type="spellEnd"/>
      <w:r w:rsidRPr="00D52E04">
        <w:rPr>
          <w:rFonts w:eastAsiaTheme="minorHAnsi"/>
          <w:sz w:val="22"/>
          <w:szCs w:val="22"/>
          <w:lang w:val="en-GB" w:eastAsia="en-US"/>
        </w:rPr>
        <w:t>, İ</w:t>
      </w:r>
      <w:r w:rsidRPr="00264511">
        <w:rPr>
          <w:rFonts w:eastAsiaTheme="minorHAnsi"/>
          <w:sz w:val="22"/>
          <w:szCs w:val="22"/>
          <w:lang w:val="en-GB" w:eastAsia="en-US"/>
        </w:rPr>
        <w:t xml:space="preserve">. 2019. Organizational learning in exporting: A bibliometric analysis and critical review of the empirical research. </w:t>
      </w:r>
      <w:r w:rsidRPr="00264511">
        <w:rPr>
          <w:rFonts w:eastAsiaTheme="minorHAnsi"/>
          <w:i/>
          <w:iCs/>
          <w:sz w:val="22"/>
          <w:szCs w:val="22"/>
          <w:lang w:val="en-GB" w:eastAsia="en-US"/>
        </w:rPr>
        <w:t>International Business Review</w:t>
      </w:r>
      <w:r w:rsidRPr="00264511">
        <w:rPr>
          <w:rFonts w:eastAsiaTheme="minorHAnsi"/>
          <w:sz w:val="22"/>
          <w:szCs w:val="22"/>
          <w:lang w:val="en-GB" w:eastAsia="en-US"/>
        </w:rPr>
        <w:t>, 28(3)</w:t>
      </w:r>
      <w:r w:rsidR="00702943">
        <w:rPr>
          <w:rFonts w:eastAsiaTheme="minorHAnsi"/>
          <w:sz w:val="22"/>
          <w:szCs w:val="22"/>
          <w:lang w:val="en-GB" w:eastAsia="en-US"/>
        </w:rPr>
        <w:t>:</w:t>
      </w:r>
      <w:r w:rsidRPr="00264511">
        <w:rPr>
          <w:rFonts w:eastAsiaTheme="minorHAnsi"/>
          <w:sz w:val="22"/>
          <w:szCs w:val="22"/>
          <w:lang w:val="en-GB" w:eastAsia="en-US"/>
        </w:rPr>
        <w:t xml:space="preserve"> 544-559.</w:t>
      </w:r>
    </w:p>
    <w:p w14:paraId="2047234F" w14:textId="64224A04" w:rsidR="001265F1" w:rsidRDefault="001265F1" w:rsidP="00533FD2">
      <w:pPr>
        <w:ind w:right="-108"/>
        <w:rPr>
          <w:rFonts w:eastAsiaTheme="minorHAnsi"/>
          <w:sz w:val="22"/>
          <w:szCs w:val="22"/>
          <w:lang w:val="en-GB" w:eastAsia="en-US"/>
        </w:rPr>
      </w:pPr>
    </w:p>
    <w:p w14:paraId="127E5DC3" w14:textId="0CFA8665" w:rsidR="001265F1" w:rsidRPr="008C2691" w:rsidRDefault="001265F1" w:rsidP="00533FD2">
      <w:pPr>
        <w:ind w:right="-108"/>
        <w:rPr>
          <w:rFonts w:eastAsiaTheme="minorHAnsi"/>
          <w:sz w:val="22"/>
          <w:szCs w:val="22"/>
          <w:lang w:val="it-IT" w:eastAsia="en-US"/>
        </w:rPr>
      </w:pPr>
      <w:bookmarkStart w:id="5" w:name="_Hlk65138338"/>
      <w:r w:rsidRPr="00D52E04">
        <w:rPr>
          <w:rFonts w:eastAsiaTheme="minorHAnsi"/>
          <w:sz w:val="22"/>
          <w:szCs w:val="22"/>
          <w:lang w:val="en-GB" w:eastAsia="en-US"/>
        </w:rPr>
        <w:t>Ishii, R</w:t>
      </w:r>
      <w:r w:rsidRPr="001265F1">
        <w:rPr>
          <w:rFonts w:eastAsiaTheme="minorHAnsi"/>
          <w:sz w:val="22"/>
          <w:szCs w:val="22"/>
          <w:lang w:val="en-GB" w:eastAsia="en-US"/>
        </w:rPr>
        <w:t>. 2021</w:t>
      </w:r>
      <w:bookmarkEnd w:id="5"/>
      <w:r w:rsidRPr="001265F1">
        <w:rPr>
          <w:rFonts w:eastAsiaTheme="minorHAnsi"/>
          <w:sz w:val="22"/>
          <w:szCs w:val="22"/>
          <w:lang w:val="en-GB" w:eastAsia="en-US"/>
        </w:rPr>
        <w:t xml:space="preserve">. Intermediary resources and export venture performance under different export channel structures. </w:t>
      </w:r>
      <w:r w:rsidRPr="008C2691">
        <w:rPr>
          <w:rFonts w:eastAsiaTheme="minorHAnsi"/>
          <w:i/>
          <w:iCs/>
          <w:sz w:val="22"/>
          <w:szCs w:val="22"/>
          <w:lang w:val="it-IT" w:eastAsia="en-US"/>
        </w:rPr>
        <w:t>International Marketing Review</w:t>
      </w:r>
      <w:r w:rsidRPr="008C2691">
        <w:rPr>
          <w:rFonts w:eastAsiaTheme="minorHAnsi"/>
          <w:sz w:val="22"/>
          <w:szCs w:val="22"/>
          <w:lang w:val="it-IT" w:eastAsia="en-US"/>
        </w:rPr>
        <w:t>.</w:t>
      </w:r>
      <w:r w:rsidR="00702943" w:rsidRPr="008C2691">
        <w:rPr>
          <w:rFonts w:eastAsiaTheme="minorHAnsi"/>
          <w:sz w:val="22"/>
          <w:szCs w:val="22"/>
          <w:lang w:val="it-IT" w:eastAsia="en-US"/>
        </w:rPr>
        <w:t xml:space="preserve"> Forthcoming.</w:t>
      </w:r>
    </w:p>
    <w:p w14:paraId="5DC548D3" w14:textId="7487C02F" w:rsidR="00824157" w:rsidRPr="008C2691" w:rsidRDefault="00824157" w:rsidP="00533FD2">
      <w:pPr>
        <w:ind w:right="-108"/>
        <w:rPr>
          <w:rFonts w:eastAsiaTheme="minorHAnsi"/>
          <w:sz w:val="22"/>
          <w:szCs w:val="22"/>
          <w:lang w:val="it-IT" w:eastAsia="en-US"/>
        </w:rPr>
      </w:pPr>
    </w:p>
    <w:p w14:paraId="47A855F7" w14:textId="77777777" w:rsidR="00824157" w:rsidRPr="00824157" w:rsidRDefault="00824157" w:rsidP="00824157">
      <w:pPr>
        <w:ind w:right="-108"/>
        <w:rPr>
          <w:rFonts w:eastAsiaTheme="minorHAnsi"/>
          <w:sz w:val="22"/>
          <w:szCs w:val="22"/>
          <w:lang w:val="en-GB" w:eastAsia="en-US"/>
        </w:rPr>
      </w:pPr>
      <w:r w:rsidRPr="00D52E04">
        <w:rPr>
          <w:rFonts w:eastAsiaTheme="minorHAnsi"/>
          <w:sz w:val="22"/>
          <w:szCs w:val="22"/>
          <w:lang w:val="it-IT" w:eastAsia="en-US"/>
        </w:rPr>
        <w:t>ISTAT, 2012</w:t>
      </w:r>
      <w:r w:rsidRPr="008C2691">
        <w:rPr>
          <w:rFonts w:eastAsiaTheme="minorHAnsi"/>
          <w:sz w:val="22"/>
          <w:szCs w:val="22"/>
          <w:lang w:val="it-IT" w:eastAsia="en-US"/>
        </w:rPr>
        <w:t xml:space="preserve">. Le esportazioni delle regioni Italiane. </w:t>
      </w:r>
      <w:r w:rsidRPr="00824157">
        <w:rPr>
          <w:rFonts w:eastAsiaTheme="minorHAnsi"/>
          <w:sz w:val="22"/>
          <w:szCs w:val="22"/>
          <w:lang w:val="en-GB" w:eastAsia="en-US"/>
        </w:rPr>
        <w:t xml:space="preserve">I </w:t>
      </w:r>
      <w:proofErr w:type="spellStart"/>
      <w:r w:rsidRPr="00824157">
        <w:rPr>
          <w:rFonts w:eastAsiaTheme="minorHAnsi"/>
          <w:sz w:val="22"/>
          <w:szCs w:val="22"/>
          <w:lang w:val="en-GB" w:eastAsia="en-US"/>
        </w:rPr>
        <w:t>Trimestre</w:t>
      </w:r>
      <w:proofErr w:type="spellEnd"/>
      <w:r w:rsidRPr="00824157">
        <w:rPr>
          <w:rFonts w:eastAsiaTheme="minorHAnsi"/>
          <w:sz w:val="22"/>
          <w:szCs w:val="22"/>
          <w:lang w:val="en-GB" w:eastAsia="en-US"/>
        </w:rPr>
        <w:t xml:space="preserve">. </w:t>
      </w:r>
    </w:p>
    <w:p w14:paraId="16E4BCBE" w14:textId="1FF6AEE9" w:rsidR="00824157" w:rsidRDefault="00824157" w:rsidP="00824157">
      <w:pPr>
        <w:ind w:right="-108"/>
        <w:rPr>
          <w:rFonts w:eastAsiaTheme="minorHAnsi"/>
          <w:sz w:val="22"/>
          <w:szCs w:val="22"/>
          <w:lang w:val="en-GB" w:eastAsia="en-US"/>
        </w:rPr>
      </w:pPr>
      <w:r w:rsidRPr="00824157">
        <w:rPr>
          <w:rFonts w:eastAsiaTheme="minorHAnsi"/>
          <w:sz w:val="22"/>
          <w:szCs w:val="22"/>
          <w:lang w:val="en-GB" w:eastAsia="en-US"/>
        </w:rPr>
        <w:t>[available at: https://www.istat.it/it/files//2012/06/comreg_new_Itrim2012.pdf]</w:t>
      </w:r>
    </w:p>
    <w:p w14:paraId="663218A2" w14:textId="2AE7DB04" w:rsidR="00016591" w:rsidRDefault="00016591" w:rsidP="00533FD2">
      <w:pPr>
        <w:ind w:right="-108"/>
        <w:rPr>
          <w:rFonts w:eastAsiaTheme="minorHAnsi"/>
          <w:sz w:val="22"/>
          <w:szCs w:val="22"/>
          <w:lang w:val="en-GB" w:eastAsia="en-US"/>
        </w:rPr>
      </w:pPr>
    </w:p>
    <w:p w14:paraId="1BC9EBF7" w14:textId="383B98C6" w:rsidR="00016591" w:rsidRPr="002B5CAC" w:rsidRDefault="00016591" w:rsidP="00533FD2">
      <w:pPr>
        <w:ind w:right="-108"/>
        <w:rPr>
          <w:rFonts w:eastAsiaTheme="minorHAnsi"/>
          <w:sz w:val="22"/>
          <w:szCs w:val="22"/>
          <w:lang w:val="en-GB" w:eastAsia="en-US"/>
        </w:rPr>
      </w:pPr>
      <w:bookmarkStart w:id="6" w:name="_Hlk65224524"/>
      <w:r w:rsidRPr="00D52E04">
        <w:rPr>
          <w:rFonts w:eastAsiaTheme="minorHAnsi"/>
          <w:sz w:val="22"/>
          <w:szCs w:val="22"/>
          <w:lang w:val="en-GB" w:eastAsia="en-US"/>
        </w:rPr>
        <w:t>Jiang</w:t>
      </w:r>
      <w:bookmarkEnd w:id="6"/>
      <w:r w:rsidRPr="00D52E04">
        <w:rPr>
          <w:rFonts w:eastAsiaTheme="minorHAnsi"/>
          <w:sz w:val="22"/>
          <w:szCs w:val="22"/>
          <w:lang w:val="en-GB" w:eastAsia="en-US"/>
        </w:rPr>
        <w:t>, X</w:t>
      </w:r>
      <w:r w:rsidRPr="00016591">
        <w:rPr>
          <w:rFonts w:eastAsiaTheme="minorHAnsi"/>
          <w:sz w:val="22"/>
          <w:szCs w:val="22"/>
          <w:lang w:val="en-GB" w:eastAsia="en-US"/>
        </w:rPr>
        <w:t xml:space="preserve">., Liu, H., Fey, C., &amp; Jiang, F. 2018. Entrepreneurial orientation, network resource acquisition, and firm performance: A network approach. </w:t>
      </w:r>
      <w:r w:rsidRPr="00016591">
        <w:rPr>
          <w:rFonts w:eastAsiaTheme="minorHAnsi"/>
          <w:i/>
          <w:iCs/>
          <w:sz w:val="22"/>
          <w:szCs w:val="22"/>
          <w:lang w:val="en-GB" w:eastAsia="en-US"/>
        </w:rPr>
        <w:t>Journal of Business Research</w:t>
      </w:r>
      <w:r w:rsidRPr="00016591">
        <w:rPr>
          <w:rFonts w:eastAsiaTheme="minorHAnsi"/>
          <w:sz w:val="22"/>
          <w:szCs w:val="22"/>
          <w:lang w:val="en-GB" w:eastAsia="en-US"/>
        </w:rPr>
        <w:t>, 87</w:t>
      </w:r>
      <w:r w:rsidR="00702943">
        <w:rPr>
          <w:rFonts w:eastAsiaTheme="minorHAnsi"/>
          <w:sz w:val="22"/>
          <w:szCs w:val="22"/>
          <w:lang w:val="en-GB" w:eastAsia="en-US"/>
        </w:rPr>
        <w:t>:</w:t>
      </w:r>
      <w:r w:rsidRPr="00016591">
        <w:rPr>
          <w:rFonts w:eastAsiaTheme="minorHAnsi"/>
          <w:sz w:val="22"/>
          <w:szCs w:val="22"/>
          <w:lang w:val="en-GB" w:eastAsia="en-US"/>
        </w:rPr>
        <w:t xml:space="preserve"> 46-57.</w:t>
      </w:r>
    </w:p>
    <w:p w14:paraId="5EE3D69A" w14:textId="6920F262" w:rsidR="004167C3" w:rsidRDefault="004167C3" w:rsidP="00533FD2">
      <w:pPr>
        <w:ind w:right="-108"/>
        <w:rPr>
          <w:rFonts w:eastAsiaTheme="minorHAnsi"/>
          <w:b/>
          <w:color w:val="0000FF" w:themeColor="hyperlink"/>
          <w:sz w:val="22"/>
          <w:szCs w:val="22"/>
          <w:u w:val="single"/>
          <w:lang w:val="en-GB" w:eastAsia="en-US"/>
        </w:rPr>
      </w:pPr>
    </w:p>
    <w:p w14:paraId="5EE3D69B" w14:textId="77777777" w:rsidR="00741E4D" w:rsidRPr="002B5CAC" w:rsidRDefault="00E03C2E" w:rsidP="00533FD2">
      <w:pPr>
        <w:ind w:right="-108"/>
        <w:rPr>
          <w:rFonts w:eastAsiaTheme="minorHAnsi"/>
          <w:b/>
          <w:sz w:val="22"/>
          <w:szCs w:val="22"/>
          <w:lang w:eastAsia="en-US"/>
        </w:rPr>
      </w:pPr>
      <w:r w:rsidRPr="002B5CAC">
        <w:rPr>
          <w:sz w:val="22"/>
          <w:szCs w:val="22"/>
          <w:lang w:val="nl-NL"/>
        </w:rPr>
        <w:t xml:space="preserve">Keupp, M.M., &amp; Gassmann, O. 2009. </w:t>
      </w:r>
      <w:r w:rsidRPr="002B5CAC">
        <w:rPr>
          <w:sz w:val="22"/>
          <w:szCs w:val="22"/>
        </w:rPr>
        <w:t xml:space="preserve">The past and the future </w:t>
      </w:r>
      <w:r w:rsidR="00830A1E" w:rsidRPr="002B5CAC">
        <w:rPr>
          <w:sz w:val="22"/>
          <w:szCs w:val="22"/>
        </w:rPr>
        <w:t xml:space="preserve">of </w:t>
      </w:r>
      <w:r w:rsidRPr="002B5CAC">
        <w:rPr>
          <w:sz w:val="22"/>
          <w:szCs w:val="22"/>
        </w:rPr>
        <w:t>international</w:t>
      </w:r>
      <w:r w:rsidR="00E61DFE" w:rsidRPr="002B5CAC">
        <w:rPr>
          <w:sz w:val="22"/>
          <w:szCs w:val="22"/>
        </w:rPr>
        <w:t xml:space="preserve"> </w:t>
      </w:r>
      <w:r w:rsidR="00C13099" w:rsidRPr="002B5CAC">
        <w:rPr>
          <w:sz w:val="22"/>
          <w:szCs w:val="22"/>
        </w:rPr>
        <w:t>e</w:t>
      </w:r>
      <w:r w:rsidRPr="002B5CAC">
        <w:rPr>
          <w:sz w:val="22"/>
          <w:szCs w:val="22"/>
        </w:rPr>
        <w:t xml:space="preserve">ntrepreneurship: A review and suggestions for developing the field. </w:t>
      </w:r>
      <w:r w:rsidRPr="002B5CAC">
        <w:rPr>
          <w:i/>
          <w:sz w:val="22"/>
          <w:szCs w:val="22"/>
        </w:rPr>
        <w:t>Journal of Management,</w:t>
      </w:r>
      <w:r w:rsidRPr="002B5CAC">
        <w:rPr>
          <w:sz w:val="22"/>
          <w:szCs w:val="22"/>
        </w:rPr>
        <w:t xml:space="preserve"> 35(3): 600-633.</w:t>
      </w:r>
      <w:r w:rsidR="00A12B05" w:rsidRPr="002B5CAC">
        <w:rPr>
          <w:rFonts w:eastAsiaTheme="minorHAnsi"/>
          <w:b/>
          <w:sz w:val="22"/>
          <w:szCs w:val="22"/>
          <w:lang w:eastAsia="en-US"/>
        </w:rPr>
        <w:t xml:space="preserve"> </w:t>
      </w:r>
    </w:p>
    <w:p w14:paraId="5EE3D69C" w14:textId="77777777" w:rsidR="00741E4D" w:rsidRPr="002B5CAC" w:rsidRDefault="00741E4D" w:rsidP="00533FD2">
      <w:pPr>
        <w:ind w:right="-108"/>
        <w:rPr>
          <w:rFonts w:eastAsiaTheme="minorHAnsi"/>
          <w:b/>
          <w:sz w:val="22"/>
          <w:szCs w:val="22"/>
          <w:lang w:eastAsia="en-US"/>
        </w:rPr>
      </w:pPr>
    </w:p>
    <w:p w14:paraId="5EE3D69D" w14:textId="77777777" w:rsidR="00A64D3F" w:rsidRPr="002B5CAC" w:rsidRDefault="00A64D3F" w:rsidP="00533FD2">
      <w:pPr>
        <w:ind w:right="-108"/>
        <w:rPr>
          <w:rFonts w:eastAsiaTheme="minorHAnsi"/>
          <w:b/>
          <w:sz w:val="22"/>
          <w:szCs w:val="22"/>
          <w:lang w:eastAsia="en-US"/>
        </w:rPr>
      </w:pPr>
      <w:proofErr w:type="spellStart"/>
      <w:r w:rsidRPr="002B5CAC">
        <w:rPr>
          <w:rFonts w:eastAsiaTheme="minorHAnsi" w:cs="Arial"/>
          <w:sz w:val="22"/>
          <w:szCs w:val="22"/>
          <w:lang w:eastAsia="en-US"/>
        </w:rPr>
        <w:t>Khemakhem</w:t>
      </w:r>
      <w:proofErr w:type="spellEnd"/>
      <w:r w:rsidRPr="002B5CAC">
        <w:rPr>
          <w:rFonts w:eastAsiaTheme="minorHAnsi" w:cs="Arial"/>
          <w:sz w:val="22"/>
          <w:szCs w:val="22"/>
          <w:lang w:eastAsia="en-US"/>
        </w:rPr>
        <w:t xml:space="preserve">, R. 2010. Explaining the entry mode choice among Tunisian exporting firms. </w:t>
      </w:r>
      <w:r w:rsidRPr="002B5CAC">
        <w:rPr>
          <w:rFonts w:eastAsiaTheme="minorHAnsi" w:cs="Arial"/>
          <w:i/>
          <w:sz w:val="22"/>
          <w:szCs w:val="22"/>
          <w:lang w:eastAsia="en-US"/>
        </w:rPr>
        <w:t>European Journal of Marketing</w:t>
      </w:r>
      <w:r w:rsidRPr="002B5CAC">
        <w:rPr>
          <w:rFonts w:eastAsiaTheme="minorHAnsi" w:cs="Arial"/>
          <w:sz w:val="22"/>
          <w:szCs w:val="22"/>
          <w:lang w:eastAsia="en-US"/>
        </w:rPr>
        <w:t>, 44(1/2): 223-244.</w:t>
      </w:r>
    </w:p>
    <w:p w14:paraId="5EE3D69E" w14:textId="77777777" w:rsidR="00A52545" w:rsidRPr="002B5CAC" w:rsidRDefault="00A52545" w:rsidP="00533FD2">
      <w:pPr>
        <w:ind w:right="-108"/>
        <w:rPr>
          <w:rFonts w:eastAsiaTheme="minorHAnsi"/>
          <w:b/>
          <w:sz w:val="22"/>
          <w:szCs w:val="22"/>
          <w:lang w:eastAsia="en-US"/>
        </w:rPr>
      </w:pPr>
    </w:p>
    <w:p w14:paraId="5EE3D69F" w14:textId="77777777" w:rsidR="00A12B05" w:rsidRPr="002B5CAC" w:rsidRDefault="00A12B05" w:rsidP="00533FD2">
      <w:pPr>
        <w:ind w:right="-108"/>
        <w:rPr>
          <w:rFonts w:eastAsiaTheme="minorHAnsi"/>
          <w:sz w:val="22"/>
          <w:szCs w:val="22"/>
          <w:lang w:eastAsia="en-US"/>
        </w:rPr>
      </w:pPr>
      <w:r w:rsidRPr="002B5CAC">
        <w:rPr>
          <w:rFonts w:eastAsiaTheme="minorHAnsi"/>
          <w:sz w:val="22"/>
          <w:szCs w:val="22"/>
          <w:lang w:eastAsia="en-US"/>
        </w:rPr>
        <w:t xml:space="preserve">Kirkman, B.L., Lowe, K.B. &amp; Gibson, C.B. 2006. A quarter century of culture's consequences: A review of empirical research incorporating Hofstede's cultural values framework. </w:t>
      </w:r>
      <w:r w:rsidRPr="002B5CAC">
        <w:rPr>
          <w:rFonts w:eastAsiaTheme="minorHAnsi"/>
          <w:i/>
          <w:sz w:val="22"/>
          <w:szCs w:val="22"/>
          <w:lang w:eastAsia="en-US"/>
        </w:rPr>
        <w:t>Journal of International Business Studies</w:t>
      </w:r>
      <w:r w:rsidRPr="002B5CAC">
        <w:rPr>
          <w:rFonts w:eastAsiaTheme="minorHAnsi"/>
          <w:sz w:val="22"/>
          <w:szCs w:val="22"/>
          <w:lang w:eastAsia="en-US"/>
        </w:rPr>
        <w:t xml:space="preserve">, 37(3), 285-320. </w:t>
      </w:r>
    </w:p>
    <w:p w14:paraId="5EE3D6A0" w14:textId="77777777" w:rsidR="00E03C2E" w:rsidRPr="002B5CAC" w:rsidRDefault="00E03C2E" w:rsidP="00533FD2">
      <w:pPr>
        <w:ind w:right="-108" w:hanging="720"/>
        <w:rPr>
          <w:sz w:val="22"/>
          <w:szCs w:val="22"/>
        </w:rPr>
      </w:pPr>
    </w:p>
    <w:p w14:paraId="5EE3D6A1" w14:textId="77777777" w:rsidR="00E03C2E" w:rsidRPr="002B5CAC" w:rsidRDefault="00E03C2E" w:rsidP="00533FD2">
      <w:pPr>
        <w:ind w:right="-108"/>
        <w:rPr>
          <w:sz w:val="22"/>
          <w:szCs w:val="22"/>
        </w:rPr>
      </w:pPr>
      <w:r w:rsidRPr="002B5CAC">
        <w:rPr>
          <w:sz w:val="22"/>
          <w:szCs w:val="22"/>
        </w:rPr>
        <w:t xml:space="preserve">Klein, S., Frazier, G.L., &amp; Roth V.J. 1990. A Transaction Cost Analysis Model of Channel Integration in International Markets. </w:t>
      </w:r>
      <w:r w:rsidRPr="002B5CAC">
        <w:rPr>
          <w:i/>
          <w:iCs/>
          <w:sz w:val="22"/>
          <w:szCs w:val="22"/>
        </w:rPr>
        <w:t>Journal of Marketing Research</w:t>
      </w:r>
      <w:r w:rsidRPr="002B5CAC">
        <w:rPr>
          <w:sz w:val="22"/>
          <w:szCs w:val="22"/>
        </w:rPr>
        <w:t>, 27(2): 196-208.</w:t>
      </w:r>
    </w:p>
    <w:p w14:paraId="5EE3D6A2" w14:textId="77777777" w:rsidR="00E03C2E" w:rsidRPr="002B5CAC" w:rsidRDefault="00E03C2E" w:rsidP="00533FD2">
      <w:pPr>
        <w:ind w:right="-108" w:hanging="720"/>
        <w:rPr>
          <w:sz w:val="22"/>
          <w:szCs w:val="22"/>
        </w:rPr>
      </w:pPr>
    </w:p>
    <w:p w14:paraId="5EE3D6A3" w14:textId="77777777" w:rsidR="00E03C2E" w:rsidRPr="002B5CAC" w:rsidRDefault="00E03C2E" w:rsidP="00533FD2">
      <w:pPr>
        <w:ind w:right="-108"/>
        <w:rPr>
          <w:sz w:val="22"/>
          <w:szCs w:val="22"/>
        </w:rPr>
      </w:pPr>
      <w:r w:rsidRPr="002B5CAC">
        <w:rPr>
          <w:sz w:val="22"/>
          <w:szCs w:val="22"/>
        </w:rPr>
        <w:t xml:space="preserve">Klein, S., &amp; Roth, V.J. 1990. Determinants of export channel structure: The effects of experience and psychic distance reconsidered. </w:t>
      </w:r>
      <w:r w:rsidRPr="002B5CAC">
        <w:rPr>
          <w:i/>
          <w:iCs/>
          <w:sz w:val="22"/>
          <w:szCs w:val="22"/>
        </w:rPr>
        <w:t>International Marketing Review</w:t>
      </w:r>
      <w:r w:rsidRPr="002B5CAC">
        <w:rPr>
          <w:sz w:val="22"/>
          <w:szCs w:val="22"/>
        </w:rPr>
        <w:t>, 7(5/6): 27-38.</w:t>
      </w:r>
    </w:p>
    <w:p w14:paraId="5EE3D6A4" w14:textId="77777777" w:rsidR="00E03C2E" w:rsidRPr="002B5CAC" w:rsidRDefault="00E03C2E" w:rsidP="00533FD2">
      <w:pPr>
        <w:ind w:right="-108" w:hanging="720"/>
        <w:rPr>
          <w:sz w:val="22"/>
          <w:szCs w:val="22"/>
        </w:rPr>
      </w:pPr>
    </w:p>
    <w:p w14:paraId="5EE3D6A5" w14:textId="77777777" w:rsidR="00E03C2E" w:rsidRPr="002B5CAC" w:rsidRDefault="00E03C2E" w:rsidP="00533FD2">
      <w:pPr>
        <w:ind w:right="-108"/>
        <w:rPr>
          <w:sz w:val="22"/>
          <w:szCs w:val="22"/>
        </w:rPr>
      </w:pPr>
      <w:r w:rsidRPr="002B5CAC">
        <w:rPr>
          <w:sz w:val="22"/>
          <w:szCs w:val="22"/>
        </w:rPr>
        <w:t xml:space="preserve">Knack, S., &amp; Keefer, P. 1997. Does social capital have an economic payoff? A cross-country investigation. </w:t>
      </w:r>
      <w:r w:rsidRPr="002B5CAC">
        <w:rPr>
          <w:i/>
          <w:sz w:val="22"/>
          <w:szCs w:val="22"/>
        </w:rPr>
        <w:t xml:space="preserve">The Quarterly Journal of Economics, </w:t>
      </w:r>
      <w:r w:rsidRPr="002B5CAC">
        <w:rPr>
          <w:sz w:val="22"/>
          <w:szCs w:val="22"/>
        </w:rPr>
        <w:t>112(4): 1251-1288.</w:t>
      </w:r>
    </w:p>
    <w:p w14:paraId="5EE3D6A6" w14:textId="77777777" w:rsidR="00E03C2E" w:rsidRPr="002B5CAC" w:rsidRDefault="00E03C2E" w:rsidP="00533FD2">
      <w:pPr>
        <w:ind w:right="-108" w:hanging="720"/>
        <w:rPr>
          <w:sz w:val="22"/>
          <w:szCs w:val="22"/>
        </w:rPr>
      </w:pPr>
    </w:p>
    <w:p w14:paraId="5EE3D6A7" w14:textId="3A9E9103" w:rsidR="005E6197" w:rsidRDefault="005E6197" w:rsidP="00533FD2">
      <w:pPr>
        <w:ind w:right="-108"/>
        <w:rPr>
          <w:sz w:val="22"/>
          <w:szCs w:val="22"/>
        </w:rPr>
      </w:pPr>
      <w:r w:rsidRPr="002B5CAC">
        <w:rPr>
          <w:sz w:val="22"/>
          <w:szCs w:val="22"/>
        </w:rPr>
        <w:t xml:space="preserve">Knight, G.A. &amp; </w:t>
      </w:r>
      <w:proofErr w:type="spellStart"/>
      <w:r w:rsidRPr="002B5CAC">
        <w:rPr>
          <w:sz w:val="22"/>
          <w:szCs w:val="22"/>
        </w:rPr>
        <w:t>Cavusgil</w:t>
      </w:r>
      <w:proofErr w:type="spellEnd"/>
      <w:r w:rsidRPr="002B5CAC">
        <w:rPr>
          <w:sz w:val="22"/>
          <w:szCs w:val="22"/>
        </w:rPr>
        <w:t xml:space="preserve">, S.T. 2004. Innovation, organizational capabilities, and the born-global firm. </w:t>
      </w:r>
      <w:r w:rsidRPr="002B5CAC">
        <w:rPr>
          <w:i/>
          <w:sz w:val="22"/>
          <w:szCs w:val="22"/>
        </w:rPr>
        <w:t>Journal of International Business Studies</w:t>
      </w:r>
      <w:r w:rsidRPr="002B5CAC">
        <w:rPr>
          <w:sz w:val="22"/>
          <w:szCs w:val="22"/>
        </w:rPr>
        <w:t>, 35: 124-141.</w:t>
      </w:r>
    </w:p>
    <w:p w14:paraId="702DEEE9" w14:textId="2D336425" w:rsidR="00810B07" w:rsidRDefault="00810B07" w:rsidP="00533FD2">
      <w:pPr>
        <w:ind w:right="-108"/>
        <w:rPr>
          <w:sz w:val="22"/>
          <w:szCs w:val="22"/>
        </w:rPr>
      </w:pPr>
    </w:p>
    <w:p w14:paraId="5EE3D6A8" w14:textId="75A4D18A" w:rsidR="005E6197" w:rsidRPr="002B5CAC" w:rsidRDefault="00810B07" w:rsidP="00501976">
      <w:pPr>
        <w:ind w:right="-108"/>
        <w:rPr>
          <w:sz w:val="22"/>
          <w:szCs w:val="22"/>
        </w:rPr>
      </w:pPr>
      <w:r w:rsidRPr="009A476A">
        <w:rPr>
          <w:sz w:val="22"/>
          <w:szCs w:val="22"/>
        </w:rPr>
        <w:t>Knight, G</w:t>
      </w:r>
      <w:r w:rsidRPr="00810B07">
        <w:rPr>
          <w:sz w:val="22"/>
          <w:szCs w:val="22"/>
        </w:rPr>
        <w:t xml:space="preserve">., Moen, Ø., &amp; Madsen, T. K. (2020). Antecedents to differentiation strategy in the exporting SME. </w:t>
      </w:r>
      <w:r w:rsidRPr="007E3747">
        <w:rPr>
          <w:i/>
          <w:iCs/>
          <w:sz w:val="22"/>
          <w:szCs w:val="22"/>
        </w:rPr>
        <w:t>International Business Review</w:t>
      </w:r>
      <w:r w:rsidRPr="00810B07">
        <w:rPr>
          <w:sz w:val="22"/>
          <w:szCs w:val="22"/>
        </w:rPr>
        <w:t>, 29(6)</w:t>
      </w:r>
      <w:r w:rsidR="00C60655">
        <w:rPr>
          <w:sz w:val="22"/>
          <w:szCs w:val="22"/>
        </w:rPr>
        <w:t xml:space="preserve">: </w:t>
      </w:r>
      <w:r w:rsidR="005E3FD0">
        <w:rPr>
          <w:sz w:val="22"/>
          <w:szCs w:val="22"/>
        </w:rPr>
        <w:t>1-14</w:t>
      </w:r>
      <w:r w:rsidR="00501976">
        <w:rPr>
          <w:sz w:val="22"/>
          <w:szCs w:val="22"/>
        </w:rPr>
        <w:t>.</w:t>
      </w:r>
    </w:p>
    <w:p w14:paraId="4BFEF9A0" w14:textId="77777777" w:rsidR="0018026B" w:rsidRDefault="0018026B" w:rsidP="00533FD2">
      <w:pPr>
        <w:ind w:right="-108"/>
        <w:rPr>
          <w:sz w:val="22"/>
          <w:szCs w:val="22"/>
        </w:rPr>
      </w:pPr>
    </w:p>
    <w:p w14:paraId="5EE3D6A9" w14:textId="7AFCB6D5" w:rsidR="00E03C2E" w:rsidRPr="002B5CAC" w:rsidRDefault="00E03C2E" w:rsidP="00533FD2">
      <w:pPr>
        <w:ind w:right="-108"/>
        <w:rPr>
          <w:sz w:val="22"/>
          <w:szCs w:val="22"/>
        </w:rPr>
      </w:pPr>
      <w:proofErr w:type="spellStart"/>
      <w:r w:rsidRPr="002B5CAC">
        <w:rPr>
          <w:sz w:val="22"/>
          <w:szCs w:val="22"/>
        </w:rPr>
        <w:t>Kogut</w:t>
      </w:r>
      <w:proofErr w:type="spellEnd"/>
      <w:r w:rsidRPr="002B5CAC">
        <w:rPr>
          <w:sz w:val="22"/>
          <w:szCs w:val="22"/>
        </w:rPr>
        <w:t xml:space="preserve">, B., &amp; Singh, H. 1988. The effect of national culture on the choice of entry mode. </w:t>
      </w:r>
      <w:r w:rsidRPr="002B5CAC">
        <w:rPr>
          <w:i/>
          <w:sz w:val="22"/>
          <w:szCs w:val="22"/>
        </w:rPr>
        <w:t>Journal of International Business Studies</w:t>
      </w:r>
      <w:r w:rsidRPr="002B5CAC">
        <w:rPr>
          <w:sz w:val="22"/>
          <w:szCs w:val="22"/>
        </w:rPr>
        <w:t>, 19(3): 411–432.</w:t>
      </w:r>
    </w:p>
    <w:p w14:paraId="5EE3D6AA" w14:textId="77777777" w:rsidR="00E03C2E" w:rsidRPr="002B5CAC" w:rsidRDefault="00E03C2E" w:rsidP="00533FD2">
      <w:pPr>
        <w:ind w:right="-108" w:hanging="720"/>
        <w:rPr>
          <w:sz w:val="22"/>
          <w:szCs w:val="22"/>
        </w:rPr>
      </w:pPr>
    </w:p>
    <w:p w14:paraId="5EE3D6AB" w14:textId="77777777" w:rsidR="00E03C2E" w:rsidRPr="002B5CAC" w:rsidRDefault="00E03C2E" w:rsidP="00533FD2">
      <w:pPr>
        <w:ind w:right="-108"/>
        <w:rPr>
          <w:sz w:val="22"/>
          <w:szCs w:val="22"/>
        </w:rPr>
      </w:pPr>
      <w:proofErr w:type="spellStart"/>
      <w:r w:rsidRPr="002B5CAC">
        <w:rPr>
          <w:sz w:val="22"/>
          <w:szCs w:val="22"/>
        </w:rPr>
        <w:t>Kostova</w:t>
      </w:r>
      <w:proofErr w:type="spellEnd"/>
      <w:r w:rsidRPr="002B5CAC">
        <w:rPr>
          <w:sz w:val="22"/>
          <w:szCs w:val="22"/>
        </w:rPr>
        <w:t xml:space="preserve">, T. &amp; Zaheer, S. 1999. Organizational legitimacy under conditions of complexity: The case of the multinational enterprise. </w:t>
      </w:r>
      <w:r w:rsidRPr="002B5CAC">
        <w:rPr>
          <w:i/>
          <w:sz w:val="22"/>
          <w:szCs w:val="22"/>
        </w:rPr>
        <w:t>Academy of Management Review</w:t>
      </w:r>
      <w:r w:rsidRPr="002B5CAC">
        <w:rPr>
          <w:sz w:val="22"/>
          <w:szCs w:val="22"/>
        </w:rPr>
        <w:t>, 24(1): 64-81.</w:t>
      </w:r>
    </w:p>
    <w:p w14:paraId="5EE3D6AC" w14:textId="77777777" w:rsidR="00C1778F" w:rsidRPr="002B5CAC" w:rsidRDefault="00C1778F" w:rsidP="00533FD2">
      <w:pPr>
        <w:ind w:right="-108" w:hanging="720"/>
        <w:rPr>
          <w:sz w:val="22"/>
          <w:szCs w:val="22"/>
        </w:rPr>
      </w:pPr>
    </w:p>
    <w:p w14:paraId="5EE3D6AD" w14:textId="77777777" w:rsidR="00C1778F" w:rsidRPr="002B5CAC" w:rsidRDefault="00C1778F" w:rsidP="00533FD2">
      <w:pPr>
        <w:ind w:right="-108"/>
        <w:rPr>
          <w:sz w:val="22"/>
          <w:szCs w:val="22"/>
        </w:rPr>
      </w:pPr>
      <w:r w:rsidRPr="002B5CAC">
        <w:rPr>
          <w:sz w:val="22"/>
          <w:szCs w:val="22"/>
        </w:rPr>
        <w:t xml:space="preserve">Lee, C., Lee, K., &amp; </w:t>
      </w:r>
      <w:proofErr w:type="spellStart"/>
      <w:r w:rsidRPr="002B5CAC">
        <w:rPr>
          <w:sz w:val="22"/>
          <w:szCs w:val="22"/>
        </w:rPr>
        <w:t>Pennings</w:t>
      </w:r>
      <w:proofErr w:type="spellEnd"/>
      <w:r w:rsidRPr="002B5CAC">
        <w:rPr>
          <w:sz w:val="22"/>
          <w:szCs w:val="22"/>
        </w:rPr>
        <w:t xml:space="preserve">, J.M. 2001. Internal capabilities, external networks, and performance: A study of technology bases ventures. </w:t>
      </w:r>
      <w:r w:rsidRPr="002B5CAC">
        <w:rPr>
          <w:i/>
          <w:sz w:val="22"/>
          <w:szCs w:val="22"/>
        </w:rPr>
        <w:t>Strategic Management Journal</w:t>
      </w:r>
      <w:r w:rsidRPr="002B5CAC">
        <w:rPr>
          <w:sz w:val="22"/>
          <w:szCs w:val="22"/>
        </w:rPr>
        <w:t>, 22(6-7): 615-640.</w:t>
      </w:r>
    </w:p>
    <w:p w14:paraId="5EE3D6AE" w14:textId="21302C57" w:rsidR="00BE2B78" w:rsidRPr="002B5CAC" w:rsidRDefault="00BE2B78" w:rsidP="00533FD2">
      <w:pPr>
        <w:ind w:right="-108"/>
        <w:rPr>
          <w:sz w:val="22"/>
          <w:szCs w:val="22"/>
        </w:rPr>
      </w:pPr>
    </w:p>
    <w:p w14:paraId="5021C645" w14:textId="3AAA0F4F" w:rsidR="005C0BD4" w:rsidRPr="002B5CAC" w:rsidRDefault="005C0BD4" w:rsidP="00533FD2">
      <w:pPr>
        <w:ind w:right="-108"/>
        <w:rPr>
          <w:sz w:val="22"/>
          <w:szCs w:val="22"/>
        </w:rPr>
      </w:pPr>
      <w:r w:rsidRPr="002B5CAC">
        <w:rPr>
          <w:sz w:val="22"/>
          <w:szCs w:val="22"/>
        </w:rPr>
        <w:t>Li, M., He, X., &amp; Sousa, C. M. 2017. A review of the empirical research on export channel selection between 1979 and 2015. International Business Review, 26(2): 303-323.</w:t>
      </w:r>
    </w:p>
    <w:p w14:paraId="76072C1E" w14:textId="77777777" w:rsidR="005C0BD4" w:rsidRPr="002B5CAC" w:rsidRDefault="005C0BD4" w:rsidP="00533FD2">
      <w:pPr>
        <w:ind w:right="-108"/>
        <w:rPr>
          <w:sz w:val="22"/>
          <w:szCs w:val="22"/>
        </w:rPr>
      </w:pPr>
    </w:p>
    <w:p w14:paraId="5EE3D6AF" w14:textId="77777777" w:rsidR="00BE2B78" w:rsidRPr="002B5CAC" w:rsidRDefault="00BE2B78" w:rsidP="00533FD2">
      <w:pPr>
        <w:ind w:right="-108"/>
        <w:rPr>
          <w:sz w:val="22"/>
          <w:szCs w:val="22"/>
        </w:rPr>
      </w:pPr>
      <w:r w:rsidRPr="002B5CAC">
        <w:rPr>
          <w:sz w:val="22"/>
          <w:szCs w:val="22"/>
        </w:rPr>
        <w:t xml:space="preserve">Liu, H. 1995. Market orientation and firm size: An empirical examination in UK firms. </w:t>
      </w:r>
      <w:r w:rsidRPr="002B5CAC">
        <w:rPr>
          <w:i/>
          <w:sz w:val="22"/>
          <w:szCs w:val="22"/>
        </w:rPr>
        <w:t>European Journal of Marketing</w:t>
      </w:r>
      <w:r w:rsidRPr="002B5CAC">
        <w:rPr>
          <w:sz w:val="22"/>
          <w:szCs w:val="22"/>
        </w:rPr>
        <w:t xml:space="preserve">, 29(1): 57-71. </w:t>
      </w:r>
    </w:p>
    <w:p w14:paraId="5EE3D6B0" w14:textId="77777777" w:rsidR="00E03C2E" w:rsidRPr="002B5CAC" w:rsidRDefault="00E03C2E" w:rsidP="00533FD2">
      <w:pPr>
        <w:ind w:right="-108" w:hanging="720"/>
        <w:rPr>
          <w:sz w:val="22"/>
          <w:szCs w:val="22"/>
        </w:rPr>
      </w:pPr>
    </w:p>
    <w:p w14:paraId="5EE3D6B1" w14:textId="77777777" w:rsidR="00E03C2E" w:rsidRPr="002B5CAC" w:rsidRDefault="00903DB0" w:rsidP="00533FD2">
      <w:pPr>
        <w:ind w:right="-108"/>
        <w:rPr>
          <w:sz w:val="22"/>
          <w:szCs w:val="22"/>
        </w:rPr>
      </w:pPr>
      <w:r w:rsidRPr="002B5CAC">
        <w:rPr>
          <w:sz w:val="22"/>
          <w:szCs w:val="22"/>
        </w:rPr>
        <w:t>Lu, J.</w:t>
      </w:r>
      <w:r w:rsidR="00E03C2E" w:rsidRPr="002B5CAC">
        <w:rPr>
          <w:sz w:val="22"/>
          <w:szCs w:val="22"/>
        </w:rPr>
        <w:t>W.</w:t>
      </w:r>
      <w:r w:rsidR="007B61C7" w:rsidRPr="002B5CAC">
        <w:rPr>
          <w:sz w:val="22"/>
          <w:szCs w:val="22"/>
        </w:rPr>
        <w:t>,</w:t>
      </w:r>
      <w:r w:rsidR="00E03C2E" w:rsidRPr="002B5CAC">
        <w:rPr>
          <w:sz w:val="22"/>
          <w:szCs w:val="22"/>
        </w:rPr>
        <w:t xml:space="preserve"> &amp; Beamish, P.W. 2001. The internationalization and performance of SMEs. </w:t>
      </w:r>
      <w:r w:rsidR="00E03C2E" w:rsidRPr="002B5CAC">
        <w:rPr>
          <w:i/>
          <w:sz w:val="22"/>
          <w:szCs w:val="22"/>
        </w:rPr>
        <w:t>Strategic Management Journal</w:t>
      </w:r>
      <w:r w:rsidR="00E03C2E" w:rsidRPr="002B5CAC">
        <w:rPr>
          <w:sz w:val="22"/>
          <w:szCs w:val="22"/>
        </w:rPr>
        <w:t>, 22(6</w:t>
      </w:r>
      <w:r w:rsidR="00E03C2E" w:rsidRPr="002B5CAC">
        <w:rPr>
          <w:rFonts w:ascii="Cambria Math" w:hAnsi="Cambria Math"/>
          <w:sz w:val="22"/>
          <w:szCs w:val="22"/>
        </w:rPr>
        <w:t>‐</w:t>
      </w:r>
      <w:r w:rsidR="00E03C2E" w:rsidRPr="002B5CAC">
        <w:rPr>
          <w:sz w:val="22"/>
          <w:szCs w:val="22"/>
        </w:rPr>
        <w:t>7): 565-586.</w:t>
      </w:r>
    </w:p>
    <w:p w14:paraId="5EE3D6B2" w14:textId="77777777" w:rsidR="00C1778F" w:rsidRPr="002B5CAC" w:rsidRDefault="00C1778F" w:rsidP="00533FD2">
      <w:pPr>
        <w:ind w:right="-108" w:hanging="720"/>
        <w:rPr>
          <w:sz w:val="22"/>
          <w:szCs w:val="22"/>
        </w:rPr>
      </w:pPr>
    </w:p>
    <w:p w14:paraId="5EE3D6B3" w14:textId="77777777" w:rsidR="00C1778F" w:rsidRPr="002B5CAC" w:rsidRDefault="00C1778F" w:rsidP="00533FD2">
      <w:pPr>
        <w:ind w:right="-108"/>
        <w:rPr>
          <w:sz w:val="22"/>
          <w:szCs w:val="22"/>
        </w:rPr>
      </w:pPr>
      <w:r w:rsidRPr="002B5CAC">
        <w:rPr>
          <w:sz w:val="22"/>
          <w:szCs w:val="22"/>
        </w:rPr>
        <w:t xml:space="preserve">Lumpkin, G.T., &amp; Dess, G.G. 1996. Clarifying the entrepreneurial orientation construct and linking it to performance. </w:t>
      </w:r>
      <w:r w:rsidRPr="002B5CAC">
        <w:rPr>
          <w:i/>
          <w:sz w:val="22"/>
          <w:szCs w:val="22"/>
        </w:rPr>
        <w:t>Academy of Management Review,</w:t>
      </w:r>
      <w:r w:rsidRPr="002B5CAC">
        <w:rPr>
          <w:sz w:val="22"/>
          <w:szCs w:val="22"/>
        </w:rPr>
        <w:t xml:space="preserve"> 21(1): 135-172.</w:t>
      </w:r>
    </w:p>
    <w:p w14:paraId="5EE3D6B4" w14:textId="77777777" w:rsidR="00E03C2E" w:rsidRPr="002B5CAC" w:rsidRDefault="00E03C2E" w:rsidP="00533FD2">
      <w:pPr>
        <w:ind w:right="-108" w:hanging="720"/>
        <w:rPr>
          <w:sz w:val="22"/>
          <w:szCs w:val="22"/>
        </w:rPr>
      </w:pPr>
    </w:p>
    <w:p w14:paraId="5EE3D6B5" w14:textId="77777777" w:rsidR="00E03C2E" w:rsidRPr="002B5CAC" w:rsidRDefault="00E03C2E" w:rsidP="00533FD2">
      <w:pPr>
        <w:ind w:right="-108"/>
        <w:rPr>
          <w:sz w:val="22"/>
          <w:szCs w:val="22"/>
        </w:rPr>
      </w:pPr>
      <w:r w:rsidRPr="002B5CAC">
        <w:rPr>
          <w:sz w:val="22"/>
          <w:szCs w:val="22"/>
        </w:rPr>
        <w:t>Luo, Y., &amp; Zhao, H. 20</w:t>
      </w:r>
      <w:r w:rsidR="00C1778F" w:rsidRPr="002B5CAC">
        <w:rPr>
          <w:sz w:val="22"/>
          <w:szCs w:val="22"/>
        </w:rPr>
        <w:t>13</w:t>
      </w:r>
      <w:r w:rsidRPr="002B5CAC">
        <w:rPr>
          <w:sz w:val="22"/>
          <w:szCs w:val="22"/>
        </w:rPr>
        <w:t xml:space="preserve">. Doing </w:t>
      </w:r>
      <w:r w:rsidR="00C13099" w:rsidRPr="002B5CAC">
        <w:rPr>
          <w:sz w:val="22"/>
          <w:szCs w:val="22"/>
        </w:rPr>
        <w:t>b</w:t>
      </w:r>
      <w:r w:rsidRPr="002B5CAC">
        <w:rPr>
          <w:sz w:val="22"/>
          <w:szCs w:val="22"/>
        </w:rPr>
        <w:t xml:space="preserve">usiness in a </w:t>
      </w:r>
      <w:r w:rsidR="00C13099" w:rsidRPr="002B5CAC">
        <w:rPr>
          <w:sz w:val="22"/>
          <w:szCs w:val="22"/>
        </w:rPr>
        <w:t>t</w:t>
      </w:r>
      <w:r w:rsidRPr="002B5CAC">
        <w:rPr>
          <w:sz w:val="22"/>
          <w:szCs w:val="22"/>
        </w:rPr>
        <w:t xml:space="preserve">ransitional </w:t>
      </w:r>
      <w:r w:rsidR="00C13099" w:rsidRPr="002B5CAC">
        <w:rPr>
          <w:sz w:val="22"/>
          <w:szCs w:val="22"/>
        </w:rPr>
        <w:t>s</w:t>
      </w:r>
      <w:r w:rsidRPr="002B5CAC">
        <w:rPr>
          <w:sz w:val="22"/>
          <w:szCs w:val="22"/>
        </w:rPr>
        <w:t xml:space="preserve">ociety: Economic </w:t>
      </w:r>
      <w:r w:rsidR="00C13099" w:rsidRPr="002B5CAC">
        <w:rPr>
          <w:sz w:val="22"/>
          <w:szCs w:val="22"/>
        </w:rPr>
        <w:t>e</w:t>
      </w:r>
      <w:r w:rsidRPr="002B5CAC">
        <w:rPr>
          <w:sz w:val="22"/>
          <w:szCs w:val="22"/>
        </w:rPr>
        <w:t xml:space="preserve">nvironment and </w:t>
      </w:r>
      <w:r w:rsidR="00C13099" w:rsidRPr="002B5CAC">
        <w:rPr>
          <w:sz w:val="22"/>
          <w:szCs w:val="22"/>
        </w:rPr>
        <w:t>r</w:t>
      </w:r>
      <w:r w:rsidRPr="002B5CAC">
        <w:rPr>
          <w:sz w:val="22"/>
          <w:szCs w:val="22"/>
        </w:rPr>
        <w:t xml:space="preserve">elational </w:t>
      </w:r>
      <w:r w:rsidR="00C13099" w:rsidRPr="002B5CAC">
        <w:rPr>
          <w:sz w:val="22"/>
          <w:szCs w:val="22"/>
        </w:rPr>
        <w:t>p</w:t>
      </w:r>
      <w:r w:rsidRPr="002B5CAC">
        <w:rPr>
          <w:sz w:val="22"/>
          <w:szCs w:val="22"/>
        </w:rPr>
        <w:t xml:space="preserve">olitical </w:t>
      </w:r>
      <w:r w:rsidR="00C13099" w:rsidRPr="002B5CAC">
        <w:rPr>
          <w:sz w:val="22"/>
          <w:szCs w:val="22"/>
        </w:rPr>
        <w:t>s</w:t>
      </w:r>
      <w:r w:rsidRPr="002B5CAC">
        <w:rPr>
          <w:sz w:val="22"/>
          <w:szCs w:val="22"/>
        </w:rPr>
        <w:t xml:space="preserve">trategy for </w:t>
      </w:r>
      <w:r w:rsidR="00C13099" w:rsidRPr="002B5CAC">
        <w:rPr>
          <w:sz w:val="22"/>
          <w:szCs w:val="22"/>
        </w:rPr>
        <w:t>m</w:t>
      </w:r>
      <w:r w:rsidRPr="002B5CAC">
        <w:rPr>
          <w:sz w:val="22"/>
          <w:szCs w:val="22"/>
        </w:rPr>
        <w:t xml:space="preserve">ultinationals. </w:t>
      </w:r>
      <w:r w:rsidRPr="002B5CAC">
        <w:rPr>
          <w:i/>
          <w:sz w:val="22"/>
          <w:szCs w:val="22"/>
        </w:rPr>
        <w:t>Business Society,</w:t>
      </w:r>
      <w:r w:rsidRPr="002B5CAC">
        <w:rPr>
          <w:sz w:val="22"/>
          <w:szCs w:val="22"/>
        </w:rPr>
        <w:t xml:space="preserve"> </w:t>
      </w:r>
      <w:r w:rsidR="00C1778F" w:rsidRPr="002B5CAC">
        <w:rPr>
          <w:sz w:val="22"/>
          <w:szCs w:val="22"/>
        </w:rPr>
        <w:t>52(3): 515-549.</w:t>
      </w:r>
    </w:p>
    <w:p w14:paraId="5EE3D6B6" w14:textId="77777777" w:rsidR="00E03C2E" w:rsidRPr="002B5CAC" w:rsidRDefault="00E03C2E" w:rsidP="00533FD2">
      <w:pPr>
        <w:ind w:right="-108" w:hanging="720"/>
        <w:rPr>
          <w:sz w:val="22"/>
          <w:szCs w:val="22"/>
        </w:rPr>
      </w:pPr>
    </w:p>
    <w:p w14:paraId="5EE3D6B7" w14:textId="77777777" w:rsidR="00E03C2E" w:rsidRPr="002B5CAC" w:rsidRDefault="00E03C2E" w:rsidP="00533FD2">
      <w:pPr>
        <w:ind w:right="-108"/>
        <w:rPr>
          <w:sz w:val="22"/>
          <w:szCs w:val="22"/>
        </w:rPr>
      </w:pPr>
      <w:r w:rsidRPr="002B5CAC">
        <w:rPr>
          <w:sz w:val="22"/>
          <w:szCs w:val="22"/>
        </w:rPr>
        <w:t xml:space="preserve">Lyon, D.W., Lumpkin, G.T., &amp; Dess, G.G. 2000. Enhancing entrepreneurial orientation research: Operationalizing and measuring a key strategic decision making process. </w:t>
      </w:r>
      <w:r w:rsidRPr="002B5CAC">
        <w:rPr>
          <w:i/>
          <w:sz w:val="22"/>
          <w:szCs w:val="22"/>
        </w:rPr>
        <w:t>Journal of Management</w:t>
      </w:r>
      <w:r w:rsidRPr="002B5CAC">
        <w:rPr>
          <w:sz w:val="22"/>
          <w:szCs w:val="22"/>
        </w:rPr>
        <w:t xml:space="preserve">, 26(5): 1055-1085. </w:t>
      </w:r>
    </w:p>
    <w:p w14:paraId="5EE3D6B8" w14:textId="77777777" w:rsidR="00E03C2E" w:rsidRPr="002B5CAC" w:rsidRDefault="00E03C2E" w:rsidP="00533FD2">
      <w:pPr>
        <w:ind w:right="-108" w:hanging="720"/>
        <w:rPr>
          <w:sz w:val="22"/>
          <w:szCs w:val="22"/>
        </w:rPr>
      </w:pPr>
    </w:p>
    <w:p w14:paraId="5EE3D6B9" w14:textId="6BC49445" w:rsidR="00A64D3F" w:rsidRDefault="00A64D3F" w:rsidP="00533FD2">
      <w:pPr>
        <w:ind w:right="-108"/>
        <w:rPr>
          <w:rFonts w:eastAsiaTheme="minorHAnsi" w:cs="Arial"/>
          <w:sz w:val="22"/>
          <w:szCs w:val="22"/>
          <w:lang w:eastAsia="en-US"/>
        </w:rPr>
      </w:pPr>
      <w:r w:rsidRPr="002B5CAC">
        <w:rPr>
          <w:rFonts w:eastAsiaTheme="minorHAnsi" w:cs="Arial"/>
          <w:sz w:val="22"/>
          <w:szCs w:val="22"/>
          <w:lang w:eastAsia="en-US"/>
        </w:rPr>
        <w:t>McNaughton, R.B.</w:t>
      </w:r>
      <w:r w:rsidR="00741E4D" w:rsidRPr="002B5CAC">
        <w:rPr>
          <w:rFonts w:eastAsiaTheme="minorHAnsi" w:cs="Arial"/>
          <w:sz w:val="22"/>
          <w:szCs w:val="22"/>
          <w:lang w:eastAsia="en-US"/>
        </w:rPr>
        <w:t>,</w:t>
      </w:r>
      <w:r w:rsidRPr="002B5CAC">
        <w:rPr>
          <w:rFonts w:eastAsiaTheme="minorHAnsi" w:cs="Arial"/>
          <w:sz w:val="22"/>
          <w:szCs w:val="22"/>
          <w:lang w:eastAsia="en-US"/>
        </w:rPr>
        <w:t xml:space="preserve"> &amp; Bell, J. 2000. Channel switching between domestic and foreign markets. </w:t>
      </w:r>
      <w:r w:rsidRPr="002B5CAC">
        <w:rPr>
          <w:rFonts w:eastAsiaTheme="minorHAnsi" w:cs="Arial"/>
          <w:i/>
          <w:sz w:val="22"/>
          <w:szCs w:val="22"/>
          <w:lang w:eastAsia="en-US"/>
        </w:rPr>
        <w:t>Journal of International Marketing</w:t>
      </w:r>
      <w:r w:rsidRPr="002B5CAC">
        <w:rPr>
          <w:rFonts w:eastAsiaTheme="minorHAnsi" w:cs="Arial"/>
          <w:sz w:val="22"/>
          <w:szCs w:val="22"/>
          <w:lang w:eastAsia="en-US"/>
        </w:rPr>
        <w:t>, 9(1): 24-39.</w:t>
      </w:r>
    </w:p>
    <w:p w14:paraId="6F790FA7" w14:textId="125A6BC9" w:rsidR="00A162CC" w:rsidRDefault="00A162CC" w:rsidP="00533FD2">
      <w:pPr>
        <w:ind w:right="-108"/>
        <w:rPr>
          <w:rFonts w:eastAsiaTheme="minorHAnsi" w:cs="Arial"/>
          <w:sz w:val="22"/>
          <w:szCs w:val="22"/>
          <w:lang w:eastAsia="en-US"/>
        </w:rPr>
      </w:pPr>
    </w:p>
    <w:p w14:paraId="5EE3D6BB" w14:textId="77777777" w:rsidR="00E03C2E" w:rsidRPr="002B5CAC" w:rsidRDefault="00E03C2E" w:rsidP="00533FD2">
      <w:pPr>
        <w:ind w:right="-108"/>
        <w:rPr>
          <w:sz w:val="22"/>
          <w:szCs w:val="22"/>
        </w:rPr>
      </w:pPr>
      <w:r w:rsidRPr="002B5CAC">
        <w:rPr>
          <w:sz w:val="22"/>
          <w:szCs w:val="22"/>
        </w:rPr>
        <w:t xml:space="preserve">Miller, D. 1983. The correlates of entrepreneurship in three types of ﬁrms. </w:t>
      </w:r>
      <w:r w:rsidRPr="002B5CAC">
        <w:rPr>
          <w:i/>
          <w:iCs/>
          <w:sz w:val="22"/>
          <w:szCs w:val="22"/>
        </w:rPr>
        <w:t>Management Science</w:t>
      </w:r>
      <w:r w:rsidRPr="002B5CAC">
        <w:rPr>
          <w:sz w:val="22"/>
          <w:szCs w:val="22"/>
        </w:rPr>
        <w:t>, 29(7): 770–791.</w:t>
      </w:r>
    </w:p>
    <w:p w14:paraId="5EE3D6BC" w14:textId="77777777" w:rsidR="00E03C2E" w:rsidRPr="002B5CAC" w:rsidRDefault="00E03C2E" w:rsidP="00533FD2">
      <w:pPr>
        <w:ind w:hanging="720"/>
        <w:rPr>
          <w:sz w:val="22"/>
          <w:szCs w:val="22"/>
        </w:rPr>
      </w:pPr>
    </w:p>
    <w:p w14:paraId="5EE3D6BD" w14:textId="77777777" w:rsidR="00E03C2E" w:rsidRPr="002B5CAC" w:rsidRDefault="00E03C2E" w:rsidP="00533FD2">
      <w:pPr>
        <w:rPr>
          <w:sz w:val="22"/>
          <w:szCs w:val="22"/>
        </w:rPr>
      </w:pPr>
      <w:proofErr w:type="spellStart"/>
      <w:r w:rsidRPr="002B5CAC">
        <w:rPr>
          <w:sz w:val="22"/>
          <w:szCs w:val="22"/>
        </w:rPr>
        <w:t>Nakos</w:t>
      </w:r>
      <w:proofErr w:type="spellEnd"/>
      <w:r w:rsidRPr="002B5CAC">
        <w:rPr>
          <w:sz w:val="22"/>
          <w:szCs w:val="22"/>
        </w:rPr>
        <w:t>, G., Brouthers,</w:t>
      </w:r>
      <w:r w:rsidR="00A00296" w:rsidRPr="002B5CAC">
        <w:rPr>
          <w:sz w:val="22"/>
          <w:szCs w:val="22"/>
        </w:rPr>
        <w:t xml:space="preserve"> K.D., &amp; </w:t>
      </w:r>
      <w:proofErr w:type="spellStart"/>
      <w:r w:rsidR="00A00296" w:rsidRPr="002B5CAC">
        <w:rPr>
          <w:sz w:val="22"/>
          <w:szCs w:val="22"/>
        </w:rPr>
        <w:t>Dimitratos</w:t>
      </w:r>
      <w:proofErr w:type="spellEnd"/>
      <w:r w:rsidR="00A00296" w:rsidRPr="002B5CAC">
        <w:rPr>
          <w:sz w:val="22"/>
          <w:szCs w:val="22"/>
        </w:rPr>
        <w:t>, P. 2014</w:t>
      </w:r>
      <w:r w:rsidRPr="002B5CAC">
        <w:rPr>
          <w:sz w:val="22"/>
          <w:szCs w:val="22"/>
        </w:rPr>
        <w:t xml:space="preserve">. International alliances with competitors and non-competitors: The disparate impact on SME international performance. </w:t>
      </w:r>
      <w:r w:rsidRPr="002B5CAC">
        <w:rPr>
          <w:i/>
          <w:sz w:val="22"/>
          <w:szCs w:val="22"/>
        </w:rPr>
        <w:t>Strategic Entrepreneurship Journal</w:t>
      </w:r>
      <w:r w:rsidR="00FB5FD4" w:rsidRPr="002B5CAC">
        <w:rPr>
          <w:b/>
          <w:i/>
          <w:sz w:val="22"/>
          <w:szCs w:val="22"/>
        </w:rPr>
        <w:t>,</w:t>
      </w:r>
      <w:r w:rsidRPr="002B5CAC">
        <w:rPr>
          <w:sz w:val="22"/>
          <w:szCs w:val="22"/>
        </w:rPr>
        <w:t xml:space="preserve"> </w:t>
      </w:r>
      <w:r w:rsidR="00A00296" w:rsidRPr="002B5CAC">
        <w:rPr>
          <w:sz w:val="22"/>
          <w:szCs w:val="22"/>
        </w:rPr>
        <w:t>8(2): 167-182.</w:t>
      </w:r>
    </w:p>
    <w:p w14:paraId="5EE3D6BE" w14:textId="77777777" w:rsidR="00E03C2E" w:rsidRPr="002B5CAC" w:rsidRDefault="00E03C2E" w:rsidP="00533FD2">
      <w:pPr>
        <w:ind w:hanging="720"/>
        <w:rPr>
          <w:sz w:val="22"/>
          <w:szCs w:val="22"/>
        </w:rPr>
      </w:pPr>
    </w:p>
    <w:p w14:paraId="5EE3D6BF" w14:textId="77777777" w:rsidR="00E03C2E" w:rsidRPr="002B5CAC" w:rsidRDefault="00E03C2E" w:rsidP="00533FD2">
      <w:pPr>
        <w:rPr>
          <w:sz w:val="22"/>
          <w:szCs w:val="22"/>
        </w:rPr>
      </w:pPr>
      <w:r w:rsidRPr="002B5CAC">
        <w:rPr>
          <w:sz w:val="22"/>
          <w:szCs w:val="22"/>
        </w:rPr>
        <w:t xml:space="preserve">North, D.C. 1990. </w:t>
      </w:r>
      <w:r w:rsidRPr="002B5CAC">
        <w:rPr>
          <w:i/>
          <w:sz w:val="22"/>
          <w:szCs w:val="22"/>
        </w:rPr>
        <w:t>Institutions, Institutional Change and Economic Performance</w:t>
      </w:r>
      <w:r w:rsidRPr="002B5CAC">
        <w:rPr>
          <w:sz w:val="22"/>
          <w:szCs w:val="22"/>
        </w:rPr>
        <w:t>. Cambridge, UK: Cambridge university press.</w:t>
      </w:r>
    </w:p>
    <w:p w14:paraId="5EE3D6C0" w14:textId="77777777" w:rsidR="00E03C2E" w:rsidRPr="002B5CAC" w:rsidRDefault="00E03C2E" w:rsidP="00533FD2">
      <w:pPr>
        <w:ind w:hanging="720"/>
        <w:rPr>
          <w:sz w:val="22"/>
          <w:szCs w:val="22"/>
        </w:rPr>
      </w:pPr>
    </w:p>
    <w:p w14:paraId="5EE3D6C1" w14:textId="77777777" w:rsidR="00E03C2E" w:rsidRPr="002B5CAC" w:rsidRDefault="00E03C2E" w:rsidP="00533FD2">
      <w:pPr>
        <w:rPr>
          <w:sz w:val="22"/>
          <w:szCs w:val="22"/>
        </w:rPr>
      </w:pPr>
      <w:r w:rsidRPr="002B5CAC">
        <w:rPr>
          <w:sz w:val="22"/>
          <w:szCs w:val="22"/>
        </w:rPr>
        <w:t xml:space="preserve">OECD 2008. </w:t>
      </w:r>
      <w:r w:rsidRPr="002B5CAC">
        <w:rPr>
          <w:i/>
          <w:sz w:val="22"/>
          <w:szCs w:val="22"/>
        </w:rPr>
        <w:t>Removing Barriers to SME Access to International Markets</w:t>
      </w:r>
      <w:r w:rsidRPr="002B5CAC">
        <w:rPr>
          <w:sz w:val="22"/>
          <w:szCs w:val="22"/>
        </w:rPr>
        <w:t>. (</w:t>
      </w:r>
      <w:hyperlink r:id="rId10" w:anchor="TableOfContents" w:history="1">
        <w:r w:rsidRPr="002B5CAC">
          <w:rPr>
            <w:rStyle w:val="Hyperlink"/>
            <w:sz w:val="22"/>
            <w:szCs w:val="22"/>
          </w:rPr>
          <w:t>http://www.oecdbookshop.org/oecd/display.asp?sf1=identifiers&amp;st1=852008021P1#TableOfContents</w:t>
        </w:r>
      </w:hyperlink>
      <w:r w:rsidRPr="002B5CAC">
        <w:rPr>
          <w:sz w:val="22"/>
          <w:szCs w:val="22"/>
        </w:rPr>
        <w:t>)</w:t>
      </w:r>
    </w:p>
    <w:p w14:paraId="5EE3D6C2" w14:textId="77777777" w:rsidR="00E03C2E" w:rsidRPr="002B5CAC" w:rsidRDefault="00E03C2E" w:rsidP="00533FD2">
      <w:pPr>
        <w:ind w:hanging="720"/>
        <w:rPr>
          <w:sz w:val="22"/>
          <w:szCs w:val="22"/>
        </w:rPr>
      </w:pPr>
    </w:p>
    <w:p w14:paraId="5EE3D6C3" w14:textId="77777777" w:rsidR="00233789" w:rsidRPr="002B5CAC" w:rsidRDefault="00E03C2E" w:rsidP="00533FD2">
      <w:pPr>
        <w:rPr>
          <w:sz w:val="22"/>
          <w:szCs w:val="22"/>
        </w:rPr>
      </w:pPr>
      <w:r w:rsidRPr="002B5CAC">
        <w:rPr>
          <w:sz w:val="22"/>
          <w:szCs w:val="22"/>
        </w:rPr>
        <w:t xml:space="preserve">Oliver, C. 1997. Sustainable competitive advantage: Combining institutional and resource based views. </w:t>
      </w:r>
      <w:r w:rsidRPr="002B5CAC">
        <w:rPr>
          <w:i/>
          <w:sz w:val="22"/>
          <w:szCs w:val="22"/>
        </w:rPr>
        <w:t>Strategic Management Journal</w:t>
      </w:r>
      <w:r w:rsidRPr="002B5CAC">
        <w:rPr>
          <w:sz w:val="22"/>
          <w:szCs w:val="22"/>
        </w:rPr>
        <w:t>, 18(9): 697-713.</w:t>
      </w:r>
    </w:p>
    <w:p w14:paraId="5EE3D6C4" w14:textId="77777777" w:rsidR="00233789" w:rsidRPr="002B5CAC" w:rsidRDefault="00233789" w:rsidP="00533FD2">
      <w:pPr>
        <w:rPr>
          <w:sz w:val="22"/>
          <w:szCs w:val="22"/>
        </w:rPr>
      </w:pPr>
    </w:p>
    <w:p w14:paraId="5EE3D6C5" w14:textId="77777777" w:rsidR="00741E4D" w:rsidRPr="002B5CAC" w:rsidRDefault="00233789" w:rsidP="00533FD2">
      <w:pPr>
        <w:rPr>
          <w:sz w:val="22"/>
          <w:szCs w:val="22"/>
        </w:rPr>
      </w:pPr>
      <w:r w:rsidRPr="002B5CAC">
        <w:rPr>
          <w:sz w:val="22"/>
          <w:szCs w:val="22"/>
        </w:rPr>
        <w:lastRenderedPageBreak/>
        <w:t>Padmanabhan, P.</w:t>
      </w:r>
      <w:r w:rsidR="00E61DFE" w:rsidRPr="002B5CAC">
        <w:rPr>
          <w:sz w:val="22"/>
          <w:szCs w:val="22"/>
        </w:rPr>
        <w:t>,</w:t>
      </w:r>
      <w:r w:rsidRPr="002B5CAC">
        <w:rPr>
          <w:sz w:val="22"/>
          <w:szCs w:val="22"/>
        </w:rPr>
        <w:t xml:space="preserve"> &amp; Cho, K.R. 1999. Decision specific experience in foreign ownership and establishment strategies: Evidence from Japanese firms. </w:t>
      </w:r>
      <w:r w:rsidRPr="002B5CAC">
        <w:rPr>
          <w:i/>
          <w:sz w:val="22"/>
          <w:szCs w:val="22"/>
        </w:rPr>
        <w:t>Journal of International Business Studies</w:t>
      </w:r>
      <w:r w:rsidRPr="002B5CAC">
        <w:rPr>
          <w:sz w:val="22"/>
          <w:szCs w:val="22"/>
        </w:rPr>
        <w:t>, 30(1): 25-43.</w:t>
      </w:r>
      <w:r w:rsidR="00E03C2E" w:rsidRPr="002B5CAC">
        <w:rPr>
          <w:sz w:val="22"/>
          <w:szCs w:val="22"/>
        </w:rPr>
        <w:t xml:space="preserve"> </w:t>
      </w:r>
    </w:p>
    <w:p w14:paraId="5EE3D6C6" w14:textId="18D4BCEB" w:rsidR="00741E4D" w:rsidRDefault="00741E4D" w:rsidP="00533FD2">
      <w:pPr>
        <w:rPr>
          <w:sz w:val="22"/>
          <w:szCs w:val="22"/>
        </w:rPr>
      </w:pPr>
    </w:p>
    <w:p w14:paraId="346051AC" w14:textId="04A13755" w:rsidR="00E67BDF" w:rsidRDefault="00E67BDF" w:rsidP="00533FD2">
      <w:pPr>
        <w:rPr>
          <w:sz w:val="22"/>
          <w:szCs w:val="22"/>
        </w:rPr>
      </w:pPr>
      <w:r w:rsidRPr="009A476A">
        <w:rPr>
          <w:sz w:val="22"/>
          <w:szCs w:val="22"/>
        </w:rPr>
        <w:t>Paul, J.,</w:t>
      </w:r>
      <w:r w:rsidRPr="00E67BDF">
        <w:rPr>
          <w:sz w:val="22"/>
          <w:szCs w:val="22"/>
        </w:rPr>
        <w:t xml:space="preserve"> Parthasarathy, S., &amp; Gupta, P. 2017. Exporting challenges of SMEs: A review and future research agenda. </w:t>
      </w:r>
      <w:r w:rsidRPr="00DC51C6">
        <w:rPr>
          <w:i/>
          <w:iCs/>
          <w:sz w:val="22"/>
          <w:szCs w:val="22"/>
        </w:rPr>
        <w:t xml:space="preserve">Journal of </w:t>
      </w:r>
      <w:r w:rsidR="00501976">
        <w:rPr>
          <w:i/>
          <w:iCs/>
          <w:sz w:val="22"/>
          <w:szCs w:val="22"/>
        </w:rPr>
        <w:t>W</w:t>
      </w:r>
      <w:r w:rsidRPr="00DC51C6">
        <w:rPr>
          <w:i/>
          <w:iCs/>
          <w:sz w:val="22"/>
          <w:szCs w:val="22"/>
        </w:rPr>
        <w:t xml:space="preserve">orld </w:t>
      </w:r>
      <w:r w:rsidR="00501976">
        <w:rPr>
          <w:i/>
          <w:iCs/>
          <w:sz w:val="22"/>
          <w:szCs w:val="22"/>
        </w:rPr>
        <w:t>B</w:t>
      </w:r>
      <w:r w:rsidRPr="00DC51C6">
        <w:rPr>
          <w:i/>
          <w:iCs/>
          <w:sz w:val="22"/>
          <w:szCs w:val="22"/>
        </w:rPr>
        <w:t>usiness</w:t>
      </w:r>
      <w:r w:rsidRPr="00E67BDF">
        <w:rPr>
          <w:sz w:val="22"/>
          <w:szCs w:val="22"/>
        </w:rPr>
        <w:t>, 52(3)</w:t>
      </w:r>
      <w:r w:rsidR="00501976">
        <w:rPr>
          <w:sz w:val="22"/>
          <w:szCs w:val="22"/>
        </w:rPr>
        <w:t>:</w:t>
      </w:r>
      <w:r w:rsidRPr="00E67BDF">
        <w:rPr>
          <w:sz w:val="22"/>
          <w:szCs w:val="22"/>
        </w:rPr>
        <w:t xml:space="preserve"> 327-342.</w:t>
      </w:r>
    </w:p>
    <w:p w14:paraId="5D3CE71C" w14:textId="77777777" w:rsidR="00E67BDF" w:rsidRPr="002B5CAC" w:rsidRDefault="00E67BDF" w:rsidP="00533FD2">
      <w:pPr>
        <w:rPr>
          <w:sz w:val="22"/>
          <w:szCs w:val="22"/>
        </w:rPr>
      </w:pPr>
    </w:p>
    <w:p w14:paraId="5EE3D6CB" w14:textId="77777777" w:rsidR="00E03C2E" w:rsidRPr="002B5CAC" w:rsidRDefault="00E03C2E" w:rsidP="00533FD2">
      <w:pPr>
        <w:rPr>
          <w:sz w:val="22"/>
          <w:szCs w:val="22"/>
        </w:rPr>
      </w:pPr>
      <w:r w:rsidRPr="002B5CAC">
        <w:rPr>
          <w:sz w:val="22"/>
          <w:szCs w:val="22"/>
        </w:rPr>
        <w:t>Podsakoff, P</w:t>
      </w:r>
      <w:r w:rsidRPr="002B5CAC">
        <w:rPr>
          <w:sz w:val="22"/>
          <w:szCs w:val="22"/>
          <w:lang w:eastAsia="zh-CN"/>
        </w:rPr>
        <w:t>.</w:t>
      </w:r>
      <w:r w:rsidRPr="002B5CAC">
        <w:rPr>
          <w:sz w:val="22"/>
          <w:szCs w:val="22"/>
        </w:rPr>
        <w:t>M</w:t>
      </w:r>
      <w:r w:rsidRPr="002B5CAC">
        <w:rPr>
          <w:sz w:val="22"/>
          <w:szCs w:val="22"/>
          <w:lang w:eastAsia="zh-CN"/>
        </w:rPr>
        <w:t>.</w:t>
      </w:r>
      <w:r w:rsidRPr="002B5CAC">
        <w:rPr>
          <w:sz w:val="22"/>
          <w:szCs w:val="22"/>
        </w:rPr>
        <w:t xml:space="preserve">, </w:t>
      </w:r>
      <w:proofErr w:type="spellStart"/>
      <w:r w:rsidRPr="002B5CAC">
        <w:rPr>
          <w:sz w:val="22"/>
          <w:szCs w:val="22"/>
        </w:rPr>
        <w:t>MacKenzie</w:t>
      </w:r>
      <w:proofErr w:type="spellEnd"/>
      <w:r w:rsidRPr="002B5CAC">
        <w:rPr>
          <w:sz w:val="22"/>
          <w:szCs w:val="22"/>
        </w:rPr>
        <w:t>, S</w:t>
      </w:r>
      <w:r w:rsidRPr="002B5CAC">
        <w:rPr>
          <w:sz w:val="22"/>
          <w:szCs w:val="22"/>
          <w:lang w:eastAsia="zh-CN"/>
        </w:rPr>
        <w:t>.</w:t>
      </w:r>
      <w:r w:rsidRPr="002B5CAC">
        <w:rPr>
          <w:sz w:val="22"/>
          <w:szCs w:val="22"/>
        </w:rPr>
        <w:t>B</w:t>
      </w:r>
      <w:r w:rsidRPr="002B5CAC">
        <w:rPr>
          <w:sz w:val="22"/>
          <w:szCs w:val="22"/>
          <w:lang w:eastAsia="zh-CN"/>
        </w:rPr>
        <w:t>.</w:t>
      </w:r>
      <w:r w:rsidRPr="002B5CAC">
        <w:rPr>
          <w:sz w:val="22"/>
          <w:szCs w:val="22"/>
        </w:rPr>
        <w:t>, Lee, J-Y</w:t>
      </w:r>
      <w:r w:rsidRPr="002B5CAC">
        <w:rPr>
          <w:sz w:val="22"/>
          <w:szCs w:val="22"/>
          <w:lang w:eastAsia="zh-CN"/>
        </w:rPr>
        <w:t>.</w:t>
      </w:r>
      <w:r w:rsidRPr="002B5CAC">
        <w:rPr>
          <w:sz w:val="22"/>
          <w:szCs w:val="22"/>
        </w:rPr>
        <w:t xml:space="preserve">, </w:t>
      </w:r>
      <w:r w:rsidRPr="002B5CAC">
        <w:rPr>
          <w:sz w:val="22"/>
          <w:szCs w:val="22"/>
          <w:lang w:eastAsia="zh-CN"/>
        </w:rPr>
        <w:t xml:space="preserve">&amp; </w:t>
      </w:r>
      <w:r w:rsidRPr="002B5CAC">
        <w:rPr>
          <w:sz w:val="22"/>
          <w:szCs w:val="22"/>
        </w:rPr>
        <w:t>Podsakoff, N</w:t>
      </w:r>
      <w:r w:rsidRPr="002B5CAC">
        <w:rPr>
          <w:sz w:val="22"/>
          <w:szCs w:val="22"/>
          <w:lang w:eastAsia="zh-CN"/>
        </w:rPr>
        <w:t>.</w:t>
      </w:r>
      <w:r w:rsidRPr="002B5CAC">
        <w:rPr>
          <w:sz w:val="22"/>
          <w:szCs w:val="22"/>
        </w:rPr>
        <w:t xml:space="preserve">P. 2003. Common method biases in behavioral research: A critical review of the literature and recommended remedies. </w:t>
      </w:r>
      <w:r w:rsidRPr="002B5CAC">
        <w:rPr>
          <w:i/>
          <w:sz w:val="22"/>
          <w:szCs w:val="22"/>
        </w:rPr>
        <w:t>Journal of Applied Psychology</w:t>
      </w:r>
      <w:r w:rsidRPr="002B5CAC">
        <w:rPr>
          <w:sz w:val="22"/>
          <w:szCs w:val="22"/>
        </w:rPr>
        <w:t>, 88(5): 879-903.</w:t>
      </w:r>
    </w:p>
    <w:p w14:paraId="5EE3D6CC" w14:textId="77777777" w:rsidR="00E03C2E" w:rsidRPr="002B5CAC" w:rsidRDefault="00E03C2E" w:rsidP="00533FD2">
      <w:pPr>
        <w:ind w:right="-108" w:hanging="720"/>
        <w:rPr>
          <w:sz w:val="22"/>
          <w:szCs w:val="22"/>
        </w:rPr>
      </w:pPr>
    </w:p>
    <w:p w14:paraId="5EE3D6CD" w14:textId="77777777" w:rsidR="00E03C2E" w:rsidRPr="002B5CAC" w:rsidRDefault="00E03C2E" w:rsidP="00533FD2">
      <w:pPr>
        <w:ind w:right="-108"/>
        <w:rPr>
          <w:sz w:val="22"/>
          <w:szCs w:val="22"/>
        </w:rPr>
      </w:pPr>
      <w:r w:rsidRPr="002B5CAC">
        <w:rPr>
          <w:sz w:val="22"/>
          <w:szCs w:val="22"/>
        </w:rPr>
        <w:t xml:space="preserve">Rauch, A., </w:t>
      </w:r>
      <w:proofErr w:type="spellStart"/>
      <w:r w:rsidRPr="002B5CAC">
        <w:rPr>
          <w:sz w:val="22"/>
          <w:szCs w:val="22"/>
        </w:rPr>
        <w:t>Wiklund</w:t>
      </w:r>
      <w:proofErr w:type="spellEnd"/>
      <w:r w:rsidRPr="002B5CAC">
        <w:rPr>
          <w:sz w:val="22"/>
          <w:szCs w:val="22"/>
        </w:rPr>
        <w:t xml:space="preserve">, J., Lumpkin, G.T., &amp; </w:t>
      </w:r>
      <w:proofErr w:type="spellStart"/>
      <w:r w:rsidRPr="002B5CAC">
        <w:rPr>
          <w:sz w:val="22"/>
          <w:szCs w:val="22"/>
        </w:rPr>
        <w:t>Frese</w:t>
      </w:r>
      <w:proofErr w:type="spellEnd"/>
      <w:r w:rsidRPr="002B5CAC">
        <w:rPr>
          <w:sz w:val="22"/>
          <w:szCs w:val="22"/>
        </w:rPr>
        <w:t xml:space="preserve">, M. 2009. Entrepreneurial Orientation and Business Performance: An Assessment of Past Research and Suggestions for the Future. </w:t>
      </w:r>
      <w:r w:rsidRPr="002B5CAC">
        <w:rPr>
          <w:i/>
          <w:iCs/>
          <w:sz w:val="22"/>
          <w:szCs w:val="22"/>
        </w:rPr>
        <w:t>Entrepreneurship Theory and Practice</w:t>
      </w:r>
      <w:r w:rsidRPr="002B5CAC">
        <w:rPr>
          <w:sz w:val="22"/>
          <w:szCs w:val="22"/>
        </w:rPr>
        <w:t>, 33(3): 761-787.</w:t>
      </w:r>
    </w:p>
    <w:p w14:paraId="5EE3D6CE" w14:textId="77777777" w:rsidR="00E03C2E" w:rsidRPr="002B5CAC" w:rsidRDefault="00E03C2E" w:rsidP="00533FD2">
      <w:pPr>
        <w:ind w:right="-108" w:hanging="720"/>
        <w:rPr>
          <w:sz w:val="22"/>
          <w:szCs w:val="22"/>
        </w:rPr>
      </w:pPr>
    </w:p>
    <w:p w14:paraId="5EE3D6CF" w14:textId="77777777" w:rsidR="00E03C2E" w:rsidRPr="002B5CAC" w:rsidRDefault="00E03C2E" w:rsidP="00533FD2">
      <w:pPr>
        <w:ind w:right="-108"/>
        <w:rPr>
          <w:sz w:val="22"/>
          <w:szCs w:val="22"/>
        </w:rPr>
      </w:pPr>
      <w:proofErr w:type="spellStart"/>
      <w:r w:rsidRPr="002B5CAC">
        <w:rPr>
          <w:sz w:val="22"/>
          <w:szCs w:val="22"/>
        </w:rPr>
        <w:t>Ripollés-Mélia</w:t>
      </w:r>
      <w:proofErr w:type="spellEnd"/>
      <w:r w:rsidRPr="002B5CAC">
        <w:rPr>
          <w:sz w:val="22"/>
          <w:szCs w:val="22"/>
        </w:rPr>
        <w:t xml:space="preserve">, M., </w:t>
      </w:r>
      <w:proofErr w:type="spellStart"/>
      <w:r w:rsidRPr="002B5CAC">
        <w:rPr>
          <w:sz w:val="22"/>
          <w:szCs w:val="22"/>
        </w:rPr>
        <w:t>Menguzzato-Boulard</w:t>
      </w:r>
      <w:proofErr w:type="spellEnd"/>
      <w:r w:rsidRPr="002B5CAC">
        <w:rPr>
          <w:sz w:val="22"/>
          <w:szCs w:val="22"/>
        </w:rPr>
        <w:t>, M., &amp; Sanchez-</w:t>
      </w:r>
      <w:proofErr w:type="spellStart"/>
      <w:r w:rsidRPr="002B5CAC">
        <w:rPr>
          <w:sz w:val="22"/>
          <w:szCs w:val="22"/>
        </w:rPr>
        <w:t>Peinado</w:t>
      </w:r>
      <w:proofErr w:type="spellEnd"/>
      <w:r w:rsidRPr="002B5CAC">
        <w:rPr>
          <w:sz w:val="22"/>
          <w:szCs w:val="22"/>
        </w:rPr>
        <w:t xml:space="preserve">, L. 2007. Entrepreneurial orientation and international commitment. </w:t>
      </w:r>
      <w:r w:rsidRPr="002B5CAC">
        <w:rPr>
          <w:i/>
          <w:iCs/>
          <w:sz w:val="22"/>
          <w:szCs w:val="22"/>
        </w:rPr>
        <w:t>Journal of International Entrepreneurship,</w:t>
      </w:r>
      <w:r w:rsidRPr="002B5CAC">
        <w:rPr>
          <w:sz w:val="22"/>
          <w:szCs w:val="22"/>
        </w:rPr>
        <w:t xml:space="preserve"> 5(3-4): 65–83.</w:t>
      </w:r>
    </w:p>
    <w:p w14:paraId="5EE3D6D0" w14:textId="77777777" w:rsidR="00E03C2E" w:rsidRPr="002B5CAC" w:rsidRDefault="00E03C2E" w:rsidP="00533FD2">
      <w:pPr>
        <w:ind w:right="-108" w:hanging="720"/>
        <w:rPr>
          <w:sz w:val="22"/>
          <w:szCs w:val="22"/>
          <w:highlight w:val="red"/>
        </w:rPr>
      </w:pPr>
    </w:p>
    <w:p w14:paraId="5EE3D6D1" w14:textId="77777777" w:rsidR="00A12B05" w:rsidRPr="002B5CAC" w:rsidRDefault="00E03C2E" w:rsidP="00533FD2">
      <w:pPr>
        <w:rPr>
          <w:sz w:val="22"/>
          <w:szCs w:val="22"/>
        </w:rPr>
      </w:pPr>
      <w:proofErr w:type="spellStart"/>
      <w:r w:rsidRPr="002B5CAC">
        <w:rPr>
          <w:sz w:val="22"/>
          <w:szCs w:val="22"/>
        </w:rPr>
        <w:t>Rosenbusch</w:t>
      </w:r>
      <w:proofErr w:type="spellEnd"/>
      <w:r w:rsidRPr="002B5CAC">
        <w:rPr>
          <w:sz w:val="22"/>
          <w:szCs w:val="22"/>
        </w:rPr>
        <w:t xml:space="preserve">, N., Rauch, A., &amp; Bausch, A. 2013. The </w:t>
      </w:r>
      <w:r w:rsidR="00C13099" w:rsidRPr="002B5CAC">
        <w:rPr>
          <w:sz w:val="22"/>
          <w:szCs w:val="22"/>
        </w:rPr>
        <w:t>m</w:t>
      </w:r>
      <w:r w:rsidRPr="002B5CAC">
        <w:rPr>
          <w:sz w:val="22"/>
          <w:szCs w:val="22"/>
        </w:rPr>
        <w:t xml:space="preserve">ediating </w:t>
      </w:r>
      <w:r w:rsidR="00C13099" w:rsidRPr="002B5CAC">
        <w:rPr>
          <w:sz w:val="22"/>
          <w:szCs w:val="22"/>
        </w:rPr>
        <w:t>r</w:t>
      </w:r>
      <w:r w:rsidRPr="002B5CAC">
        <w:rPr>
          <w:sz w:val="22"/>
          <w:szCs w:val="22"/>
        </w:rPr>
        <w:t xml:space="preserve">ole of </w:t>
      </w:r>
      <w:r w:rsidR="00C13099" w:rsidRPr="002B5CAC">
        <w:rPr>
          <w:sz w:val="22"/>
          <w:szCs w:val="22"/>
        </w:rPr>
        <w:t>e</w:t>
      </w:r>
      <w:r w:rsidRPr="002B5CAC">
        <w:rPr>
          <w:sz w:val="22"/>
          <w:szCs w:val="22"/>
        </w:rPr>
        <w:t xml:space="preserve">ntrepreneurial </w:t>
      </w:r>
      <w:r w:rsidR="00C13099" w:rsidRPr="002B5CAC">
        <w:rPr>
          <w:sz w:val="22"/>
          <w:szCs w:val="22"/>
        </w:rPr>
        <w:t>o</w:t>
      </w:r>
      <w:r w:rsidRPr="002B5CAC">
        <w:rPr>
          <w:sz w:val="22"/>
          <w:szCs w:val="22"/>
        </w:rPr>
        <w:t xml:space="preserve">rientation in the </w:t>
      </w:r>
      <w:r w:rsidR="00C13099" w:rsidRPr="002B5CAC">
        <w:rPr>
          <w:sz w:val="22"/>
          <w:szCs w:val="22"/>
        </w:rPr>
        <w:t>t</w:t>
      </w:r>
      <w:r w:rsidRPr="002B5CAC">
        <w:rPr>
          <w:sz w:val="22"/>
          <w:szCs w:val="22"/>
        </w:rPr>
        <w:t xml:space="preserve">ask </w:t>
      </w:r>
      <w:r w:rsidR="00C13099" w:rsidRPr="002B5CAC">
        <w:rPr>
          <w:sz w:val="22"/>
          <w:szCs w:val="22"/>
        </w:rPr>
        <w:t>e</w:t>
      </w:r>
      <w:r w:rsidRPr="002B5CAC">
        <w:rPr>
          <w:sz w:val="22"/>
          <w:szCs w:val="22"/>
        </w:rPr>
        <w:t>nvironment–</w:t>
      </w:r>
      <w:r w:rsidR="00C13099" w:rsidRPr="002B5CAC">
        <w:rPr>
          <w:sz w:val="22"/>
          <w:szCs w:val="22"/>
        </w:rPr>
        <w:t>p</w:t>
      </w:r>
      <w:r w:rsidRPr="002B5CAC">
        <w:rPr>
          <w:sz w:val="22"/>
          <w:szCs w:val="22"/>
        </w:rPr>
        <w:t xml:space="preserve">erformance </w:t>
      </w:r>
      <w:r w:rsidR="00C13099" w:rsidRPr="002B5CAC">
        <w:rPr>
          <w:sz w:val="22"/>
          <w:szCs w:val="22"/>
        </w:rPr>
        <w:t>r</w:t>
      </w:r>
      <w:r w:rsidRPr="002B5CAC">
        <w:rPr>
          <w:sz w:val="22"/>
          <w:szCs w:val="22"/>
        </w:rPr>
        <w:t xml:space="preserve">elationship </w:t>
      </w:r>
      <w:r w:rsidR="00C13099" w:rsidRPr="002B5CAC">
        <w:rPr>
          <w:sz w:val="22"/>
          <w:szCs w:val="22"/>
        </w:rPr>
        <w:t>a</w:t>
      </w:r>
      <w:r w:rsidRPr="002B5CAC">
        <w:rPr>
          <w:sz w:val="22"/>
          <w:szCs w:val="22"/>
        </w:rPr>
        <w:t xml:space="preserve"> </w:t>
      </w:r>
      <w:r w:rsidR="00C13099" w:rsidRPr="002B5CAC">
        <w:rPr>
          <w:sz w:val="22"/>
          <w:szCs w:val="22"/>
        </w:rPr>
        <w:t>m</w:t>
      </w:r>
      <w:r w:rsidRPr="002B5CAC">
        <w:rPr>
          <w:sz w:val="22"/>
          <w:szCs w:val="22"/>
        </w:rPr>
        <w:t>eta-</w:t>
      </w:r>
      <w:r w:rsidR="00C13099" w:rsidRPr="002B5CAC">
        <w:rPr>
          <w:sz w:val="22"/>
          <w:szCs w:val="22"/>
        </w:rPr>
        <w:t>a</w:t>
      </w:r>
      <w:r w:rsidRPr="002B5CAC">
        <w:rPr>
          <w:sz w:val="22"/>
          <w:szCs w:val="22"/>
        </w:rPr>
        <w:t xml:space="preserve">nalysis. </w:t>
      </w:r>
      <w:r w:rsidRPr="002B5CAC">
        <w:rPr>
          <w:i/>
          <w:sz w:val="22"/>
          <w:szCs w:val="22"/>
        </w:rPr>
        <w:t>Journal of Management</w:t>
      </w:r>
      <w:r w:rsidRPr="002B5CAC">
        <w:rPr>
          <w:sz w:val="22"/>
          <w:szCs w:val="22"/>
        </w:rPr>
        <w:t>, 39(3): 633-659.</w:t>
      </w:r>
    </w:p>
    <w:p w14:paraId="5EE3D6D2" w14:textId="77777777" w:rsidR="00A12B05" w:rsidRPr="002B5CAC" w:rsidRDefault="00A12B05" w:rsidP="00533FD2">
      <w:pPr>
        <w:rPr>
          <w:sz w:val="22"/>
          <w:szCs w:val="22"/>
        </w:rPr>
      </w:pPr>
    </w:p>
    <w:p w14:paraId="5EE3D6D3" w14:textId="77777777" w:rsidR="00A12B05" w:rsidRPr="002B5CAC" w:rsidRDefault="0031622F" w:rsidP="00533FD2">
      <w:pPr>
        <w:rPr>
          <w:sz w:val="22"/>
          <w:szCs w:val="22"/>
        </w:rPr>
      </w:pPr>
      <w:r w:rsidRPr="002B5CAC">
        <w:rPr>
          <w:sz w:val="22"/>
          <w:szCs w:val="22"/>
        </w:rPr>
        <w:t>Saeed, S., Yousafzai, S.Y.</w:t>
      </w:r>
      <w:r w:rsidR="00E61DFE" w:rsidRPr="002B5CAC">
        <w:rPr>
          <w:sz w:val="22"/>
          <w:szCs w:val="22"/>
        </w:rPr>
        <w:t>,</w:t>
      </w:r>
      <w:r w:rsidRPr="002B5CAC">
        <w:rPr>
          <w:sz w:val="22"/>
          <w:szCs w:val="22"/>
        </w:rPr>
        <w:t xml:space="preserve"> &amp; </w:t>
      </w:r>
      <w:proofErr w:type="spellStart"/>
      <w:r w:rsidRPr="002B5CAC">
        <w:rPr>
          <w:sz w:val="22"/>
          <w:szCs w:val="22"/>
        </w:rPr>
        <w:t>Engelen</w:t>
      </w:r>
      <w:proofErr w:type="spellEnd"/>
      <w:r w:rsidRPr="002B5CAC">
        <w:rPr>
          <w:sz w:val="22"/>
          <w:szCs w:val="22"/>
        </w:rPr>
        <w:t>, A. 2014. On cultural and macroeconomic</w:t>
      </w:r>
      <w:r w:rsidR="00A12B05" w:rsidRPr="002B5CAC">
        <w:rPr>
          <w:sz w:val="22"/>
          <w:szCs w:val="22"/>
        </w:rPr>
        <w:t xml:space="preserve"> </w:t>
      </w:r>
      <w:r w:rsidRPr="002B5CAC">
        <w:rPr>
          <w:sz w:val="22"/>
          <w:szCs w:val="22"/>
        </w:rPr>
        <w:t xml:space="preserve">contingencies of the entrepreneurial orientation-performance relationship. </w:t>
      </w:r>
      <w:r w:rsidRPr="002B5CAC">
        <w:rPr>
          <w:i/>
          <w:sz w:val="22"/>
          <w:szCs w:val="22"/>
        </w:rPr>
        <w:t xml:space="preserve">Entrepreneurship Theory </w:t>
      </w:r>
      <w:r w:rsidR="00335891" w:rsidRPr="002B5CAC">
        <w:rPr>
          <w:i/>
          <w:sz w:val="22"/>
          <w:szCs w:val="22"/>
        </w:rPr>
        <w:t>and</w:t>
      </w:r>
      <w:r w:rsidRPr="002B5CAC">
        <w:rPr>
          <w:i/>
          <w:sz w:val="22"/>
          <w:szCs w:val="22"/>
        </w:rPr>
        <w:t xml:space="preserve"> Practice</w:t>
      </w:r>
      <w:r w:rsidRPr="002B5CAC">
        <w:rPr>
          <w:sz w:val="22"/>
          <w:szCs w:val="22"/>
        </w:rPr>
        <w:t xml:space="preserve">, </w:t>
      </w:r>
      <w:r w:rsidR="001C31D6" w:rsidRPr="002B5CAC">
        <w:rPr>
          <w:sz w:val="22"/>
          <w:szCs w:val="22"/>
        </w:rPr>
        <w:t xml:space="preserve">38(2): </w:t>
      </w:r>
      <w:r w:rsidRPr="002B5CAC">
        <w:rPr>
          <w:sz w:val="22"/>
          <w:szCs w:val="22"/>
        </w:rPr>
        <w:t>255-290.</w:t>
      </w:r>
    </w:p>
    <w:p w14:paraId="5EE3D6D4" w14:textId="77777777" w:rsidR="00A12B05" w:rsidRPr="002B5CAC" w:rsidRDefault="00A12B05" w:rsidP="00533FD2">
      <w:pPr>
        <w:rPr>
          <w:sz w:val="22"/>
          <w:szCs w:val="22"/>
        </w:rPr>
      </w:pPr>
    </w:p>
    <w:p w14:paraId="5EE3D6D5" w14:textId="77777777" w:rsidR="00A12B05" w:rsidRPr="002B5CAC" w:rsidRDefault="00A12B05" w:rsidP="00533FD2">
      <w:pPr>
        <w:rPr>
          <w:rFonts w:eastAsiaTheme="minorHAnsi"/>
          <w:sz w:val="22"/>
          <w:szCs w:val="22"/>
          <w:lang w:val="en-GB" w:eastAsia="en-US"/>
        </w:rPr>
      </w:pPr>
      <w:r w:rsidRPr="002B5CAC">
        <w:rPr>
          <w:rFonts w:eastAsiaTheme="minorHAnsi"/>
          <w:sz w:val="22"/>
          <w:szCs w:val="22"/>
          <w:lang w:val="en-GB" w:eastAsia="en-US"/>
        </w:rPr>
        <w:t>Schwab, K.</w:t>
      </w:r>
      <w:r w:rsidR="00E61DFE" w:rsidRPr="002B5CAC">
        <w:rPr>
          <w:rFonts w:eastAsiaTheme="minorHAnsi"/>
          <w:sz w:val="22"/>
          <w:szCs w:val="22"/>
          <w:lang w:val="en-GB" w:eastAsia="en-US"/>
        </w:rPr>
        <w:t>,</w:t>
      </w:r>
      <w:r w:rsidRPr="002B5CAC">
        <w:rPr>
          <w:rFonts w:eastAsiaTheme="minorHAnsi"/>
          <w:sz w:val="22"/>
          <w:szCs w:val="22"/>
          <w:lang w:val="en-GB" w:eastAsia="en-US"/>
        </w:rPr>
        <w:t xml:space="preserve"> &amp; Sala-</w:t>
      </w:r>
      <w:proofErr w:type="spellStart"/>
      <w:r w:rsidRPr="002B5CAC">
        <w:rPr>
          <w:rFonts w:eastAsiaTheme="minorHAnsi"/>
          <w:sz w:val="22"/>
          <w:szCs w:val="22"/>
          <w:lang w:val="en-GB" w:eastAsia="en-US"/>
        </w:rPr>
        <w:t>i</w:t>
      </w:r>
      <w:proofErr w:type="spellEnd"/>
      <w:r w:rsidRPr="002B5CAC">
        <w:rPr>
          <w:rFonts w:eastAsiaTheme="minorHAnsi"/>
          <w:sz w:val="22"/>
          <w:szCs w:val="22"/>
          <w:lang w:val="en-GB" w:eastAsia="en-US"/>
        </w:rPr>
        <w:t xml:space="preserve">-Martin, X. (Eds.). (2011, December). </w:t>
      </w:r>
      <w:r w:rsidRPr="002B5CAC">
        <w:rPr>
          <w:rFonts w:eastAsiaTheme="minorHAnsi"/>
          <w:i/>
          <w:sz w:val="22"/>
          <w:szCs w:val="22"/>
          <w:lang w:val="en-GB" w:eastAsia="en-US"/>
        </w:rPr>
        <w:t>The Global Competitiveness Report 2011-2012</w:t>
      </w:r>
      <w:r w:rsidRPr="002B5CAC">
        <w:rPr>
          <w:rFonts w:eastAsiaTheme="minorHAnsi"/>
          <w:sz w:val="22"/>
          <w:szCs w:val="22"/>
          <w:lang w:val="en-GB" w:eastAsia="en-US"/>
        </w:rPr>
        <w:t>. Geneva: World Economic Forum.</w:t>
      </w:r>
    </w:p>
    <w:p w14:paraId="5EE3D6D6" w14:textId="77777777" w:rsidR="0031622F" w:rsidRPr="002B5CAC" w:rsidRDefault="0031622F" w:rsidP="00533FD2">
      <w:pPr>
        <w:ind w:hanging="720"/>
        <w:rPr>
          <w:sz w:val="22"/>
          <w:szCs w:val="22"/>
        </w:rPr>
      </w:pPr>
    </w:p>
    <w:p w14:paraId="5EE3D6D7" w14:textId="77777777" w:rsidR="00E03C2E" w:rsidRPr="002B5CAC" w:rsidRDefault="00E03C2E" w:rsidP="00533FD2">
      <w:pPr>
        <w:rPr>
          <w:sz w:val="22"/>
          <w:szCs w:val="22"/>
        </w:rPr>
      </w:pPr>
      <w:r w:rsidRPr="002B5CAC">
        <w:rPr>
          <w:sz w:val="22"/>
          <w:szCs w:val="22"/>
        </w:rPr>
        <w:t>Scott, W</w:t>
      </w:r>
      <w:r w:rsidRPr="002B5CAC">
        <w:rPr>
          <w:sz w:val="22"/>
          <w:szCs w:val="22"/>
          <w:lang w:eastAsia="zh-CN"/>
        </w:rPr>
        <w:t>.</w:t>
      </w:r>
      <w:r w:rsidRPr="002B5CAC">
        <w:rPr>
          <w:sz w:val="22"/>
          <w:szCs w:val="22"/>
        </w:rPr>
        <w:t xml:space="preserve">R. 1995. </w:t>
      </w:r>
      <w:r w:rsidRPr="002B5CAC">
        <w:rPr>
          <w:i/>
          <w:sz w:val="22"/>
          <w:szCs w:val="22"/>
        </w:rPr>
        <w:t>Institutions and Organizations</w:t>
      </w:r>
      <w:r w:rsidRPr="002B5CAC">
        <w:rPr>
          <w:sz w:val="22"/>
          <w:szCs w:val="22"/>
        </w:rPr>
        <w:t>. Thousand Oaks: CA: Sage Publishing.</w:t>
      </w:r>
    </w:p>
    <w:p w14:paraId="5EE3D6D8" w14:textId="77777777" w:rsidR="00E03C2E" w:rsidRPr="002B5CAC" w:rsidRDefault="00E03C2E" w:rsidP="00533FD2">
      <w:pPr>
        <w:ind w:hanging="720"/>
        <w:rPr>
          <w:sz w:val="22"/>
          <w:szCs w:val="22"/>
        </w:rPr>
      </w:pPr>
    </w:p>
    <w:p w14:paraId="5EE3D6D9" w14:textId="77777777" w:rsidR="00E03C2E" w:rsidRPr="002B5CAC" w:rsidRDefault="00E03C2E" w:rsidP="00533FD2">
      <w:pPr>
        <w:rPr>
          <w:sz w:val="22"/>
          <w:szCs w:val="22"/>
        </w:rPr>
      </w:pPr>
      <w:r w:rsidRPr="002B5CAC">
        <w:rPr>
          <w:sz w:val="22"/>
          <w:szCs w:val="22"/>
        </w:rPr>
        <w:t>Shaver, J</w:t>
      </w:r>
      <w:r w:rsidRPr="002B5CAC">
        <w:rPr>
          <w:sz w:val="22"/>
          <w:szCs w:val="22"/>
          <w:lang w:eastAsia="zh-CN"/>
        </w:rPr>
        <w:t>.</w:t>
      </w:r>
      <w:r w:rsidRPr="002B5CAC">
        <w:rPr>
          <w:sz w:val="22"/>
          <w:szCs w:val="22"/>
        </w:rPr>
        <w:t xml:space="preserve">M. 1998. Accounting for endogeneity when assessing strategy performance: Does entry mode choice affect FDI survival? </w:t>
      </w:r>
      <w:r w:rsidRPr="002B5CAC">
        <w:rPr>
          <w:i/>
          <w:sz w:val="22"/>
          <w:szCs w:val="22"/>
        </w:rPr>
        <w:t>Management Science</w:t>
      </w:r>
      <w:r w:rsidRPr="002B5CAC">
        <w:rPr>
          <w:sz w:val="22"/>
          <w:szCs w:val="22"/>
        </w:rPr>
        <w:t>, 44(4): 571-585.</w:t>
      </w:r>
    </w:p>
    <w:p w14:paraId="5EE3D6DA" w14:textId="77777777" w:rsidR="00E03C2E" w:rsidRPr="002B5CAC" w:rsidRDefault="00E03C2E" w:rsidP="00533FD2">
      <w:pPr>
        <w:ind w:right="-108" w:hanging="720"/>
        <w:rPr>
          <w:sz w:val="22"/>
          <w:szCs w:val="22"/>
        </w:rPr>
      </w:pPr>
    </w:p>
    <w:p w14:paraId="5EE3D6DB" w14:textId="77777777" w:rsidR="00E03C2E" w:rsidRPr="002B5CAC" w:rsidRDefault="00E03C2E" w:rsidP="00533FD2">
      <w:pPr>
        <w:ind w:right="-108"/>
        <w:rPr>
          <w:sz w:val="22"/>
          <w:szCs w:val="22"/>
        </w:rPr>
      </w:pPr>
      <w:proofErr w:type="spellStart"/>
      <w:r w:rsidRPr="002B5CAC">
        <w:rPr>
          <w:sz w:val="22"/>
          <w:szCs w:val="22"/>
        </w:rPr>
        <w:t>Shervani</w:t>
      </w:r>
      <w:proofErr w:type="spellEnd"/>
      <w:r w:rsidRPr="002B5CAC">
        <w:rPr>
          <w:sz w:val="22"/>
          <w:szCs w:val="22"/>
        </w:rPr>
        <w:t xml:space="preserve">, T.A., Frazier, G., &amp; </w:t>
      </w:r>
      <w:proofErr w:type="spellStart"/>
      <w:r w:rsidRPr="002B5CAC">
        <w:rPr>
          <w:sz w:val="22"/>
          <w:szCs w:val="22"/>
        </w:rPr>
        <w:t>Challagalla</w:t>
      </w:r>
      <w:proofErr w:type="spellEnd"/>
      <w:r w:rsidRPr="002B5CAC">
        <w:rPr>
          <w:sz w:val="22"/>
          <w:szCs w:val="22"/>
        </w:rPr>
        <w:t xml:space="preserve">, G. 2007. The moderating influence of firm market power on the transaction cost economics model: An empirical test in a forward channel integration context. </w:t>
      </w:r>
      <w:r w:rsidRPr="002B5CAC">
        <w:rPr>
          <w:i/>
          <w:sz w:val="22"/>
          <w:szCs w:val="22"/>
        </w:rPr>
        <w:t>Strategic Management Journal</w:t>
      </w:r>
      <w:r w:rsidRPr="002B5CAC">
        <w:rPr>
          <w:sz w:val="22"/>
          <w:szCs w:val="22"/>
        </w:rPr>
        <w:t>, 28(6): 635-652.</w:t>
      </w:r>
    </w:p>
    <w:p w14:paraId="5EE3D6DC" w14:textId="77777777" w:rsidR="00E03C2E" w:rsidRPr="002B5CAC" w:rsidRDefault="00E03C2E" w:rsidP="00533FD2">
      <w:pPr>
        <w:ind w:right="-108" w:hanging="720"/>
        <w:rPr>
          <w:sz w:val="22"/>
          <w:szCs w:val="22"/>
        </w:rPr>
      </w:pPr>
    </w:p>
    <w:p w14:paraId="5EE3D6DD" w14:textId="77777777" w:rsidR="00E03C2E" w:rsidRPr="002B5CAC" w:rsidRDefault="00E03C2E" w:rsidP="00533FD2">
      <w:pPr>
        <w:ind w:right="-108"/>
        <w:rPr>
          <w:sz w:val="22"/>
          <w:szCs w:val="22"/>
        </w:rPr>
      </w:pPr>
      <w:bookmarkStart w:id="7" w:name="_Hlk65489080"/>
      <w:r w:rsidRPr="002B5CAC">
        <w:rPr>
          <w:sz w:val="22"/>
          <w:szCs w:val="22"/>
        </w:rPr>
        <w:t>Sousa, C.M.P., Martinez-Lopez, F.J., &amp; Coelho, F. 2008</w:t>
      </w:r>
      <w:bookmarkEnd w:id="7"/>
      <w:r w:rsidRPr="002B5CAC">
        <w:rPr>
          <w:sz w:val="22"/>
          <w:szCs w:val="22"/>
        </w:rPr>
        <w:t xml:space="preserve">. The determinants of export performance: A review of the research in the literature between 1998 and 2005. </w:t>
      </w:r>
      <w:r w:rsidRPr="002B5CAC">
        <w:rPr>
          <w:i/>
          <w:iCs/>
          <w:sz w:val="22"/>
          <w:szCs w:val="22"/>
        </w:rPr>
        <w:t xml:space="preserve">International Journal of Management Reviews, </w:t>
      </w:r>
      <w:r w:rsidRPr="002B5CAC">
        <w:rPr>
          <w:sz w:val="22"/>
          <w:szCs w:val="22"/>
        </w:rPr>
        <w:t>10(4), 343-374.</w:t>
      </w:r>
    </w:p>
    <w:p w14:paraId="5EE3D6DE" w14:textId="77777777" w:rsidR="00342351" w:rsidRPr="002B5CAC" w:rsidRDefault="00342351" w:rsidP="00533FD2">
      <w:pPr>
        <w:ind w:right="-108" w:hanging="720"/>
        <w:rPr>
          <w:sz w:val="22"/>
          <w:szCs w:val="22"/>
        </w:rPr>
      </w:pPr>
    </w:p>
    <w:p w14:paraId="5EE3D6DF" w14:textId="77777777" w:rsidR="00741E4D" w:rsidRPr="002B5CAC" w:rsidRDefault="00342351" w:rsidP="00533FD2">
      <w:pPr>
        <w:ind w:right="-108"/>
        <w:rPr>
          <w:sz w:val="22"/>
          <w:szCs w:val="22"/>
        </w:rPr>
      </w:pPr>
      <w:r w:rsidRPr="002B5CAC">
        <w:rPr>
          <w:sz w:val="22"/>
          <w:szCs w:val="22"/>
        </w:rPr>
        <w:t xml:space="preserve">Teng, B-S. 2007. Corporate entrepreneurship activities through strategic alliances: A resource-based approach toward competitive advantage. </w:t>
      </w:r>
      <w:r w:rsidRPr="002B5CAC">
        <w:rPr>
          <w:i/>
          <w:sz w:val="22"/>
          <w:szCs w:val="22"/>
        </w:rPr>
        <w:t>Journal of Management Studies</w:t>
      </w:r>
      <w:r w:rsidRPr="002B5CAC">
        <w:rPr>
          <w:sz w:val="22"/>
          <w:szCs w:val="22"/>
        </w:rPr>
        <w:t>, 44(1): 119-142.</w:t>
      </w:r>
    </w:p>
    <w:p w14:paraId="5EE3D6E0" w14:textId="77777777" w:rsidR="00741E4D" w:rsidRPr="002B5CAC" w:rsidRDefault="00741E4D" w:rsidP="00533FD2">
      <w:pPr>
        <w:ind w:right="-108"/>
        <w:rPr>
          <w:sz w:val="22"/>
          <w:szCs w:val="22"/>
        </w:rPr>
      </w:pPr>
    </w:p>
    <w:p w14:paraId="5EE3D6E3" w14:textId="19761F7B" w:rsidR="00074D52" w:rsidRDefault="00074D52" w:rsidP="00533FD2">
      <w:pPr>
        <w:ind w:right="-108"/>
        <w:rPr>
          <w:sz w:val="22"/>
          <w:szCs w:val="22"/>
        </w:rPr>
      </w:pPr>
      <w:r w:rsidRPr="002B5CAC">
        <w:rPr>
          <w:sz w:val="22"/>
          <w:szCs w:val="22"/>
        </w:rPr>
        <w:t xml:space="preserve">Venkatraman, N. 1989. The concept of fit in strategy research: Toward verbal and statistical correspondence. </w:t>
      </w:r>
      <w:r w:rsidRPr="002B5CAC">
        <w:rPr>
          <w:i/>
          <w:sz w:val="22"/>
          <w:szCs w:val="22"/>
        </w:rPr>
        <w:t>Academy of Management Review</w:t>
      </w:r>
      <w:r w:rsidRPr="002B5CAC">
        <w:rPr>
          <w:sz w:val="22"/>
          <w:szCs w:val="22"/>
        </w:rPr>
        <w:t xml:space="preserve">, 14(3): 423-444. </w:t>
      </w:r>
    </w:p>
    <w:p w14:paraId="63A27CAF" w14:textId="6B963EF5" w:rsidR="00A9328A" w:rsidRDefault="00A9328A" w:rsidP="00533FD2">
      <w:pPr>
        <w:ind w:right="-108"/>
        <w:rPr>
          <w:sz w:val="22"/>
          <w:szCs w:val="22"/>
        </w:rPr>
      </w:pPr>
    </w:p>
    <w:p w14:paraId="7DFA20BB" w14:textId="1C139A32" w:rsidR="00A9328A" w:rsidRPr="002B5CAC" w:rsidRDefault="00A9328A" w:rsidP="00533FD2">
      <w:pPr>
        <w:ind w:right="-108"/>
        <w:rPr>
          <w:sz w:val="22"/>
          <w:szCs w:val="22"/>
        </w:rPr>
      </w:pPr>
      <w:r w:rsidRPr="009A476A">
        <w:rPr>
          <w:sz w:val="22"/>
          <w:szCs w:val="22"/>
        </w:rPr>
        <w:t>Wales,</w:t>
      </w:r>
      <w:r w:rsidRPr="00A9328A">
        <w:rPr>
          <w:sz w:val="22"/>
          <w:szCs w:val="22"/>
        </w:rPr>
        <w:t xml:space="preserve"> W., Gupta, V. K., Marino, L., &amp; </w:t>
      </w:r>
      <w:proofErr w:type="spellStart"/>
      <w:r w:rsidRPr="00A9328A">
        <w:rPr>
          <w:sz w:val="22"/>
          <w:szCs w:val="22"/>
        </w:rPr>
        <w:t>Shirokova</w:t>
      </w:r>
      <w:proofErr w:type="spellEnd"/>
      <w:r w:rsidRPr="00A9328A">
        <w:rPr>
          <w:sz w:val="22"/>
          <w:szCs w:val="22"/>
        </w:rPr>
        <w:t xml:space="preserve">, G. 2019. Entrepreneurial orientation: International, global and cross-cultural research. </w:t>
      </w:r>
      <w:r w:rsidRPr="000666E0">
        <w:rPr>
          <w:i/>
          <w:iCs/>
          <w:sz w:val="22"/>
          <w:szCs w:val="22"/>
        </w:rPr>
        <w:t>International Small Business Journal</w:t>
      </w:r>
      <w:r w:rsidRPr="00A9328A">
        <w:rPr>
          <w:sz w:val="22"/>
          <w:szCs w:val="22"/>
        </w:rPr>
        <w:t>, 37(2)</w:t>
      </w:r>
      <w:r w:rsidR="00E56430">
        <w:rPr>
          <w:sz w:val="22"/>
          <w:szCs w:val="22"/>
        </w:rPr>
        <w:t>:</w:t>
      </w:r>
      <w:r w:rsidRPr="00A9328A">
        <w:rPr>
          <w:sz w:val="22"/>
          <w:szCs w:val="22"/>
        </w:rPr>
        <w:t xml:space="preserve"> 95-104.</w:t>
      </w:r>
    </w:p>
    <w:p w14:paraId="5EE3D6E4" w14:textId="77777777" w:rsidR="00342351" w:rsidRPr="002B5CAC" w:rsidRDefault="00342351" w:rsidP="00533FD2">
      <w:pPr>
        <w:ind w:right="-108" w:hanging="720"/>
        <w:rPr>
          <w:sz w:val="22"/>
          <w:szCs w:val="22"/>
        </w:rPr>
      </w:pPr>
    </w:p>
    <w:p w14:paraId="5EE3D6E5" w14:textId="77777777" w:rsidR="004167C3" w:rsidRPr="002B5CAC" w:rsidRDefault="006121E5" w:rsidP="00533FD2">
      <w:pPr>
        <w:ind w:right="-108"/>
        <w:rPr>
          <w:sz w:val="22"/>
          <w:szCs w:val="22"/>
        </w:rPr>
      </w:pPr>
      <w:r w:rsidRPr="002B5CAC">
        <w:rPr>
          <w:sz w:val="22"/>
          <w:szCs w:val="22"/>
        </w:rPr>
        <w:t>Wales, W.J., Gupta, V.K.</w:t>
      </w:r>
      <w:r w:rsidR="00E61DFE" w:rsidRPr="002B5CAC">
        <w:rPr>
          <w:sz w:val="22"/>
          <w:szCs w:val="22"/>
        </w:rPr>
        <w:t>,</w:t>
      </w:r>
      <w:r w:rsidRPr="002B5CAC">
        <w:rPr>
          <w:sz w:val="22"/>
          <w:szCs w:val="22"/>
        </w:rPr>
        <w:t xml:space="preserve"> &amp; Mousa, F.T. 201</w:t>
      </w:r>
      <w:r w:rsidR="0041511B" w:rsidRPr="002B5CAC">
        <w:rPr>
          <w:sz w:val="22"/>
          <w:szCs w:val="22"/>
        </w:rPr>
        <w:t>3</w:t>
      </w:r>
      <w:r w:rsidRPr="002B5CAC">
        <w:rPr>
          <w:sz w:val="22"/>
          <w:szCs w:val="22"/>
        </w:rPr>
        <w:t xml:space="preserve">. Empirical research on entrepreneurial orientation: An assessment and suggestions for future research. </w:t>
      </w:r>
      <w:r w:rsidRPr="002B5CAC">
        <w:rPr>
          <w:i/>
          <w:sz w:val="22"/>
          <w:szCs w:val="22"/>
        </w:rPr>
        <w:t>International Small Business Journal</w:t>
      </w:r>
      <w:r w:rsidR="004167C3" w:rsidRPr="002B5CAC">
        <w:rPr>
          <w:sz w:val="22"/>
          <w:szCs w:val="22"/>
        </w:rPr>
        <w:t>, 31(4): 357-383.</w:t>
      </w:r>
    </w:p>
    <w:p w14:paraId="5EE3D6E6" w14:textId="77777777" w:rsidR="004167C3" w:rsidRPr="002B5CAC" w:rsidRDefault="004167C3" w:rsidP="00533FD2">
      <w:pPr>
        <w:ind w:right="-108"/>
        <w:rPr>
          <w:sz w:val="22"/>
          <w:szCs w:val="22"/>
        </w:rPr>
      </w:pPr>
    </w:p>
    <w:p w14:paraId="5EE3D6E7" w14:textId="77777777" w:rsidR="004167C3" w:rsidRPr="002B5CAC" w:rsidRDefault="004167C3" w:rsidP="00533FD2">
      <w:pPr>
        <w:ind w:right="-108"/>
        <w:rPr>
          <w:sz w:val="22"/>
          <w:szCs w:val="22"/>
        </w:rPr>
      </w:pPr>
      <w:r w:rsidRPr="002B5CAC">
        <w:rPr>
          <w:rFonts w:eastAsiaTheme="minorHAnsi"/>
          <w:sz w:val="22"/>
          <w:szCs w:val="22"/>
          <w:lang w:val="en-GB" w:eastAsia="en-US"/>
        </w:rPr>
        <w:lastRenderedPageBreak/>
        <w:t xml:space="preserve">Wiersema, M.F., &amp; Bowen, H.P. 2009. The use of limited dependent variable techniques in strategy research: issues and methods. </w:t>
      </w:r>
      <w:r w:rsidRPr="002B5CAC">
        <w:rPr>
          <w:rFonts w:eastAsiaTheme="minorHAnsi"/>
          <w:i/>
          <w:sz w:val="22"/>
          <w:szCs w:val="22"/>
          <w:lang w:val="en-GB" w:eastAsia="en-US"/>
        </w:rPr>
        <w:t>Strategic Management Journal</w:t>
      </w:r>
      <w:r w:rsidRPr="002B5CAC">
        <w:rPr>
          <w:rFonts w:eastAsiaTheme="minorHAnsi"/>
          <w:sz w:val="22"/>
          <w:szCs w:val="22"/>
          <w:lang w:val="en-GB" w:eastAsia="en-US"/>
        </w:rPr>
        <w:t xml:space="preserve">, 30(6): 679-692.  </w:t>
      </w:r>
    </w:p>
    <w:p w14:paraId="5EE3D6E8" w14:textId="77777777" w:rsidR="006121E5" w:rsidRPr="002B5CAC" w:rsidRDefault="006121E5" w:rsidP="00533FD2">
      <w:pPr>
        <w:ind w:right="-108" w:hanging="720"/>
        <w:rPr>
          <w:sz w:val="22"/>
          <w:szCs w:val="22"/>
        </w:rPr>
      </w:pPr>
    </w:p>
    <w:p w14:paraId="5EE3D6E9" w14:textId="77777777" w:rsidR="00E03C2E" w:rsidRPr="002B5CAC" w:rsidRDefault="00E03C2E" w:rsidP="00533FD2">
      <w:pPr>
        <w:ind w:right="-108"/>
        <w:rPr>
          <w:sz w:val="22"/>
          <w:szCs w:val="22"/>
        </w:rPr>
      </w:pPr>
      <w:r w:rsidRPr="002B5CAC">
        <w:rPr>
          <w:sz w:val="22"/>
          <w:szCs w:val="22"/>
        </w:rPr>
        <w:t xml:space="preserve">Williamson, O.E. 1985. </w:t>
      </w:r>
      <w:r w:rsidRPr="002B5CAC">
        <w:rPr>
          <w:i/>
          <w:iCs/>
          <w:sz w:val="22"/>
          <w:szCs w:val="22"/>
        </w:rPr>
        <w:t>The Economic Institutions of Capitalism: Firms, Markets, Relational Contracting</w:t>
      </w:r>
      <w:r w:rsidRPr="002B5CAC">
        <w:rPr>
          <w:sz w:val="22"/>
          <w:szCs w:val="22"/>
        </w:rPr>
        <w:t>. New York: Free Press.</w:t>
      </w:r>
    </w:p>
    <w:p w14:paraId="5EE3D6EA" w14:textId="77777777" w:rsidR="00E03C2E" w:rsidRPr="002B5CAC" w:rsidRDefault="00E03C2E" w:rsidP="00533FD2">
      <w:pPr>
        <w:ind w:right="-108" w:hanging="720"/>
        <w:rPr>
          <w:sz w:val="22"/>
          <w:szCs w:val="22"/>
        </w:rPr>
      </w:pPr>
    </w:p>
    <w:p w14:paraId="5EE3D6EB" w14:textId="5C988BEB" w:rsidR="009E6595" w:rsidRDefault="009E6595" w:rsidP="00533FD2">
      <w:pPr>
        <w:ind w:right="-108"/>
        <w:rPr>
          <w:sz w:val="22"/>
          <w:szCs w:val="22"/>
        </w:rPr>
      </w:pPr>
      <w:proofErr w:type="spellStart"/>
      <w:r w:rsidRPr="002B5CAC">
        <w:rPr>
          <w:sz w:val="22"/>
          <w:szCs w:val="22"/>
        </w:rPr>
        <w:t>Wiklund</w:t>
      </w:r>
      <w:proofErr w:type="spellEnd"/>
      <w:r w:rsidRPr="002B5CAC">
        <w:rPr>
          <w:sz w:val="22"/>
          <w:szCs w:val="22"/>
        </w:rPr>
        <w:t>, J., &amp; Shepherd, D. 2003. Knowledge</w:t>
      </w:r>
      <w:r w:rsidRPr="002B5CAC">
        <w:rPr>
          <w:rFonts w:ascii="Cambria Math" w:hAnsi="Cambria Math"/>
          <w:sz w:val="22"/>
          <w:szCs w:val="22"/>
        </w:rPr>
        <w:t>‐</w:t>
      </w:r>
      <w:r w:rsidRPr="002B5CAC">
        <w:rPr>
          <w:sz w:val="22"/>
          <w:szCs w:val="22"/>
        </w:rPr>
        <w:t>based resources, entrepreneurial orientation, and the performance of small and medium</w:t>
      </w:r>
      <w:r w:rsidRPr="002B5CAC">
        <w:rPr>
          <w:rFonts w:ascii="Cambria Math" w:hAnsi="Cambria Math"/>
          <w:sz w:val="22"/>
          <w:szCs w:val="22"/>
        </w:rPr>
        <w:t>‐</w:t>
      </w:r>
      <w:r w:rsidRPr="002B5CAC">
        <w:rPr>
          <w:sz w:val="22"/>
          <w:szCs w:val="22"/>
        </w:rPr>
        <w:t xml:space="preserve">sized businesses. </w:t>
      </w:r>
      <w:r w:rsidRPr="002B5CAC">
        <w:rPr>
          <w:i/>
          <w:sz w:val="22"/>
          <w:szCs w:val="22"/>
        </w:rPr>
        <w:t xml:space="preserve">Strategic </w:t>
      </w:r>
      <w:r w:rsidR="00903DB0" w:rsidRPr="002B5CAC">
        <w:rPr>
          <w:i/>
          <w:sz w:val="22"/>
          <w:szCs w:val="22"/>
        </w:rPr>
        <w:t>M</w:t>
      </w:r>
      <w:r w:rsidRPr="002B5CAC">
        <w:rPr>
          <w:i/>
          <w:sz w:val="22"/>
          <w:szCs w:val="22"/>
        </w:rPr>
        <w:t xml:space="preserve">anagement </w:t>
      </w:r>
      <w:r w:rsidR="00903DB0" w:rsidRPr="002B5CAC">
        <w:rPr>
          <w:i/>
          <w:sz w:val="22"/>
          <w:szCs w:val="22"/>
        </w:rPr>
        <w:t>J</w:t>
      </w:r>
      <w:r w:rsidRPr="002B5CAC">
        <w:rPr>
          <w:i/>
          <w:sz w:val="22"/>
          <w:szCs w:val="22"/>
        </w:rPr>
        <w:t>ournal</w:t>
      </w:r>
      <w:r w:rsidRPr="002B5CAC">
        <w:rPr>
          <w:sz w:val="22"/>
          <w:szCs w:val="22"/>
        </w:rPr>
        <w:t>, 24(13): 1307-1314.</w:t>
      </w:r>
    </w:p>
    <w:p w14:paraId="633C8D10" w14:textId="24FC7EB9" w:rsidR="00D006FA" w:rsidRDefault="00D006FA" w:rsidP="00533FD2">
      <w:pPr>
        <w:ind w:right="-108"/>
        <w:rPr>
          <w:sz w:val="22"/>
          <w:szCs w:val="22"/>
        </w:rPr>
      </w:pPr>
    </w:p>
    <w:p w14:paraId="059645DE" w14:textId="3CCB73C0" w:rsidR="00D006FA" w:rsidRPr="002B5CAC" w:rsidRDefault="00D006FA" w:rsidP="00533FD2">
      <w:pPr>
        <w:ind w:right="-108"/>
        <w:rPr>
          <w:sz w:val="22"/>
          <w:szCs w:val="22"/>
        </w:rPr>
      </w:pPr>
      <w:proofErr w:type="spellStart"/>
      <w:r w:rsidRPr="00D006FA">
        <w:rPr>
          <w:sz w:val="22"/>
          <w:szCs w:val="22"/>
        </w:rPr>
        <w:t>Yari</w:t>
      </w:r>
      <w:proofErr w:type="spellEnd"/>
      <w:r w:rsidRPr="00D006FA">
        <w:rPr>
          <w:sz w:val="22"/>
          <w:szCs w:val="22"/>
        </w:rPr>
        <w:t xml:space="preserve">, N., </w:t>
      </w:r>
      <w:proofErr w:type="spellStart"/>
      <w:r w:rsidRPr="00D006FA">
        <w:rPr>
          <w:sz w:val="22"/>
          <w:szCs w:val="22"/>
        </w:rPr>
        <w:t>Lankut</w:t>
      </w:r>
      <w:proofErr w:type="spellEnd"/>
      <w:r w:rsidRPr="00D006FA">
        <w:rPr>
          <w:sz w:val="22"/>
          <w:szCs w:val="22"/>
        </w:rPr>
        <w:t xml:space="preserve">, E., Alon, I., &amp; Richter, N. F. 2020. Cultural intelligence, global mindset, and cross-cultural competencies: a systematic review using bibliometric methods. </w:t>
      </w:r>
      <w:r w:rsidRPr="00F41D03">
        <w:rPr>
          <w:i/>
          <w:iCs/>
          <w:sz w:val="22"/>
          <w:szCs w:val="22"/>
        </w:rPr>
        <w:t>European Journal of International Management</w:t>
      </w:r>
      <w:r w:rsidRPr="00D006FA">
        <w:rPr>
          <w:sz w:val="22"/>
          <w:szCs w:val="22"/>
        </w:rPr>
        <w:t>, 14(2)</w:t>
      </w:r>
      <w:r w:rsidR="00F41D03">
        <w:rPr>
          <w:sz w:val="22"/>
          <w:szCs w:val="22"/>
        </w:rPr>
        <w:t>:</w:t>
      </w:r>
      <w:r w:rsidRPr="00D006FA">
        <w:rPr>
          <w:sz w:val="22"/>
          <w:szCs w:val="22"/>
        </w:rPr>
        <w:t xml:space="preserve"> 210-250.</w:t>
      </w:r>
    </w:p>
    <w:p w14:paraId="5EE3D6EC" w14:textId="77777777" w:rsidR="009E6595" w:rsidRPr="002B5CAC" w:rsidRDefault="009E6595" w:rsidP="00533FD2">
      <w:pPr>
        <w:ind w:right="-108" w:hanging="720"/>
        <w:rPr>
          <w:sz w:val="22"/>
          <w:szCs w:val="22"/>
        </w:rPr>
      </w:pPr>
    </w:p>
    <w:p w14:paraId="5EE3D6ED" w14:textId="77777777" w:rsidR="00E03C2E" w:rsidRPr="002B5CAC" w:rsidRDefault="00E03C2E" w:rsidP="00533FD2">
      <w:pPr>
        <w:ind w:right="-108"/>
        <w:rPr>
          <w:sz w:val="22"/>
          <w:szCs w:val="22"/>
        </w:rPr>
      </w:pPr>
      <w:r w:rsidRPr="002B5CAC">
        <w:rPr>
          <w:sz w:val="22"/>
          <w:szCs w:val="22"/>
        </w:rPr>
        <w:t xml:space="preserve">Zaheer, S., </w:t>
      </w:r>
      <w:proofErr w:type="spellStart"/>
      <w:r w:rsidRPr="002B5CAC">
        <w:rPr>
          <w:sz w:val="22"/>
          <w:szCs w:val="22"/>
        </w:rPr>
        <w:t>Schomaker</w:t>
      </w:r>
      <w:proofErr w:type="spellEnd"/>
      <w:r w:rsidRPr="002B5CAC">
        <w:rPr>
          <w:sz w:val="22"/>
          <w:szCs w:val="22"/>
        </w:rPr>
        <w:t xml:space="preserve">, M.S., &amp; Nachum, L. 2012. Distance without direction: Restoring credibility to a much-loved construct. </w:t>
      </w:r>
      <w:r w:rsidRPr="002B5CAC">
        <w:rPr>
          <w:i/>
          <w:sz w:val="22"/>
          <w:szCs w:val="22"/>
        </w:rPr>
        <w:t>Journal International Business Studies</w:t>
      </w:r>
      <w:r w:rsidRPr="002B5CAC">
        <w:rPr>
          <w:sz w:val="22"/>
          <w:szCs w:val="22"/>
        </w:rPr>
        <w:t xml:space="preserve">, 43(1): 18-27. </w:t>
      </w:r>
    </w:p>
    <w:p w14:paraId="5EE3D6EE" w14:textId="77777777" w:rsidR="00E00C59" w:rsidRPr="002B5CAC" w:rsidRDefault="00E00C59" w:rsidP="00533FD2">
      <w:pPr>
        <w:rPr>
          <w:sz w:val="22"/>
          <w:szCs w:val="22"/>
          <w:lang w:eastAsia="en-US"/>
        </w:rPr>
      </w:pPr>
    </w:p>
    <w:p w14:paraId="5EE3D6EF" w14:textId="3E225C3B" w:rsidR="00741E4D" w:rsidRPr="002B5CAC" w:rsidRDefault="00E00C59" w:rsidP="00533FD2">
      <w:pPr>
        <w:rPr>
          <w:sz w:val="22"/>
          <w:szCs w:val="22"/>
          <w:lang w:eastAsia="en-US"/>
        </w:rPr>
      </w:pPr>
      <w:r w:rsidRPr="002B5CAC">
        <w:rPr>
          <w:sz w:val="22"/>
          <w:szCs w:val="22"/>
          <w:lang w:eastAsia="en-US"/>
        </w:rPr>
        <w:t xml:space="preserve">Zajac, E.J., &amp; Olsen, C. P. 1993. From transaction cost to transactional value analysis: Implications for the study of interorganizational strategies. </w:t>
      </w:r>
      <w:r w:rsidRPr="002B5CAC">
        <w:rPr>
          <w:i/>
          <w:iCs/>
          <w:sz w:val="22"/>
          <w:szCs w:val="22"/>
          <w:lang w:eastAsia="en-US"/>
        </w:rPr>
        <w:t>Journal of Management Studies</w:t>
      </w:r>
      <w:r w:rsidRPr="002B5CAC">
        <w:rPr>
          <w:sz w:val="22"/>
          <w:szCs w:val="22"/>
          <w:lang w:eastAsia="en-US"/>
        </w:rPr>
        <w:t xml:space="preserve">, </w:t>
      </w:r>
      <w:r w:rsidRPr="002B5CAC">
        <w:rPr>
          <w:i/>
          <w:iCs/>
          <w:sz w:val="22"/>
          <w:szCs w:val="22"/>
          <w:lang w:eastAsia="en-US"/>
        </w:rPr>
        <w:t>30</w:t>
      </w:r>
      <w:r w:rsidRPr="002B5CAC">
        <w:rPr>
          <w:sz w:val="22"/>
          <w:szCs w:val="22"/>
          <w:lang w:eastAsia="en-US"/>
        </w:rPr>
        <w:t>(1)</w:t>
      </w:r>
      <w:r w:rsidR="00671D02">
        <w:rPr>
          <w:sz w:val="22"/>
          <w:szCs w:val="22"/>
          <w:lang w:eastAsia="en-US"/>
        </w:rPr>
        <w:t>:</w:t>
      </w:r>
      <w:r w:rsidRPr="002B5CAC">
        <w:rPr>
          <w:sz w:val="22"/>
          <w:szCs w:val="22"/>
          <w:lang w:eastAsia="en-US"/>
        </w:rPr>
        <w:t xml:space="preserve"> 131-145.</w:t>
      </w:r>
    </w:p>
    <w:p w14:paraId="5EE3D6F0" w14:textId="77777777" w:rsidR="00741E4D" w:rsidRPr="002B5CAC" w:rsidRDefault="00741E4D" w:rsidP="00533FD2">
      <w:pPr>
        <w:rPr>
          <w:sz w:val="22"/>
          <w:szCs w:val="22"/>
          <w:lang w:eastAsia="en-US"/>
        </w:rPr>
      </w:pPr>
    </w:p>
    <w:p w14:paraId="5EE3D6F1" w14:textId="72FCF0EE" w:rsidR="000E48EF" w:rsidRPr="002B5CAC" w:rsidRDefault="000E48EF" w:rsidP="00533FD2">
      <w:pPr>
        <w:rPr>
          <w:rFonts w:eastAsiaTheme="minorHAnsi"/>
          <w:sz w:val="22"/>
          <w:szCs w:val="22"/>
          <w:lang w:eastAsia="en-US"/>
        </w:rPr>
      </w:pPr>
      <w:r w:rsidRPr="002B5CAC">
        <w:rPr>
          <w:rFonts w:eastAsiaTheme="minorHAnsi"/>
          <w:sz w:val="22"/>
          <w:szCs w:val="22"/>
          <w:lang w:eastAsia="en-US"/>
        </w:rPr>
        <w:t xml:space="preserve">Zhao, H., Luo, Y., &amp; Suh, T. 2004. Transaction cost determinants and ownership-based entry mode choice: A meta-analytical review. </w:t>
      </w:r>
      <w:r w:rsidRPr="002B5CAC">
        <w:rPr>
          <w:rFonts w:eastAsiaTheme="minorHAnsi"/>
          <w:i/>
          <w:sz w:val="22"/>
          <w:szCs w:val="22"/>
          <w:lang w:eastAsia="en-US"/>
        </w:rPr>
        <w:t>Journal of International Business Studies</w:t>
      </w:r>
      <w:r w:rsidRPr="002B5CAC">
        <w:rPr>
          <w:rFonts w:eastAsiaTheme="minorHAnsi"/>
          <w:sz w:val="22"/>
          <w:szCs w:val="22"/>
          <w:lang w:eastAsia="en-US"/>
        </w:rPr>
        <w:t>, 35(6)</w:t>
      </w:r>
      <w:r w:rsidR="00671D02">
        <w:rPr>
          <w:rFonts w:eastAsiaTheme="minorHAnsi"/>
          <w:sz w:val="22"/>
          <w:szCs w:val="22"/>
          <w:lang w:eastAsia="en-US"/>
        </w:rPr>
        <w:t>:</w:t>
      </w:r>
      <w:r w:rsidRPr="002B5CAC">
        <w:rPr>
          <w:rFonts w:eastAsiaTheme="minorHAnsi"/>
          <w:sz w:val="22"/>
          <w:szCs w:val="22"/>
          <w:lang w:eastAsia="en-US"/>
        </w:rPr>
        <w:t xml:space="preserve"> 524-544.</w:t>
      </w:r>
    </w:p>
    <w:p w14:paraId="5EE3D6F2" w14:textId="77777777" w:rsidR="00E03C2E" w:rsidRPr="002B5CAC" w:rsidRDefault="00E03C2E" w:rsidP="00533FD2">
      <w:pPr>
        <w:ind w:right="-108" w:hanging="720"/>
        <w:rPr>
          <w:sz w:val="22"/>
          <w:szCs w:val="22"/>
        </w:rPr>
      </w:pPr>
    </w:p>
    <w:p w14:paraId="5EE3D6F3" w14:textId="6CB0BD9E" w:rsidR="00E03C2E" w:rsidRDefault="00E03C2E" w:rsidP="00533FD2">
      <w:pPr>
        <w:ind w:right="-108"/>
        <w:rPr>
          <w:sz w:val="22"/>
          <w:szCs w:val="22"/>
        </w:rPr>
      </w:pPr>
      <w:r w:rsidRPr="002B5CAC">
        <w:rPr>
          <w:sz w:val="22"/>
          <w:szCs w:val="22"/>
        </w:rPr>
        <w:t xml:space="preserve">Zhou, L. 2007. The effects of entrepreneurial proclivity and foreign market knowledge on early internationalization. </w:t>
      </w:r>
      <w:r w:rsidRPr="002B5CAC">
        <w:rPr>
          <w:i/>
          <w:iCs/>
          <w:sz w:val="22"/>
          <w:szCs w:val="22"/>
        </w:rPr>
        <w:t>Journal of World Business,</w:t>
      </w:r>
      <w:r w:rsidRPr="002B5CAC">
        <w:rPr>
          <w:sz w:val="22"/>
          <w:szCs w:val="22"/>
        </w:rPr>
        <w:t xml:space="preserve"> 42(3): 281–293.</w:t>
      </w:r>
    </w:p>
    <w:p w14:paraId="53674059" w14:textId="3B1C6A2D" w:rsidR="00753B78" w:rsidRDefault="00753B78" w:rsidP="00533FD2">
      <w:pPr>
        <w:ind w:right="-108"/>
        <w:rPr>
          <w:sz w:val="22"/>
          <w:szCs w:val="22"/>
        </w:rPr>
      </w:pPr>
    </w:p>
    <w:p w14:paraId="4C222400" w14:textId="50A782FE" w:rsidR="00753B78" w:rsidRPr="002B5CAC" w:rsidRDefault="00753B78" w:rsidP="00533FD2">
      <w:pPr>
        <w:ind w:right="-108"/>
        <w:rPr>
          <w:sz w:val="22"/>
          <w:szCs w:val="22"/>
        </w:rPr>
      </w:pPr>
      <w:proofErr w:type="spellStart"/>
      <w:r w:rsidRPr="00A51D6B">
        <w:rPr>
          <w:sz w:val="22"/>
          <w:szCs w:val="22"/>
        </w:rPr>
        <w:t>Zucchella</w:t>
      </w:r>
      <w:proofErr w:type="spellEnd"/>
      <w:r w:rsidRPr="00753B78">
        <w:rPr>
          <w:sz w:val="22"/>
          <w:szCs w:val="22"/>
        </w:rPr>
        <w:t xml:space="preserve">, A. 2021. International entrepreneurship and the internationalization phenomenon: taking stock, looking ahead. </w:t>
      </w:r>
      <w:r w:rsidRPr="00753B78">
        <w:rPr>
          <w:i/>
          <w:iCs/>
          <w:sz w:val="22"/>
          <w:szCs w:val="22"/>
        </w:rPr>
        <w:t>International Business Review</w:t>
      </w:r>
      <w:r w:rsidRPr="00753B78">
        <w:rPr>
          <w:sz w:val="22"/>
          <w:szCs w:val="22"/>
        </w:rPr>
        <w:t xml:space="preserve">, </w:t>
      </w:r>
      <w:r w:rsidR="00873CE9">
        <w:rPr>
          <w:sz w:val="22"/>
          <w:szCs w:val="22"/>
        </w:rPr>
        <w:t>30(2): 1-</w:t>
      </w:r>
      <w:r w:rsidR="00C9244F">
        <w:rPr>
          <w:sz w:val="22"/>
          <w:szCs w:val="22"/>
        </w:rPr>
        <w:t>11</w:t>
      </w:r>
      <w:r w:rsidRPr="00753B78">
        <w:rPr>
          <w:sz w:val="22"/>
          <w:szCs w:val="22"/>
        </w:rPr>
        <w:t>.</w:t>
      </w:r>
    </w:p>
    <w:p w14:paraId="3030A6B2" w14:textId="77777777" w:rsidR="00E03C2E" w:rsidRDefault="00E03C2E" w:rsidP="00342351"/>
    <w:p w14:paraId="5EE3D6F4" w14:textId="67BBF19B" w:rsidR="00753B78" w:rsidRDefault="00753B78" w:rsidP="00342351">
      <w:pPr>
        <w:sectPr w:rsidR="00753B78" w:rsidSect="00CF32EA">
          <w:headerReference w:type="default" r:id="rId11"/>
          <w:footerReference w:type="default" r:id="rId12"/>
          <w:pgSz w:w="11907" w:h="16839" w:code="9"/>
          <w:pgMar w:top="1440" w:right="1440" w:bottom="1440" w:left="1440" w:header="709" w:footer="709" w:gutter="0"/>
          <w:cols w:space="708"/>
          <w:docGrid w:linePitch="360"/>
        </w:sectPr>
      </w:pPr>
    </w:p>
    <w:p w14:paraId="5EE3D6F5" w14:textId="77777777" w:rsidR="00E03C2E" w:rsidRDefault="00E03C2E" w:rsidP="00C73E11">
      <w:pPr>
        <w:pStyle w:val="Caption"/>
        <w:keepNext/>
        <w:jc w:val="center"/>
      </w:pPr>
      <w:r>
        <w:lastRenderedPageBreak/>
        <w:t>T</w:t>
      </w:r>
      <w:r w:rsidR="002B2892">
        <w:t>ABLE</w:t>
      </w:r>
      <w:r>
        <w:t xml:space="preserve"> </w:t>
      </w:r>
      <w:r w:rsidR="00134CE8">
        <w:fldChar w:fldCharType="begin"/>
      </w:r>
      <w:r w:rsidR="004C3CCE">
        <w:instrText xml:space="preserve"> SEQ Table \* ARABIC </w:instrText>
      </w:r>
      <w:r w:rsidR="00134CE8">
        <w:fldChar w:fldCharType="separate"/>
      </w:r>
      <w:r w:rsidR="0073205D">
        <w:rPr>
          <w:noProof/>
        </w:rPr>
        <w:t>1</w:t>
      </w:r>
      <w:r w:rsidR="00134CE8">
        <w:rPr>
          <w:noProof/>
        </w:rPr>
        <w:fldChar w:fldCharType="end"/>
      </w:r>
    </w:p>
    <w:p w14:paraId="5EE3D6F6" w14:textId="77777777" w:rsidR="00FF1CE6" w:rsidRPr="00FF1CE6" w:rsidRDefault="00E03C2E" w:rsidP="00FF1CE6">
      <w:pPr>
        <w:ind w:left="851" w:right="849"/>
        <w:jc w:val="center"/>
        <w:rPr>
          <w:rFonts w:eastAsiaTheme="minorHAnsi"/>
          <w:b/>
          <w:lang w:val="en-GB" w:eastAsia="en-US"/>
        </w:rPr>
      </w:pPr>
      <w:r w:rsidRPr="00311416">
        <w:rPr>
          <w:b/>
          <w:sz w:val="20"/>
          <w:szCs w:val="20"/>
        </w:rPr>
        <w:t>M</w:t>
      </w:r>
      <w:r w:rsidR="002B2892">
        <w:rPr>
          <w:b/>
          <w:sz w:val="20"/>
          <w:szCs w:val="20"/>
        </w:rPr>
        <w:t>EAN</w:t>
      </w:r>
      <w:r w:rsidRPr="00311416">
        <w:rPr>
          <w:b/>
          <w:sz w:val="20"/>
          <w:szCs w:val="20"/>
        </w:rPr>
        <w:t xml:space="preserve">, </w:t>
      </w:r>
      <w:r w:rsidR="002B2892">
        <w:rPr>
          <w:b/>
          <w:sz w:val="20"/>
          <w:szCs w:val="20"/>
        </w:rPr>
        <w:t>STANDARD DEVIATIONS</w:t>
      </w:r>
      <w:r w:rsidRPr="00311416">
        <w:rPr>
          <w:b/>
          <w:sz w:val="20"/>
          <w:szCs w:val="20"/>
        </w:rPr>
        <w:t xml:space="preserve">, </w:t>
      </w:r>
      <w:r w:rsidR="002B2892">
        <w:rPr>
          <w:b/>
          <w:sz w:val="20"/>
          <w:szCs w:val="20"/>
        </w:rPr>
        <w:t>AND CORRELATIONS</w:t>
      </w:r>
    </w:p>
    <w:tbl>
      <w:tblPr>
        <w:tblW w:w="15875"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657"/>
        <w:gridCol w:w="657"/>
        <w:gridCol w:w="657"/>
        <w:gridCol w:w="657"/>
        <w:gridCol w:w="657"/>
        <w:gridCol w:w="657"/>
        <w:gridCol w:w="657"/>
        <w:gridCol w:w="657"/>
        <w:gridCol w:w="657"/>
        <w:gridCol w:w="657"/>
        <w:gridCol w:w="657"/>
        <w:gridCol w:w="657"/>
        <w:gridCol w:w="657"/>
        <w:gridCol w:w="657"/>
        <w:gridCol w:w="657"/>
        <w:gridCol w:w="657"/>
        <w:gridCol w:w="657"/>
        <w:gridCol w:w="657"/>
        <w:gridCol w:w="657"/>
        <w:gridCol w:w="658"/>
        <w:gridCol w:w="658"/>
        <w:gridCol w:w="658"/>
      </w:tblGrid>
      <w:tr w:rsidR="00FF1CE6" w:rsidRPr="00FF1CE6" w14:paraId="5EE3D70E" w14:textId="77777777" w:rsidTr="00FF1CE6">
        <w:trPr>
          <w:trHeight w:val="255"/>
        </w:trPr>
        <w:tc>
          <w:tcPr>
            <w:tcW w:w="1418" w:type="dxa"/>
            <w:tcBorders>
              <w:left w:val="nil"/>
              <w:bottom w:val="nil"/>
              <w:right w:val="nil"/>
            </w:tcBorders>
            <w:vAlign w:val="center"/>
          </w:tcPr>
          <w:p w14:paraId="5EE3D6F7" w14:textId="77777777" w:rsidR="00FF1CE6" w:rsidRPr="00FF1CE6" w:rsidRDefault="00FF1CE6" w:rsidP="00FF1CE6">
            <w:pPr>
              <w:jc w:val="center"/>
              <w:rPr>
                <w:sz w:val="16"/>
                <w:szCs w:val="16"/>
              </w:rPr>
            </w:pPr>
            <w:r w:rsidRPr="00FF1CE6">
              <w:rPr>
                <w:sz w:val="16"/>
                <w:szCs w:val="16"/>
              </w:rPr>
              <w:t>Construct</w:t>
            </w:r>
          </w:p>
        </w:tc>
        <w:tc>
          <w:tcPr>
            <w:tcW w:w="657" w:type="dxa"/>
            <w:tcBorders>
              <w:left w:val="nil"/>
              <w:bottom w:val="nil"/>
              <w:right w:val="nil"/>
            </w:tcBorders>
            <w:vAlign w:val="center"/>
          </w:tcPr>
          <w:p w14:paraId="5EE3D6F8" w14:textId="77777777" w:rsidR="00FF1CE6" w:rsidRPr="00FF1CE6" w:rsidRDefault="00FF1CE6" w:rsidP="00FF1CE6">
            <w:pPr>
              <w:jc w:val="center"/>
              <w:rPr>
                <w:sz w:val="16"/>
                <w:szCs w:val="16"/>
              </w:rPr>
            </w:pPr>
            <w:r w:rsidRPr="00FF1CE6">
              <w:rPr>
                <w:sz w:val="16"/>
                <w:szCs w:val="16"/>
              </w:rPr>
              <w:t>1</w:t>
            </w:r>
          </w:p>
        </w:tc>
        <w:tc>
          <w:tcPr>
            <w:tcW w:w="657" w:type="dxa"/>
            <w:tcBorders>
              <w:left w:val="nil"/>
              <w:bottom w:val="nil"/>
              <w:right w:val="nil"/>
            </w:tcBorders>
            <w:vAlign w:val="center"/>
          </w:tcPr>
          <w:p w14:paraId="5EE3D6F9" w14:textId="77777777" w:rsidR="00FF1CE6" w:rsidRPr="00FF1CE6" w:rsidRDefault="00FF1CE6" w:rsidP="00FF1CE6">
            <w:pPr>
              <w:jc w:val="center"/>
              <w:rPr>
                <w:sz w:val="16"/>
                <w:szCs w:val="16"/>
              </w:rPr>
            </w:pPr>
            <w:r w:rsidRPr="00FF1CE6">
              <w:rPr>
                <w:sz w:val="16"/>
                <w:szCs w:val="16"/>
              </w:rPr>
              <w:t>2</w:t>
            </w:r>
          </w:p>
        </w:tc>
        <w:tc>
          <w:tcPr>
            <w:tcW w:w="657" w:type="dxa"/>
            <w:tcBorders>
              <w:left w:val="nil"/>
              <w:bottom w:val="nil"/>
              <w:right w:val="nil"/>
            </w:tcBorders>
            <w:vAlign w:val="center"/>
          </w:tcPr>
          <w:p w14:paraId="5EE3D6FA" w14:textId="77777777" w:rsidR="00FF1CE6" w:rsidRPr="00FF1CE6" w:rsidRDefault="00FF1CE6" w:rsidP="00FF1CE6">
            <w:pPr>
              <w:jc w:val="center"/>
              <w:rPr>
                <w:sz w:val="16"/>
                <w:szCs w:val="16"/>
              </w:rPr>
            </w:pPr>
            <w:r w:rsidRPr="00FF1CE6">
              <w:rPr>
                <w:sz w:val="16"/>
                <w:szCs w:val="16"/>
              </w:rPr>
              <w:t>3</w:t>
            </w:r>
          </w:p>
        </w:tc>
        <w:tc>
          <w:tcPr>
            <w:tcW w:w="657" w:type="dxa"/>
            <w:tcBorders>
              <w:left w:val="nil"/>
              <w:bottom w:val="nil"/>
              <w:right w:val="nil"/>
            </w:tcBorders>
            <w:vAlign w:val="center"/>
          </w:tcPr>
          <w:p w14:paraId="5EE3D6FB" w14:textId="77777777" w:rsidR="00FF1CE6" w:rsidRPr="00FF1CE6" w:rsidRDefault="00FF1CE6" w:rsidP="00FF1CE6">
            <w:pPr>
              <w:jc w:val="center"/>
              <w:rPr>
                <w:sz w:val="16"/>
                <w:szCs w:val="16"/>
              </w:rPr>
            </w:pPr>
            <w:r w:rsidRPr="00FF1CE6">
              <w:rPr>
                <w:sz w:val="16"/>
                <w:szCs w:val="16"/>
              </w:rPr>
              <w:t>4</w:t>
            </w:r>
          </w:p>
        </w:tc>
        <w:tc>
          <w:tcPr>
            <w:tcW w:w="657" w:type="dxa"/>
            <w:tcBorders>
              <w:left w:val="nil"/>
              <w:bottom w:val="nil"/>
              <w:right w:val="nil"/>
            </w:tcBorders>
            <w:vAlign w:val="center"/>
          </w:tcPr>
          <w:p w14:paraId="5EE3D6FC" w14:textId="77777777" w:rsidR="00FF1CE6" w:rsidRPr="00FF1CE6" w:rsidRDefault="00FF1CE6" w:rsidP="00FF1CE6">
            <w:pPr>
              <w:jc w:val="center"/>
              <w:rPr>
                <w:sz w:val="16"/>
                <w:szCs w:val="16"/>
              </w:rPr>
            </w:pPr>
            <w:r w:rsidRPr="00FF1CE6">
              <w:rPr>
                <w:sz w:val="16"/>
                <w:szCs w:val="16"/>
              </w:rPr>
              <w:t>5</w:t>
            </w:r>
          </w:p>
        </w:tc>
        <w:tc>
          <w:tcPr>
            <w:tcW w:w="657" w:type="dxa"/>
            <w:tcBorders>
              <w:left w:val="nil"/>
              <w:bottom w:val="nil"/>
              <w:right w:val="nil"/>
            </w:tcBorders>
            <w:vAlign w:val="center"/>
          </w:tcPr>
          <w:p w14:paraId="5EE3D6FD" w14:textId="77777777" w:rsidR="00FF1CE6" w:rsidRPr="00FF1CE6" w:rsidRDefault="00FF1CE6" w:rsidP="00FF1CE6">
            <w:pPr>
              <w:jc w:val="center"/>
              <w:rPr>
                <w:sz w:val="16"/>
                <w:szCs w:val="16"/>
              </w:rPr>
            </w:pPr>
            <w:r w:rsidRPr="00FF1CE6">
              <w:rPr>
                <w:sz w:val="16"/>
                <w:szCs w:val="16"/>
              </w:rPr>
              <w:t>6</w:t>
            </w:r>
          </w:p>
        </w:tc>
        <w:tc>
          <w:tcPr>
            <w:tcW w:w="657" w:type="dxa"/>
            <w:tcBorders>
              <w:left w:val="nil"/>
              <w:bottom w:val="nil"/>
              <w:right w:val="nil"/>
            </w:tcBorders>
            <w:vAlign w:val="center"/>
          </w:tcPr>
          <w:p w14:paraId="5EE3D6FE" w14:textId="77777777" w:rsidR="00FF1CE6" w:rsidRPr="00FF1CE6" w:rsidRDefault="00FF1CE6" w:rsidP="00FF1CE6">
            <w:pPr>
              <w:jc w:val="center"/>
              <w:rPr>
                <w:sz w:val="16"/>
                <w:szCs w:val="16"/>
              </w:rPr>
            </w:pPr>
            <w:r w:rsidRPr="00FF1CE6">
              <w:rPr>
                <w:sz w:val="16"/>
                <w:szCs w:val="16"/>
              </w:rPr>
              <w:t>7</w:t>
            </w:r>
          </w:p>
        </w:tc>
        <w:tc>
          <w:tcPr>
            <w:tcW w:w="657" w:type="dxa"/>
            <w:tcBorders>
              <w:left w:val="nil"/>
              <w:bottom w:val="nil"/>
              <w:right w:val="nil"/>
            </w:tcBorders>
            <w:vAlign w:val="center"/>
          </w:tcPr>
          <w:p w14:paraId="5EE3D6FF" w14:textId="77777777" w:rsidR="00FF1CE6" w:rsidRPr="00FF1CE6" w:rsidRDefault="00FF1CE6" w:rsidP="00FF1CE6">
            <w:pPr>
              <w:jc w:val="center"/>
              <w:rPr>
                <w:sz w:val="16"/>
                <w:szCs w:val="16"/>
              </w:rPr>
            </w:pPr>
            <w:r w:rsidRPr="00FF1CE6">
              <w:rPr>
                <w:sz w:val="16"/>
                <w:szCs w:val="16"/>
              </w:rPr>
              <w:t>8</w:t>
            </w:r>
          </w:p>
        </w:tc>
        <w:tc>
          <w:tcPr>
            <w:tcW w:w="657" w:type="dxa"/>
            <w:tcBorders>
              <w:left w:val="nil"/>
              <w:bottom w:val="nil"/>
              <w:right w:val="nil"/>
            </w:tcBorders>
            <w:vAlign w:val="center"/>
          </w:tcPr>
          <w:p w14:paraId="5EE3D700" w14:textId="77777777" w:rsidR="00FF1CE6" w:rsidRPr="00FF1CE6" w:rsidRDefault="00FF1CE6" w:rsidP="00FF1CE6">
            <w:pPr>
              <w:jc w:val="center"/>
              <w:rPr>
                <w:sz w:val="16"/>
                <w:szCs w:val="16"/>
              </w:rPr>
            </w:pPr>
            <w:r w:rsidRPr="00FF1CE6">
              <w:rPr>
                <w:sz w:val="16"/>
                <w:szCs w:val="16"/>
              </w:rPr>
              <w:t>9</w:t>
            </w:r>
          </w:p>
        </w:tc>
        <w:tc>
          <w:tcPr>
            <w:tcW w:w="657" w:type="dxa"/>
            <w:tcBorders>
              <w:left w:val="nil"/>
              <w:bottom w:val="nil"/>
              <w:right w:val="nil"/>
            </w:tcBorders>
            <w:vAlign w:val="center"/>
          </w:tcPr>
          <w:p w14:paraId="5EE3D701" w14:textId="77777777" w:rsidR="00FF1CE6" w:rsidRPr="00FF1CE6" w:rsidRDefault="00FF1CE6" w:rsidP="00FF1CE6">
            <w:pPr>
              <w:jc w:val="center"/>
              <w:rPr>
                <w:sz w:val="16"/>
                <w:szCs w:val="16"/>
              </w:rPr>
            </w:pPr>
            <w:r w:rsidRPr="00FF1CE6">
              <w:rPr>
                <w:sz w:val="16"/>
                <w:szCs w:val="16"/>
              </w:rPr>
              <w:t>10</w:t>
            </w:r>
          </w:p>
        </w:tc>
        <w:tc>
          <w:tcPr>
            <w:tcW w:w="657" w:type="dxa"/>
            <w:tcBorders>
              <w:left w:val="nil"/>
              <w:bottom w:val="nil"/>
              <w:right w:val="nil"/>
            </w:tcBorders>
            <w:vAlign w:val="center"/>
          </w:tcPr>
          <w:p w14:paraId="5EE3D702" w14:textId="77777777" w:rsidR="00FF1CE6" w:rsidRPr="00FF1CE6" w:rsidRDefault="00FF1CE6" w:rsidP="00FF1CE6">
            <w:pPr>
              <w:jc w:val="center"/>
              <w:rPr>
                <w:sz w:val="16"/>
                <w:szCs w:val="16"/>
              </w:rPr>
            </w:pPr>
            <w:r w:rsidRPr="00FF1CE6">
              <w:rPr>
                <w:sz w:val="16"/>
                <w:szCs w:val="16"/>
              </w:rPr>
              <w:t>11</w:t>
            </w:r>
          </w:p>
        </w:tc>
        <w:tc>
          <w:tcPr>
            <w:tcW w:w="657" w:type="dxa"/>
            <w:tcBorders>
              <w:left w:val="nil"/>
              <w:bottom w:val="nil"/>
              <w:right w:val="nil"/>
            </w:tcBorders>
            <w:vAlign w:val="center"/>
          </w:tcPr>
          <w:p w14:paraId="5EE3D703" w14:textId="77777777" w:rsidR="00FF1CE6" w:rsidRPr="00FF1CE6" w:rsidRDefault="00FF1CE6" w:rsidP="00FF1CE6">
            <w:pPr>
              <w:jc w:val="center"/>
              <w:rPr>
                <w:sz w:val="16"/>
                <w:szCs w:val="16"/>
              </w:rPr>
            </w:pPr>
            <w:r w:rsidRPr="00FF1CE6">
              <w:rPr>
                <w:sz w:val="16"/>
                <w:szCs w:val="16"/>
              </w:rPr>
              <w:t>12</w:t>
            </w:r>
          </w:p>
        </w:tc>
        <w:tc>
          <w:tcPr>
            <w:tcW w:w="657" w:type="dxa"/>
            <w:tcBorders>
              <w:left w:val="nil"/>
              <w:bottom w:val="nil"/>
              <w:right w:val="nil"/>
            </w:tcBorders>
            <w:vAlign w:val="center"/>
          </w:tcPr>
          <w:p w14:paraId="5EE3D704" w14:textId="77777777" w:rsidR="00FF1CE6" w:rsidRPr="00FF1CE6" w:rsidRDefault="00FF1CE6" w:rsidP="00FF1CE6">
            <w:pPr>
              <w:jc w:val="center"/>
              <w:rPr>
                <w:sz w:val="16"/>
                <w:szCs w:val="16"/>
              </w:rPr>
            </w:pPr>
            <w:r w:rsidRPr="00FF1CE6">
              <w:rPr>
                <w:sz w:val="16"/>
                <w:szCs w:val="16"/>
              </w:rPr>
              <w:t>13</w:t>
            </w:r>
          </w:p>
        </w:tc>
        <w:tc>
          <w:tcPr>
            <w:tcW w:w="657" w:type="dxa"/>
            <w:tcBorders>
              <w:left w:val="nil"/>
              <w:bottom w:val="nil"/>
              <w:right w:val="nil"/>
            </w:tcBorders>
            <w:vAlign w:val="center"/>
          </w:tcPr>
          <w:p w14:paraId="5EE3D705" w14:textId="77777777" w:rsidR="00FF1CE6" w:rsidRPr="00FF1CE6" w:rsidRDefault="00FF1CE6" w:rsidP="00FF1CE6">
            <w:pPr>
              <w:jc w:val="center"/>
              <w:rPr>
                <w:sz w:val="16"/>
                <w:szCs w:val="16"/>
              </w:rPr>
            </w:pPr>
            <w:r w:rsidRPr="00FF1CE6">
              <w:rPr>
                <w:sz w:val="16"/>
                <w:szCs w:val="16"/>
              </w:rPr>
              <w:t>14</w:t>
            </w:r>
          </w:p>
        </w:tc>
        <w:tc>
          <w:tcPr>
            <w:tcW w:w="657" w:type="dxa"/>
            <w:tcBorders>
              <w:left w:val="nil"/>
              <w:bottom w:val="nil"/>
              <w:right w:val="nil"/>
            </w:tcBorders>
            <w:vAlign w:val="center"/>
          </w:tcPr>
          <w:p w14:paraId="5EE3D706" w14:textId="77777777" w:rsidR="00FF1CE6" w:rsidRPr="00FF1CE6" w:rsidRDefault="00FF1CE6" w:rsidP="00FF1CE6">
            <w:pPr>
              <w:jc w:val="center"/>
              <w:rPr>
                <w:sz w:val="16"/>
                <w:szCs w:val="16"/>
              </w:rPr>
            </w:pPr>
            <w:r w:rsidRPr="00FF1CE6">
              <w:rPr>
                <w:sz w:val="16"/>
                <w:szCs w:val="16"/>
              </w:rPr>
              <w:t>15</w:t>
            </w:r>
          </w:p>
        </w:tc>
        <w:tc>
          <w:tcPr>
            <w:tcW w:w="657" w:type="dxa"/>
            <w:tcBorders>
              <w:left w:val="nil"/>
              <w:bottom w:val="nil"/>
              <w:right w:val="nil"/>
            </w:tcBorders>
            <w:vAlign w:val="center"/>
          </w:tcPr>
          <w:p w14:paraId="5EE3D707" w14:textId="77777777" w:rsidR="00FF1CE6" w:rsidRPr="00FF1CE6" w:rsidRDefault="00FF1CE6" w:rsidP="00FF1CE6">
            <w:pPr>
              <w:jc w:val="center"/>
              <w:rPr>
                <w:sz w:val="16"/>
                <w:szCs w:val="16"/>
              </w:rPr>
            </w:pPr>
            <w:r w:rsidRPr="00FF1CE6">
              <w:rPr>
                <w:sz w:val="16"/>
                <w:szCs w:val="16"/>
              </w:rPr>
              <w:t>16</w:t>
            </w:r>
          </w:p>
        </w:tc>
        <w:tc>
          <w:tcPr>
            <w:tcW w:w="657" w:type="dxa"/>
            <w:tcBorders>
              <w:left w:val="nil"/>
              <w:bottom w:val="nil"/>
              <w:right w:val="nil"/>
            </w:tcBorders>
            <w:vAlign w:val="center"/>
          </w:tcPr>
          <w:p w14:paraId="5EE3D708" w14:textId="77777777" w:rsidR="00FF1CE6" w:rsidRPr="00FF1CE6" w:rsidRDefault="00FF1CE6" w:rsidP="00FF1CE6">
            <w:pPr>
              <w:jc w:val="center"/>
              <w:rPr>
                <w:sz w:val="16"/>
                <w:szCs w:val="16"/>
              </w:rPr>
            </w:pPr>
            <w:r w:rsidRPr="00FF1CE6">
              <w:rPr>
                <w:sz w:val="16"/>
                <w:szCs w:val="16"/>
              </w:rPr>
              <w:t>17</w:t>
            </w:r>
          </w:p>
        </w:tc>
        <w:tc>
          <w:tcPr>
            <w:tcW w:w="657" w:type="dxa"/>
            <w:tcBorders>
              <w:left w:val="nil"/>
              <w:bottom w:val="nil"/>
              <w:right w:val="nil"/>
            </w:tcBorders>
            <w:vAlign w:val="center"/>
          </w:tcPr>
          <w:p w14:paraId="5EE3D709" w14:textId="77777777" w:rsidR="00FF1CE6" w:rsidRPr="00FF1CE6" w:rsidRDefault="00FF1CE6" w:rsidP="00FF1CE6">
            <w:pPr>
              <w:jc w:val="center"/>
              <w:rPr>
                <w:sz w:val="16"/>
                <w:szCs w:val="16"/>
              </w:rPr>
            </w:pPr>
            <w:r w:rsidRPr="00FF1CE6">
              <w:rPr>
                <w:sz w:val="16"/>
                <w:szCs w:val="16"/>
              </w:rPr>
              <w:t>18</w:t>
            </w:r>
          </w:p>
        </w:tc>
        <w:tc>
          <w:tcPr>
            <w:tcW w:w="657" w:type="dxa"/>
            <w:tcBorders>
              <w:left w:val="nil"/>
              <w:bottom w:val="nil"/>
              <w:right w:val="nil"/>
            </w:tcBorders>
            <w:vAlign w:val="center"/>
          </w:tcPr>
          <w:p w14:paraId="5EE3D70A" w14:textId="77777777" w:rsidR="00FF1CE6" w:rsidRPr="00FF1CE6" w:rsidRDefault="00FF1CE6" w:rsidP="00FF1CE6">
            <w:pPr>
              <w:jc w:val="center"/>
              <w:rPr>
                <w:sz w:val="16"/>
                <w:szCs w:val="16"/>
              </w:rPr>
            </w:pPr>
            <w:r w:rsidRPr="00FF1CE6">
              <w:rPr>
                <w:sz w:val="16"/>
                <w:szCs w:val="16"/>
              </w:rPr>
              <w:t>19</w:t>
            </w:r>
          </w:p>
        </w:tc>
        <w:tc>
          <w:tcPr>
            <w:tcW w:w="658" w:type="dxa"/>
            <w:tcBorders>
              <w:left w:val="nil"/>
              <w:bottom w:val="nil"/>
              <w:right w:val="nil"/>
            </w:tcBorders>
            <w:vAlign w:val="center"/>
          </w:tcPr>
          <w:p w14:paraId="5EE3D70B" w14:textId="77777777" w:rsidR="00FF1CE6" w:rsidRPr="00FF1CE6" w:rsidRDefault="00FF1CE6" w:rsidP="00FF1CE6">
            <w:pPr>
              <w:jc w:val="center"/>
              <w:rPr>
                <w:sz w:val="16"/>
                <w:szCs w:val="16"/>
              </w:rPr>
            </w:pPr>
            <w:r w:rsidRPr="00FF1CE6">
              <w:rPr>
                <w:sz w:val="16"/>
                <w:szCs w:val="16"/>
              </w:rPr>
              <w:t>20</w:t>
            </w:r>
          </w:p>
        </w:tc>
        <w:tc>
          <w:tcPr>
            <w:tcW w:w="658" w:type="dxa"/>
            <w:tcBorders>
              <w:left w:val="nil"/>
              <w:bottom w:val="nil"/>
              <w:right w:val="nil"/>
            </w:tcBorders>
            <w:vAlign w:val="center"/>
          </w:tcPr>
          <w:p w14:paraId="5EE3D70C" w14:textId="77777777" w:rsidR="00FF1CE6" w:rsidRPr="00FF1CE6" w:rsidRDefault="00FF1CE6" w:rsidP="00FF1CE6">
            <w:pPr>
              <w:jc w:val="center"/>
              <w:rPr>
                <w:sz w:val="16"/>
                <w:szCs w:val="16"/>
              </w:rPr>
            </w:pPr>
            <w:r w:rsidRPr="00FF1CE6">
              <w:rPr>
                <w:sz w:val="16"/>
                <w:szCs w:val="16"/>
              </w:rPr>
              <w:t>21</w:t>
            </w:r>
          </w:p>
        </w:tc>
        <w:tc>
          <w:tcPr>
            <w:tcW w:w="658" w:type="dxa"/>
            <w:tcBorders>
              <w:left w:val="nil"/>
              <w:bottom w:val="nil"/>
              <w:right w:val="nil"/>
            </w:tcBorders>
            <w:vAlign w:val="center"/>
          </w:tcPr>
          <w:p w14:paraId="5EE3D70D" w14:textId="77777777" w:rsidR="00FF1CE6" w:rsidRPr="00FF1CE6" w:rsidRDefault="00FF1CE6" w:rsidP="00FF1CE6">
            <w:pPr>
              <w:jc w:val="center"/>
              <w:rPr>
                <w:sz w:val="16"/>
                <w:szCs w:val="16"/>
              </w:rPr>
            </w:pPr>
            <w:r w:rsidRPr="00FF1CE6">
              <w:rPr>
                <w:sz w:val="16"/>
                <w:szCs w:val="16"/>
              </w:rPr>
              <w:t>22</w:t>
            </w:r>
          </w:p>
        </w:tc>
      </w:tr>
      <w:tr w:rsidR="00FF1CE6" w:rsidRPr="00FF1CE6" w14:paraId="5EE3D726" w14:textId="77777777" w:rsidTr="00FF1CE6">
        <w:trPr>
          <w:trHeight w:val="255"/>
        </w:trPr>
        <w:tc>
          <w:tcPr>
            <w:tcW w:w="1418" w:type="dxa"/>
            <w:tcBorders>
              <w:top w:val="nil"/>
              <w:left w:val="nil"/>
              <w:bottom w:val="nil"/>
              <w:right w:val="nil"/>
            </w:tcBorders>
            <w:vAlign w:val="center"/>
          </w:tcPr>
          <w:p w14:paraId="5EE3D70F" w14:textId="77777777" w:rsidR="00FF1CE6" w:rsidRPr="00FF1CE6" w:rsidRDefault="00FF1CE6" w:rsidP="00FF1CE6">
            <w:pPr>
              <w:jc w:val="center"/>
              <w:rPr>
                <w:sz w:val="16"/>
                <w:szCs w:val="16"/>
              </w:rPr>
            </w:pPr>
            <w:r w:rsidRPr="00FF1CE6">
              <w:rPr>
                <w:sz w:val="16"/>
                <w:szCs w:val="16"/>
              </w:rPr>
              <w:t>Mean</w:t>
            </w:r>
          </w:p>
        </w:tc>
        <w:tc>
          <w:tcPr>
            <w:tcW w:w="657" w:type="dxa"/>
            <w:tcBorders>
              <w:top w:val="nil"/>
              <w:left w:val="nil"/>
              <w:bottom w:val="nil"/>
              <w:right w:val="nil"/>
            </w:tcBorders>
            <w:vAlign w:val="center"/>
          </w:tcPr>
          <w:p w14:paraId="5EE3D710" w14:textId="77777777" w:rsidR="00FF1CE6" w:rsidRPr="00FF1CE6" w:rsidRDefault="00FF1CE6" w:rsidP="00927C83">
            <w:pPr>
              <w:jc w:val="center"/>
              <w:rPr>
                <w:color w:val="000000"/>
                <w:sz w:val="16"/>
                <w:szCs w:val="16"/>
                <w:highlight w:val="yellow"/>
              </w:rPr>
            </w:pPr>
            <w:r w:rsidRPr="00FF1CE6">
              <w:rPr>
                <w:color w:val="000000"/>
                <w:sz w:val="16"/>
                <w:szCs w:val="16"/>
              </w:rPr>
              <w:t>0</w:t>
            </w:r>
            <w:r w:rsidR="00927C83">
              <w:rPr>
                <w:color w:val="000000"/>
                <w:sz w:val="16"/>
                <w:szCs w:val="16"/>
              </w:rPr>
              <w:t>.</w:t>
            </w:r>
            <w:r w:rsidRPr="00FF1CE6">
              <w:rPr>
                <w:color w:val="000000"/>
                <w:sz w:val="16"/>
                <w:szCs w:val="16"/>
              </w:rPr>
              <w:t>46</w:t>
            </w:r>
          </w:p>
        </w:tc>
        <w:tc>
          <w:tcPr>
            <w:tcW w:w="657" w:type="dxa"/>
            <w:tcBorders>
              <w:top w:val="nil"/>
              <w:left w:val="nil"/>
              <w:bottom w:val="nil"/>
              <w:right w:val="nil"/>
            </w:tcBorders>
            <w:vAlign w:val="center"/>
          </w:tcPr>
          <w:p w14:paraId="5EE3D711" w14:textId="77777777" w:rsidR="00FF1CE6" w:rsidRPr="00FF1CE6" w:rsidRDefault="00FF1CE6" w:rsidP="00927C83">
            <w:pPr>
              <w:jc w:val="center"/>
              <w:rPr>
                <w:color w:val="000000"/>
                <w:sz w:val="16"/>
                <w:szCs w:val="16"/>
              </w:rPr>
            </w:pPr>
            <w:r w:rsidRPr="00FF1CE6">
              <w:rPr>
                <w:color w:val="000000"/>
                <w:sz w:val="16"/>
                <w:szCs w:val="16"/>
              </w:rPr>
              <w:t>60</w:t>
            </w:r>
            <w:r w:rsidR="00927C83">
              <w:rPr>
                <w:color w:val="000000"/>
                <w:sz w:val="16"/>
                <w:szCs w:val="16"/>
              </w:rPr>
              <w:t>.</w:t>
            </w:r>
            <w:r w:rsidRPr="00FF1CE6">
              <w:rPr>
                <w:color w:val="000000"/>
                <w:sz w:val="16"/>
                <w:szCs w:val="16"/>
              </w:rPr>
              <w:t>49</w:t>
            </w:r>
          </w:p>
        </w:tc>
        <w:tc>
          <w:tcPr>
            <w:tcW w:w="657" w:type="dxa"/>
            <w:tcBorders>
              <w:top w:val="nil"/>
              <w:left w:val="nil"/>
              <w:bottom w:val="nil"/>
              <w:right w:val="nil"/>
            </w:tcBorders>
            <w:vAlign w:val="center"/>
          </w:tcPr>
          <w:p w14:paraId="5EE3D712" w14:textId="77777777" w:rsidR="00FF1CE6" w:rsidRPr="00FF1CE6" w:rsidRDefault="00FF1CE6" w:rsidP="00927C83">
            <w:pPr>
              <w:jc w:val="center"/>
              <w:rPr>
                <w:color w:val="000000"/>
                <w:sz w:val="16"/>
                <w:szCs w:val="16"/>
              </w:rPr>
            </w:pPr>
            <w:r w:rsidRPr="00FF1CE6">
              <w:rPr>
                <w:color w:val="000000"/>
                <w:sz w:val="16"/>
                <w:szCs w:val="16"/>
              </w:rPr>
              <w:t>22</w:t>
            </w:r>
            <w:r w:rsidR="00927C83">
              <w:rPr>
                <w:color w:val="000000"/>
                <w:sz w:val="16"/>
                <w:szCs w:val="16"/>
              </w:rPr>
              <w:t>.</w:t>
            </w:r>
            <w:r w:rsidRPr="00FF1CE6">
              <w:rPr>
                <w:color w:val="000000"/>
                <w:sz w:val="16"/>
                <w:szCs w:val="16"/>
              </w:rPr>
              <w:t>57</w:t>
            </w:r>
          </w:p>
        </w:tc>
        <w:tc>
          <w:tcPr>
            <w:tcW w:w="657" w:type="dxa"/>
            <w:tcBorders>
              <w:top w:val="nil"/>
              <w:left w:val="nil"/>
              <w:bottom w:val="nil"/>
              <w:right w:val="nil"/>
            </w:tcBorders>
            <w:vAlign w:val="center"/>
          </w:tcPr>
          <w:p w14:paraId="5EE3D713" w14:textId="77777777" w:rsidR="00FF1CE6" w:rsidRPr="00FF1CE6" w:rsidRDefault="00FF1CE6" w:rsidP="00927C83">
            <w:pPr>
              <w:jc w:val="center"/>
              <w:rPr>
                <w:color w:val="000000"/>
                <w:sz w:val="16"/>
                <w:szCs w:val="16"/>
              </w:rPr>
            </w:pPr>
            <w:r w:rsidRPr="00FF1CE6">
              <w:rPr>
                <w:color w:val="000000"/>
                <w:sz w:val="16"/>
                <w:szCs w:val="16"/>
              </w:rPr>
              <w:t>21</w:t>
            </w:r>
            <w:r w:rsidR="00927C83">
              <w:rPr>
                <w:color w:val="000000"/>
                <w:sz w:val="16"/>
                <w:szCs w:val="16"/>
              </w:rPr>
              <w:t>.</w:t>
            </w:r>
            <w:r w:rsidRPr="00FF1CE6">
              <w:rPr>
                <w:color w:val="000000"/>
                <w:sz w:val="16"/>
                <w:szCs w:val="16"/>
              </w:rPr>
              <w:t>93</w:t>
            </w:r>
          </w:p>
        </w:tc>
        <w:tc>
          <w:tcPr>
            <w:tcW w:w="657" w:type="dxa"/>
            <w:tcBorders>
              <w:top w:val="nil"/>
              <w:left w:val="nil"/>
              <w:bottom w:val="nil"/>
              <w:right w:val="nil"/>
            </w:tcBorders>
            <w:vAlign w:val="center"/>
          </w:tcPr>
          <w:p w14:paraId="5EE3D714" w14:textId="77777777" w:rsidR="00FF1CE6" w:rsidRPr="00FF1CE6" w:rsidRDefault="00FF1CE6" w:rsidP="00927C83">
            <w:pPr>
              <w:jc w:val="center"/>
              <w:rPr>
                <w:color w:val="000000"/>
                <w:sz w:val="16"/>
                <w:szCs w:val="16"/>
              </w:rPr>
            </w:pPr>
            <w:r w:rsidRPr="00FF1CE6">
              <w:rPr>
                <w:color w:val="000000"/>
                <w:sz w:val="16"/>
                <w:szCs w:val="16"/>
              </w:rPr>
              <w:t>2</w:t>
            </w:r>
            <w:r w:rsidR="00927C83">
              <w:rPr>
                <w:color w:val="000000"/>
                <w:sz w:val="16"/>
                <w:szCs w:val="16"/>
              </w:rPr>
              <w:t>.</w:t>
            </w:r>
            <w:r w:rsidRPr="00FF1CE6">
              <w:rPr>
                <w:color w:val="000000"/>
                <w:sz w:val="16"/>
                <w:szCs w:val="16"/>
              </w:rPr>
              <w:t>62</w:t>
            </w:r>
          </w:p>
        </w:tc>
        <w:tc>
          <w:tcPr>
            <w:tcW w:w="657" w:type="dxa"/>
            <w:tcBorders>
              <w:top w:val="nil"/>
              <w:left w:val="nil"/>
              <w:bottom w:val="nil"/>
              <w:right w:val="nil"/>
            </w:tcBorders>
            <w:vAlign w:val="center"/>
          </w:tcPr>
          <w:p w14:paraId="5EE3D715"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18</w:t>
            </w:r>
          </w:p>
        </w:tc>
        <w:tc>
          <w:tcPr>
            <w:tcW w:w="657" w:type="dxa"/>
            <w:tcBorders>
              <w:top w:val="nil"/>
              <w:left w:val="nil"/>
              <w:bottom w:val="nil"/>
              <w:right w:val="nil"/>
            </w:tcBorders>
            <w:vAlign w:val="center"/>
          </w:tcPr>
          <w:p w14:paraId="5EE3D716"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18</w:t>
            </w:r>
          </w:p>
        </w:tc>
        <w:tc>
          <w:tcPr>
            <w:tcW w:w="657" w:type="dxa"/>
            <w:tcBorders>
              <w:top w:val="nil"/>
              <w:left w:val="nil"/>
              <w:bottom w:val="nil"/>
              <w:right w:val="nil"/>
            </w:tcBorders>
            <w:vAlign w:val="center"/>
          </w:tcPr>
          <w:p w14:paraId="5EE3D717"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07</w:t>
            </w:r>
          </w:p>
        </w:tc>
        <w:tc>
          <w:tcPr>
            <w:tcW w:w="657" w:type="dxa"/>
            <w:tcBorders>
              <w:top w:val="nil"/>
              <w:left w:val="nil"/>
              <w:bottom w:val="nil"/>
              <w:right w:val="nil"/>
            </w:tcBorders>
            <w:vAlign w:val="center"/>
          </w:tcPr>
          <w:p w14:paraId="5EE3D718"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07</w:t>
            </w:r>
          </w:p>
        </w:tc>
        <w:tc>
          <w:tcPr>
            <w:tcW w:w="657" w:type="dxa"/>
            <w:tcBorders>
              <w:top w:val="nil"/>
              <w:left w:val="nil"/>
              <w:bottom w:val="nil"/>
              <w:right w:val="nil"/>
            </w:tcBorders>
            <w:vAlign w:val="center"/>
          </w:tcPr>
          <w:p w14:paraId="5EE3D719"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06</w:t>
            </w:r>
          </w:p>
        </w:tc>
        <w:tc>
          <w:tcPr>
            <w:tcW w:w="657" w:type="dxa"/>
            <w:tcBorders>
              <w:top w:val="nil"/>
              <w:left w:val="nil"/>
              <w:bottom w:val="nil"/>
              <w:right w:val="nil"/>
            </w:tcBorders>
            <w:vAlign w:val="center"/>
          </w:tcPr>
          <w:p w14:paraId="5EE3D71A"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06</w:t>
            </w:r>
          </w:p>
        </w:tc>
        <w:tc>
          <w:tcPr>
            <w:tcW w:w="657" w:type="dxa"/>
            <w:tcBorders>
              <w:top w:val="nil"/>
              <w:left w:val="nil"/>
              <w:bottom w:val="nil"/>
              <w:right w:val="nil"/>
            </w:tcBorders>
            <w:vAlign w:val="center"/>
          </w:tcPr>
          <w:p w14:paraId="5EE3D71B"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05</w:t>
            </w:r>
          </w:p>
        </w:tc>
        <w:tc>
          <w:tcPr>
            <w:tcW w:w="657" w:type="dxa"/>
            <w:tcBorders>
              <w:top w:val="nil"/>
              <w:left w:val="nil"/>
              <w:bottom w:val="nil"/>
              <w:right w:val="nil"/>
            </w:tcBorders>
            <w:vAlign w:val="center"/>
          </w:tcPr>
          <w:p w14:paraId="5EE3D71C" w14:textId="77777777" w:rsidR="00FF1CE6" w:rsidRPr="00FF1CE6" w:rsidRDefault="00FF1CE6" w:rsidP="00927C83">
            <w:pPr>
              <w:jc w:val="center"/>
              <w:rPr>
                <w:color w:val="000000"/>
                <w:sz w:val="16"/>
                <w:szCs w:val="16"/>
              </w:rPr>
            </w:pPr>
            <w:r w:rsidRPr="00FF1CE6">
              <w:rPr>
                <w:color w:val="000000"/>
                <w:sz w:val="16"/>
                <w:szCs w:val="16"/>
              </w:rPr>
              <w:t>9</w:t>
            </w:r>
            <w:r w:rsidR="00927C83">
              <w:rPr>
                <w:color w:val="000000"/>
                <w:sz w:val="16"/>
                <w:szCs w:val="16"/>
              </w:rPr>
              <w:t>.</w:t>
            </w:r>
            <w:r w:rsidRPr="00FF1CE6">
              <w:rPr>
                <w:color w:val="000000"/>
                <w:sz w:val="16"/>
                <w:szCs w:val="16"/>
              </w:rPr>
              <w:t>11</w:t>
            </w:r>
          </w:p>
        </w:tc>
        <w:tc>
          <w:tcPr>
            <w:tcW w:w="657" w:type="dxa"/>
            <w:tcBorders>
              <w:top w:val="nil"/>
              <w:left w:val="nil"/>
              <w:bottom w:val="nil"/>
              <w:right w:val="nil"/>
            </w:tcBorders>
            <w:vAlign w:val="center"/>
          </w:tcPr>
          <w:p w14:paraId="5EE3D71D" w14:textId="77777777" w:rsidR="00FF1CE6" w:rsidRPr="00FF1CE6" w:rsidRDefault="00FF1CE6" w:rsidP="00927C83">
            <w:pPr>
              <w:jc w:val="center"/>
              <w:rPr>
                <w:color w:val="000000"/>
                <w:sz w:val="16"/>
                <w:szCs w:val="16"/>
              </w:rPr>
            </w:pPr>
            <w:r w:rsidRPr="00FF1CE6">
              <w:rPr>
                <w:color w:val="000000"/>
                <w:sz w:val="16"/>
                <w:szCs w:val="16"/>
              </w:rPr>
              <w:t>6</w:t>
            </w:r>
            <w:r w:rsidR="00927C83">
              <w:rPr>
                <w:color w:val="000000"/>
                <w:sz w:val="16"/>
                <w:szCs w:val="16"/>
              </w:rPr>
              <w:t>.</w:t>
            </w:r>
            <w:r w:rsidRPr="00FF1CE6">
              <w:rPr>
                <w:color w:val="000000"/>
                <w:sz w:val="16"/>
                <w:szCs w:val="16"/>
              </w:rPr>
              <w:t>44</w:t>
            </w:r>
          </w:p>
        </w:tc>
        <w:tc>
          <w:tcPr>
            <w:tcW w:w="657" w:type="dxa"/>
            <w:tcBorders>
              <w:top w:val="nil"/>
              <w:left w:val="nil"/>
              <w:bottom w:val="nil"/>
              <w:right w:val="nil"/>
            </w:tcBorders>
            <w:vAlign w:val="center"/>
          </w:tcPr>
          <w:p w14:paraId="5EE3D71E" w14:textId="77777777" w:rsidR="00FF1CE6" w:rsidRPr="00FF1CE6" w:rsidRDefault="00FF1CE6" w:rsidP="00927C83">
            <w:pPr>
              <w:jc w:val="center"/>
              <w:rPr>
                <w:color w:val="000000"/>
                <w:sz w:val="16"/>
                <w:szCs w:val="16"/>
              </w:rPr>
            </w:pPr>
            <w:r w:rsidRPr="00FF1CE6">
              <w:rPr>
                <w:color w:val="000000"/>
                <w:sz w:val="16"/>
                <w:szCs w:val="16"/>
              </w:rPr>
              <w:t>14</w:t>
            </w:r>
            <w:r w:rsidR="00927C83">
              <w:rPr>
                <w:color w:val="000000"/>
                <w:sz w:val="16"/>
                <w:szCs w:val="16"/>
              </w:rPr>
              <w:t>.</w:t>
            </w:r>
            <w:r w:rsidRPr="00FF1CE6">
              <w:rPr>
                <w:color w:val="000000"/>
                <w:sz w:val="16"/>
                <w:szCs w:val="16"/>
              </w:rPr>
              <w:t>88</w:t>
            </w:r>
          </w:p>
        </w:tc>
        <w:tc>
          <w:tcPr>
            <w:tcW w:w="657" w:type="dxa"/>
            <w:tcBorders>
              <w:top w:val="nil"/>
              <w:left w:val="nil"/>
              <w:bottom w:val="nil"/>
              <w:right w:val="nil"/>
            </w:tcBorders>
            <w:vAlign w:val="center"/>
          </w:tcPr>
          <w:p w14:paraId="5EE3D71F" w14:textId="77777777" w:rsidR="00FF1CE6" w:rsidRPr="00FF1CE6" w:rsidRDefault="00FF1CE6" w:rsidP="00927C83">
            <w:pPr>
              <w:jc w:val="center"/>
              <w:rPr>
                <w:color w:val="000000"/>
                <w:sz w:val="16"/>
                <w:szCs w:val="16"/>
              </w:rPr>
            </w:pPr>
            <w:r w:rsidRPr="00FF1CE6">
              <w:rPr>
                <w:color w:val="000000"/>
                <w:sz w:val="16"/>
                <w:szCs w:val="16"/>
              </w:rPr>
              <w:t>37</w:t>
            </w:r>
            <w:r w:rsidR="00927C83">
              <w:rPr>
                <w:color w:val="000000"/>
                <w:sz w:val="16"/>
                <w:szCs w:val="16"/>
              </w:rPr>
              <w:t>.</w:t>
            </w:r>
            <w:r w:rsidRPr="00FF1CE6">
              <w:rPr>
                <w:color w:val="000000"/>
                <w:sz w:val="16"/>
                <w:szCs w:val="16"/>
              </w:rPr>
              <w:t>43</w:t>
            </w:r>
          </w:p>
        </w:tc>
        <w:tc>
          <w:tcPr>
            <w:tcW w:w="657" w:type="dxa"/>
            <w:tcBorders>
              <w:top w:val="nil"/>
              <w:left w:val="nil"/>
              <w:bottom w:val="nil"/>
              <w:right w:val="nil"/>
            </w:tcBorders>
            <w:vAlign w:val="center"/>
          </w:tcPr>
          <w:p w14:paraId="5EE3D720"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00</w:t>
            </w:r>
          </w:p>
        </w:tc>
        <w:tc>
          <w:tcPr>
            <w:tcW w:w="657" w:type="dxa"/>
            <w:tcBorders>
              <w:top w:val="nil"/>
              <w:left w:val="nil"/>
              <w:bottom w:val="nil"/>
              <w:right w:val="nil"/>
            </w:tcBorders>
            <w:vAlign w:val="center"/>
          </w:tcPr>
          <w:p w14:paraId="5EE3D721"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00</w:t>
            </w:r>
          </w:p>
        </w:tc>
        <w:tc>
          <w:tcPr>
            <w:tcW w:w="657" w:type="dxa"/>
            <w:tcBorders>
              <w:top w:val="nil"/>
              <w:left w:val="nil"/>
              <w:bottom w:val="nil"/>
              <w:right w:val="nil"/>
            </w:tcBorders>
            <w:vAlign w:val="center"/>
          </w:tcPr>
          <w:p w14:paraId="5EE3D722" w14:textId="77777777" w:rsidR="00FF1CE6" w:rsidRPr="00FF1CE6" w:rsidRDefault="00FF1CE6" w:rsidP="00927C83">
            <w:pPr>
              <w:jc w:val="center"/>
              <w:rPr>
                <w:color w:val="000000"/>
                <w:sz w:val="16"/>
                <w:szCs w:val="16"/>
              </w:rPr>
            </w:pPr>
            <w:r w:rsidRPr="00FF1CE6">
              <w:rPr>
                <w:color w:val="000000"/>
                <w:sz w:val="16"/>
                <w:szCs w:val="16"/>
              </w:rPr>
              <w:t>1</w:t>
            </w:r>
            <w:r w:rsidR="00927C83">
              <w:rPr>
                <w:color w:val="000000"/>
                <w:sz w:val="16"/>
                <w:szCs w:val="16"/>
              </w:rPr>
              <w:t>.</w:t>
            </w:r>
            <w:r w:rsidRPr="00FF1CE6">
              <w:rPr>
                <w:color w:val="000000"/>
                <w:sz w:val="16"/>
                <w:szCs w:val="16"/>
              </w:rPr>
              <w:t>45</w:t>
            </w:r>
          </w:p>
        </w:tc>
        <w:tc>
          <w:tcPr>
            <w:tcW w:w="658" w:type="dxa"/>
            <w:tcBorders>
              <w:top w:val="nil"/>
              <w:left w:val="nil"/>
              <w:bottom w:val="nil"/>
              <w:right w:val="nil"/>
            </w:tcBorders>
            <w:vAlign w:val="center"/>
          </w:tcPr>
          <w:p w14:paraId="5EE3D723" w14:textId="77777777" w:rsidR="00FF1CE6" w:rsidRPr="00FF1CE6" w:rsidRDefault="00FF1CE6" w:rsidP="00927C83">
            <w:pPr>
              <w:jc w:val="center"/>
              <w:rPr>
                <w:color w:val="000000"/>
                <w:sz w:val="16"/>
                <w:szCs w:val="16"/>
              </w:rPr>
            </w:pPr>
            <w:r w:rsidRPr="00FF1CE6">
              <w:rPr>
                <w:color w:val="000000"/>
                <w:sz w:val="16"/>
                <w:szCs w:val="16"/>
              </w:rPr>
              <w:t>3</w:t>
            </w:r>
            <w:r w:rsidR="00927C83">
              <w:rPr>
                <w:color w:val="000000"/>
                <w:sz w:val="16"/>
                <w:szCs w:val="16"/>
              </w:rPr>
              <w:t>.</w:t>
            </w:r>
            <w:r w:rsidRPr="00FF1CE6">
              <w:rPr>
                <w:color w:val="000000"/>
                <w:sz w:val="16"/>
                <w:szCs w:val="16"/>
              </w:rPr>
              <w:t>60</w:t>
            </w:r>
          </w:p>
        </w:tc>
        <w:tc>
          <w:tcPr>
            <w:tcW w:w="658" w:type="dxa"/>
            <w:tcBorders>
              <w:top w:val="nil"/>
              <w:left w:val="nil"/>
              <w:bottom w:val="nil"/>
              <w:right w:val="nil"/>
            </w:tcBorders>
            <w:vAlign w:val="center"/>
          </w:tcPr>
          <w:p w14:paraId="5EE3D724"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37</w:t>
            </w:r>
          </w:p>
        </w:tc>
        <w:tc>
          <w:tcPr>
            <w:tcW w:w="658" w:type="dxa"/>
            <w:tcBorders>
              <w:top w:val="nil"/>
              <w:left w:val="nil"/>
              <w:bottom w:val="nil"/>
              <w:right w:val="nil"/>
            </w:tcBorders>
            <w:vAlign w:val="center"/>
          </w:tcPr>
          <w:p w14:paraId="5EE3D725" w14:textId="77777777" w:rsidR="00FF1CE6" w:rsidRPr="00FF1CE6" w:rsidRDefault="00FF1CE6" w:rsidP="00FF1CE6">
            <w:pPr>
              <w:jc w:val="center"/>
              <w:rPr>
                <w:color w:val="000000"/>
                <w:sz w:val="16"/>
                <w:szCs w:val="16"/>
              </w:rPr>
            </w:pPr>
            <w:r w:rsidRPr="00FF1CE6">
              <w:rPr>
                <w:color w:val="000000"/>
                <w:sz w:val="16"/>
                <w:szCs w:val="16"/>
              </w:rPr>
              <w:t>13.58</w:t>
            </w:r>
          </w:p>
        </w:tc>
      </w:tr>
      <w:tr w:rsidR="00FF1CE6" w:rsidRPr="00FF1CE6" w14:paraId="5EE3D73E" w14:textId="77777777" w:rsidTr="00FF1CE6">
        <w:trPr>
          <w:trHeight w:val="255"/>
        </w:trPr>
        <w:tc>
          <w:tcPr>
            <w:tcW w:w="1418" w:type="dxa"/>
            <w:tcBorders>
              <w:top w:val="nil"/>
              <w:left w:val="nil"/>
              <w:right w:val="nil"/>
            </w:tcBorders>
            <w:vAlign w:val="center"/>
          </w:tcPr>
          <w:p w14:paraId="5EE3D727" w14:textId="77777777" w:rsidR="00FF1CE6" w:rsidRPr="00FF1CE6" w:rsidRDefault="00FF1CE6" w:rsidP="00FF1CE6">
            <w:pPr>
              <w:jc w:val="center"/>
              <w:rPr>
                <w:sz w:val="16"/>
                <w:szCs w:val="16"/>
              </w:rPr>
            </w:pPr>
            <w:r w:rsidRPr="00FF1CE6">
              <w:rPr>
                <w:sz w:val="16"/>
                <w:szCs w:val="16"/>
              </w:rPr>
              <w:t>S.D.</w:t>
            </w:r>
          </w:p>
        </w:tc>
        <w:tc>
          <w:tcPr>
            <w:tcW w:w="657" w:type="dxa"/>
            <w:tcBorders>
              <w:top w:val="nil"/>
              <w:left w:val="nil"/>
              <w:right w:val="nil"/>
            </w:tcBorders>
            <w:vAlign w:val="center"/>
          </w:tcPr>
          <w:p w14:paraId="5EE3D728"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50</w:t>
            </w:r>
          </w:p>
        </w:tc>
        <w:tc>
          <w:tcPr>
            <w:tcW w:w="657" w:type="dxa"/>
            <w:tcBorders>
              <w:top w:val="nil"/>
              <w:left w:val="nil"/>
              <w:right w:val="nil"/>
            </w:tcBorders>
            <w:vAlign w:val="center"/>
          </w:tcPr>
          <w:p w14:paraId="5EE3D729" w14:textId="77777777" w:rsidR="00FF1CE6" w:rsidRPr="00FF1CE6" w:rsidRDefault="00FF1CE6" w:rsidP="00927C83">
            <w:pPr>
              <w:jc w:val="center"/>
              <w:rPr>
                <w:color w:val="000000"/>
                <w:sz w:val="16"/>
                <w:szCs w:val="16"/>
              </w:rPr>
            </w:pPr>
            <w:r w:rsidRPr="00FF1CE6">
              <w:rPr>
                <w:color w:val="000000"/>
                <w:sz w:val="16"/>
                <w:szCs w:val="16"/>
              </w:rPr>
              <w:t>247</w:t>
            </w:r>
            <w:r w:rsidR="00927C83">
              <w:rPr>
                <w:color w:val="000000"/>
                <w:sz w:val="16"/>
                <w:szCs w:val="16"/>
              </w:rPr>
              <w:t>.</w:t>
            </w:r>
            <w:r w:rsidRPr="00FF1CE6">
              <w:rPr>
                <w:color w:val="000000"/>
                <w:sz w:val="16"/>
                <w:szCs w:val="16"/>
              </w:rPr>
              <w:t>56</w:t>
            </w:r>
          </w:p>
        </w:tc>
        <w:tc>
          <w:tcPr>
            <w:tcW w:w="657" w:type="dxa"/>
            <w:tcBorders>
              <w:top w:val="nil"/>
              <w:left w:val="nil"/>
              <w:right w:val="nil"/>
            </w:tcBorders>
            <w:vAlign w:val="center"/>
          </w:tcPr>
          <w:p w14:paraId="5EE3D72A" w14:textId="77777777" w:rsidR="00FF1CE6" w:rsidRPr="00FF1CE6" w:rsidRDefault="00FF1CE6" w:rsidP="00927C83">
            <w:pPr>
              <w:jc w:val="center"/>
              <w:rPr>
                <w:color w:val="000000"/>
                <w:sz w:val="16"/>
                <w:szCs w:val="16"/>
              </w:rPr>
            </w:pPr>
            <w:r w:rsidRPr="00FF1CE6">
              <w:rPr>
                <w:color w:val="000000"/>
                <w:sz w:val="16"/>
                <w:szCs w:val="16"/>
              </w:rPr>
              <w:t>25</w:t>
            </w:r>
            <w:r w:rsidR="00927C83">
              <w:rPr>
                <w:color w:val="000000"/>
                <w:sz w:val="16"/>
                <w:szCs w:val="16"/>
              </w:rPr>
              <w:t>.</w:t>
            </w:r>
            <w:r w:rsidRPr="00FF1CE6">
              <w:rPr>
                <w:color w:val="000000"/>
                <w:sz w:val="16"/>
                <w:szCs w:val="16"/>
              </w:rPr>
              <w:t>24</w:t>
            </w:r>
          </w:p>
        </w:tc>
        <w:tc>
          <w:tcPr>
            <w:tcW w:w="657" w:type="dxa"/>
            <w:tcBorders>
              <w:top w:val="nil"/>
              <w:left w:val="nil"/>
              <w:right w:val="nil"/>
            </w:tcBorders>
            <w:vAlign w:val="center"/>
          </w:tcPr>
          <w:p w14:paraId="5EE3D72B" w14:textId="77777777" w:rsidR="00FF1CE6" w:rsidRPr="00FF1CE6" w:rsidRDefault="00FF1CE6" w:rsidP="00927C83">
            <w:pPr>
              <w:jc w:val="center"/>
              <w:rPr>
                <w:color w:val="000000"/>
                <w:sz w:val="16"/>
                <w:szCs w:val="16"/>
              </w:rPr>
            </w:pPr>
            <w:r w:rsidRPr="00FF1CE6">
              <w:rPr>
                <w:color w:val="000000"/>
                <w:sz w:val="16"/>
                <w:szCs w:val="16"/>
              </w:rPr>
              <w:t>47</w:t>
            </w:r>
            <w:r w:rsidR="00927C83">
              <w:rPr>
                <w:color w:val="000000"/>
                <w:sz w:val="16"/>
                <w:szCs w:val="16"/>
              </w:rPr>
              <w:t>.</w:t>
            </w:r>
            <w:r w:rsidRPr="00FF1CE6">
              <w:rPr>
                <w:color w:val="000000"/>
                <w:sz w:val="16"/>
                <w:szCs w:val="16"/>
              </w:rPr>
              <w:t>70</w:t>
            </w:r>
          </w:p>
        </w:tc>
        <w:tc>
          <w:tcPr>
            <w:tcW w:w="657" w:type="dxa"/>
            <w:tcBorders>
              <w:top w:val="nil"/>
              <w:left w:val="nil"/>
              <w:right w:val="nil"/>
            </w:tcBorders>
            <w:vAlign w:val="center"/>
          </w:tcPr>
          <w:p w14:paraId="5EE3D72C" w14:textId="77777777" w:rsidR="00FF1CE6" w:rsidRPr="00FF1CE6" w:rsidRDefault="00FF1CE6" w:rsidP="00927C83">
            <w:pPr>
              <w:jc w:val="center"/>
              <w:rPr>
                <w:color w:val="000000"/>
                <w:sz w:val="16"/>
                <w:szCs w:val="16"/>
              </w:rPr>
            </w:pPr>
            <w:r w:rsidRPr="00FF1CE6">
              <w:rPr>
                <w:color w:val="000000"/>
                <w:sz w:val="16"/>
                <w:szCs w:val="16"/>
              </w:rPr>
              <w:t>1</w:t>
            </w:r>
            <w:r w:rsidR="00927C83">
              <w:rPr>
                <w:color w:val="000000"/>
                <w:sz w:val="16"/>
                <w:szCs w:val="16"/>
              </w:rPr>
              <w:t>.</w:t>
            </w:r>
            <w:r w:rsidRPr="00FF1CE6">
              <w:rPr>
                <w:color w:val="000000"/>
                <w:sz w:val="16"/>
                <w:szCs w:val="16"/>
              </w:rPr>
              <w:t>30</w:t>
            </w:r>
          </w:p>
        </w:tc>
        <w:tc>
          <w:tcPr>
            <w:tcW w:w="657" w:type="dxa"/>
            <w:tcBorders>
              <w:top w:val="nil"/>
              <w:left w:val="nil"/>
              <w:right w:val="nil"/>
            </w:tcBorders>
            <w:vAlign w:val="center"/>
          </w:tcPr>
          <w:p w14:paraId="5EE3D72D"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39</w:t>
            </w:r>
          </w:p>
        </w:tc>
        <w:tc>
          <w:tcPr>
            <w:tcW w:w="657" w:type="dxa"/>
            <w:tcBorders>
              <w:top w:val="nil"/>
              <w:left w:val="nil"/>
              <w:right w:val="nil"/>
            </w:tcBorders>
            <w:vAlign w:val="center"/>
          </w:tcPr>
          <w:p w14:paraId="5EE3D72E"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39</w:t>
            </w:r>
          </w:p>
        </w:tc>
        <w:tc>
          <w:tcPr>
            <w:tcW w:w="657" w:type="dxa"/>
            <w:tcBorders>
              <w:top w:val="nil"/>
              <w:left w:val="nil"/>
              <w:right w:val="nil"/>
            </w:tcBorders>
            <w:vAlign w:val="center"/>
          </w:tcPr>
          <w:p w14:paraId="5EE3D72F"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26</w:t>
            </w:r>
          </w:p>
        </w:tc>
        <w:tc>
          <w:tcPr>
            <w:tcW w:w="657" w:type="dxa"/>
            <w:tcBorders>
              <w:top w:val="nil"/>
              <w:left w:val="nil"/>
              <w:right w:val="nil"/>
            </w:tcBorders>
            <w:vAlign w:val="center"/>
          </w:tcPr>
          <w:p w14:paraId="5EE3D730"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6</w:t>
            </w:r>
          </w:p>
        </w:tc>
        <w:tc>
          <w:tcPr>
            <w:tcW w:w="657" w:type="dxa"/>
            <w:tcBorders>
              <w:top w:val="nil"/>
              <w:left w:val="nil"/>
              <w:right w:val="nil"/>
            </w:tcBorders>
            <w:vAlign w:val="center"/>
          </w:tcPr>
          <w:p w14:paraId="5EE3D731"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24</w:t>
            </w:r>
          </w:p>
        </w:tc>
        <w:tc>
          <w:tcPr>
            <w:tcW w:w="657" w:type="dxa"/>
            <w:tcBorders>
              <w:top w:val="nil"/>
              <w:left w:val="nil"/>
              <w:right w:val="nil"/>
            </w:tcBorders>
            <w:vAlign w:val="center"/>
          </w:tcPr>
          <w:p w14:paraId="5EE3D732"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23</w:t>
            </w:r>
          </w:p>
        </w:tc>
        <w:tc>
          <w:tcPr>
            <w:tcW w:w="657" w:type="dxa"/>
            <w:tcBorders>
              <w:top w:val="nil"/>
              <w:left w:val="nil"/>
              <w:right w:val="nil"/>
            </w:tcBorders>
            <w:vAlign w:val="center"/>
          </w:tcPr>
          <w:p w14:paraId="5EE3D733"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22</w:t>
            </w:r>
          </w:p>
        </w:tc>
        <w:tc>
          <w:tcPr>
            <w:tcW w:w="657" w:type="dxa"/>
            <w:tcBorders>
              <w:top w:val="nil"/>
              <w:left w:val="nil"/>
              <w:right w:val="nil"/>
            </w:tcBorders>
            <w:vAlign w:val="center"/>
          </w:tcPr>
          <w:p w14:paraId="5EE3D734" w14:textId="77777777" w:rsidR="00FF1CE6" w:rsidRPr="00FF1CE6" w:rsidRDefault="00FF1CE6" w:rsidP="00927C83">
            <w:pPr>
              <w:jc w:val="center"/>
              <w:rPr>
                <w:color w:val="000000"/>
                <w:sz w:val="16"/>
                <w:szCs w:val="16"/>
              </w:rPr>
            </w:pPr>
            <w:r w:rsidRPr="00FF1CE6">
              <w:rPr>
                <w:color w:val="000000"/>
                <w:sz w:val="16"/>
                <w:szCs w:val="16"/>
              </w:rPr>
              <w:t>12</w:t>
            </w:r>
            <w:r w:rsidR="00927C83">
              <w:rPr>
                <w:color w:val="000000"/>
                <w:sz w:val="16"/>
                <w:szCs w:val="16"/>
              </w:rPr>
              <w:t>.</w:t>
            </w:r>
            <w:r w:rsidRPr="00FF1CE6">
              <w:rPr>
                <w:color w:val="000000"/>
                <w:sz w:val="16"/>
                <w:szCs w:val="16"/>
              </w:rPr>
              <w:t>01</w:t>
            </w:r>
          </w:p>
        </w:tc>
        <w:tc>
          <w:tcPr>
            <w:tcW w:w="657" w:type="dxa"/>
            <w:tcBorders>
              <w:top w:val="nil"/>
              <w:left w:val="nil"/>
              <w:right w:val="nil"/>
            </w:tcBorders>
            <w:vAlign w:val="center"/>
          </w:tcPr>
          <w:p w14:paraId="5EE3D735" w14:textId="77777777" w:rsidR="00FF1CE6" w:rsidRPr="00FF1CE6" w:rsidRDefault="00FF1CE6" w:rsidP="00927C83">
            <w:pPr>
              <w:jc w:val="center"/>
              <w:rPr>
                <w:color w:val="000000"/>
                <w:sz w:val="16"/>
                <w:szCs w:val="16"/>
              </w:rPr>
            </w:pPr>
            <w:r w:rsidRPr="00FF1CE6">
              <w:rPr>
                <w:color w:val="000000"/>
                <w:sz w:val="16"/>
                <w:szCs w:val="16"/>
              </w:rPr>
              <w:t>14</w:t>
            </w:r>
            <w:r w:rsidR="00927C83">
              <w:rPr>
                <w:color w:val="000000"/>
                <w:sz w:val="16"/>
                <w:szCs w:val="16"/>
              </w:rPr>
              <w:t>.</w:t>
            </w:r>
            <w:r w:rsidRPr="00FF1CE6">
              <w:rPr>
                <w:color w:val="000000"/>
                <w:sz w:val="16"/>
                <w:szCs w:val="16"/>
              </w:rPr>
              <w:t>72</w:t>
            </w:r>
          </w:p>
        </w:tc>
        <w:tc>
          <w:tcPr>
            <w:tcW w:w="657" w:type="dxa"/>
            <w:tcBorders>
              <w:top w:val="nil"/>
              <w:left w:val="nil"/>
              <w:right w:val="nil"/>
            </w:tcBorders>
            <w:vAlign w:val="center"/>
          </w:tcPr>
          <w:p w14:paraId="5EE3D736" w14:textId="77777777" w:rsidR="00FF1CE6" w:rsidRPr="00FF1CE6" w:rsidRDefault="00FF1CE6" w:rsidP="00927C83">
            <w:pPr>
              <w:jc w:val="center"/>
              <w:rPr>
                <w:color w:val="000000"/>
                <w:sz w:val="16"/>
                <w:szCs w:val="16"/>
              </w:rPr>
            </w:pPr>
            <w:r w:rsidRPr="00FF1CE6">
              <w:rPr>
                <w:color w:val="000000"/>
                <w:sz w:val="16"/>
                <w:szCs w:val="16"/>
              </w:rPr>
              <w:t>4</w:t>
            </w:r>
            <w:r w:rsidR="00927C83">
              <w:rPr>
                <w:color w:val="000000"/>
                <w:sz w:val="16"/>
                <w:szCs w:val="16"/>
              </w:rPr>
              <w:t>.</w:t>
            </w:r>
            <w:r w:rsidRPr="00FF1CE6">
              <w:rPr>
                <w:color w:val="000000"/>
                <w:sz w:val="16"/>
                <w:szCs w:val="16"/>
              </w:rPr>
              <w:t>53</w:t>
            </w:r>
          </w:p>
        </w:tc>
        <w:tc>
          <w:tcPr>
            <w:tcW w:w="657" w:type="dxa"/>
            <w:tcBorders>
              <w:top w:val="nil"/>
              <w:left w:val="nil"/>
              <w:right w:val="nil"/>
            </w:tcBorders>
            <w:vAlign w:val="center"/>
          </w:tcPr>
          <w:p w14:paraId="5EE3D737" w14:textId="77777777" w:rsidR="00FF1CE6" w:rsidRPr="00FF1CE6" w:rsidRDefault="00FF1CE6" w:rsidP="00927C83">
            <w:pPr>
              <w:jc w:val="center"/>
              <w:rPr>
                <w:color w:val="000000"/>
                <w:sz w:val="16"/>
                <w:szCs w:val="16"/>
              </w:rPr>
            </w:pPr>
            <w:r w:rsidRPr="00FF1CE6">
              <w:rPr>
                <w:color w:val="000000"/>
                <w:sz w:val="16"/>
                <w:szCs w:val="16"/>
              </w:rPr>
              <w:t>25</w:t>
            </w:r>
            <w:r w:rsidR="00927C83">
              <w:rPr>
                <w:color w:val="000000"/>
                <w:sz w:val="16"/>
                <w:szCs w:val="16"/>
              </w:rPr>
              <w:t>.</w:t>
            </w:r>
            <w:r w:rsidRPr="00FF1CE6">
              <w:rPr>
                <w:color w:val="000000"/>
                <w:sz w:val="16"/>
                <w:szCs w:val="16"/>
              </w:rPr>
              <w:t>21</w:t>
            </w:r>
          </w:p>
        </w:tc>
        <w:tc>
          <w:tcPr>
            <w:tcW w:w="657" w:type="dxa"/>
            <w:tcBorders>
              <w:top w:val="nil"/>
              <w:left w:val="nil"/>
              <w:right w:val="nil"/>
            </w:tcBorders>
            <w:vAlign w:val="center"/>
          </w:tcPr>
          <w:p w14:paraId="5EE3D738" w14:textId="77777777" w:rsidR="00FF1CE6" w:rsidRPr="00FF1CE6" w:rsidRDefault="00FF1CE6" w:rsidP="00927C83">
            <w:pPr>
              <w:jc w:val="center"/>
              <w:rPr>
                <w:color w:val="000000"/>
                <w:sz w:val="16"/>
                <w:szCs w:val="16"/>
              </w:rPr>
            </w:pPr>
            <w:r w:rsidRPr="00FF1CE6">
              <w:rPr>
                <w:color w:val="000000"/>
                <w:sz w:val="16"/>
                <w:szCs w:val="16"/>
              </w:rPr>
              <w:t>6</w:t>
            </w:r>
            <w:r w:rsidR="00927C83">
              <w:rPr>
                <w:color w:val="000000"/>
                <w:sz w:val="16"/>
                <w:szCs w:val="16"/>
              </w:rPr>
              <w:t>.</w:t>
            </w:r>
            <w:r w:rsidRPr="00FF1CE6">
              <w:rPr>
                <w:color w:val="000000"/>
                <w:sz w:val="16"/>
                <w:szCs w:val="16"/>
              </w:rPr>
              <w:t>00</w:t>
            </w:r>
          </w:p>
        </w:tc>
        <w:tc>
          <w:tcPr>
            <w:tcW w:w="657" w:type="dxa"/>
            <w:tcBorders>
              <w:top w:val="nil"/>
              <w:left w:val="nil"/>
              <w:right w:val="nil"/>
            </w:tcBorders>
            <w:vAlign w:val="center"/>
          </w:tcPr>
          <w:p w14:paraId="5EE3D739" w14:textId="77777777" w:rsidR="00FF1CE6" w:rsidRPr="00FF1CE6" w:rsidRDefault="00FF1CE6" w:rsidP="00927C83">
            <w:pPr>
              <w:jc w:val="center"/>
              <w:rPr>
                <w:color w:val="000000"/>
                <w:sz w:val="16"/>
                <w:szCs w:val="16"/>
              </w:rPr>
            </w:pPr>
            <w:r w:rsidRPr="00FF1CE6">
              <w:rPr>
                <w:color w:val="000000"/>
                <w:sz w:val="16"/>
                <w:szCs w:val="16"/>
              </w:rPr>
              <w:t>1</w:t>
            </w:r>
            <w:r w:rsidR="00927C83">
              <w:rPr>
                <w:color w:val="000000"/>
                <w:sz w:val="16"/>
                <w:szCs w:val="16"/>
              </w:rPr>
              <w:t>.</w:t>
            </w:r>
            <w:r w:rsidRPr="00FF1CE6">
              <w:rPr>
                <w:color w:val="000000"/>
                <w:sz w:val="16"/>
                <w:szCs w:val="16"/>
              </w:rPr>
              <w:t>00</w:t>
            </w:r>
          </w:p>
        </w:tc>
        <w:tc>
          <w:tcPr>
            <w:tcW w:w="657" w:type="dxa"/>
            <w:tcBorders>
              <w:top w:val="nil"/>
              <w:left w:val="nil"/>
              <w:right w:val="nil"/>
            </w:tcBorders>
            <w:vAlign w:val="center"/>
          </w:tcPr>
          <w:p w14:paraId="5EE3D73A" w14:textId="77777777" w:rsidR="00FF1CE6" w:rsidRPr="00FF1CE6" w:rsidRDefault="00FF1CE6" w:rsidP="00927C83">
            <w:pPr>
              <w:jc w:val="center"/>
              <w:rPr>
                <w:color w:val="000000"/>
                <w:sz w:val="16"/>
                <w:szCs w:val="16"/>
              </w:rPr>
            </w:pPr>
            <w:r w:rsidRPr="00FF1CE6">
              <w:rPr>
                <w:color w:val="000000"/>
                <w:sz w:val="16"/>
                <w:szCs w:val="16"/>
              </w:rPr>
              <w:t>1</w:t>
            </w:r>
            <w:r w:rsidR="00927C83">
              <w:rPr>
                <w:color w:val="000000"/>
                <w:sz w:val="16"/>
                <w:szCs w:val="16"/>
              </w:rPr>
              <w:t>.</w:t>
            </w:r>
            <w:r w:rsidRPr="00FF1CE6">
              <w:rPr>
                <w:color w:val="000000"/>
                <w:sz w:val="16"/>
                <w:szCs w:val="16"/>
              </w:rPr>
              <w:t>02</w:t>
            </w:r>
          </w:p>
        </w:tc>
        <w:tc>
          <w:tcPr>
            <w:tcW w:w="658" w:type="dxa"/>
            <w:tcBorders>
              <w:top w:val="nil"/>
              <w:left w:val="nil"/>
              <w:right w:val="nil"/>
            </w:tcBorders>
            <w:vAlign w:val="center"/>
          </w:tcPr>
          <w:p w14:paraId="5EE3D73B" w14:textId="77777777" w:rsidR="00FF1CE6" w:rsidRPr="00FF1CE6" w:rsidRDefault="00FF1CE6" w:rsidP="00927C83">
            <w:pPr>
              <w:jc w:val="center"/>
              <w:rPr>
                <w:color w:val="000000"/>
                <w:sz w:val="16"/>
                <w:szCs w:val="16"/>
              </w:rPr>
            </w:pPr>
            <w:r w:rsidRPr="00FF1CE6">
              <w:rPr>
                <w:color w:val="000000"/>
                <w:sz w:val="16"/>
                <w:szCs w:val="16"/>
              </w:rPr>
              <w:t>1</w:t>
            </w:r>
            <w:r w:rsidR="00927C83">
              <w:rPr>
                <w:color w:val="000000"/>
                <w:sz w:val="16"/>
                <w:szCs w:val="16"/>
              </w:rPr>
              <w:t>.</w:t>
            </w:r>
            <w:r w:rsidRPr="00FF1CE6">
              <w:rPr>
                <w:color w:val="000000"/>
                <w:sz w:val="16"/>
                <w:szCs w:val="16"/>
              </w:rPr>
              <w:t>10</w:t>
            </w:r>
          </w:p>
        </w:tc>
        <w:tc>
          <w:tcPr>
            <w:tcW w:w="658" w:type="dxa"/>
            <w:tcBorders>
              <w:top w:val="nil"/>
              <w:left w:val="nil"/>
              <w:right w:val="nil"/>
            </w:tcBorders>
            <w:vAlign w:val="center"/>
          </w:tcPr>
          <w:p w14:paraId="5EE3D73C" w14:textId="77777777" w:rsidR="00FF1CE6" w:rsidRPr="00FF1CE6" w:rsidRDefault="00FF1CE6" w:rsidP="00927C83">
            <w:pPr>
              <w:jc w:val="center"/>
              <w:rPr>
                <w:color w:val="000000"/>
                <w:sz w:val="16"/>
                <w:szCs w:val="16"/>
              </w:rPr>
            </w:pPr>
            <w:r w:rsidRPr="00FF1CE6">
              <w:rPr>
                <w:color w:val="000000"/>
                <w:sz w:val="16"/>
                <w:szCs w:val="16"/>
              </w:rPr>
              <w:t>0</w:t>
            </w:r>
            <w:r w:rsidR="00927C83">
              <w:rPr>
                <w:color w:val="000000"/>
                <w:sz w:val="16"/>
                <w:szCs w:val="16"/>
              </w:rPr>
              <w:t>.</w:t>
            </w:r>
            <w:r w:rsidRPr="00FF1CE6">
              <w:rPr>
                <w:color w:val="000000"/>
                <w:sz w:val="16"/>
                <w:szCs w:val="16"/>
              </w:rPr>
              <w:t>48</w:t>
            </w:r>
          </w:p>
        </w:tc>
        <w:tc>
          <w:tcPr>
            <w:tcW w:w="658" w:type="dxa"/>
            <w:tcBorders>
              <w:top w:val="nil"/>
              <w:left w:val="nil"/>
              <w:right w:val="nil"/>
            </w:tcBorders>
            <w:vAlign w:val="center"/>
          </w:tcPr>
          <w:p w14:paraId="5EE3D73D" w14:textId="77777777" w:rsidR="00FF1CE6" w:rsidRPr="00FF1CE6" w:rsidRDefault="00FF1CE6" w:rsidP="00FF1CE6">
            <w:pPr>
              <w:jc w:val="center"/>
              <w:rPr>
                <w:color w:val="000000"/>
                <w:sz w:val="16"/>
                <w:szCs w:val="16"/>
              </w:rPr>
            </w:pPr>
            <w:r w:rsidRPr="00FF1CE6">
              <w:rPr>
                <w:color w:val="000000"/>
                <w:sz w:val="16"/>
                <w:szCs w:val="16"/>
              </w:rPr>
              <w:t>4.13</w:t>
            </w:r>
          </w:p>
        </w:tc>
      </w:tr>
      <w:tr w:rsidR="00FF1CE6" w:rsidRPr="00FF1CE6" w14:paraId="5EE3D756" w14:textId="77777777" w:rsidTr="00FF1CE6">
        <w:trPr>
          <w:trHeight w:val="319"/>
        </w:trPr>
        <w:tc>
          <w:tcPr>
            <w:tcW w:w="1418" w:type="dxa"/>
            <w:tcBorders>
              <w:left w:val="nil"/>
              <w:bottom w:val="nil"/>
              <w:right w:val="nil"/>
            </w:tcBorders>
            <w:vAlign w:val="center"/>
          </w:tcPr>
          <w:p w14:paraId="5EE3D73F" w14:textId="77777777" w:rsidR="00FF1CE6" w:rsidRPr="00FF1CE6" w:rsidRDefault="00FF1CE6" w:rsidP="00FF1CE6">
            <w:pPr>
              <w:rPr>
                <w:sz w:val="16"/>
                <w:szCs w:val="16"/>
                <w:lang w:eastAsia="en-US"/>
              </w:rPr>
            </w:pPr>
            <w:r w:rsidRPr="00FF1CE6">
              <w:rPr>
                <w:sz w:val="16"/>
                <w:szCs w:val="16"/>
                <w:lang w:eastAsia="en-US"/>
              </w:rPr>
              <w:t>1.Nationality</w:t>
            </w:r>
          </w:p>
        </w:tc>
        <w:tc>
          <w:tcPr>
            <w:tcW w:w="657" w:type="dxa"/>
            <w:tcBorders>
              <w:left w:val="nil"/>
              <w:bottom w:val="nil"/>
              <w:right w:val="nil"/>
            </w:tcBorders>
            <w:noWrap/>
            <w:vAlign w:val="center"/>
          </w:tcPr>
          <w:p w14:paraId="5EE3D740" w14:textId="77777777" w:rsidR="00FF1CE6" w:rsidRPr="00FF1CE6" w:rsidRDefault="00FF1CE6" w:rsidP="00FF1CE6">
            <w:pPr>
              <w:jc w:val="center"/>
              <w:rPr>
                <w:sz w:val="16"/>
                <w:szCs w:val="16"/>
              </w:rPr>
            </w:pPr>
            <w:r w:rsidRPr="00FF1CE6">
              <w:rPr>
                <w:sz w:val="16"/>
                <w:szCs w:val="16"/>
              </w:rPr>
              <w:t>1</w:t>
            </w:r>
          </w:p>
        </w:tc>
        <w:tc>
          <w:tcPr>
            <w:tcW w:w="657" w:type="dxa"/>
            <w:tcBorders>
              <w:left w:val="nil"/>
              <w:bottom w:val="nil"/>
              <w:right w:val="nil"/>
            </w:tcBorders>
            <w:noWrap/>
            <w:vAlign w:val="center"/>
          </w:tcPr>
          <w:p w14:paraId="5EE3D741"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2"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3"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4"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5"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6"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7"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8"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9"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A"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B"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C"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D"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E"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4F"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50"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51" w14:textId="77777777" w:rsidR="00FF1CE6" w:rsidRPr="00FF1CE6" w:rsidRDefault="00FF1CE6" w:rsidP="00FF1CE6">
            <w:pPr>
              <w:jc w:val="center"/>
              <w:rPr>
                <w:sz w:val="16"/>
                <w:szCs w:val="16"/>
              </w:rPr>
            </w:pPr>
          </w:p>
        </w:tc>
        <w:tc>
          <w:tcPr>
            <w:tcW w:w="657" w:type="dxa"/>
            <w:tcBorders>
              <w:left w:val="nil"/>
              <w:bottom w:val="nil"/>
              <w:right w:val="nil"/>
            </w:tcBorders>
            <w:noWrap/>
            <w:vAlign w:val="center"/>
          </w:tcPr>
          <w:p w14:paraId="5EE3D752" w14:textId="77777777" w:rsidR="00FF1CE6" w:rsidRPr="00FF1CE6" w:rsidRDefault="00FF1CE6" w:rsidP="00FF1CE6">
            <w:pPr>
              <w:jc w:val="center"/>
              <w:rPr>
                <w:sz w:val="16"/>
                <w:szCs w:val="16"/>
              </w:rPr>
            </w:pPr>
          </w:p>
        </w:tc>
        <w:tc>
          <w:tcPr>
            <w:tcW w:w="658" w:type="dxa"/>
            <w:tcBorders>
              <w:left w:val="nil"/>
              <w:bottom w:val="nil"/>
              <w:right w:val="nil"/>
            </w:tcBorders>
            <w:noWrap/>
            <w:vAlign w:val="center"/>
          </w:tcPr>
          <w:p w14:paraId="5EE3D753" w14:textId="77777777" w:rsidR="00FF1CE6" w:rsidRPr="00FF1CE6" w:rsidRDefault="00FF1CE6" w:rsidP="00FF1CE6">
            <w:pPr>
              <w:jc w:val="center"/>
              <w:rPr>
                <w:sz w:val="16"/>
                <w:szCs w:val="16"/>
              </w:rPr>
            </w:pPr>
          </w:p>
        </w:tc>
        <w:tc>
          <w:tcPr>
            <w:tcW w:w="658" w:type="dxa"/>
            <w:tcBorders>
              <w:left w:val="nil"/>
              <w:bottom w:val="nil"/>
              <w:right w:val="nil"/>
            </w:tcBorders>
          </w:tcPr>
          <w:p w14:paraId="5EE3D754" w14:textId="77777777" w:rsidR="00FF1CE6" w:rsidRPr="00FF1CE6" w:rsidRDefault="00FF1CE6" w:rsidP="00FF1CE6">
            <w:pPr>
              <w:jc w:val="center"/>
              <w:rPr>
                <w:sz w:val="16"/>
                <w:szCs w:val="16"/>
              </w:rPr>
            </w:pPr>
          </w:p>
        </w:tc>
        <w:tc>
          <w:tcPr>
            <w:tcW w:w="658" w:type="dxa"/>
            <w:tcBorders>
              <w:left w:val="nil"/>
              <w:bottom w:val="nil"/>
              <w:right w:val="nil"/>
            </w:tcBorders>
          </w:tcPr>
          <w:p w14:paraId="5EE3D755" w14:textId="77777777" w:rsidR="00FF1CE6" w:rsidRPr="00FF1CE6" w:rsidRDefault="00FF1CE6" w:rsidP="00FF1CE6">
            <w:pPr>
              <w:jc w:val="center"/>
              <w:rPr>
                <w:sz w:val="16"/>
                <w:szCs w:val="16"/>
              </w:rPr>
            </w:pPr>
          </w:p>
        </w:tc>
      </w:tr>
      <w:tr w:rsidR="00FF1CE6" w:rsidRPr="00FF1CE6" w14:paraId="5EE3D76E" w14:textId="77777777" w:rsidTr="00FF1CE6">
        <w:trPr>
          <w:trHeight w:val="319"/>
        </w:trPr>
        <w:tc>
          <w:tcPr>
            <w:tcW w:w="1418" w:type="dxa"/>
            <w:tcBorders>
              <w:top w:val="nil"/>
              <w:left w:val="nil"/>
              <w:bottom w:val="nil"/>
              <w:right w:val="nil"/>
            </w:tcBorders>
            <w:vAlign w:val="center"/>
          </w:tcPr>
          <w:p w14:paraId="5EE3D757" w14:textId="77777777" w:rsidR="00FF1CE6" w:rsidRPr="00FF1CE6" w:rsidRDefault="00FF1CE6" w:rsidP="00FF1CE6">
            <w:pPr>
              <w:rPr>
                <w:sz w:val="16"/>
                <w:szCs w:val="16"/>
                <w:lang w:eastAsia="en-US"/>
              </w:rPr>
            </w:pPr>
            <w:r w:rsidRPr="00FF1CE6">
              <w:rPr>
                <w:sz w:val="16"/>
                <w:szCs w:val="16"/>
                <w:lang w:eastAsia="en-US"/>
              </w:rPr>
              <w:t>2.Firm size</w:t>
            </w:r>
          </w:p>
        </w:tc>
        <w:tc>
          <w:tcPr>
            <w:tcW w:w="657" w:type="dxa"/>
            <w:tcBorders>
              <w:top w:val="nil"/>
              <w:left w:val="nil"/>
              <w:bottom w:val="nil"/>
              <w:right w:val="nil"/>
            </w:tcBorders>
            <w:noWrap/>
            <w:vAlign w:val="center"/>
          </w:tcPr>
          <w:p w14:paraId="5EE3D758" w14:textId="77777777" w:rsidR="00FF1CE6" w:rsidRPr="00FF1CE6" w:rsidRDefault="00FF1CE6" w:rsidP="00FF1CE6">
            <w:pPr>
              <w:jc w:val="center"/>
              <w:rPr>
                <w:sz w:val="16"/>
                <w:szCs w:val="16"/>
              </w:rPr>
            </w:pPr>
            <w:r w:rsidRPr="00FF1CE6">
              <w:rPr>
                <w:sz w:val="16"/>
                <w:szCs w:val="16"/>
              </w:rPr>
              <w:t>.11</w:t>
            </w:r>
            <w:r w:rsidRPr="00FF1CE6">
              <w:rPr>
                <w:sz w:val="16"/>
                <w:szCs w:val="16"/>
                <w:vertAlign w:val="superscript"/>
              </w:rPr>
              <w:t>*</w:t>
            </w:r>
          </w:p>
        </w:tc>
        <w:tc>
          <w:tcPr>
            <w:tcW w:w="657" w:type="dxa"/>
            <w:tcBorders>
              <w:top w:val="nil"/>
              <w:left w:val="nil"/>
              <w:bottom w:val="nil"/>
              <w:right w:val="nil"/>
            </w:tcBorders>
            <w:noWrap/>
            <w:vAlign w:val="center"/>
          </w:tcPr>
          <w:p w14:paraId="5EE3D759"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75A"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5B"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5C"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5D"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5E"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5F"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60"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6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62"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63"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64"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65"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66"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67"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68"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6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6A"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76B"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6C"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6D" w14:textId="77777777" w:rsidR="00FF1CE6" w:rsidRPr="00FF1CE6" w:rsidRDefault="00FF1CE6" w:rsidP="00FF1CE6">
            <w:pPr>
              <w:jc w:val="center"/>
              <w:rPr>
                <w:sz w:val="16"/>
                <w:szCs w:val="16"/>
              </w:rPr>
            </w:pPr>
          </w:p>
        </w:tc>
      </w:tr>
      <w:tr w:rsidR="00FF1CE6" w:rsidRPr="00FF1CE6" w14:paraId="5EE3D786" w14:textId="77777777" w:rsidTr="00FF1CE6">
        <w:trPr>
          <w:trHeight w:val="319"/>
        </w:trPr>
        <w:tc>
          <w:tcPr>
            <w:tcW w:w="1418" w:type="dxa"/>
            <w:tcBorders>
              <w:top w:val="nil"/>
              <w:left w:val="nil"/>
              <w:bottom w:val="nil"/>
              <w:right w:val="nil"/>
            </w:tcBorders>
            <w:vAlign w:val="center"/>
          </w:tcPr>
          <w:p w14:paraId="5EE3D76F" w14:textId="77777777" w:rsidR="00FF1CE6" w:rsidRPr="00FF1CE6" w:rsidRDefault="00FF1CE6" w:rsidP="00FF1CE6">
            <w:pPr>
              <w:rPr>
                <w:sz w:val="16"/>
                <w:szCs w:val="16"/>
                <w:lang w:val="it-IT" w:eastAsia="en-US"/>
              </w:rPr>
            </w:pPr>
            <w:r w:rsidRPr="00FF1CE6">
              <w:rPr>
                <w:sz w:val="16"/>
                <w:szCs w:val="16"/>
                <w:lang w:val="it-IT" w:eastAsia="en-US"/>
              </w:rPr>
              <w:t>3.International experience</w:t>
            </w:r>
          </w:p>
        </w:tc>
        <w:tc>
          <w:tcPr>
            <w:tcW w:w="657" w:type="dxa"/>
            <w:tcBorders>
              <w:top w:val="nil"/>
              <w:left w:val="nil"/>
              <w:bottom w:val="nil"/>
              <w:right w:val="nil"/>
            </w:tcBorders>
            <w:noWrap/>
            <w:vAlign w:val="center"/>
          </w:tcPr>
          <w:p w14:paraId="5EE3D770" w14:textId="77777777" w:rsidR="00FF1CE6" w:rsidRPr="00FF1CE6" w:rsidRDefault="00FF1CE6" w:rsidP="00FF1CE6">
            <w:pPr>
              <w:jc w:val="center"/>
              <w:rPr>
                <w:sz w:val="16"/>
                <w:szCs w:val="16"/>
              </w:rPr>
            </w:pPr>
            <w:r w:rsidRPr="00FF1CE6">
              <w:rPr>
                <w:sz w:val="16"/>
                <w:szCs w:val="16"/>
              </w:rPr>
              <w:t>.26</w:t>
            </w:r>
            <w:r w:rsidRPr="00FF1CE6">
              <w:rPr>
                <w:sz w:val="16"/>
                <w:szCs w:val="16"/>
                <w:vertAlign w:val="superscript"/>
              </w:rPr>
              <w:t>**</w:t>
            </w:r>
          </w:p>
        </w:tc>
        <w:tc>
          <w:tcPr>
            <w:tcW w:w="657" w:type="dxa"/>
            <w:tcBorders>
              <w:top w:val="nil"/>
              <w:left w:val="nil"/>
              <w:bottom w:val="nil"/>
              <w:right w:val="nil"/>
            </w:tcBorders>
            <w:noWrap/>
            <w:vAlign w:val="center"/>
          </w:tcPr>
          <w:p w14:paraId="5EE3D771"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772"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773"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4"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5"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6"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7"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8"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A"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B"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C"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D"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E"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7F"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80"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8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82"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783"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84"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85" w14:textId="77777777" w:rsidR="00FF1CE6" w:rsidRPr="00FF1CE6" w:rsidRDefault="00FF1CE6" w:rsidP="00FF1CE6">
            <w:pPr>
              <w:jc w:val="center"/>
              <w:rPr>
                <w:sz w:val="16"/>
                <w:szCs w:val="16"/>
              </w:rPr>
            </w:pPr>
          </w:p>
        </w:tc>
      </w:tr>
      <w:tr w:rsidR="00FF1CE6" w:rsidRPr="00FF1CE6" w14:paraId="5EE3D79E" w14:textId="77777777" w:rsidTr="00FF1CE6">
        <w:trPr>
          <w:trHeight w:val="319"/>
        </w:trPr>
        <w:tc>
          <w:tcPr>
            <w:tcW w:w="1418" w:type="dxa"/>
            <w:tcBorders>
              <w:top w:val="nil"/>
              <w:left w:val="nil"/>
              <w:bottom w:val="nil"/>
              <w:right w:val="nil"/>
            </w:tcBorders>
            <w:vAlign w:val="center"/>
          </w:tcPr>
          <w:p w14:paraId="5EE3D787" w14:textId="77777777" w:rsidR="00FF1CE6" w:rsidRPr="00FF1CE6" w:rsidRDefault="00FF1CE6" w:rsidP="00FF1CE6">
            <w:pPr>
              <w:rPr>
                <w:sz w:val="16"/>
                <w:szCs w:val="16"/>
                <w:lang w:val="it-IT" w:eastAsia="en-US"/>
              </w:rPr>
            </w:pPr>
            <w:r w:rsidRPr="00FF1CE6">
              <w:rPr>
                <w:sz w:val="16"/>
                <w:szCs w:val="16"/>
                <w:lang w:val="it-IT" w:eastAsia="en-US"/>
              </w:rPr>
              <w:t>4.Export channel experience</w:t>
            </w:r>
          </w:p>
        </w:tc>
        <w:tc>
          <w:tcPr>
            <w:tcW w:w="657" w:type="dxa"/>
            <w:tcBorders>
              <w:top w:val="nil"/>
              <w:left w:val="nil"/>
              <w:bottom w:val="nil"/>
              <w:right w:val="nil"/>
            </w:tcBorders>
            <w:noWrap/>
            <w:vAlign w:val="center"/>
          </w:tcPr>
          <w:p w14:paraId="5EE3D788" w14:textId="77777777" w:rsidR="00FF1CE6" w:rsidRPr="00FF1CE6" w:rsidRDefault="00FF1CE6" w:rsidP="00FF1CE6">
            <w:pPr>
              <w:jc w:val="center"/>
              <w:rPr>
                <w:sz w:val="16"/>
                <w:szCs w:val="16"/>
              </w:rPr>
            </w:pPr>
            <w:r w:rsidRPr="00FF1CE6">
              <w:rPr>
                <w:sz w:val="16"/>
                <w:szCs w:val="16"/>
              </w:rPr>
              <w:t>-.26</w:t>
            </w:r>
            <w:r w:rsidRPr="00FF1CE6">
              <w:rPr>
                <w:sz w:val="16"/>
                <w:szCs w:val="16"/>
                <w:vertAlign w:val="superscript"/>
              </w:rPr>
              <w:t>**</w:t>
            </w:r>
          </w:p>
        </w:tc>
        <w:tc>
          <w:tcPr>
            <w:tcW w:w="657" w:type="dxa"/>
            <w:tcBorders>
              <w:top w:val="nil"/>
              <w:left w:val="nil"/>
              <w:bottom w:val="nil"/>
              <w:right w:val="nil"/>
            </w:tcBorders>
            <w:noWrap/>
            <w:vAlign w:val="center"/>
          </w:tcPr>
          <w:p w14:paraId="5EE3D789"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78A"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78B"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78C"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8D"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8E"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8F"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90"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9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92"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93"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94"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95"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96"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97"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98"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9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9A"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79B"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9C"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9D" w14:textId="77777777" w:rsidR="00FF1CE6" w:rsidRPr="00FF1CE6" w:rsidRDefault="00FF1CE6" w:rsidP="00FF1CE6">
            <w:pPr>
              <w:jc w:val="center"/>
              <w:rPr>
                <w:sz w:val="16"/>
                <w:szCs w:val="16"/>
              </w:rPr>
            </w:pPr>
          </w:p>
        </w:tc>
      </w:tr>
      <w:tr w:rsidR="00FF1CE6" w:rsidRPr="00FF1CE6" w14:paraId="5EE3D7B6" w14:textId="77777777" w:rsidTr="00FF1CE6">
        <w:trPr>
          <w:trHeight w:val="319"/>
        </w:trPr>
        <w:tc>
          <w:tcPr>
            <w:tcW w:w="1418" w:type="dxa"/>
            <w:tcBorders>
              <w:top w:val="nil"/>
              <w:left w:val="nil"/>
              <w:bottom w:val="nil"/>
              <w:right w:val="nil"/>
            </w:tcBorders>
            <w:vAlign w:val="center"/>
          </w:tcPr>
          <w:p w14:paraId="5EE3D79F" w14:textId="77777777" w:rsidR="00FF1CE6" w:rsidRPr="00FF1CE6" w:rsidRDefault="00FF1CE6" w:rsidP="00FF1CE6">
            <w:pPr>
              <w:rPr>
                <w:sz w:val="16"/>
                <w:szCs w:val="16"/>
                <w:lang w:val="it-IT" w:eastAsia="en-US"/>
              </w:rPr>
            </w:pPr>
            <w:r w:rsidRPr="00FF1CE6">
              <w:rPr>
                <w:sz w:val="16"/>
                <w:szCs w:val="16"/>
                <w:lang w:val="it-IT" w:eastAsia="en-US"/>
              </w:rPr>
              <w:t>5.Number of countries</w:t>
            </w:r>
          </w:p>
        </w:tc>
        <w:tc>
          <w:tcPr>
            <w:tcW w:w="657" w:type="dxa"/>
            <w:tcBorders>
              <w:top w:val="nil"/>
              <w:left w:val="nil"/>
              <w:bottom w:val="nil"/>
              <w:right w:val="nil"/>
            </w:tcBorders>
            <w:noWrap/>
            <w:vAlign w:val="center"/>
          </w:tcPr>
          <w:p w14:paraId="5EE3D7A0"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7A1"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7A2" w14:textId="77777777" w:rsidR="00FF1CE6" w:rsidRPr="00FF1CE6" w:rsidRDefault="00FF1CE6" w:rsidP="00FF1CE6">
            <w:pPr>
              <w:jc w:val="center"/>
              <w:rPr>
                <w:sz w:val="16"/>
                <w:szCs w:val="16"/>
              </w:rPr>
            </w:pPr>
            <w:r w:rsidRPr="00FF1CE6">
              <w:rPr>
                <w:sz w:val="16"/>
                <w:szCs w:val="16"/>
              </w:rPr>
              <w:t>.23</w:t>
            </w:r>
            <w:r w:rsidRPr="00FF1CE6">
              <w:rPr>
                <w:sz w:val="16"/>
                <w:szCs w:val="16"/>
                <w:vertAlign w:val="superscript"/>
              </w:rPr>
              <w:t>**</w:t>
            </w:r>
          </w:p>
        </w:tc>
        <w:tc>
          <w:tcPr>
            <w:tcW w:w="657" w:type="dxa"/>
            <w:tcBorders>
              <w:top w:val="nil"/>
              <w:left w:val="nil"/>
              <w:bottom w:val="nil"/>
              <w:right w:val="nil"/>
            </w:tcBorders>
            <w:noWrap/>
            <w:vAlign w:val="center"/>
          </w:tcPr>
          <w:p w14:paraId="5EE3D7A3" w14:textId="77777777" w:rsidR="00FF1CE6" w:rsidRPr="00FF1CE6" w:rsidRDefault="00FF1CE6" w:rsidP="00FF1CE6">
            <w:pPr>
              <w:jc w:val="center"/>
              <w:rPr>
                <w:sz w:val="16"/>
                <w:szCs w:val="16"/>
              </w:rPr>
            </w:pPr>
            <w:r w:rsidRPr="00FF1CE6">
              <w:rPr>
                <w:sz w:val="16"/>
                <w:szCs w:val="16"/>
              </w:rPr>
              <w:t>.66</w:t>
            </w:r>
            <w:r w:rsidRPr="00FF1CE6">
              <w:rPr>
                <w:sz w:val="16"/>
                <w:szCs w:val="16"/>
                <w:vertAlign w:val="superscript"/>
              </w:rPr>
              <w:t>**</w:t>
            </w:r>
          </w:p>
        </w:tc>
        <w:tc>
          <w:tcPr>
            <w:tcW w:w="657" w:type="dxa"/>
            <w:tcBorders>
              <w:top w:val="nil"/>
              <w:left w:val="nil"/>
              <w:bottom w:val="nil"/>
              <w:right w:val="nil"/>
            </w:tcBorders>
            <w:noWrap/>
            <w:vAlign w:val="center"/>
          </w:tcPr>
          <w:p w14:paraId="5EE3D7A4"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7A5"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A6"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A7"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A8"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A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AA"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AB"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AC"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AD"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AE"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AF"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B0"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B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B2"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7B3"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B4"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B5" w14:textId="77777777" w:rsidR="00FF1CE6" w:rsidRPr="00FF1CE6" w:rsidRDefault="00FF1CE6" w:rsidP="00FF1CE6">
            <w:pPr>
              <w:jc w:val="center"/>
              <w:rPr>
                <w:sz w:val="16"/>
                <w:szCs w:val="16"/>
              </w:rPr>
            </w:pPr>
          </w:p>
        </w:tc>
      </w:tr>
      <w:tr w:rsidR="00FF1CE6" w:rsidRPr="00FF1CE6" w14:paraId="5EE3D7CE" w14:textId="77777777" w:rsidTr="00FF1CE6">
        <w:trPr>
          <w:trHeight w:val="319"/>
        </w:trPr>
        <w:tc>
          <w:tcPr>
            <w:tcW w:w="1418" w:type="dxa"/>
            <w:tcBorders>
              <w:top w:val="nil"/>
              <w:left w:val="nil"/>
              <w:bottom w:val="nil"/>
              <w:right w:val="nil"/>
            </w:tcBorders>
            <w:vAlign w:val="center"/>
          </w:tcPr>
          <w:p w14:paraId="5EE3D7B7" w14:textId="77777777" w:rsidR="00FF1CE6" w:rsidRPr="00FF1CE6" w:rsidRDefault="00FF1CE6" w:rsidP="00FF1CE6">
            <w:pPr>
              <w:rPr>
                <w:sz w:val="16"/>
                <w:szCs w:val="16"/>
              </w:rPr>
            </w:pPr>
            <w:r w:rsidRPr="00FF1CE6">
              <w:rPr>
                <w:sz w:val="16"/>
                <w:szCs w:val="16"/>
              </w:rPr>
              <w:t>6. NACE_28</w:t>
            </w:r>
          </w:p>
        </w:tc>
        <w:tc>
          <w:tcPr>
            <w:tcW w:w="657" w:type="dxa"/>
            <w:tcBorders>
              <w:top w:val="nil"/>
              <w:left w:val="nil"/>
              <w:bottom w:val="nil"/>
              <w:right w:val="nil"/>
            </w:tcBorders>
            <w:noWrap/>
            <w:vAlign w:val="center"/>
          </w:tcPr>
          <w:p w14:paraId="5EE3D7B8"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bottom w:val="nil"/>
              <w:right w:val="nil"/>
            </w:tcBorders>
            <w:noWrap/>
            <w:vAlign w:val="center"/>
          </w:tcPr>
          <w:p w14:paraId="5EE3D7B9" w14:textId="77777777" w:rsidR="00FF1CE6" w:rsidRPr="00FF1CE6" w:rsidRDefault="00FF1CE6" w:rsidP="00FF1CE6">
            <w:pPr>
              <w:jc w:val="center"/>
              <w:rPr>
                <w:sz w:val="16"/>
                <w:szCs w:val="16"/>
              </w:rPr>
            </w:pPr>
            <w:r w:rsidRPr="00FF1CE6">
              <w:rPr>
                <w:sz w:val="16"/>
                <w:szCs w:val="16"/>
              </w:rPr>
              <w:t>.12</w:t>
            </w:r>
            <w:r w:rsidRPr="00FF1CE6">
              <w:rPr>
                <w:sz w:val="16"/>
                <w:szCs w:val="16"/>
                <w:vertAlign w:val="superscript"/>
              </w:rPr>
              <w:t>*</w:t>
            </w:r>
          </w:p>
        </w:tc>
        <w:tc>
          <w:tcPr>
            <w:tcW w:w="657" w:type="dxa"/>
            <w:tcBorders>
              <w:top w:val="nil"/>
              <w:left w:val="nil"/>
              <w:bottom w:val="nil"/>
              <w:right w:val="nil"/>
            </w:tcBorders>
            <w:noWrap/>
            <w:vAlign w:val="center"/>
          </w:tcPr>
          <w:p w14:paraId="5EE3D7BA"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7BB"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7BC" w14:textId="77777777" w:rsidR="00FF1CE6" w:rsidRPr="00FF1CE6" w:rsidRDefault="00FF1CE6" w:rsidP="00FF1CE6">
            <w:pPr>
              <w:jc w:val="center"/>
              <w:rPr>
                <w:sz w:val="16"/>
                <w:szCs w:val="16"/>
              </w:rPr>
            </w:pPr>
            <w:r w:rsidRPr="00FF1CE6">
              <w:rPr>
                <w:sz w:val="16"/>
                <w:szCs w:val="16"/>
              </w:rPr>
              <w:t>.15</w:t>
            </w:r>
            <w:r w:rsidRPr="00FF1CE6">
              <w:rPr>
                <w:sz w:val="16"/>
                <w:szCs w:val="16"/>
                <w:vertAlign w:val="superscript"/>
              </w:rPr>
              <w:t>**</w:t>
            </w:r>
          </w:p>
        </w:tc>
        <w:tc>
          <w:tcPr>
            <w:tcW w:w="657" w:type="dxa"/>
            <w:tcBorders>
              <w:top w:val="nil"/>
              <w:left w:val="nil"/>
              <w:bottom w:val="nil"/>
              <w:right w:val="nil"/>
            </w:tcBorders>
            <w:noWrap/>
            <w:vAlign w:val="center"/>
          </w:tcPr>
          <w:p w14:paraId="5EE3D7BD"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7BE"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BF"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C0"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C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C2"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C3"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C4"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C5"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C6"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C7"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C8"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C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CA"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7CB"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CC"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CD" w14:textId="77777777" w:rsidR="00FF1CE6" w:rsidRPr="00FF1CE6" w:rsidRDefault="00FF1CE6" w:rsidP="00FF1CE6">
            <w:pPr>
              <w:jc w:val="center"/>
              <w:rPr>
                <w:sz w:val="16"/>
                <w:szCs w:val="16"/>
              </w:rPr>
            </w:pPr>
          </w:p>
        </w:tc>
      </w:tr>
      <w:tr w:rsidR="00FF1CE6" w:rsidRPr="00FF1CE6" w14:paraId="5EE3D7E6" w14:textId="77777777" w:rsidTr="00FF1CE6">
        <w:trPr>
          <w:trHeight w:val="319"/>
        </w:trPr>
        <w:tc>
          <w:tcPr>
            <w:tcW w:w="1418" w:type="dxa"/>
            <w:tcBorders>
              <w:top w:val="nil"/>
              <w:left w:val="nil"/>
              <w:bottom w:val="nil"/>
              <w:right w:val="nil"/>
            </w:tcBorders>
            <w:vAlign w:val="center"/>
          </w:tcPr>
          <w:p w14:paraId="5EE3D7CF" w14:textId="77777777" w:rsidR="00FF1CE6" w:rsidRPr="00FF1CE6" w:rsidRDefault="00FF1CE6" w:rsidP="00FF1CE6">
            <w:pPr>
              <w:rPr>
                <w:sz w:val="16"/>
                <w:szCs w:val="16"/>
              </w:rPr>
            </w:pPr>
            <w:r w:rsidRPr="00FF1CE6">
              <w:rPr>
                <w:sz w:val="16"/>
                <w:szCs w:val="16"/>
              </w:rPr>
              <w:t>7. NACE_25</w:t>
            </w:r>
          </w:p>
        </w:tc>
        <w:tc>
          <w:tcPr>
            <w:tcW w:w="657" w:type="dxa"/>
            <w:tcBorders>
              <w:top w:val="nil"/>
              <w:left w:val="nil"/>
              <w:bottom w:val="nil"/>
              <w:right w:val="nil"/>
            </w:tcBorders>
            <w:noWrap/>
            <w:vAlign w:val="center"/>
          </w:tcPr>
          <w:p w14:paraId="5EE3D7D0"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7D1"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7D2"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7D3"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7D4" w14:textId="77777777" w:rsidR="00FF1CE6" w:rsidRPr="00FF1CE6" w:rsidRDefault="00FF1CE6" w:rsidP="00FF1CE6">
            <w:pPr>
              <w:jc w:val="center"/>
              <w:rPr>
                <w:sz w:val="16"/>
                <w:szCs w:val="16"/>
              </w:rPr>
            </w:pPr>
            <w:r w:rsidRPr="00FF1CE6">
              <w:rPr>
                <w:sz w:val="16"/>
                <w:szCs w:val="16"/>
              </w:rPr>
              <w:t>-.17</w:t>
            </w:r>
            <w:r w:rsidRPr="00FF1CE6">
              <w:rPr>
                <w:sz w:val="16"/>
                <w:szCs w:val="16"/>
                <w:vertAlign w:val="superscript"/>
              </w:rPr>
              <w:t>**</w:t>
            </w:r>
          </w:p>
        </w:tc>
        <w:tc>
          <w:tcPr>
            <w:tcW w:w="657" w:type="dxa"/>
            <w:tcBorders>
              <w:top w:val="nil"/>
              <w:left w:val="nil"/>
              <w:bottom w:val="nil"/>
              <w:right w:val="nil"/>
            </w:tcBorders>
            <w:noWrap/>
            <w:vAlign w:val="center"/>
          </w:tcPr>
          <w:p w14:paraId="5EE3D7D5" w14:textId="77777777" w:rsidR="00FF1CE6" w:rsidRPr="00FF1CE6" w:rsidRDefault="00FF1CE6" w:rsidP="00FF1CE6">
            <w:pPr>
              <w:jc w:val="center"/>
              <w:rPr>
                <w:sz w:val="16"/>
                <w:szCs w:val="16"/>
              </w:rPr>
            </w:pPr>
            <w:r w:rsidRPr="00FF1CE6">
              <w:rPr>
                <w:sz w:val="16"/>
                <w:szCs w:val="16"/>
              </w:rPr>
              <w:t>-.22</w:t>
            </w:r>
            <w:r w:rsidRPr="00FF1CE6">
              <w:rPr>
                <w:sz w:val="16"/>
                <w:szCs w:val="16"/>
                <w:vertAlign w:val="superscript"/>
              </w:rPr>
              <w:t>**</w:t>
            </w:r>
          </w:p>
        </w:tc>
        <w:tc>
          <w:tcPr>
            <w:tcW w:w="657" w:type="dxa"/>
            <w:tcBorders>
              <w:top w:val="nil"/>
              <w:left w:val="nil"/>
              <w:bottom w:val="nil"/>
              <w:right w:val="nil"/>
            </w:tcBorders>
            <w:noWrap/>
            <w:vAlign w:val="center"/>
          </w:tcPr>
          <w:p w14:paraId="5EE3D7D6"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7D7"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D8"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D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DA"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DB"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DC"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DD"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DE"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DF"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E0"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E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E2"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7E3"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E4"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E5" w14:textId="77777777" w:rsidR="00FF1CE6" w:rsidRPr="00FF1CE6" w:rsidRDefault="00FF1CE6" w:rsidP="00FF1CE6">
            <w:pPr>
              <w:jc w:val="center"/>
              <w:rPr>
                <w:sz w:val="16"/>
                <w:szCs w:val="16"/>
              </w:rPr>
            </w:pPr>
          </w:p>
        </w:tc>
      </w:tr>
      <w:tr w:rsidR="00FF1CE6" w:rsidRPr="00FF1CE6" w14:paraId="5EE3D7FE" w14:textId="77777777" w:rsidTr="00FF1CE6">
        <w:trPr>
          <w:trHeight w:val="319"/>
        </w:trPr>
        <w:tc>
          <w:tcPr>
            <w:tcW w:w="1418" w:type="dxa"/>
            <w:tcBorders>
              <w:top w:val="nil"/>
              <w:left w:val="nil"/>
              <w:bottom w:val="nil"/>
              <w:right w:val="nil"/>
            </w:tcBorders>
            <w:vAlign w:val="center"/>
          </w:tcPr>
          <w:p w14:paraId="5EE3D7E7" w14:textId="77777777" w:rsidR="00FF1CE6" w:rsidRPr="00FF1CE6" w:rsidRDefault="00FF1CE6" w:rsidP="00FF1CE6">
            <w:pPr>
              <w:rPr>
                <w:sz w:val="16"/>
                <w:szCs w:val="16"/>
              </w:rPr>
            </w:pPr>
            <w:r w:rsidRPr="00FF1CE6">
              <w:rPr>
                <w:sz w:val="16"/>
                <w:szCs w:val="16"/>
              </w:rPr>
              <w:t>8. NACE_23</w:t>
            </w:r>
          </w:p>
        </w:tc>
        <w:tc>
          <w:tcPr>
            <w:tcW w:w="657" w:type="dxa"/>
            <w:tcBorders>
              <w:top w:val="nil"/>
              <w:left w:val="nil"/>
              <w:bottom w:val="nil"/>
              <w:right w:val="nil"/>
            </w:tcBorders>
            <w:noWrap/>
            <w:vAlign w:val="center"/>
          </w:tcPr>
          <w:p w14:paraId="5EE3D7E8" w14:textId="77777777" w:rsidR="00FF1CE6" w:rsidRPr="00FF1CE6" w:rsidRDefault="00FF1CE6" w:rsidP="00FF1CE6">
            <w:pPr>
              <w:jc w:val="center"/>
              <w:rPr>
                <w:sz w:val="16"/>
                <w:szCs w:val="16"/>
              </w:rPr>
            </w:pPr>
            <w:r w:rsidRPr="00FF1CE6">
              <w:rPr>
                <w:sz w:val="16"/>
                <w:szCs w:val="16"/>
              </w:rPr>
              <w:t>-.10</w:t>
            </w:r>
          </w:p>
        </w:tc>
        <w:tc>
          <w:tcPr>
            <w:tcW w:w="657" w:type="dxa"/>
            <w:tcBorders>
              <w:top w:val="nil"/>
              <w:left w:val="nil"/>
              <w:bottom w:val="nil"/>
              <w:right w:val="nil"/>
            </w:tcBorders>
            <w:noWrap/>
            <w:vAlign w:val="center"/>
          </w:tcPr>
          <w:p w14:paraId="5EE3D7E9"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7EA"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7EB" w14:textId="77777777" w:rsidR="00FF1CE6" w:rsidRPr="00FF1CE6" w:rsidRDefault="00FF1CE6" w:rsidP="00FF1CE6">
            <w:pPr>
              <w:jc w:val="center"/>
              <w:rPr>
                <w:sz w:val="16"/>
                <w:szCs w:val="16"/>
              </w:rPr>
            </w:pPr>
            <w:r w:rsidRPr="00FF1CE6">
              <w:rPr>
                <w:sz w:val="16"/>
                <w:szCs w:val="16"/>
              </w:rPr>
              <w:t>-.10</w:t>
            </w:r>
          </w:p>
        </w:tc>
        <w:tc>
          <w:tcPr>
            <w:tcW w:w="657" w:type="dxa"/>
            <w:tcBorders>
              <w:top w:val="nil"/>
              <w:left w:val="nil"/>
              <w:bottom w:val="nil"/>
              <w:right w:val="nil"/>
            </w:tcBorders>
            <w:noWrap/>
            <w:vAlign w:val="center"/>
          </w:tcPr>
          <w:p w14:paraId="5EE3D7EC"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7ED" w14:textId="77777777" w:rsidR="00FF1CE6" w:rsidRPr="00FF1CE6" w:rsidRDefault="00FF1CE6" w:rsidP="00FF1CE6">
            <w:pPr>
              <w:jc w:val="center"/>
              <w:rPr>
                <w:sz w:val="16"/>
                <w:szCs w:val="16"/>
              </w:rPr>
            </w:pPr>
            <w:r w:rsidRPr="00FF1CE6">
              <w:rPr>
                <w:sz w:val="16"/>
                <w:szCs w:val="16"/>
              </w:rPr>
              <w:t>-.13</w:t>
            </w:r>
            <w:r w:rsidRPr="00FF1CE6">
              <w:rPr>
                <w:sz w:val="16"/>
                <w:szCs w:val="16"/>
                <w:vertAlign w:val="superscript"/>
              </w:rPr>
              <w:t>**</w:t>
            </w:r>
          </w:p>
        </w:tc>
        <w:tc>
          <w:tcPr>
            <w:tcW w:w="657" w:type="dxa"/>
            <w:tcBorders>
              <w:top w:val="nil"/>
              <w:left w:val="nil"/>
              <w:bottom w:val="nil"/>
              <w:right w:val="nil"/>
            </w:tcBorders>
            <w:noWrap/>
            <w:vAlign w:val="center"/>
          </w:tcPr>
          <w:p w14:paraId="5EE3D7EE" w14:textId="77777777" w:rsidR="00FF1CE6" w:rsidRPr="00FF1CE6" w:rsidRDefault="00FF1CE6" w:rsidP="00FF1CE6">
            <w:pPr>
              <w:jc w:val="center"/>
              <w:rPr>
                <w:sz w:val="16"/>
                <w:szCs w:val="16"/>
              </w:rPr>
            </w:pPr>
            <w:r w:rsidRPr="00FF1CE6">
              <w:rPr>
                <w:sz w:val="16"/>
                <w:szCs w:val="16"/>
              </w:rPr>
              <w:t>-.13</w:t>
            </w:r>
            <w:r w:rsidRPr="00FF1CE6">
              <w:rPr>
                <w:sz w:val="16"/>
                <w:szCs w:val="16"/>
                <w:vertAlign w:val="superscript"/>
              </w:rPr>
              <w:t>**</w:t>
            </w:r>
          </w:p>
        </w:tc>
        <w:tc>
          <w:tcPr>
            <w:tcW w:w="657" w:type="dxa"/>
            <w:tcBorders>
              <w:top w:val="nil"/>
              <w:left w:val="nil"/>
              <w:bottom w:val="nil"/>
              <w:right w:val="nil"/>
            </w:tcBorders>
            <w:noWrap/>
            <w:vAlign w:val="center"/>
          </w:tcPr>
          <w:p w14:paraId="5EE3D7EF"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7F0"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F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F2"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F3"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F4"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F5"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F6"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F7"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F8"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F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7FA"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7FB"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FC"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7FD" w14:textId="77777777" w:rsidR="00FF1CE6" w:rsidRPr="00FF1CE6" w:rsidRDefault="00FF1CE6" w:rsidP="00FF1CE6">
            <w:pPr>
              <w:jc w:val="center"/>
              <w:rPr>
                <w:sz w:val="16"/>
                <w:szCs w:val="16"/>
              </w:rPr>
            </w:pPr>
          </w:p>
        </w:tc>
      </w:tr>
      <w:tr w:rsidR="00FF1CE6" w:rsidRPr="00FF1CE6" w14:paraId="5EE3D816" w14:textId="77777777" w:rsidTr="00FF1CE6">
        <w:trPr>
          <w:trHeight w:val="319"/>
        </w:trPr>
        <w:tc>
          <w:tcPr>
            <w:tcW w:w="1418" w:type="dxa"/>
            <w:tcBorders>
              <w:top w:val="nil"/>
              <w:left w:val="nil"/>
              <w:bottom w:val="nil"/>
              <w:right w:val="nil"/>
            </w:tcBorders>
            <w:vAlign w:val="center"/>
          </w:tcPr>
          <w:p w14:paraId="5EE3D7FF" w14:textId="77777777" w:rsidR="00FF1CE6" w:rsidRPr="00FF1CE6" w:rsidRDefault="00FF1CE6" w:rsidP="00FF1CE6">
            <w:pPr>
              <w:rPr>
                <w:sz w:val="16"/>
                <w:szCs w:val="16"/>
              </w:rPr>
            </w:pPr>
            <w:r w:rsidRPr="00FF1CE6">
              <w:rPr>
                <w:sz w:val="16"/>
                <w:szCs w:val="16"/>
              </w:rPr>
              <w:t>9. NACE_10</w:t>
            </w:r>
          </w:p>
        </w:tc>
        <w:tc>
          <w:tcPr>
            <w:tcW w:w="657" w:type="dxa"/>
            <w:tcBorders>
              <w:top w:val="nil"/>
              <w:left w:val="nil"/>
              <w:bottom w:val="nil"/>
              <w:right w:val="nil"/>
            </w:tcBorders>
            <w:noWrap/>
            <w:vAlign w:val="center"/>
          </w:tcPr>
          <w:p w14:paraId="5EE3D800" w14:textId="77777777" w:rsidR="00FF1CE6" w:rsidRPr="00FF1CE6" w:rsidRDefault="00FF1CE6" w:rsidP="00FF1CE6">
            <w:pPr>
              <w:jc w:val="center"/>
              <w:rPr>
                <w:sz w:val="16"/>
                <w:szCs w:val="16"/>
              </w:rPr>
            </w:pPr>
            <w:r w:rsidRPr="00FF1CE6">
              <w:rPr>
                <w:sz w:val="16"/>
                <w:szCs w:val="16"/>
              </w:rPr>
              <w:t>.10</w:t>
            </w:r>
            <w:r w:rsidRPr="00FF1CE6">
              <w:rPr>
                <w:sz w:val="16"/>
                <w:szCs w:val="16"/>
                <w:vertAlign w:val="superscript"/>
              </w:rPr>
              <w:t>*</w:t>
            </w:r>
          </w:p>
        </w:tc>
        <w:tc>
          <w:tcPr>
            <w:tcW w:w="657" w:type="dxa"/>
            <w:tcBorders>
              <w:top w:val="nil"/>
              <w:left w:val="nil"/>
              <w:bottom w:val="nil"/>
              <w:right w:val="nil"/>
            </w:tcBorders>
            <w:noWrap/>
            <w:vAlign w:val="center"/>
          </w:tcPr>
          <w:p w14:paraId="5EE3D801"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802"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803"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804"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05" w14:textId="77777777" w:rsidR="00FF1CE6" w:rsidRPr="00FF1CE6" w:rsidRDefault="00FF1CE6" w:rsidP="00FF1CE6">
            <w:pPr>
              <w:jc w:val="center"/>
              <w:rPr>
                <w:sz w:val="16"/>
                <w:szCs w:val="16"/>
              </w:rPr>
            </w:pPr>
            <w:r w:rsidRPr="00FF1CE6">
              <w:rPr>
                <w:sz w:val="16"/>
                <w:szCs w:val="16"/>
              </w:rPr>
              <w:t>-.13</w:t>
            </w:r>
            <w:r w:rsidRPr="00FF1CE6">
              <w:rPr>
                <w:sz w:val="16"/>
                <w:szCs w:val="16"/>
                <w:vertAlign w:val="superscript"/>
              </w:rPr>
              <w:t>**</w:t>
            </w:r>
          </w:p>
        </w:tc>
        <w:tc>
          <w:tcPr>
            <w:tcW w:w="657" w:type="dxa"/>
            <w:tcBorders>
              <w:top w:val="nil"/>
              <w:left w:val="nil"/>
              <w:bottom w:val="nil"/>
              <w:right w:val="nil"/>
            </w:tcBorders>
            <w:noWrap/>
            <w:vAlign w:val="center"/>
          </w:tcPr>
          <w:p w14:paraId="5EE3D806" w14:textId="77777777" w:rsidR="00FF1CE6" w:rsidRPr="00FF1CE6" w:rsidRDefault="00FF1CE6" w:rsidP="00FF1CE6">
            <w:pPr>
              <w:jc w:val="center"/>
              <w:rPr>
                <w:sz w:val="16"/>
                <w:szCs w:val="16"/>
              </w:rPr>
            </w:pPr>
            <w:r w:rsidRPr="00FF1CE6">
              <w:rPr>
                <w:sz w:val="16"/>
                <w:szCs w:val="16"/>
              </w:rPr>
              <w:t>-.13</w:t>
            </w:r>
            <w:r w:rsidRPr="00FF1CE6">
              <w:rPr>
                <w:sz w:val="16"/>
                <w:szCs w:val="16"/>
                <w:vertAlign w:val="superscript"/>
              </w:rPr>
              <w:t>**</w:t>
            </w:r>
          </w:p>
        </w:tc>
        <w:tc>
          <w:tcPr>
            <w:tcW w:w="657" w:type="dxa"/>
            <w:tcBorders>
              <w:top w:val="nil"/>
              <w:left w:val="nil"/>
              <w:bottom w:val="nil"/>
              <w:right w:val="nil"/>
            </w:tcBorders>
            <w:noWrap/>
            <w:vAlign w:val="center"/>
          </w:tcPr>
          <w:p w14:paraId="5EE3D807"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808"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80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0A"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0B"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0C"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0D"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0E"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0F"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10"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1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12"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813"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14"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15" w14:textId="77777777" w:rsidR="00FF1CE6" w:rsidRPr="00FF1CE6" w:rsidRDefault="00FF1CE6" w:rsidP="00FF1CE6">
            <w:pPr>
              <w:jc w:val="center"/>
              <w:rPr>
                <w:sz w:val="16"/>
                <w:szCs w:val="16"/>
              </w:rPr>
            </w:pPr>
          </w:p>
        </w:tc>
      </w:tr>
      <w:tr w:rsidR="00FF1CE6" w:rsidRPr="00FF1CE6" w14:paraId="5EE3D82E" w14:textId="77777777" w:rsidTr="00FF1CE6">
        <w:trPr>
          <w:trHeight w:val="319"/>
        </w:trPr>
        <w:tc>
          <w:tcPr>
            <w:tcW w:w="1418" w:type="dxa"/>
            <w:tcBorders>
              <w:top w:val="nil"/>
              <w:left w:val="nil"/>
              <w:bottom w:val="nil"/>
              <w:right w:val="nil"/>
            </w:tcBorders>
            <w:vAlign w:val="center"/>
          </w:tcPr>
          <w:p w14:paraId="5EE3D817" w14:textId="77777777" w:rsidR="00FF1CE6" w:rsidRPr="00FF1CE6" w:rsidRDefault="00FF1CE6" w:rsidP="00FF1CE6">
            <w:pPr>
              <w:rPr>
                <w:sz w:val="16"/>
                <w:szCs w:val="16"/>
              </w:rPr>
            </w:pPr>
            <w:r w:rsidRPr="00FF1CE6">
              <w:rPr>
                <w:sz w:val="16"/>
                <w:szCs w:val="16"/>
              </w:rPr>
              <w:t>10. NACE_32</w:t>
            </w:r>
          </w:p>
        </w:tc>
        <w:tc>
          <w:tcPr>
            <w:tcW w:w="657" w:type="dxa"/>
            <w:tcBorders>
              <w:top w:val="nil"/>
              <w:left w:val="nil"/>
              <w:bottom w:val="nil"/>
              <w:right w:val="nil"/>
            </w:tcBorders>
            <w:noWrap/>
            <w:vAlign w:val="center"/>
          </w:tcPr>
          <w:p w14:paraId="5EE3D818"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819"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81A"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81B" w14:textId="77777777" w:rsidR="00FF1CE6" w:rsidRPr="00FF1CE6" w:rsidRDefault="00FF1CE6" w:rsidP="00FF1CE6">
            <w:pPr>
              <w:jc w:val="center"/>
              <w:rPr>
                <w:sz w:val="16"/>
                <w:szCs w:val="16"/>
              </w:rPr>
            </w:pPr>
            <w:r w:rsidRPr="00FF1CE6">
              <w:rPr>
                <w:sz w:val="16"/>
                <w:szCs w:val="16"/>
              </w:rPr>
              <w:t>.11</w:t>
            </w:r>
            <w:r w:rsidRPr="00FF1CE6">
              <w:rPr>
                <w:sz w:val="16"/>
                <w:szCs w:val="16"/>
                <w:vertAlign w:val="superscript"/>
              </w:rPr>
              <w:t>*</w:t>
            </w:r>
          </w:p>
        </w:tc>
        <w:tc>
          <w:tcPr>
            <w:tcW w:w="657" w:type="dxa"/>
            <w:tcBorders>
              <w:top w:val="nil"/>
              <w:left w:val="nil"/>
              <w:bottom w:val="nil"/>
              <w:right w:val="nil"/>
            </w:tcBorders>
            <w:noWrap/>
            <w:vAlign w:val="center"/>
          </w:tcPr>
          <w:p w14:paraId="5EE3D81C" w14:textId="77777777" w:rsidR="00FF1CE6" w:rsidRPr="00FF1CE6" w:rsidRDefault="00FF1CE6" w:rsidP="00FF1CE6">
            <w:pPr>
              <w:jc w:val="center"/>
              <w:rPr>
                <w:sz w:val="16"/>
                <w:szCs w:val="16"/>
              </w:rPr>
            </w:pPr>
            <w:r w:rsidRPr="00FF1CE6">
              <w:rPr>
                <w:sz w:val="16"/>
                <w:szCs w:val="16"/>
              </w:rPr>
              <w:t>.12</w:t>
            </w:r>
            <w:r w:rsidRPr="00FF1CE6">
              <w:rPr>
                <w:sz w:val="16"/>
                <w:szCs w:val="16"/>
                <w:vertAlign w:val="superscript"/>
              </w:rPr>
              <w:t>*</w:t>
            </w:r>
          </w:p>
        </w:tc>
        <w:tc>
          <w:tcPr>
            <w:tcW w:w="657" w:type="dxa"/>
            <w:tcBorders>
              <w:top w:val="nil"/>
              <w:left w:val="nil"/>
              <w:bottom w:val="nil"/>
              <w:right w:val="nil"/>
            </w:tcBorders>
            <w:noWrap/>
            <w:vAlign w:val="center"/>
          </w:tcPr>
          <w:p w14:paraId="5EE3D81D" w14:textId="77777777" w:rsidR="00FF1CE6" w:rsidRPr="00FF1CE6" w:rsidRDefault="00FF1CE6" w:rsidP="00FF1CE6">
            <w:pPr>
              <w:jc w:val="center"/>
              <w:rPr>
                <w:sz w:val="16"/>
                <w:szCs w:val="16"/>
              </w:rPr>
            </w:pPr>
            <w:r w:rsidRPr="00FF1CE6">
              <w:rPr>
                <w:sz w:val="16"/>
                <w:szCs w:val="16"/>
              </w:rPr>
              <w:t>-.12</w:t>
            </w:r>
            <w:r w:rsidRPr="00FF1CE6">
              <w:rPr>
                <w:sz w:val="16"/>
                <w:szCs w:val="16"/>
                <w:vertAlign w:val="superscript"/>
              </w:rPr>
              <w:t>*</w:t>
            </w:r>
          </w:p>
        </w:tc>
        <w:tc>
          <w:tcPr>
            <w:tcW w:w="657" w:type="dxa"/>
            <w:tcBorders>
              <w:top w:val="nil"/>
              <w:left w:val="nil"/>
              <w:bottom w:val="nil"/>
              <w:right w:val="nil"/>
            </w:tcBorders>
            <w:noWrap/>
            <w:vAlign w:val="center"/>
          </w:tcPr>
          <w:p w14:paraId="5EE3D81E" w14:textId="77777777" w:rsidR="00FF1CE6" w:rsidRPr="00FF1CE6" w:rsidRDefault="00FF1CE6" w:rsidP="00FF1CE6">
            <w:pPr>
              <w:jc w:val="center"/>
              <w:rPr>
                <w:sz w:val="16"/>
                <w:szCs w:val="16"/>
              </w:rPr>
            </w:pPr>
            <w:r w:rsidRPr="00FF1CE6">
              <w:rPr>
                <w:sz w:val="16"/>
                <w:szCs w:val="16"/>
              </w:rPr>
              <w:t>-.12</w:t>
            </w:r>
            <w:r w:rsidRPr="00FF1CE6">
              <w:rPr>
                <w:sz w:val="16"/>
                <w:szCs w:val="16"/>
                <w:vertAlign w:val="superscript"/>
              </w:rPr>
              <w:t>*</w:t>
            </w:r>
          </w:p>
        </w:tc>
        <w:tc>
          <w:tcPr>
            <w:tcW w:w="657" w:type="dxa"/>
            <w:tcBorders>
              <w:top w:val="nil"/>
              <w:left w:val="nil"/>
              <w:bottom w:val="nil"/>
              <w:right w:val="nil"/>
            </w:tcBorders>
            <w:noWrap/>
            <w:vAlign w:val="center"/>
          </w:tcPr>
          <w:p w14:paraId="5EE3D81F"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20"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21"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822"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23"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24"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25"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26"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27"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28"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2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2A"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82B"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2C"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2D" w14:textId="77777777" w:rsidR="00FF1CE6" w:rsidRPr="00FF1CE6" w:rsidRDefault="00FF1CE6" w:rsidP="00FF1CE6">
            <w:pPr>
              <w:jc w:val="center"/>
              <w:rPr>
                <w:sz w:val="16"/>
                <w:szCs w:val="16"/>
              </w:rPr>
            </w:pPr>
          </w:p>
        </w:tc>
      </w:tr>
      <w:tr w:rsidR="00FF1CE6" w:rsidRPr="00FF1CE6" w14:paraId="5EE3D846" w14:textId="77777777" w:rsidTr="00FF1CE6">
        <w:trPr>
          <w:trHeight w:val="319"/>
        </w:trPr>
        <w:tc>
          <w:tcPr>
            <w:tcW w:w="1418" w:type="dxa"/>
            <w:tcBorders>
              <w:top w:val="nil"/>
              <w:left w:val="nil"/>
              <w:bottom w:val="nil"/>
              <w:right w:val="nil"/>
            </w:tcBorders>
            <w:vAlign w:val="center"/>
          </w:tcPr>
          <w:p w14:paraId="5EE3D82F" w14:textId="77777777" w:rsidR="00FF1CE6" w:rsidRPr="00FF1CE6" w:rsidRDefault="00FF1CE6" w:rsidP="00FF1CE6">
            <w:pPr>
              <w:rPr>
                <w:sz w:val="16"/>
                <w:szCs w:val="16"/>
              </w:rPr>
            </w:pPr>
            <w:r w:rsidRPr="00FF1CE6">
              <w:rPr>
                <w:sz w:val="16"/>
                <w:szCs w:val="16"/>
              </w:rPr>
              <w:t>11. NACE_31</w:t>
            </w:r>
          </w:p>
        </w:tc>
        <w:tc>
          <w:tcPr>
            <w:tcW w:w="657" w:type="dxa"/>
            <w:tcBorders>
              <w:top w:val="nil"/>
              <w:left w:val="nil"/>
              <w:bottom w:val="nil"/>
              <w:right w:val="nil"/>
            </w:tcBorders>
            <w:noWrap/>
            <w:vAlign w:val="center"/>
          </w:tcPr>
          <w:p w14:paraId="5EE3D830"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831"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832"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833"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834" w14:textId="77777777" w:rsidR="00FF1CE6" w:rsidRPr="00FF1CE6" w:rsidRDefault="00FF1CE6" w:rsidP="00FF1CE6">
            <w:pPr>
              <w:jc w:val="center"/>
              <w:rPr>
                <w:sz w:val="16"/>
                <w:szCs w:val="16"/>
              </w:rPr>
            </w:pPr>
            <w:r w:rsidRPr="00FF1CE6">
              <w:rPr>
                <w:sz w:val="16"/>
                <w:szCs w:val="16"/>
              </w:rPr>
              <w:t>-.11</w:t>
            </w:r>
            <w:r w:rsidRPr="00FF1CE6">
              <w:rPr>
                <w:sz w:val="16"/>
                <w:szCs w:val="16"/>
                <w:vertAlign w:val="superscript"/>
              </w:rPr>
              <w:t>*</w:t>
            </w:r>
          </w:p>
        </w:tc>
        <w:tc>
          <w:tcPr>
            <w:tcW w:w="657" w:type="dxa"/>
            <w:tcBorders>
              <w:top w:val="nil"/>
              <w:left w:val="nil"/>
              <w:bottom w:val="nil"/>
              <w:right w:val="nil"/>
            </w:tcBorders>
            <w:noWrap/>
            <w:vAlign w:val="center"/>
          </w:tcPr>
          <w:p w14:paraId="5EE3D835" w14:textId="77777777" w:rsidR="00FF1CE6" w:rsidRPr="00FF1CE6" w:rsidRDefault="00FF1CE6" w:rsidP="00FF1CE6">
            <w:pPr>
              <w:jc w:val="center"/>
              <w:rPr>
                <w:sz w:val="16"/>
                <w:szCs w:val="16"/>
              </w:rPr>
            </w:pPr>
            <w:r w:rsidRPr="00FF1CE6">
              <w:rPr>
                <w:sz w:val="16"/>
                <w:szCs w:val="16"/>
              </w:rPr>
              <w:t>-.12</w:t>
            </w:r>
            <w:r w:rsidRPr="00FF1CE6">
              <w:rPr>
                <w:sz w:val="16"/>
                <w:szCs w:val="16"/>
                <w:vertAlign w:val="superscript"/>
              </w:rPr>
              <w:t>*</w:t>
            </w:r>
          </w:p>
        </w:tc>
        <w:tc>
          <w:tcPr>
            <w:tcW w:w="657" w:type="dxa"/>
            <w:tcBorders>
              <w:top w:val="nil"/>
              <w:left w:val="nil"/>
              <w:bottom w:val="nil"/>
              <w:right w:val="nil"/>
            </w:tcBorders>
            <w:noWrap/>
            <w:vAlign w:val="center"/>
          </w:tcPr>
          <w:p w14:paraId="5EE3D836" w14:textId="77777777" w:rsidR="00FF1CE6" w:rsidRPr="00FF1CE6" w:rsidRDefault="00FF1CE6" w:rsidP="00FF1CE6">
            <w:pPr>
              <w:jc w:val="center"/>
              <w:rPr>
                <w:sz w:val="16"/>
                <w:szCs w:val="16"/>
              </w:rPr>
            </w:pPr>
            <w:r w:rsidRPr="00FF1CE6">
              <w:rPr>
                <w:sz w:val="16"/>
                <w:szCs w:val="16"/>
              </w:rPr>
              <w:t>-.11</w:t>
            </w:r>
            <w:r w:rsidRPr="00FF1CE6">
              <w:rPr>
                <w:sz w:val="16"/>
                <w:szCs w:val="16"/>
                <w:vertAlign w:val="superscript"/>
              </w:rPr>
              <w:t>*</w:t>
            </w:r>
          </w:p>
        </w:tc>
        <w:tc>
          <w:tcPr>
            <w:tcW w:w="657" w:type="dxa"/>
            <w:tcBorders>
              <w:top w:val="nil"/>
              <w:left w:val="nil"/>
              <w:bottom w:val="nil"/>
              <w:right w:val="nil"/>
            </w:tcBorders>
            <w:noWrap/>
            <w:vAlign w:val="center"/>
          </w:tcPr>
          <w:p w14:paraId="5EE3D837"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38"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39"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83A"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83B"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3C"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3D"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3E"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3F"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40"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4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42"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843"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44"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45" w14:textId="77777777" w:rsidR="00FF1CE6" w:rsidRPr="00FF1CE6" w:rsidRDefault="00FF1CE6" w:rsidP="00FF1CE6">
            <w:pPr>
              <w:jc w:val="center"/>
              <w:rPr>
                <w:sz w:val="16"/>
                <w:szCs w:val="16"/>
              </w:rPr>
            </w:pPr>
          </w:p>
        </w:tc>
      </w:tr>
      <w:tr w:rsidR="00FF1CE6" w:rsidRPr="00FF1CE6" w14:paraId="5EE3D85E" w14:textId="77777777" w:rsidTr="00FF1CE6">
        <w:trPr>
          <w:trHeight w:val="319"/>
        </w:trPr>
        <w:tc>
          <w:tcPr>
            <w:tcW w:w="1418" w:type="dxa"/>
            <w:tcBorders>
              <w:top w:val="nil"/>
              <w:left w:val="nil"/>
              <w:bottom w:val="nil"/>
              <w:right w:val="nil"/>
            </w:tcBorders>
            <w:vAlign w:val="center"/>
          </w:tcPr>
          <w:p w14:paraId="5EE3D847" w14:textId="77777777" w:rsidR="00FF1CE6" w:rsidRPr="00FF1CE6" w:rsidRDefault="00FF1CE6" w:rsidP="00FF1CE6">
            <w:pPr>
              <w:rPr>
                <w:sz w:val="16"/>
                <w:szCs w:val="16"/>
              </w:rPr>
            </w:pPr>
            <w:r w:rsidRPr="00FF1CE6">
              <w:rPr>
                <w:sz w:val="16"/>
                <w:szCs w:val="16"/>
              </w:rPr>
              <w:t>12. NACE_22</w:t>
            </w:r>
          </w:p>
        </w:tc>
        <w:tc>
          <w:tcPr>
            <w:tcW w:w="657" w:type="dxa"/>
            <w:tcBorders>
              <w:top w:val="nil"/>
              <w:left w:val="nil"/>
              <w:bottom w:val="nil"/>
              <w:right w:val="nil"/>
            </w:tcBorders>
            <w:noWrap/>
            <w:vAlign w:val="center"/>
          </w:tcPr>
          <w:p w14:paraId="5EE3D848"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849"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84A"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84B"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4C"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4D" w14:textId="77777777" w:rsidR="00FF1CE6" w:rsidRPr="00FF1CE6" w:rsidRDefault="00FF1CE6" w:rsidP="00FF1CE6">
            <w:pPr>
              <w:jc w:val="center"/>
              <w:rPr>
                <w:sz w:val="16"/>
                <w:szCs w:val="16"/>
              </w:rPr>
            </w:pPr>
            <w:r w:rsidRPr="00FF1CE6">
              <w:rPr>
                <w:sz w:val="16"/>
                <w:szCs w:val="16"/>
              </w:rPr>
              <w:t>-.11</w:t>
            </w:r>
            <w:r w:rsidRPr="00FF1CE6">
              <w:rPr>
                <w:sz w:val="16"/>
                <w:szCs w:val="16"/>
                <w:vertAlign w:val="superscript"/>
              </w:rPr>
              <w:t>*</w:t>
            </w:r>
          </w:p>
        </w:tc>
        <w:tc>
          <w:tcPr>
            <w:tcW w:w="657" w:type="dxa"/>
            <w:tcBorders>
              <w:top w:val="nil"/>
              <w:left w:val="nil"/>
              <w:bottom w:val="nil"/>
              <w:right w:val="nil"/>
            </w:tcBorders>
            <w:noWrap/>
            <w:vAlign w:val="center"/>
          </w:tcPr>
          <w:p w14:paraId="5EE3D84E" w14:textId="77777777" w:rsidR="00FF1CE6" w:rsidRPr="00FF1CE6" w:rsidRDefault="00FF1CE6" w:rsidP="00FF1CE6">
            <w:pPr>
              <w:jc w:val="center"/>
              <w:rPr>
                <w:sz w:val="16"/>
                <w:szCs w:val="16"/>
              </w:rPr>
            </w:pPr>
            <w:r w:rsidRPr="00FF1CE6">
              <w:rPr>
                <w:sz w:val="16"/>
                <w:szCs w:val="16"/>
              </w:rPr>
              <w:t>-.11</w:t>
            </w:r>
            <w:r w:rsidRPr="00FF1CE6">
              <w:rPr>
                <w:sz w:val="16"/>
                <w:szCs w:val="16"/>
                <w:vertAlign w:val="superscript"/>
              </w:rPr>
              <w:t>*</w:t>
            </w:r>
          </w:p>
        </w:tc>
        <w:tc>
          <w:tcPr>
            <w:tcW w:w="657" w:type="dxa"/>
            <w:tcBorders>
              <w:top w:val="nil"/>
              <w:left w:val="nil"/>
              <w:bottom w:val="nil"/>
              <w:right w:val="nil"/>
            </w:tcBorders>
            <w:noWrap/>
            <w:vAlign w:val="center"/>
          </w:tcPr>
          <w:p w14:paraId="5EE3D84F"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50"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851"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852"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853"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854"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55"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56"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57"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58"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5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5A"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85B"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5C"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5D" w14:textId="77777777" w:rsidR="00FF1CE6" w:rsidRPr="00FF1CE6" w:rsidRDefault="00FF1CE6" w:rsidP="00FF1CE6">
            <w:pPr>
              <w:jc w:val="center"/>
              <w:rPr>
                <w:sz w:val="16"/>
                <w:szCs w:val="16"/>
              </w:rPr>
            </w:pPr>
          </w:p>
        </w:tc>
      </w:tr>
      <w:tr w:rsidR="00FF1CE6" w:rsidRPr="00FF1CE6" w14:paraId="5EE3D876" w14:textId="77777777" w:rsidTr="00FF1CE6">
        <w:trPr>
          <w:trHeight w:val="319"/>
        </w:trPr>
        <w:tc>
          <w:tcPr>
            <w:tcW w:w="1418" w:type="dxa"/>
            <w:tcBorders>
              <w:top w:val="nil"/>
              <w:left w:val="nil"/>
              <w:bottom w:val="nil"/>
              <w:right w:val="nil"/>
            </w:tcBorders>
            <w:vAlign w:val="center"/>
          </w:tcPr>
          <w:p w14:paraId="5EE3D85F" w14:textId="77777777" w:rsidR="00FF1CE6" w:rsidRPr="00FF1CE6" w:rsidRDefault="00FF1CE6" w:rsidP="00FF1CE6">
            <w:pPr>
              <w:rPr>
                <w:sz w:val="16"/>
                <w:szCs w:val="16"/>
              </w:rPr>
            </w:pPr>
            <w:r w:rsidRPr="00FF1CE6">
              <w:rPr>
                <w:sz w:val="16"/>
                <w:szCs w:val="16"/>
              </w:rPr>
              <w:t xml:space="preserve">13. </w:t>
            </w:r>
            <w:r w:rsidRPr="00FF1CE6">
              <w:rPr>
                <w:sz w:val="16"/>
                <w:szCs w:val="16"/>
                <w:lang w:val="it-IT" w:eastAsia="en-US"/>
              </w:rPr>
              <w:t>Asset specificity (R&amp;D)</w:t>
            </w:r>
          </w:p>
        </w:tc>
        <w:tc>
          <w:tcPr>
            <w:tcW w:w="657" w:type="dxa"/>
            <w:tcBorders>
              <w:top w:val="nil"/>
              <w:left w:val="nil"/>
              <w:bottom w:val="nil"/>
              <w:right w:val="nil"/>
            </w:tcBorders>
            <w:noWrap/>
            <w:vAlign w:val="center"/>
          </w:tcPr>
          <w:p w14:paraId="5EE3D860"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861"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bottom w:val="nil"/>
              <w:right w:val="nil"/>
            </w:tcBorders>
            <w:noWrap/>
            <w:vAlign w:val="center"/>
          </w:tcPr>
          <w:p w14:paraId="5EE3D862"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63" w14:textId="77777777" w:rsidR="00FF1CE6" w:rsidRPr="00FF1CE6" w:rsidRDefault="00FF1CE6" w:rsidP="00FF1CE6">
            <w:pPr>
              <w:jc w:val="center"/>
              <w:rPr>
                <w:sz w:val="16"/>
                <w:szCs w:val="16"/>
              </w:rPr>
            </w:pPr>
            <w:r w:rsidRPr="00FF1CE6">
              <w:rPr>
                <w:sz w:val="16"/>
                <w:szCs w:val="16"/>
              </w:rPr>
              <w:t>.14</w:t>
            </w:r>
            <w:r w:rsidRPr="00FF1CE6">
              <w:rPr>
                <w:sz w:val="16"/>
                <w:szCs w:val="16"/>
                <w:vertAlign w:val="superscript"/>
              </w:rPr>
              <w:t>**</w:t>
            </w:r>
          </w:p>
        </w:tc>
        <w:tc>
          <w:tcPr>
            <w:tcW w:w="657" w:type="dxa"/>
            <w:tcBorders>
              <w:top w:val="nil"/>
              <w:left w:val="nil"/>
              <w:bottom w:val="nil"/>
              <w:right w:val="nil"/>
            </w:tcBorders>
            <w:noWrap/>
            <w:vAlign w:val="center"/>
          </w:tcPr>
          <w:p w14:paraId="5EE3D864" w14:textId="77777777" w:rsidR="00FF1CE6" w:rsidRPr="00FF1CE6" w:rsidRDefault="00FF1CE6" w:rsidP="00FF1CE6">
            <w:pPr>
              <w:jc w:val="center"/>
              <w:rPr>
                <w:sz w:val="16"/>
                <w:szCs w:val="16"/>
              </w:rPr>
            </w:pPr>
            <w:r w:rsidRPr="00FF1CE6">
              <w:rPr>
                <w:sz w:val="16"/>
                <w:szCs w:val="16"/>
              </w:rPr>
              <w:t>.17</w:t>
            </w:r>
            <w:r w:rsidRPr="00FF1CE6">
              <w:rPr>
                <w:sz w:val="16"/>
                <w:szCs w:val="16"/>
                <w:vertAlign w:val="superscript"/>
              </w:rPr>
              <w:t>**</w:t>
            </w:r>
          </w:p>
        </w:tc>
        <w:tc>
          <w:tcPr>
            <w:tcW w:w="657" w:type="dxa"/>
            <w:tcBorders>
              <w:top w:val="nil"/>
              <w:left w:val="nil"/>
              <w:bottom w:val="nil"/>
              <w:right w:val="nil"/>
            </w:tcBorders>
            <w:noWrap/>
            <w:vAlign w:val="center"/>
          </w:tcPr>
          <w:p w14:paraId="5EE3D865"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bottom w:val="nil"/>
              <w:right w:val="nil"/>
            </w:tcBorders>
            <w:noWrap/>
            <w:vAlign w:val="center"/>
          </w:tcPr>
          <w:p w14:paraId="5EE3D866"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67" w14:textId="77777777" w:rsidR="00FF1CE6" w:rsidRPr="00FF1CE6" w:rsidRDefault="00FF1CE6" w:rsidP="00FF1CE6">
            <w:pPr>
              <w:jc w:val="center"/>
              <w:rPr>
                <w:sz w:val="16"/>
                <w:szCs w:val="16"/>
              </w:rPr>
            </w:pPr>
            <w:r w:rsidRPr="00FF1CE6">
              <w:rPr>
                <w:sz w:val="16"/>
                <w:szCs w:val="16"/>
              </w:rPr>
              <w:t>-.12</w:t>
            </w:r>
            <w:r w:rsidRPr="00FF1CE6">
              <w:rPr>
                <w:sz w:val="16"/>
                <w:szCs w:val="16"/>
                <w:vertAlign w:val="superscript"/>
              </w:rPr>
              <w:t>*</w:t>
            </w:r>
          </w:p>
        </w:tc>
        <w:tc>
          <w:tcPr>
            <w:tcW w:w="657" w:type="dxa"/>
            <w:tcBorders>
              <w:top w:val="nil"/>
              <w:left w:val="nil"/>
              <w:bottom w:val="nil"/>
              <w:right w:val="nil"/>
            </w:tcBorders>
            <w:noWrap/>
            <w:vAlign w:val="center"/>
          </w:tcPr>
          <w:p w14:paraId="5EE3D868" w14:textId="77777777" w:rsidR="00FF1CE6" w:rsidRPr="00FF1CE6" w:rsidRDefault="00FF1CE6" w:rsidP="00FF1CE6">
            <w:pPr>
              <w:jc w:val="center"/>
              <w:rPr>
                <w:sz w:val="16"/>
                <w:szCs w:val="16"/>
              </w:rPr>
            </w:pPr>
            <w:r w:rsidRPr="00FF1CE6">
              <w:rPr>
                <w:sz w:val="16"/>
                <w:szCs w:val="16"/>
              </w:rPr>
              <w:t>-.12</w:t>
            </w:r>
            <w:r w:rsidRPr="00FF1CE6">
              <w:rPr>
                <w:sz w:val="16"/>
                <w:szCs w:val="16"/>
                <w:vertAlign w:val="superscript"/>
              </w:rPr>
              <w:t>*</w:t>
            </w:r>
          </w:p>
        </w:tc>
        <w:tc>
          <w:tcPr>
            <w:tcW w:w="657" w:type="dxa"/>
            <w:tcBorders>
              <w:top w:val="nil"/>
              <w:left w:val="nil"/>
              <w:bottom w:val="nil"/>
              <w:right w:val="nil"/>
            </w:tcBorders>
            <w:noWrap/>
            <w:vAlign w:val="center"/>
          </w:tcPr>
          <w:p w14:paraId="5EE3D869"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6A"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86B"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6C"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86D"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6E"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6F"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70"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7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72"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873"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74"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75" w14:textId="77777777" w:rsidR="00FF1CE6" w:rsidRPr="00FF1CE6" w:rsidRDefault="00FF1CE6" w:rsidP="00FF1CE6">
            <w:pPr>
              <w:jc w:val="center"/>
              <w:rPr>
                <w:sz w:val="16"/>
                <w:szCs w:val="16"/>
              </w:rPr>
            </w:pPr>
          </w:p>
        </w:tc>
      </w:tr>
      <w:tr w:rsidR="00FF1CE6" w:rsidRPr="00FF1CE6" w14:paraId="5EE3D88E" w14:textId="77777777" w:rsidTr="00FF1CE6">
        <w:trPr>
          <w:trHeight w:val="319"/>
        </w:trPr>
        <w:tc>
          <w:tcPr>
            <w:tcW w:w="1418" w:type="dxa"/>
            <w:tcBorders>
              <w:top w:val="nil"/>
              <w:left w:val="nil"/>
              <w:bottom w:val="nil"/>
              <w:right w:val="nil"/>
            </w:tcBorders>
            <w:vAlign w:val="center"/>
          </w:tcPr>
          <w:p w14:paraId="5EE3D877" w14:textId="77777777" w:rsidR="00FF1CE6" w:rsidRPr="00FF1CE6" w:rsidRDefault="00FF1CE6" w:rsidP="00FF1CE6">
            <w:pPr>
              <w:rPr>
                <w:sz w:val="16"/>
                <w:szCs w:val="16"/>
              </w:rPr>
            </w:pPr>
            <w:r w:rsidRPr="00FF1CE6">
              <w:rPr>
                <w:sz w:val="16"/>
                <w:szCs w:val="16"/>
              </w:rPr>
              <w:t>14. Internal uncertainty</w:t>
            </w:r>
          </w:p>
        </w:tc>
        <w:tc>
          <w:tcPr>
            <w:tcW w:w="657" w:type="dxa"/>
            <w:tcBorders>
              <w:top w:val="nil"/>
              <w:left w:val="nil"/>
              <w:bottom w:val="nil"/>
              <w:right w:val="nil"/>
            </w:tcBorders>
            <w:noWrap/>
            <w:vAlign w:val="center"/>
          </w:tcPr>
          <w:p w14:paraId="5EE3D878" w14:textId="77777777" w:rsidR="00FF1CE6" w:rsidRPr="00FF1CE6" w:rsidRDefault="00FF1CE6" w:rsidP="00FF1CE6">
            <w:pPr>
              <w:jc w:val="center"/>
              <w:rPr>
                <w:sz w:val="16"/>
                <w:szCs w:val="16"/>
              </w:rPr>
            </w:pPr>
            <w:r w:rsidRPr="00FF1CE6">
              <w:rPr>
                <w:sz w:val="16"/>
                <w:szCs w:val="16"/>
              </w:rPr>
              <w:t>-.20</w:t>
            </w:r>
            <w:r w:rsidRPr="00FF1CE6">
              <w:rPr>
                <w:sz w:val="16"/>
                <w:szCs w:val="16"/>
                <w:vertAlign w:val="superscript"/>
              </w:rPr>
              <w:t>**</w:t>
            </w:r>
          </w:p>
        </w:tc>
        <w:tc>
          <w:tcPr>
            <w:tcW w:w="657" w:type="dxa"/>
            <w:tcBorders>
              <w:top w:val="nil"/>
              <w:left w:val="nil"/>
              <w:bottom w:val="nil"/>
              <w:right w:val="nil"/>
            </w:tcBorders>
            <w:noWrap/>
            <w:vAlign w:val="center"/>
          </w:tcPr>
          <w:p w14:paraId="5EE3D879"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87A"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87B"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87C"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bottom w:val="nil"/>
              <w:right w:val="nil"/>
            </w:tcBorders>
            <w:noWrap/>
            <w:vAlign w:val="center"/>
          </w:tcPr>
          <w:p w14:paraId="5EE3D87D"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7E" w14:textId="77777777" w:rsidR="00FF1CE6" w:rsidRPr="00FF1CE6" w:rsidRDefault="00FF1CE6" w:rsidP="00FF1CE6">
            <w:pPr>
              <w:jc w:val="center"/>
              <w:rPr>
                <w:sz w:val="16"/>
                <w:szCs w:val="16"/>
              </w:rPr>
            </w:pPr>
            <w:r w:rsidRPr="00FF1CE6">
              <w:rPr>
                <w:sz w:val="16"/>
                <w:szCs w:val="16"/>
              </w:rPr>
              <w:t>.10</w:t>
            </w:r>
          </w:p>
        </w:tc>
        <w:tc>
          <w:tcPr>
            <w:tcW w:w="657" w:type="dxa"/>
            <w:tcBorders>
              <w:top w:val="nil"/>
              <w:left w:val="nil"/>
              <w:bottom w:val="nil"/>
              <w:right w:val="nil"/>
            </w:tcBorders>
            <w:noWrap/>
            <w:vAlign w:val="center"/>
          </w:tcPr>
          <w:p w14:paraId="5EE3D87F"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880"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881"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82"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83"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84"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bottom w:val="nil"/>
              <w:right w:val="nil"/>
            </w:tcBorders>
            <w:noWrap/>
            <w:vAlign w:val="center"/>
          </w:tcPr>
          <w:p w14:paraId="5EE3D885"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886"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87"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88"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8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8A"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88B"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8C"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8D" w14:textId="77777777" w:rsidR="00FF1CE6" w:rsidRPr="00FF1CE6" w:rsidRDefault="00FF1CE6" w:rsidP="00FF1CE6">
            <w:pPr>
              <w:jc w:val="center"/>
              <w:rPr>
                <w:sz w:val="16"/>
                <w:szCs w:val="16"/>
              </w:rPr>
            </w:pPr>
          </w:p>
        </w:tc>
      </w:tr>
      <w:tr w:rsidR="00FF1CE6" w:rsidRPr="00FF1CE6" w14:paraId="5EE3D8A6" w14:textId="77777777" w:rsidTr="00FF1CE6">
        <w:trPr>
          <w:trHeight w:val="319"/>
        </w:trPr>
        <w:tc>
          <w:tcPr>
            <w:tcW w:w="1418" w:type="dxa"/>
            <w:tcBorders>
              <w:top w:val="nil"/>
              <w:left w:val="nil"/>
              <w:bottom w:val="nil"/>
              <w:right w:val="nil"/>
            </w:tcBorders>
            <w:vAlign w:val="center"/>
          </w:tcPr>
          <w:p w14:paraId="5EE3D88F" w14:textId="77777777" w:rsidR="00FF1CE6" w:rsidRPr="00FF1CE6" w:rsidRDefault="00FF1CE6" w:rsidP="00FF1CE6">
            <w:pPr>
              <w:rPr>
                <w:sz w:val="16"/>
                <w:szCs w:val="16"/>
              </w:rPr>
            </w:pPr>
            <w:r w:rsidRPr="00FF1CE6">
              <w:rPr>
                <w:sz w:val="16"/>
                <w:szCs w:val="16"/>
              </w:rPr>
              <w:t>15. External uncertainty</w:t>
            </w:r>
          </w:p>
        </w:tc>
        <w:tc>
          <w:tcPr>
            <w:tcW w:w="657" w:type="dxa"/>
            <w:tcBorders>
              <w:top w:val="nil"/>
              <w:left w:val="nil"/>
              <w:bottom w:val="nil"/>
              <w:right w:val="nil"/>
            </w:tcBorders>
            <w:noWrap/>
            <w:vAlign w:val="center"/>
          </w:tcPr>
          <w:p w14:paraId="5EE3D890"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bottom w:val="nil"/>
              <w:right w:val="nil"/>
            </w:tcBorders>
            <w:noWrap/>
            <w:vAlign w:val="center"/>
          </w:tcPr>
          <w:p w14:paraId="5EE3D891"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92"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93"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94"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95"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96"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97"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898"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bottom w:val="nil"/>
              <w:right w:val="nil"/>
            </w:tcBorders>
            <w:noWrap/>
            <w:vAlign w:val="center"/>
          </w:tcPr>
          <w:p w14:paraId="5EE3D899"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bottom w:val="nil"/>
              <w:right w:val="nil"/>
            </w:tcBorders>
            <w:noWrap/>
            <w:vAlign w:val="center"/>
          </w:tcPr>
          <w:p w14:paraId="5EE3D89A"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9B"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9C"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89D"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89E"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89F"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A0"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A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A2"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8A3"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A4"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A5" w14:textId="77777777" w:rsidR="00FF1CE6" w:rsidRPr="00FF1CE6" w:rsidRDefault="00FF1CE6" w:rsidP="00FF1CE6">
            <w:pPr>
              <w:jc w:val="center"/>
              <w:rPr>
                <w:sz w:val="16"/>
                <w:szCs w:val="16"/>
              </w:rPr>
            </w:pPr>
          </w:p>
        </w:tc>
      </w:tr>
      <w:tr w:rsidR="00FF1CE6" w:rsidRPr="00FF1CE6" w14:paraId="5EE3D8BE" w14:textId="77777777" w:rsidTr="00FF1CE6">
        <w:trPr>
          <w:trHeight w:val="319"/>
        </w:trPr>
        <w:tc>
          <w:tcPr>
            <w:tcW w:w="1418" w:type="dxa"/>
            <w:tcBorders>
              <w:top w:val="nil"/>
              <w:left w:val="nil"/>
              <w:bottom w:val="nil"/>
              <w:right w:val="nil"/>
            </w:tcBorders>
            <w:vAlign w:val="center"/>
          </w:tcPr>
          <w:p w14:paraId="5EE3D8A7" w14:textId="77777777" w:rsidR="00FF1CE6" w:rsidRPr="00FF1CE6" w:rsidRDefault="00FF1CE6" w:rsidP="00FF1CE6">
            <w:pPr>
              <w:rPr>
                <w:sz w:val="16"/>
                <w:szCs w:val="16"/>
              </w:rPr>
            </w:pPr>
            <w:r w:rsidRPr="00FF1CE6">
              <w:rPr>
                <w:sz w:val="16"/>
                <w:szCs w:val="16"/>
              </w:rPr>
              <w:t>16. Frequency</w:t>
            </w:r>
          </w:p>
        </w:tc>
        <w:tc>
          <w:tcPr>
            <w:tcW w:w="657" w:type="dxa"/>
            <w:tcBorders>
              <w:top w:val="nil"/>
              <w:left w:val="nil"/>
              <w:bottom w:val="nil"/>
              <w:right w:val="nil"/>
            </w:tcBorders>
            <w:noWrap/>
            <w:vAlign w:val="center"/>
          </w:tcPr>
          <w:p w14:paraId="5EE3D8A8" w14:textId="77777777" w:rsidR="00FF1CE6" w:rsidRPr="00FF1CE6" w:rsidRDefault="00FF1CE6" w:rsidP="00FF1CE6">
            <w:pPr>
              <w:jc w:val="center"/>
              <w:rPr>
                <w:sz w:val="16"/>
                <w:szCs w:val="16"/>
              </w:rPr>
            </w:pPr>
            <w:r w:rsidRPr="00FF1CE6">
              <w:rPr>
                <w:sz w:val="16"/>
                <w:szCs w:val="16"/>
              </w:rPr>
              <w:t>-.27</w:t>
            </w:r>
            <w:r w:rsidRPr="00FF1CE6">
              <w:rPr>
                <w:sz w:val="16"/>
                <w:szCs w:val="16"/>
                <w:vertAlign w:val="superscript"/>
              </w:rPr>
              <w:t>**</w:t>
            </w:r>
          </w:p>
        </w:tc>
        <w:tc>
          <w:tcPr>
            <w:tcW w:w="657" w:type="dxa"/>
            <w:tcBorders>
              <w:top w:val="nil"/>
              <w:left w:val="nil"/>
              <w:bottom w:val="nil"/>
              <w:right w:val="nil"/>
            </w:tcBorders>
            <w:noWrap/>
            <w:vAlign w:val="center"/>
          </w:tcPr>
          <w:p w14:paraId="5EE3D8A9"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AA" w14:textId="77777777" w:rsidR="00FF1CE6" w:rsidRPr="00FF1CE6" w:rsidRDefault="00FF1CE6" w:rsidP="00FF1CE6">
            <w:pPr>
              <w:jc w:val="center"/>
              <w:rPr>
                <w:sz w:val="16"/>
                <w:szCs w:val="16"/>
              </w:rPr>
            </w:pPr>
            <w:r w:rsidRPr="00FF1CE6">
              <w:rPr>
                <w:sz w:val="16"/>
                <w:szCs w:val="16"/>
              </w:rPr>
              <w:t>-.12</w:t>
            </w:r>
            <w:r w:rsidRPr="00FF1CE6">
              <w:rPr>
                <w:sz w:val="16"/>
                <w:szCs w:val="16"/>
                <w:vertAlign w:val="superscript"/>
              </w:rPr>
              <w:t>*</w:t>
            </w:r>
          </w:p>
        </w:tc>
        <w:tc>
          <w:tcPr>
            <w:tcW w:w="657" w:type="dxa"/>
            <w:tcBorders>
              <w:top w:val="nil"/>
              <w:left w:val="nil"/>
              <w:bottom w:val="nil"/>
              <w:right w:val="nil"/>
            </w:tcBorders>
            <w:noWrap/>
            <w:vAlign w:val="center"/>
          </w:tcPr>
          <w:p w14:paraId="5EE3D8AB"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8AC" w14:textId="77777777" w:rsidR="00FF1CE6" w:rsidRPr="00FF1CE6" w:rsidRDefault="00FF1CE6" w:rsidP="00FF1CE6">
            <w:pPr>
              <w:jc w:val="center"/>
              <w:rPr>
                <w:sz w:val="16"/>
                <w:szCs w:val="16"/>
              </w:rPr>
            </w:pPr>
            <w:r w:rsidRPr="00FF1CE6">
              <w:rPr>
                <w:sz w:val="16"/>
                <w:szCs w:val="16"/>
              </w:rPr>
              <w:t>-.11</w:t>
            </w:r>
            <w:r w:rsidRPr="00FF1CE6">
              <w:rPr>
                <w:sz w:val="16"/>
                <w:szCs w:val="16"/>
                <w:vertAlign w:val="superscript"/>
              </w:rPr>
              <w:t>*</w:t>
            </w:r>
          </w:p>
        </w:tc>
        <w:tc>
          <w:tcPr>
            <w:tcW w:w="657" w:type="dxa"/>
            <w:tcBorders>
              <w:top w:val="nil"/>
              <w:left w:val="nil"/>
              <w:bottom w:val="nil"/>
              <w:right w:val="nil"/>
            </w:tcBorders>
            <w:noWrap/>
            <w:vAlign w:val="center"/>
          </w:tcPr>
          <w:p w14:paraId="5EE3D8AD"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8AE"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8AF"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8B0"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8B1"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B2"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bottom w:val="nil"/>
              <w:right w:val="nil"/>
            </w:tcBorders>
            <w:noWrap/>
            <w:vAlign w:val="center"/>
          </w:tcPr>
          <w:p w14:paraId="5EE3D8B3"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8B4"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B5"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8B6" w14:textId="77777777" w:rsidR="00FF1CE6" w:rsidRPr="00FF1CE6" w:rsidRDefault="00FF1CE6" w:rsidP="00FF1CE6">
            <w:pPr>
              <w:jc w:val="center"/>
              <w:rPr>
                <w:sz w:val="16"/>
                <w:szCs w:val="16"/>
              </w:rPr>
            </w:pPr>
            <w:r w:rsidRPr="00FF1CE6">
              <w:rPr>
                <w:sz w:val="16"/>
                <w:szCs w:val="16"/>
              </w:rPr>
              <w:t>.10</w:t>
            </w:r>
          </w:p>
        </w:tc>
        <w:tc>
          <w:tcPr>
            <w:tcW w:w="657" w:type="dxa"/>
            <w:tcBorders>
              <w:top w:val="nil"/>
              <w:left w:val="nil"/>
              <w:bottom w:val="nil"/>
              <w:right w:val="nil"/>
            </w:tcBorders>
            <w:noWrap/>
            <w:vAlign w:val="center"/>
          </w:tcPr>
          <w:p w14:paraId="5EE3D8B7"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8B8"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B9"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BA"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8BB"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BC"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BD" w14:textId="77777777" w:rsidR="00FF1CE6" w:rsidRPr="00FF1CE6" w:rsidRDefault="00FF1CE6" w:rsidP="00FF1CE6">
            <w:pPr>
              <w:jc w:val="center"/>
              <w:rPr>
                <w:sz w:val="16"/>
                <w:szCs w:val="16"/>
              </w:rPr>
            </w:pPr>
          </w:p>
        </w:tc>
      </w:tr>
      <w:tr w:rsidR="00FF1CE6" w:rsidRPr="00FF1CE6" w14:paraId="5EE3D8D6" w14:textId="77777777" w:rsidTr="00FF1CE6">
        <w:trPr>
          <w:trHeight w:val="319"/>
        </w:trPr>
        <w:tc>
          <w:tcPr>
            <w:tcW w:w="1418" w:type="dxa"/>
            <w:tcBorders>
              <w:top w:val="nil"/>
              <w:left w:val="nil"/>
              <w:bottom w:val="nil"/>
              <w:right w:val="nil"/>
            </w:tcBorders>
            <w:vAlign w:val="center"/>
          </w:tcPr>
          <w:p w14:paraId="5EE3D8BF" w14:textId="77777777" w:rsidR="00FF1CE6" w:rsidRPr="00FF1CE6" w:rsidRDefault="00FF1CE6" w:rsidP="00FF1CE6">
            <w:pPr>
              <w:rPr>
                <w:sz w:val="16"/>
                <w:szCs w:val="16"/>
              </w:rPr>
            </w:pPr>
            <w:r w:rsidRPr="00FF1CE6">
              <w:rPr>
                <w:sz w:val="16"/>
                <w:szCs w:val="16"/>
              </w:rPr>
              <w:t>17. Regulative distance</w:t>
            </w:r>
          </w:p>
        </w:tc>
        <w:tc>
          <w:tcPr>
            <w:tcW w:w="657" w:type="dxa"/>
            <w:tcBorders>
              <w:top w:val="nil"/>
              <w:left w:val="nil"/>
              <w:bottom w:val="nil"/>
              <w:right w:val="nil"/>
            </w:tcBorders>
            <w:noWrap/>
            <w:vAlign w:val="center"/>
          </w:tcPr>
          <w:p w14:paraId="5EE3D8C0"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bottom w:val="nil"/>
              <w:right w:val="nil"/>
            </w:tcBorders>
            <w:noWrap/>
            <w:vAlign w:val="center"/>
          </w:tcPr>
          <w:p w14:paraId="5EE3D8C1"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8C2"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C3"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bottom w:val="nil"/>
              <w:right w:val="nil"/>
            </w:tcBorders>
            <w:noWrap/>
            <w:vAlign w:val="center"/>
          </w:tcPr>
          <w:p w14:paraId="5EE3D8C4"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C5" w14:textId="77777777" w:rsidR="00FF1CE6" w:rsidRPr="00FF1CE6" w:rsidRDefault="00FF1CE6" w:rsidP="00FF1CE6">
            <w:pPr>
              <w:jc w:val="center"/>
              <w:rPr>
                <w:sz w:val="16"/>
                <w:szCs w:val="16"/>
              </w:rPr>
            </w:pPr>
            <w:r w:rsidRPr="00FF1CE6">
              <w:rPr>
                <w:sz w:val="16"/>
                <w:szCs w:val="16"/>
              </w:rPr>
              <w:t>-.13</w:t>
            </w:r>
            <w:r w:rsidRPr="00FF1CE6">
              <w:rPr>
                <w:sz w:val="16"/>
                <w:szCs w:val="16"/>
                <w:vertAlign w:val="superscript"/>
              </w:rPr>
              <w:t>*</w:t>
            </w:r>
          </w:p>
        </w:tc>
        <w:tc>
          <w:tcPr>
            <w:tcW w:w="657" w:type="dxa"/>
            <w:tcBorders>
              <w:top w:val="nil"/>
              <w:left w:val="nil"/>
              <w:bottom w:val="nil"/>
              <w:right w:val="nil"/>
            </w:tcBorders>
            <w:noWrap/>
            <w:vAlign w:val="center"/>
          </w:tcPr>
          <w:p w14:paraId="5EE3D8C6"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bottom w:val="nil"/>
              <w:right w:val="nil"/>
            </w:tcBorders>
            <w:noWrap/>
            <w:vAlign w:val="center"/>
          </w:tcPr>
          <w:p w14:paraId="5EE3D8C7"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C8" w14:textId="77777777" w:rsidR="00FF1CE6" w:rsidRPr="00FF1CE6" w:rsidRDefault="00FF1CE6" w:rsidP="00FF1CE6">
            <w:pPr>
              <w:jc w:val="center"/>
              <w:rPr>
                <w:sz w:val="16"/>
                <w:szCs w:val="16"/>
              </w:rPr>
            </w:pPr>
            <w:r w:rsidRPr="00FF1CE6">
              <w:rPr>
                <w:sz w:val="16"/>
                <w:szCs w:val="16"/>
              </w:rPr>
              <w:t>.15</w:t>
            </w:r>
            <w:r w:rsidRPr="00FF1CE6">
              <w:rPr>
                <w:sz w:val="16"/>
                <w:szCs w:val="16"/>
                <w:vertAlign w:val="superscript"/>
              </w:rPr>
              <w:t>**</w:t>
            </w:r>
          </w:p>
        </w:tc>
        <w:tc>
          <w:tcPr>
            <w:tcW w:w="657" w:type="dxa"/>
            <w:tcBorders>
              <w:top w:val="nil"/>
              <w:left w:val="nil"/>
              <w:bottom w:val="nil"/>
              <w:right w:val="nil"/>
            </w:tcBorders>
            <w:noWrap/>
            <w:vAlign w:val="center"/>
          </w:tcPr>
          <w:p w14:paraId="5EE3D8C9"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CA"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CB"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CC" w14:textId="77777777" w:rsidR="00FF1CE6" w:rsidRPr="00FF1CE6" w:rsidRDefault="00FF1CE6" w:rsidP="00FF1CE6">
            <w:pPr>
              <w:jc w:val="center"/>
              <w:rPr>
                <w:sz w:val="16"/>
                <w:szCs w:val="16"/>
              </w:rPr>
            </w:pPr>
            <w:r w:rsidRPr="00FF1CE6">
              <w:rPr>
                <w:sz w:val="16"/>
                <w:szCs w:val="16"/>
              </w:rPr>
              <w:t>-.11</w:t>
            </w:r>
            <w:r w:rsidRPr="00FF1CE6">
              <w:rPr>
                <w:sz w:val="16"/>
                <w:szCs w:val="16"/>
                <w:vertAlign w:val="superscript"/>
              </w:rPr>
              <w:t>*</w:t>
            </w:r>
          </w:p>
        </w:tc>
        <w:tc>
          <w:tcPr>
            <w:tcW w:w="657" w:type="dxa"/>
            <w:tcBorders>
              <w:top w:val="nil"/>
              <w:left w:val="nil"/>
              <w:bottom w:val="nil"/>
              <w:right w:val="nil"/>
            </w:tcBorders>
            <w:noWrap/>
            <w:vAlign w:val="center"/>
          </w:tcPr>
          <w:p w14:paraId="5EE3D8CD"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CE"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CF"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8D0"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8D1" w14:textId="77777777" w:rsidR="00FF1CE6" w:rsidRPr="00FF1CE6" w:rsidRDefault="00FF1CE6" w:rsidP="00FF1CE6">
            <w:pPr>
              <w:jc w:val="center"/>
              <w:rPr>
                <w:sz w:val="16"/>
                <w:szCs w:val="16"/>
              </w:rPr>
            </w:pPr>
          </w:p>
        </w:tc>
        <w:tc>
          <w:tcPr>
            <w:tcW w:w="657" w:type="dxa"/>
            <w:tcBorders>
              <w:top w:val="nil"/>
              <w:left w:val="nil"/>
              <w:bottom w:val="nil"/>
              <w:right w:val="nil"/>
            </w:tcBorders>
            <w:noWrap/>
            <w:vAlign w:val="center"/>
          </w:tcPr>
          <w:p w14:paraId="5EE3D8D2"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8D3"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D4"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D5" w14:textId="77777777" w:rsidR="00FF1CE6" w:rsidRPr="00FF1CE6" w:rsidRDefault="00FF1CE6" w:rsidP="00FF1CE6">
            <w:pPr>
              <w:jc w:val="center"/>
              <w:rPr>
                <w:sz w:val="16"/>
                <w:szCs w:val="16"/>
              </w:rPr>
            </w:pPr>
          </w:p>
        </w:tc>
      </w:tr>
      <w:tr w:rsidR="00FF1CE6" w:rsidRPr="00FF1CE6" w14:paraId="5EE3D8EE" w14:textId="77777777" w:rsidTr="00FF1CE6">
        <w:trPr>
          <w:trHeight w:val="319"/>
        </w:trPr>
        <w:tc>
          <w:tcPr>
            <w:tcW w:w="1418" w:type="dxa"/>
            <w:tcBorders>
              <w:top w:val="nil"/>
              <w:left w:val="nil"/>
              <w:bottom w:val="nil"/>
              <w:right w:val="nil"/>
            </w:tcBorders>
            <w:vAlign w:val="center"/>
          </w:tcPr>
          <w:p w14:paraId="5EE3D8D7" w14:textId="77777777" w:rsidR="00FF1CE6" w:rsidRPr="00FF1CE6" w:rsidRDefault="00FF1CE6" w:rsidP="00FF1CE6">
            <w:pPr>
              <w:rPr>
                <w:sz w:val="16"/>
                <w:szCs w:val="16"/>
              </w:rPr>
            </w:pPr>
            <w:r w:rsidRPr="00FF1CE6">
              <w:rPr>
                <w:sz w:val="16"/>
                <w:szCs w:val="16"/>
              </w:rPr>
              <w:t>18. Normative distance</w:t>
            </w:r>
          </w:p>
        </w:tc>
        <w:tc>
          <w:tcPr>
            <w:tcW w:w="657" w:type="dxa"/>
            <w:tcBorders>
              <w:top w:val="nil"/>
              <w:left w:val="nil"/>
              <w:bottom w:val="nil"/>
              <w:right w:val="nil"/>
            </w:tcBorders>
            <w:noWrap/>
            <w:vAlign w:val="center"/>
          </w:tcPr>
          <w:p w14:paraId="5EE3D8D8"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bottom w:val="nil"/>
              <w:right w:val="nil"/>
            </w:tcBorders>
            <w:noWrap/>
            <w:vAlign w:val="center"/>
          </w:tcPr>
          <w:p w14:paraId="5EE3D8D9"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DA"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8DB"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DC"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DD"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8DE"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8DF"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8E0"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E1"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bottom w:val="nil"/>
              <w:right w:val="nil"/>
            </w:tcBorders>
            <w:noWrap/>
            <w:vAlign w:val="center"/>
          </w:tcPr>
          <w:p w14:paraId="5EE3D8E2"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8E3" w14:textId="77777777" w:rsidR="00FF1CE6" w:rsidRPr="00FF1CE6" w:rsidRDefault="00FF1CE6" w:rsidP="00FF1CE6">
            <w:pPr>
              <w:jc w:val="center"/>
              <w:rPr>
                <w:sz w:val="16"/>
                <w:szCs w:val="16"/>
              </w:rPr>
            </w:pPr>
            <w:r w:rsidRPr="00FF1CE6">
              <w:rPr>
                <w:sz w:val="16"/>
                <w:szCs w:val="16"/>
              </w:rPr>
              <w:t>-.10</w:t>
            </w:r>
          </w:p>
        </w:tc>
        <w:tc>
          <w:tcPr>
            <w:tcW w:w="657" w:type="dxa"/>
            <w:tcBorders>
              <w:top w:val="nil"/>
              <w:left w:val="nil"/>
              <w:bottom w:val="nil"/>
              <w:right w:val="nil"/>
            </w:tcBorders>
            <w:noWrap/>
            <w:vAlign w:val="center"/>
          </w:tcPr>
          <w:p w14:paraId="5EE3D8E4"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8E5"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E6"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E7"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8E8" w14:textId="77777777" w:rsidR="00FF1CE6" w:rsidRPr="00FF1CE6" w:rsidRDefault="00FF1CE6" w:rsidP="00FF1CE6">
            <w:pPr>
              <w:jc w:val="center"/>
              <w:rPr>
                <w:sz w:val="16"/>
                <w:szCs w:val="16"/>
              </w:rPr>
            </w:pPr>
            <w:r w:rsidRPr="00FF1CE6">
              <w:rPr>
                <w:sz w:val="16"/>
                <w:szCs w:val="16"/>
              </w:rPr>
              <w:t>-.34</w:t>
            </w:r>
            <w:r w:rsidRPr="00FF1CE6">
              <w:rPr>
                <w:sz w:val="16"/>
                <w:szCs w:val="16"/>
                <w:vertAlign w:val="superscript"/>
              </w:rPr>
              <w:t>**</w:t>
            </w:r>
          </w:p>
        </w:tc>
        <w:tc>
          <w:tcPr>
            <w:tcW w:w="657" w:type="dxa"/>
            <w:tcBorders>
              <w:top w:val="nil"/>
              <w:left w:val="nil"/>
              <w:bottom w:val="nil"/>
              <w:right w:val="nil"/>
            </w:tcBorders>
            <w:noWrap/>
            <w:vAlign w:val="center"/>
          </w:tcPr>
          <w:p w14:paraId="5EE3D8E9" w14:textId="77777777" w:rsidR="00FF1CE6" w:rsidRPr="00FF1CE6" w:rsidRDefault="00FF1CE6" w:rsidP="00FF1CE6">
            <w:pPr>
              <w:jc w:val="center"/>
              <w:rPr>
                <w:sz w:val="16"/>
                <w:szCs w:val="16"/>
              </w:rPr>
            </w:pPr>
            <w:r w:rsidRPr="00FF1CE6">
              <w:rPr>
                <w:sz w:val="16"/>
                <w:szCs w:val="16"/>
              </w:rPr>
              <w:t>1</w:t>
            </w:r>
          </w:p>
        </w:tc>
        <w:tc>
          <w:tcPr>
            <w:tcW w:w="657" w:type="dxa"/>
            <w:tcBorders>
              <w:top w:val="nil"/>
              <w:left w:val="nil"/>
              <w:bottom w:val="nil"/>
              <w:right w:val="nil"/>
            </w:tcBorders>
            <w:noWrap/>
            <w:vAlign w:val="center"/>
          </w:tcPr>
          <w:p w14:paraId="5EE3D8EA" w14:textId="77777777" w:rsidR="00FF1CE6" w:rsidRPr="00FF1CE6" w:rsidRDefault="00FF1CE6" w:rsidP="00FF1CE6">
            <w:pPr>
              <w:jc w:val="center"/>
              <w:rPr>
                <w:sz w:val="16"/>
                <w:szCs w:val="16"/>
              </w:rPr>
            </w:pPr>
          </w:p>
        </w:tc>
        <w:tc>
          <w:tcPr>
            <w:tcW w:w="658" w:type="dxa"/>
            <w:tcBorders>
              <w:top w:val="nil"/>
              <w:left w:val="nil"/>
              <w:bottom w:val="nil"/>
              <w:right w:val="nil"/>
            </w:tcBorders>
            <w:noWrap/>
            <w:vAlign w:val="center"/>
          </w:tcPr>
          <w:p w14:paraId="5EE3D8EB"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EC"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8ED" w14:textId="77777777" w:rsidR="00FF1CE6" w:rsidRPr="00FF1CE6" w:rsidRDefault="00FF1CE6" w:rsidP="00FF1CE6">
            <w:pPr>
              <w:jc w:val="center"/>
              <w:rPr>
                <w:sz w:val="16"/>
                <w:szCs w:val="16"/>
              </w:rPr>
            </w:pPr>
          </w:p>
        </w:tc>
      </w:tr>
      <w:tr w:rsidR="00FF1CE6" w:rsidRPr="00FF1CE6" w14:paraId="5EE3D906" w14:textId="77777777" w:rsidTr="00FF1CE6">
        <w:trPr>
          <w:trHeight w:val="319"/>
        </w:trPr>
        <w:tc>
          <w:tcPr>
            <w:tcW w:w="1418" w:type="dxa"/>
            <w:tcBorders>
              <w:top w:val="nil"/>
              <w:left w:val="nil"/>
              <w:bottom w:val="nil"/>
              <w:right w:val="nil"/>
            </w:tcBorders>
            <w:vAlign w:val="center"/>
          </w:tcPr>
          <w:p w14:paraId="5EE3D8EF" w14:textId="77777777" w:rsidR="00FF1CE6" w:rsidRPr="00FF1CE6" w:rsidRDefault="00FF1CE6" w:rsidP="00FF1CE6">
            <w:pPr>
              <w:rPr>
                <w:sz w:val="16"/>
                <w:szCs w:val="16"/>
              </w:rPr>
            </w:pPr>
            <w:r w:rsidRPr="00FF1CE6">
              <w:rPr>
                <w:sz w:val="16"/>
                <w:szCs w:val="16"/>
              </w:rPr>
              <w:t>19. Cultural distance</w:t>
            </w:r>
          </w:p>
        </w:tc>
        <w:tc>
          <w:tcPr>
            <w:tcW w:w="657" w:type="dxa"/>
            <w:tcBorders>
              <w:top w:val="nil"/>
              <w:left w:val="nil"/>
              <w:bottom w:val="nil"/>
              <w:right w:val="nil"/>
            </w:tcBorders>
            <w:noWrap/>
            <w:vAlign w:val="center"/>
          </w:tcPr>
          <w:p w14:paraId="5EE3D8F0" w14:textId="77777777" w:rsidR="00FF1CE6" w:rsidRPr="00FF1CE6" w:rsidRDefault="00FF1CE6" w:rsidP="00FF1CE6">
            <w:pPr>
              <w:jc w:val="center"/>
              <w:rPr>
                <w:sz w:val="16"/>
                <w:szCs w:val="16"/>
              </w:rPr>
            </w:pPr>
            <w:r w:rsidRPr="00FF1CE6">
              <w:rPr>
                <w:sz w:val="16"/>
                <w:szCs w:val="16"/>
              </w:rPr>
              <w:t>.43</w:t>
            </w:r>
            <w:r w:rsidRPr="00FF1CE6">
              <w:rPr>
                <w:sz w:val="16"/>
                <w:szCs w:val="16"/>
                <w:vertAlign w:val="superscript"/>
              </w:rPr>
              <w:t>**</w:t>
            </w:r>
          </w:p>
        </w:tc>
        <w:tc>
          <w:tcPr>
            <w:tcW w:w="657" w:type="dxa"/>
            <w:tcBorders>
              <w:top w:val="nil"/>
              <w:left w:val="nil"/>
              <w:bottom w:val="nil"/>
              <w:right w:val="nil"/>
            </w:tcBorders>
            <w:noWrap/>
            <w:vAlign w:val="center"/>
          </w:tcPr>
          <w:p w14:paraId="5EE3D8F1"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F2" w14:textId="77777777" w:rsidR="00FF1CE6" w:rsidRPr="00FF1CE6" w:rsidRDefault="00FF1CE6" w:rsidP="00FF1CE6">
            <w:pPr>
              <w:jc w:val="center"/>
              <w:rPr>
                <w:sz w:val="16"/>
                <w:szCs w:val="16"/>
              </w:rPr>
            </w:pPr>
            <w:r w:rsidRPr="00FF1CE6">
              <w:rPr>
                <w:sz w:val="16"/>
                <w:szCs w:val="16"/>
              </w:rPr>
              <w:t>.28</w:t>
            </w:r>
            <w:r w:rsidRPr="00FF1CE6">
              <w:rPr>
                <w:sz w:val="16"/>
                <w:szCs w:val="16"/>
                <w:vertAlign w:val="superscript"/>
              </w:rPr>
              <w:t>**</w:t>
            </w:r>
          </w:p>
        </w:tc>
        <w:tc>
          <w:tcPr>
            <w:tcW w:w="657" w:type="dxa"/>
            <w:tcBorders>
              <w:top w:val="nil"/>
              <w:left w:val="nil"/>
              <w:bottom w:val="nil"/>
              <w:right w:val="nil"/>
            </w:tcBorders>
            <w:noWrap/>
            <w:vAlign w:val="center"/>
          </w:tcPr>
          <w:p w14:paraId="5EE3D8F3" w14:textId="77777777" w:rsidR="00FF1CE6" w:rsidRPr="00FF1CE6" w:rsidRDefault="00FF1CE6" w:rsidP="00FF1CE6">
            <w:pPr>
              <w:jc w:val="center"/>
              <w:rPr>
                <w:sz w:val="16"/>
                <w:szCs w:val="16"/>
              </w:rPr>
            </w:pPr>
            <w:r w:rsidRPr="00FF1CE6">
              <w:rPr>
                <w:sz w:val="16"/>
                <w:szCs w:val="16"/>
              </w:rPr>
              <w:t>-.13</w:t>
            </w:r>
            <w:r w:rsidRPr="00FF1CE6">
              <w:rPr>
                <w:sz w:val="16"/>
                <w:szCs w:val="16"/>
                <w:vertAlign w:val="superscript"/>
              </w:rPr>
              <w:t>*</w:t>
            </w:r>
          </w:p>
        </w:tc>
        <w:tc>
          <w:tcPr>
            <w:tcW w:w="657" w:type="dxa"/>
            <w:tcBorders>
              <w:top w:val="nil"/>
              <w:left w:val="nil"/>
              <w:bottom w:val="nil"/>
              <w:right w:val="nil"/>
            </w:tcBorders>
            <w:noWrap/>
            <w:vAlign w:val="center"/>
          </w:tcPr>
          <w:p w14:paraId="5EE3D8F4"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F5" w14:textId="77777777" w:rsidR="00FF1CE6" w:rsidRPr="00FF1CE6" w:rsidRDefault="00FF1CE6" w:rsidP="00FF1CE6">
            <w:pPr>
              <w:jc w:val="center"/>
              <w:rPr>
                <w:sz w:val="16"/>
                <w:szCs w:val="16"/>
              </w:rPr>
            </w:pPr>
            <w:r w:rsidRPr="00FF1CE6">
              <w:rPr>
                <w:sz w:val="16"/>
                <w:szCs w:val="16"/>
              </w:rPr>
              <w:t>.10</w:t>
            </w:r>
          </w:p>
        </w:tc>
        <w:tc>
          <w:tcPr>
            <w:tcW w:w="657" w:type="dxa"/>
            <w:tcBorders>
              <w:top w:val="nil"/>
              <w:left w:val="nil"/>
              <w:bottom w:val="nil"/>
              <w:right w:val="nil"/>
            </w:tcBorders>
            <w:noWrap/>
            <w:vAlign w:val="center"/>
          </w:tcPr>
          <w:p w14:paraId="5EE3D8F6"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bottom w:val="nil"/>
              <w:right w:val="nil"/>
            </w:tcBorders>
            <w:noWrap/>
            <w:vAlign w:val="center"/>
          </w:tcPr>
          <w:p w14:paraId="5EE3D8F7" w14:textId="77777777" w:rsidR="00FF1CE6" w:rsidRPr="00FF1CE6" w:rsidRDefault="00FF1CE6" w:rsidP="00FF1CE6">
            <w:pPr>
              <w:jc w:val="center"/>
              <w:rPr>
                <w:sz w:val="16"/>
                <w:szCs w:val="16"/>
              </w:rPr>
            </w:pPr>
            <w:r w:rsidRPr="00FF1CE6">
              <w:rPr>
                <w:sz w:val="16"/>
                <w:szCs w:val="16"/>
              </w:rPr>
              <w:t>-.17</w:t>
            </w:r>
            <w:r w:rsidRPr="00FF1CE6">
              <w:rPr>
                <w:sz w:val="16"/>
                <w:szCs w:val="16"/>
                <w:vertAlign w:val="superscript"/>
              </w:rPr>
              <w:t>**</w:t>
            </w:r>
          </w:p>
        </w:tc>
        <w:tc>
          <w:tcPr>
            <w:tcW w:w="657" w:type="dxa"/>
            <w:tcBorders>
              <w:top w:val="nil"/>
              <w:left w:val="nil"/>
              <w:bottom w:val="nil"/>
              <w:right w:val="nil"/>
            </w:tcBorders>
            <w:noWrap/>
            <w:vAlign w:val="center"/>
          </w:tcPr>
          <w:p w14:paraId="5EE3D8F8"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8F9"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8FA"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8FB"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bottom w:val="nil"/>
              <w:right w:val="nil"/>
            </w:tcBorders>
            <w:noWrap/>
            <w:vAlign w:val="center"/>
          </w:tcPr>
          <w:p w14:paraId="5EE3D8FC"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bottom w:val="nil"/>
              <w:right w:val="nil"/>
            </w:tcBorders>
            <w:noWrap/>
            <w:vAlign w:val="center"/>
          </w:tcPr>
          <w:p w14:paraId="5EE3D8FD" w14:textId="77777777" w:rsidR="00FF1CE6" w:rsidRPr="00FF1CE6" w:rsidRDefault="00FF1CE6" w:rsidP="00FF1CE6">
            <w:pPr>
              <w:jc w:val="center"/>
              <w:rPr>
                <w:sz w:val="16"/>
                <w:szCs w:val="16"/>
              </w:rPr>
            </w:pPr>
            <w:r w:rsidRPr="00FF1CE6">
              <w:rPr>
                <w:sz w:val="16"/>
                <w:szCs w:val="16"/>
              </w:rPr>
              <w:t>-.10</w:t>
            </w:r>
          </w:p>
        </w:tc>
        <w:tc>
          <w:tcPr>
            <w:tcW w:w="657" w:type="dxa"/>
            <w:tcBorders>
              <w:top w:val="nil"/>
              <w:left w:val="nil"/>
              <w:bottom w:val="nil"/>
              <w:right w:val="nil"/>
            </w:tcBorders>
            <w:noWrap/>
            <w:vAlign w:val="center"/>
          </w:tcPr>
          <w:p w14:paraId="5EE3D8FE"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8FF" w14:textId="77777777" w:rsidR="00FF1CE6" w:rsidRPr="00FF1CE6" w:rsidRDefault="00FF1CE6" w:rsidP="00FF1CE6">
            <w:pPr>
              <w:jc w:val="center"/>
              <w:rPr>
                <w:sz w:val="16"/>
                <w:szCs w:val="16"/>
              </w:rPr>
            </w:pPr>
            <w:r w:rsidRPr="00FF1CE6">
              <w:rPr>
                <w:sz w:val="16"/>
                <w:szCs w:val="16"/>
              </w:rPr>
              <w:t>-.13</w:t>
            </w:r>
            <w:r w:rsidRPr="00FF1CE6">
              <w:rPr>
                <w:sz w:val="16"/>
                <w:szCs w:val="16"/>
                <w:vertAlign w:val="superscript"/>
              </w:rPr>
              <w:t>*</w:t>
            </w:r>
          </w:p>
        </w:tc>
        <w:tc>
          <w:tcPr>
            <w:tcW w:w="657" w:type="dxa"/>
            <w:tcBorders>
              <w:top w:val="nil"/>
              <w:left w:val="nil"/>
              <w:bottom w:val="nil"/>
              <w:right w:val="nil"/>
            </w:tcBorders>
            <w:noWrap/>
            <w:vAlign w:val="center"/>
          </w:tcPr>
          <w:p w14:paraId="5EE3D900" w14:textId="77777777" w:rsidR="00FF1CE6" w:rsidRPr="00FF1CE6" w:rsidRDefault="00FF1CE6" w:rsidP="00FF1CE6">
            <w:pPr>
              <w:jc w:val="center"/>
              <w:rPr>
                <w:sz w:val="16"/>
                <w:szCs w:val="16"/>
              </w:rPr>
            </w:pPr>
            <w:r w:rsidRPr="00FF1CE6">
              <w:rPr>
                <w:sz w:val="16"/>
                <w:szCs w:val="16"/>
              </w:rPr>
              <w:t>-.27</w:t>
            </w:r>
            <w:r w:rsidRPr="00FF1CE6">
              <w:rPr>
                <w:sz w:val="16"/>
                <w:szCs w:val="16"/>
                <w:vertAlign w:val="superscript"/>
              </w:rPr>
              <w:t>**</w:t>
            </w:r>
          </w:p>
        </w:tc>
        <w:tc>
          <w:tcPr>
            <w:tcW w:w="657" w:type="dxa"/>
            <w:tcBorders>
              <w:top w:val="nil"/>
              <w:left w:val="nil"/>
              <w:bottom w:val="nil"/>
              <w:right w:val="nil"/>
            </w:tcBorders>
            <w:noWrap/>
            <w:vAlign w:val="center"/>
          </w:tcPr>
          <w:p w14:paraId="5EE3D901"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902" w14:textId="77777777" w:rsidR="00FF1CE6" w:rsidRPr="00FF1CE6" w:rsidRDefault="00FF1CE6" w:rsidP="00FF1CE6">
            <w:pPr>
              <w:jc w:val="center"/>
              <w:rPr>
                <w:sz w:val="16"/>
                <w:szCs w:val="16"/>
              </w:rPr>
            </w:pPr>
            <w:r w:rsidRPr="00FF1CE6">
              <w:rPr>
                <w:sz w:val="16"/>
                <w:szCs w:val="16"/>
              </w:rPr>
              <w:t>1</w:t>
            </w:r>
          </w:p>
        </w:tc>
        <w:tc>
          <w:tcPr>
            <w:tcW w:w="658" w:type="dxa"/>
            <w:tcBorders>
              <w:top w:val="nil"/>
              <w:left w:val="nil"/>
              <w:bottom w:val="nil"/>
              <w:right w:val="nil"/>
            </w:tcBorders>
            <w:noWrap/>
            <w:vAlign w:val="center"/>
          </w:tcPr>
          <w:p w14:paraId="5EE3D903"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904"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905" w14:textId="77777777" w:rsidR="00FF1CE6" w:rsidRPr="00FF1CE6" w:rsidRDefault="00FF1CE6" w:rsidP="00FF1CE6">
            <w:pPr>
              <w:jc w:val="center"/>
              <w:rPr>
                <w:sz w:val="16"/>
                <w:szCs w:val="16"/>
              </w:rPr>
            </w:pPr>
          </w:p>
        </w:tc>
      </w:tr>
      <w:tr w:rsidR="00FF1CE6" w:rsidRPr="00FF1CE6" w14:paraId="5EE3D91E" w14:textId="77777777" w:rsidTr="00FF1CE6">
        <w:trPr>
          <w:trHeight w:val="319"/>
        </w:trPr>
        <w:tc>
          <w:tcPr>
            <w:tcW w:w="1418" w:type="dxa"/>
            <w:tcBorders>
              <w:top w:val="nil"/>
              <w:left w:val="nil"/>
              <w:bottom w:val="nil"/>
              <w:right w:val="nil"/>
            </w:tcBorders>
            <w:vAlign w:val="center"/>
          </w:tcPr>
          <w:p w14:paraId="5EE3D907" w14:textId="77777777" w:rsidR="00FF1CE6" w:rsidRPr="00FF1CE6" w:rsidRDefault="00FF1CE6" w:rsidP="00FF1CE6">
            <w:pPr>
              <w:rPr>
                <w:sz w:val="16"/>
                <w:szCs w:val="16"/>
              </w:rPr>
            </w:pPr>
            <w:r w:rsidRPr="00FF1CE6">
              <w:rPr>
                <w:sz w:val="16"/>
                <w:szCs w:val="16"/>
              </w:rPr>
              <w:t>20. Entrepreneurial Orientation (EO)</w:t>
            </w:r>
          </w:p>
        </w:tc>
        <w:tc>
          <w:tcPr>
            <w:tcW w:w="657" w:type="dxa"/>
            <w:tcBorders>
              <w:top w:val="nil"/>
              <w:left w:val="nil"/>
              <w:bottom w:val="nil"/>
              <w:right w:val="nil"/>
            </w:tcBorders>
            <w:noWrap/>
            <w:vAlign w:val="center"/>
          </w:tcPr>
          <w:p w14:paraId="5EE3D908" w14:textId="77777777" w:rsidR="00FF1CE6" w:rsidRPr="00FF1CE6" w:rsidRDefault="00FF1CE6" w:rsidP="00FF1CE6">
            <w:pPr>
              <w:jc w:val="center"/>
              <w:rPr>
                <w:sz w:val="16"/>
                <w:szCs w:val="16"/>
              </w:rPr>
            </w:pPr>
            <w:r w:rsidRPr="00FF1CE6">
              <w:rPr>
                <w:sz w:val="16"/>
                <w:szCs w:val="16"/>
              </w:rPr>
              <w:t>.43</w:t>
            </w:r>
            <w:r w:rsidRPr="00FF1CE6">
              <w:rPr>
                <w:sz w:val="16"/>
                <w:szCs w:val="16"/>
                <w:vertAlign w:val="superscript"/>
              </w:rPr>
              <w:t>**</w:t>
            </w:r>
          </w:p>
        </w:tc>
        <w:tc>
          <w:tcPr>
            <w:tcW w:w="657" w:type="dxa"/>
            <w:tcBorders>
              <w:top w:val="nil"/>
              <w:left w:val="nil"/>
              <w:bottom w:val="nil"/>
              <w:right w:val="nil"/>
            </w:tcBorders>
            <w:noWrap/>
            <w:vAlign w:val="center"/>
          </w:tcPr>
          <w:p w14:paraId="5EE3D909"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90A" w14:textId="77777777" w:rsidR="00FF1CE6" w:rsidRPr="00FF1CE6" w:rsidRDefault="00FF1CE6" w:rsidP="00FF1CE6">
            <w:pPr>
              <w:jc w:val="center"/>
              <w:rPr>
                <w:sz w:val="16"/>
                <w:szCs w:val="16"/>
              </w:rPr>
            </w:pPr>
            <w:r w:rsidRPr="00FF1CE6">
              <w:rPr>
                <w:sz w:val="16"/>
                <w:szCs w:val="16"/>
              </w:rPr>
              <w:t>.10</w:t>
            </w:r>
            <w:r w:rsidRPr="00FF1CE6">
              <w:rPr>
                <w:sz w:val="16"/>
                <w:szCs w:val="16"/>
                <w:vertAlign w:val="superscript"/>
              </w:rPr>
              <w:t>*</w:t>
            </w:r>
          </w:p>
        </w:tc>
        <w:tc>
          <w:tcPr>
            <w:tcW w:w="657" w:type="dxa"/>
            <w:tcBorders>
              <w:top w:val="nil"/>
              <w:left w:val="nil"/>
              <w:bottom w:val="nil"/>
              <w:right w:val="nil"/>
            </w:tcBorders>
            <w:noWrap/>
            <w:vAlign w:val="center"/>
          </w:tcPr>
          <w:p w14:paraId="5EE3D90B"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90C" w14:textId="77777777" w:rsidR="00FF1CE6" w:rsidRPr="00FF1CE6" w:rsidRDefault="00FF1CE6" w:rsidP="00FF1CE6">
            <w:pPr>
              <w:jc w:val="center"/>
              <w:rPr>
                <w:sz w:val="16"/>
                <w:szCs w:val="16"/>
              </w:rPr>
            </w:pPr>
            <w:r w:rsidRPr="00FF1CE6">
              <w:rPr>
                <w:sz w:val="16"/>
                <w:szCs w:val="16"/>
              </w:rPr>
              <w:t>.14</w:t>
            </w:r>
            <w:r w:rsidRPr="00FF1CE6">
              <w:rPr>
                <w:sz w:val="16"/>
                <w:szCs w:val="16"/>
                <w:vertAlign w:val="superscript"/>
              </w:rPr>
              <w:t>**</w:t>
            </w:r>
          </w:p>
        </w:tc>
        <w:tc>
          <w:tcPr>
            <w:tcW w:w="657" w:type="dxa"/>
            <w:tcBorders>
              <w:top w:val="nil"/>
              <w:left w:val="nil"/>
              <w:bottom w:val="nil"/>
              <w:right w:val="nil"/>
            </w:tcBorders>
            <w:noWrap/>
            <w:vAlign w:val="center"/>
          </w:tcPr>
          <w:p w14:paraId="5EE3D90D"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90E"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90F" w14:textId="77777777" w:rsidR="00FF1CE6" w:rsidRPr="00FF1CE6" w:rsidRDefault="00FF1CE6" w:rsidP="00FF1CE6">
            <w:pPr>
              <w:jc w:val="center"/>
              <w:rPr>
                <w:sz w:val="16"/>
                <w:szCs w:val="16"/>
              </w:rPr>
            </w:pPr>
            <w:r w:rsidRPr="00FF1CE6">
              <w:rPr>
                <w:sz w:val="16"/>
                <w:szCs w:val="16"/>
              </w:rPr>
              <w:t>-.23</w:t>
            </w:r>
            <w:r w:rsidRPr="00FF1CE6">
              <w:rPr>
                <w:sz w:val="16"/>
                <w:szCs w:val="16"/>
                <w:vertAlign w:val="superscript"/>
              </w:rPr>
              <w:t>**</w:t>
            </w:r>
          </w:p>
        </w:tc>
        <w:tc>
          <w:tcPr>
            <w:tcW w:w="657" w:type="dxa"/>
            <w:tcBorders>
              <w:top w:val="nil"/>
              <w:left w:val="nil"/>
              <w:bottom w:val="nil"/>
              <w:right w:val="nil"/>
            </w:tcBorders>
            <w:noWrap/>
            <w:vAlign w:val="center"/>
          </w:tcPr>
          <w:p w14:paraId="5EE3D910"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911"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912" w14:textId="77777777" w:rsidR="00FF1CE6" w:rsidRPr="00FF1CE6" w:rsidRDefault="00FF1CE6" w:rsidP="00FF1CE6">
            <w:pPr>
              <w:jc w:val="center"/>
              <w:rPr>
                <w:sz w:val="16"/>
                <w:szCs w:val="16"/>
              </w:rPr>
            </w:pPr>
            <w:r w:rsidRPr="00FF1CE6">
              <w:rPr>
                <w:sz w:val="16"/>
                <w:szCs w:val="16"/>
              </w:rPr>
              <w:t>-.07</w:t>
            </w:r>
          </w:p>
        </w:tc>
        <w:tc>
          <w:tcPr>
            <w:tcW w:w="657" w:type="dxa"/>
            <w:tcBorders>
              <w:top w:val="nil"/>
              <w:left w:val="nil"/>
              <w:bottom w:val="nil"/>
              <w:right w:val="nil"/>
            </w:tcBorders>
            <w:noWrap/>
            <w:vAlign w:val="center"/>
          </w:tcPr>
          <w:p w14:paraId="5EE3D913"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bottom w:val="nil"/>
              <w:right w:val="nil"/>
            </w:tcBorders>
            <w:noWrap/>
            <w:vAlign w:val="center"/>
          </w:tcPr>
          <w:p w14:paraId="5EE3D914" w14:textId="77777777" w:rsidR="00FF1CE6" w:rsidRPr="00FF1CE6" w:rsidRDefault="00FF1CE6" w:rsidP="00FF1CE6">
            <w:pPr>
              <w:jc w:val="center"/>
              <w:rPr>
                <w:sz w:val="16"/>
                <w:szCs w:val="16"/>
              </w:rPr>
            </w:pPr>
            <w:r w:rsidRPr="00FF1CE6">
              <w:rPr>
                <w:sz w:val="16"/>
                <w:szCs w:val="16"/>
              </w:rPr>
              <w:t>.21</w:t>
            </w:r>
            <w:r w:rsidRPr="00FF1CE6">
              <w:rPr>
                <w:sz w:val="16"/>
                <w:szCs w:val="16"/>
                <w:vertAlign w:val="superscript"/>
              </w:rPr>
              <w:t>**</w:t>
            </w:r>
          </w:p>
        </w:tc>
        <w:tc>
          <w:tcPr>
            <w:tcW w:w="657" w:type="dxa"/>
            <w:tcBorders>
              <w:top w:val="nil"/>
              <w:left w:val="nil"/>
              <w:bottom w:val="nil"/>
              <w:right w:val="nil"/>
            </w:tcBorders>
            <w:noWrap/>
            <w:vAlign w:val="center"/>
          </w:tcPr>
          <w:p w14:paraId="5EE3D915"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916" w14:textId="77777777" w:rsidR="00FF1CE6" w:rsidRPr="00FF1CE6" w:rsidRDefault="00FF1CE6" w:rsidP="00FF1CE6">
            <w:pPr>
              <w:jc w:val="center"/>
              <w:rPr>
                <w:sz w:val="16"/>
                <w:szCs w:val="16"/>
              </w:rPr>
            </w:pPr>
            <w:r w:rsidRPr="00FF1CE6">
              <w:rPr>
                <w:sz w:val="16"/>
                <w:szCs w:val="16"/>
              </w:rPr>
              <w:t>-.11</w:t>
            </w:r>
            <w:r w:rsidRPr="00FF1CE6">
              <w:rPr>
                <w:sz w:val="16"/>
                <w:szCs w:val="16"/>
                <w:vertAlign w:val="superscript"/>
              </w:rPr>
              <w:t>*</w:t>
            </w:r>
          </w:p>
        </w:tc>
        <w:tc>
          <w:tcPr>
            <w:tcW w:w="657" w:type="dxa"/>
            <w:tcBorders>
              <w:top w:val="nil"/>
              <w:left w:val="nil"/>
              <w:bottom w:val="nil"/>
              <w:right w:val="nil"/>
            </w:tcBorders>
            <w:noWrap/>
            <w:vAlign w:val="center"/>
          </w:tcPr>
          <w:p w14:paraId="5EE3D917"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918"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919" w14:textId="77777777" w:rsidR="00FF1CE6" w:rsidRPr="00FF1CE6" w:rsidRDefault="00FF1CE6" w:rsidP="00FF1CE6">
            <w:pPr>
              <w:jc w:val="center"/>
              <w:rPr>
                <w:sz w:val="16"/>
                <w:szCs w:val="16"/>
              </w:rPr>
            </w:pPr>
            <w:r w:rsidRPr="00FF1CE6">
              <w:rPr>
                <w:sz w:val="16"/>
                <w:szCs w:val="16"/>
              </w:rPr>
              <w:t>-.03</w:t>
            </w:r>
          </w:p>
        </w:tc>
        <w:tc>
          <w:tcPr>
            <w:tcW w:w="657" w:type="dxa"/>
            <w:tcBorders>
              <w:top w:val="nil"/>
              <w:left w:val="nil"/>
              <w:bottom w:val="nil"/>
              <w:right w:val="nil"/>
            </w:tcBorders>
            <w:noWrap/>
            <w:vAlign w:val="center"/>
          </w:tcPr>
          <w:p w14:paraId="5EE3D91A" w14:textId="77777777" w:rsidR="00FF1CE6" w:rsidRPr="00FF1CE6" w:rsidRDefault="00FF1CE6" w:rsidP="00FF1CE6">
            <w:pPr>
              <w:jc w:val="center"/>
              <w:rPr>
                <w:sz w:val="16"/>
                <w:szCs w:val="16"/>
              </w:rPr>
            </w:pPr>
            <w:r w:rsidRPr="00FF1CE6">
              <w:rPr>
                <w:sz w:val="16"/>
                <w:szCs w:val="16"/>
              </w:rPr>
              <w:t>.23</w:t>
            </w:r>
            <w:r w:rsidRPr="00FF1CE6">
              <w:rPr>
                <w:sz w:val="16"/>
                <w:szCs w:val="16"/>
                <w:vertAlign w:val="superscript"/>
              </w:rPr>
              <w:t>**</w:t>
            </w:r>
          </w:p>
        </w:tc>
        <w:tc>
          <w:tcPr>
            <w:tcW w:w="658" w:type="dxa"/>
            <w:tcBorders>
              <w:top w:val="nil"/>
              <w:left w:val="nil"/>
              <w:bottom w:val="nil"/>
              <w:right w:val="nil"/>
            </w:tcBorders>
            <w:noWrap/>
            <w:vAlign w:val="center"/>
          </w:tcPr>
          <w:p w14:paraId="5EE3D91B" w14:textId="77777777" w:rsidR="00FF1CE6" w:rsidRPr="00FF1CE6" w:rsidRDefault="00FF1CE6" w:rsidP="00FF1CE6">
            <w:pPr>
              <w:jc w:val="center"/>
              <w:rPr>
                <w:sz w:val="16"/>
                <w:szCs w:val="16"/>
              </w:rPr>
            </w:pPr>
            <w:r w:rsidRPr="00FF1CE6">
              <w:rPr>
                <w:sz w:val="16"/>
                <w:szCs w:val="16"/>
              </w:rPr>
              <w:t>1</w:t>
            </w:r>
          </w:p>
        </w:tc>
        <w:tc>
          <w:tcPr>
            <w:tcW w:w="658" w:type="dxa"/>
            <w:tcBorders>
              <w:top w:val="nil"/>
              <w:left w:val="nil"/>
              <w:bottom w:val="nil"/>
              <w:right w:val="nil"/>
            </w:tcBorders>
          </w:tcPr>
          <w:p w14:paraId="5EE3D91C" w14:textId="77777777" w:rsidR="00FF1CE6" w:rsidRPr="00FF1CE6" w:rsidRDefault="00FF1CE6" w:rsidP="00FF1CE6">
            <w:pPr>
              <w:jc w:val="center"/>
              <w:rPr>
                <w:sz w:val="16"/>
                <w:szCs w:val="16"/>
              </w:rPr>
            </w:pPr>
          </w:p>
        </w:tc>
        <w:tc>
          <w:tcPr>
            <w:tcW w:w="658" w:type="dxa"/>
            <w:tcBorders>
              <w:top w:val="nil"/>
              <w:left w:val="nil"/>
              <w:bottom w:val="nil"/>
              <w:right w:val="nil"/>
            </w:tcBorders>
          </w:tcPr>
          <w:p w14:paraId="5EE3D91D" w14:textId="77777777" w:rsidR="00FF1CE6" w:rsidRPr="00FF1CE6" w:rsidRDefault="00FF1CE6" w:rsidP="00FF1CE6">
            <w:pPr>
              <w:jc w:val="center"/>
              <w:rPr>
                <w:sz w:val="16"/>
                <w:szCs w:val="16"/>
              </w:rPr>
            </w:pPr>
          </w:p>
        </w:tc>
      </w:tr>
      <w:tr w:rsidR="00FF1CE6" w:rsidRPr="00FF1CE6" w14:paraId="5EE3D936" w14:textId="77777777" w:rsidTr="00FF1CE6">
        <w:trPr>
          <w:trHeight w:val="319"/>
        </w:trPr>
        <w:tc>
          <w:tcPr>
            <w:tcW w:w="1418" w:type="dxa"/>
            <w:tcBorders>
              <w:top w:val="nil"/>
              <w:left w:val="nil"/>
              <w:bottom w:val="nil"/>
              <w:right w:val="nil"/>
            </w:tcBorders>
            <w:vAlign w:val="center"/>
          </w:tcPr>
          <w:p w14:paraId="5EE3D91F" w14:textId="77777777" w:rsidR="00FF1CE6" w:rsidRPr="00FF1CE6" w:rsidRDefault="00FF1CE6" w:rsidP="00FF1CE6">
            <w:pPr>
              <w:rPr>
                <w:sz w:val="16"/>
                <w:szCs w:val="16"/>
              </w:rPr>
            </w:pPr>
            <w:r w:rsidRPr="00FF1CE6">
              <w:rPr>
                <w:sz w:val="16"/>
                <w:szCs w:val="16"/>
              </w:rPr>
              <w:t>21. Export channel</w:t>
            </w:r>
          </w:p>
        </w:tc>
        <w:tc>
          <w:tcPr>
            <w:tcW w:w="657" w:type="dxa"/>
            <w:tcBorders>
              <w:top w:val="nil"/>
              <w:left w:val="nil"/>
              <w:bottom w:val="nil"/>
              <w:right w:val="nil"/>
            </w:tcBorders>
            <w:noWrap/>
            <w:vAlign w:val="center"/>
          </w:tcPr>
          <w:p w14:paraId="5EE3D920" w14:textId="77777777" w:rsidR="00FF1CE6" w:rsidRPr="00FF1CE6" w:rsidRDefault="00FF1CE6" w:rsidP="00FF1CE6">
            <w:pPr>
              <w:jc w:val="center"/>
              <w:rPr>
                <w:sz w:val="16"/>
                <w:szCs w:val="16"/>
              </w:rPr>
            </w:pPr>
            <w:r w:rsidRPr="00FF1CE6">
              <w:rPr>
                <w:sz w:val="16"/>
                <w:szCs w:val="16"/>
              </w:rPr>
              <w:t>1.11*</w:t>
            </w:r>
          </w:p>
        </w:tc>
        <w:tc>
          <w:tcPr>
            <w:tcW w:w="657" w:type="dxa"/>
            <w:tcBorders>
              <w:top w:val="nil"/>
              <w:left w:val="nil"/>
              <w:bottom w:val="nil"/>
              <w:right w:val="nil"/>
            </w:tcBorders>
            <w:noWrap/>
            <w:vAlign w:val="center"/>
          </w:tcPr>
          <w:p w14:paraId="5EE3D921"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bottom w:val="nil"/>
              <w:right w:val="nil"/>
            </w:tcBorders>
            <w:noWrap/>
            <w:vAlign w:val="center"/>
          </w:tcPr>
          <w:p w14:paraId="5EE3D922"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bottom w:val="nil"/>
              <w:right w:val="nil"/>
            </w:tcBorders>
            <w:noWrap/>
            <w:vAlign w:val="center"/>
          </w:tcPr>
          <w:p w14:paraId="5EE3D923" w14:textId="77777777" w:rsidR="00FF1CE6" w:rsidRPr="00FF1CE6" w:rsidRDefault="00FF1CE6" w:rsidP="00FF1CE6">
            <w:pPr>
              <w:jc w:val="center"/>
              <w:rPr>
                <w:sz w:val="16"/>
                <w:szCs w:val="16"/>
              </w:rPr>
            </w:pPr>
            <w:r w:rsidRPr="00FF1CE6">
              <w:rPr>
                <w:sz w:val="16"/>
                <w:szCs w:val="16"/>
              </w:rPr>
              <w:t>-,01</w:t>
            </w:r>
          </w:p>
        </w:tc>
        <w:tc>
          <w:tcPr>
            <w:tcW w:w="657" w:type="dxa"/>
            <w:tcBorders>
              <w:top w:val="nil"/>
              <w:left w:val="nil"/>
              <w:bottom w:val="nil"/>
              <w:right w:val="nil"/>
            </w:tcBorders>
            <w:noWrap/>
            <w:vAlign w:val="center"/>
          </w:tcPr>
          <w:p w14:paraId="5EE3D924"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925"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926" w14:textId="77777777" w:rsidR="00FF1CE6" w:rsidRPr="00FF1CE6" w:rsidRDefault="00FF1CE6" w:rsidP="00FF1CE6">
            <w:pPr>
              <w:jc w:val="center"/>
              <w:rPr>
                <w:sz w:val="16"/>
                <w:szCs w:val="16"/>
              </w:rPr>
            </w:pPr>
            <w:r w:rsidRPr="00FF1CE6">
              <w:rPr>
                <w:sz w:val="16"/>
                <w:szCs w:val="16"/>
              </w:rPr>
              <w:t>-,12*</w:t>
            </w:r>
          </w:p>
        </w:tc>
        <w:tc>
          <w:tcPr>
            <w:tcW w:w="657" w:type="dxa"/>
            <w:tcBorders>
              <w:top w:val="nil"/>
              <w:left w:val="nil"/>
              <w:bottom w:val="nil"/>
              <w:right w:val="nil"/>
            </w:tcBorders>
            <w:noWrap/>
            <w:vAlign w:val="center"/>
          </w:tcPr>
          <w:p w14:paraId="5EE3D927"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928"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bottom w:val="nil"/>
              <w:right w:val="nil"/>
            </w:tcBorders>
            <w:noWrap/>
            <w:vAlign w:val="center"/>
          </w:tcPr>
          <w:p w14:paraId="5EE3D929" w14:textId="77777777" w:rsidR="00FF1CE6" w:rsidRPr="00FF1CE6" w:rsidRDefault="00FF1CE6" w:rsidP="00FF1CE6">
            <w:pPr>
              <w:jc w:val="center"/>
              <w:rPr>
                <w:sz w:val="16"/>
                <w:szCs w:val="16"/>
              </w:rPr>
            </w:pPr>
            <w:r w:rsidRPr="00FF1CE6">
              <w:rPr>
                <w:sz w:val="16"/>
                <w:szCs w:val="16"/>
              </w:rPr>
              <w:t>,15**</w:t>
            </w:r>
          </w:p>
        </w:tc>
        <w:tc>
          <w:tcPr>
            <w:tcW w:w="657" w:type="dxa"/>
            <w:tcBorders>
              <w:top w:val="nil"/>
              <w:left w:val="nil"/>
              <w:bottom w:val="nil"/>
              <w:right w:val="nil"/>
            </w:tcBorders>
            <w:noWrap/>
            <w:vAlign w:val="center"/>
          </w:tcPr>
          <w:p w14:paraId="5EE3D92A" w14:textId="77777777" w:rsidR="00FF1CE6" w:rsidRPr="00FF1CE6" w:rsidRDefault="00FF1CE6" w:rsidP="00FF1CE6">
            <w:pPr>
              <w:jc w:val="center"/>
              <w:rPr>
                <w:sz w:val="16"/>
                <w:szCs w:val="16"/>
              </w:rPr>
            </w:pPr>
            <w:r w:rsidRPr="00FF1CE6">
              <w:rPr>
                <w:sz w:val="16"/>
                <w:szCs w:val="16"/>
              </w:rPr>
              <w:t>,10</w:t>
            </w:r>
          </w:p>
        </w:tc>
        <w:tc>
          <w:tcPr>
            <w:tcW w:w="657" w:type="dxa"/>
            <w:tcBorders>
              <w:top w:val="nil"/>
              <w:left w:val="nil"/>
              <w:bottom w:val="nil"/>
              <w:right w:val="nil"/>
            </w:tcBorders>
            <w:noWrap/>
            <w:vAlign w:val="center"/>
          </w:tcPr>
          <w:p w14:paraId="5EE3D92B"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bottom w:val="nil"/>
              <w:right w:val="nil"/>
            </w:tcBorders>
            <w:noWrap/>
            <w:vAlign w:val="center"/>
          </w:tcPr>
          <w:p w14:paraId="5EE3D92C"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bottom w:val="nil"/>
              <w:right w:val="nil"/>
            </w:tcBorders>
            <w:noWrap/>
            <w:vAlign w:val="center"/>
          </w:tcPr>
          <w:p w14:paraId="5EE3D92D"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bottom w:val="nil"/>
              <w:right w:val="nil"/>
            </w:tcBorders>
            <w:noWrap/>
            <w:vAlign w:val="center"/>
          </w:tcPr>
          <w:p w14:paraId="5EE3D92E" w14:textId="77777777" w:rsidR="00FF1CE6" w:rsidRPr="00FF1CE6" w:rsidRDefault="00FF1CE6" w:rsidP="00FF1CE6">
            <w:pPr>
              <w:jc w:val="center"/>
              <w:rPr>
                <w:sz w:val="16"/>
                <w:szCs w:val="16"/>
              </w:rPr>
            </w:pPr>
            <w:r w:rsidRPr="00FF1CE6">
              <w:rPr>
                <w:sz w:val="16"/>
                <w:szCs w:val="16"/>
              </w:rPr>
              <w:t>,10</w:t>
            </w:r>
          </w:p>
        </w:tc>
        <w:tc>
          <w:tcPr>
            <w:tcW w:w="657" w:type="dxa"/>
            <w:tcBorders>
              <w:top w:val="nil"/>
              <w:left w:val="nil"/>
              <w:bottom w:val="nil"/>
              <w:right w:val="nil"/>
            </w:tcBorders>
            <w:noWrap/>
            <w:vAlign w:val="center"/>
          </w:tcPr>
          <w:p w14:paraId="5EE3D92F"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930"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bottom w:val="nil"/>
              <w:right w:val="nil"/>
            </w:tcBorders>
            <w:noWrap/>
            <w:vAlign w:val="center"/>
          </w:tcPr>
          <w:p w14:paraId="5EE3D931" w14:textId="77777777" w:rsidR="00FF1CE6" w:rsidRPr="00FF1CE6" w:rsidRDefault="00FF1CE6" w:rsidP="00FF1CE6">
            <w:pPr>
              <w:jc w:val="center"/>
              <w:rPr>
                <w:sz w:val="16"/>
                <w:szCs w:val="16"/>
              </w:rPr>
            </w:pPr>
            <w:r w:rsidRPr="00FF1CE6">
              <w:rPr>
                <w:sz w:val="16"/>
                <w:szCs w:val="16"/>
              </w:rPr>
              <w:t>-,02</w:t>
            </w:r>
          </w:p>
        </w:tc>
        <w:tc>
          <w:tcPr>
            <w:tcW w:w="657" w:type="dxa"/>
            <w:tcBorders>
              <w:top w:val="nil"/>
              <w:left w:val="nil"/>
              <w:bottom w:val="nil"/>
              <w:right w:val="nil"/>
            </w:tcBorders>
            <w:noWrap/>
            <w:vAlign w:val="center"/>
          </w:tcPr>
          <w:p w14:paraId="5EE3D932" w14:textId="77777777" w:rsidR="00FF1CE6" w:rsidRPr="00FF1CE6" w:rsidRDefault="00FF1CE6" w:rsidP="00FF1CE6">
            <w:pPr>
              <w:jc w:val="center"/>
              <w:rPr>
                <w:sz w:val="16"/>
                <w:szCs w:val="16"/>
              </w:rPr>
            </w:pPr>
            <w:r w:rsidRPr="00FF1CE6">
              <w:rPr>
                <w:sz w:val="16"/>
                <w:szCs w:val="16"/>
              </w:rPr>
              <w:t>,08</w:t>
            </w:r>
          </w:p>
        </w:tc>
        <w:tc>
          <w:tcPr>
            <w:tcW w:w="658" w:type="dxa"/>
            <w:tcBorders>
              <w:top w:val="nil"/>
              <w:left w:val="nil"/>
              <w:bottom w:val="nil"/>
              <w:right w:val="nil"/>
            </w:tcBorders>
            <w:noWrap/>
            <w:vAlign w:val="center"/>
          </w:tcPr>
          <w:p w14:paraId="5EE3D933" w14:textId="77777777" w:rsidR="00FF1CE6" w:rsidRPr="00FF1CE6" w:rsidRDefault="00FF1CE6" w:rsidP="00FF1CE6">
            <w:pPr>
              <w:jc w:val="center"/>
              <w:rPr>
                <w:sz w:val="16"/>
                <w:szCs w:val="16"/>
              </w:rPr>
            </w:pPr>
            <w:r w:rsidRPr="00FF1CE6">
              <w:rPr>
                <w:sz w:val="16"/>
                <w:szCs w:val="16"/>
              </w:rPr>
              <w:t>,05</w:t>
            </w:r>
          </w:p>
        </w:tc>
        <w:tc>
          <w:tcPr>
            <w:tcW w:w="658" w:type="dxa"/>
            <w:tcBorders>
              <w:top w:val="nil"/>
              <w:left w:val="nil"/>
              <w:bottom w:val="nil"/>
              <w:right w:val="nil"/>
            </w:tcBorders>
            <w:vAlign w:val="center"/>
          </w:tcPr>
          <w:p w14:paraId="5EE3D934" w14:textId="77777777" w:rsidR="00FF1CE6" w:rsidRPr="00FF1CE6" w:rsidRDefault="00FF1CE6" w:rsidP="00FF1CE6">
            <w:pPr>
              <w:jc w:val="center"/>
              <w:rPr>
                <w:sz w:val="16"/>
                <w:szCs w:val="16"/>
              </w:rPr>
            </w:pPr>
            <w:r w:rsidRPr="00FF1CE6">
              <w:rPr>
                <w:sz w:val="16"/>
                <w:szCs w:val="16"/>
              </w:rPr>
              <w:t>1</w:t>
            </w:r>
          </w:p>
        </w:tc>
        <w:tc>
          <w:tcPr>
            <w:tcW w:w="658" w:type="dxa"/>
            <w:tcBorders>
              <w:top w:val="nil"/>
              <w:left w:val="nil"/>
              <w:bottom w:val="nil"/>
              <w:right w:val="nil"/>
            </w:tcBorders>
            <w:vAlign w:val="center"/>
          </w:tcPr>
          <w:p w14:paraId="5EE3D935" w14:textId="77777777" w:rsidR="00FF1CE6" w:rsidRPr="00FF1CE6" w:rsidRDefault="00FF1CE6" w:rsidP="00FF1CE6">
            <w:pPr>
              <w:jc w:val="center"/>
              <w:rPr>
                <w:sz w:val="16"/>
                <w:szCs w:val="16"/>
              </w:rPr>
            </w:pPr>
          </w:p>
        </w:tc>
      </w:tr>
      <w:tr w:rsidR="00FF1CE6" w:rsidRPr="00FF1CE6" w14:paraId="5EE3D94E" w14:textId="77777777" w:rsidTr="00FF1CE6">
        <w:trPr>
          <w:trHeight w:val="319"/>
        </w:trPr>
        <w:tc>
          <w:tcPr>
            <w:tcW w:w="1418" w:type="dxa"/>
            <w:tcBorders>
              <w:top w:val="nil"/>
              <w:left w:val="nil"/>
              <w:right w:val="nil"/>
            </w:tcBorders>
            <w:vAlign w:val="center"/>
          </w:tcPr>
          <w:p w14:paraId="5EE3D937" w14:textId="77777777" w:rsidR="00FF1CE6" w:rsidRPr="00FF1CE6" w:rsidRDefault="00FF1CE6" w:rsidP="00FF1CE6">
            <w:pPr>
              <w:rPr>
                <w:sz w:val="16"/>
                <w:szCs w:val="16"/>
              </w:rPr>
            </w:pPr>
            <w:r w:rsidRPr="00FF1CE6">
              <w:rPr>
                <w:sz w:val="16"/>
                <w:szCs w:val="16"/>
              </w:rPr>
              <w:t>22. Export performance</w:t>
            </w:r>
          </w:p>
        </w:tc>
        <w:tc>
          <w:tcPr>
            <w:tcW w:w="657" w:type="dxa"/>
            <w:tcBorders>
              <w:top w:val="nil"/>
              <w:left w:val="nil"/>
              <w:right w:val="nil"/>
            </w:tcBorders>
            <w:noWrap/>
            <w:vAlign w:val="center"/>
          </w:tcPr>
          <w:p w14:paraId="5EE3D938" w14:textId="77777777" w:rsidR="00FF1CE6" w:rsidRPr="00FF1CE6" w:rsidRDefault="00FF1CE6" w:rsidP="00FF1CE6">
            <w:pPr>
              <w:jc w:val="center"/>
              <w:rPr>
                <w:sz w:val="16"/>
                <w:szCs w:val="16"/>
              </w:rPr>
            </w:pPr>
            <w:r w:rsidRPr="00FF1CE6">
              <w:rPr>
                <w:sz w:val="16"/>
                <w:szCs w:val="16"/>
              </w:rPr>
              <w:t>-,31**</w:t>
            </w:r>
          </w:p>
        </w:tc>
        <w:tc>
          <w:tcPr>
            <w:tcW w:w="657" w:type="dxa"/>
            <w:tcBorders>
              <w:top w:val="nil"/>
              <w:left w:val="nil"/>
              <w:right w:val="nil"/>
            </w:tcBorders>
            <w:noWrap/>
            <w:vAlign w:val="center"/>
          </w:tcPr>
          <w:p w14:paraId="5EE3D939"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right w:val="nil"/>
            </w:tcBorders>
            <w:noWrap/>
            <w:vAlign w:val="center"/>
          </w:tcPr>
          <w:p w14:paraId="5EE3D93A" w14:textId="77777777" w:rsidR="00FF1CE6" w:rsidRPr="00FF1CE6" w:rsidRDefault="00FF1CE6" w:rsidP="00FF1CE6">
            <w:pPr>
              <w:jc w:val="center"/>
              <w:rPr>
                <w:sz w:val="16"/>
                <w:szCs w:val="16"/>
              </w:rPr>
            </w:pPr>
            <w:r w:rsidRPr="00FF1CE6">
              <w:rPr>
                <w:sz w:val="16"/>
                <w:szCs w:val="16"/>
              </w:rPr>
              <w:t>-,14**</w:t>
            </w:r>
          </w:p>
        </w:tc>
        <w:tc>
          <w:tcPr>
            <w:tcW w:w="657" w:type="dxa"/>
            <w:tcBorders>
              <w:top w:val="nil"/>
              <w:left w:val="nil"/>
              <w:right w:val="nil"/>
            </w:tcBorders>
            <w:noWrap/>
            <w:vAlign w:val="center"/>
          </w:tcPr>
          <w:p w14:paraId="5EE3D93B"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right w:val="nil"/>
            </w:tcBorders>
            <w:noWrap/>
            <w:vAlign w:val="center"/>
          </w:tcPr>
          <w:p w14:paraId="5EE3D93C"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right w:val="nil"/>
            </w:tcBorders>
            <w:noWrap/>
            <w:vAlign w:val="center"/>
          </w:tcPr>
          <w:p w14:paraId="5EE3D93D"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right w:val="nil"/>
            </w:tcBorders>
            <w:noWrap/>
            <w:vAlign w:val="center"/>
          </w:tcPr>
          <w:p w14:paraId="5EE3D93E"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right w:val="nil"/>
            </w:tcBorders>
            <w:noWrap/>
            <w:vAlign w:val="center"/>
          </w:tcPr>
          <w:p w14:paraId="5EE3D93F" w14:textId="77777777" w:rsidR="00FF1CE6" w:rsidRPr="00FF1CE6" w:rsidRDefault="00FF1CE6" w:rsidP="00FF1CE6">
            <w:pPr>
              <w:jc w:val="center"/>
              <w:rPr>
                <w:sz w:val="16"/>
                <w:szCs w:val="16"/>
              </w:rPr>
            </w:pPr>
            <w:r w:rsidRPr="00FF1CE6">
              <w:rPr>
                <w:sz w:val="16"/>
                <w:szCs w:val="16"/>
              </w:rPr>
              <w:t>,12*</w:t>
            </w:r>
          </w:p>
        </w:tc>
        <w:tc>
          <w:tcPr>
            <w:tcW w:w="657" w:type="dxa"/>
            <w:tcBorders>
              <w:top w:val="nil"/>
              <w:left w:val="nil"/>
              <w:right w:val="nil"/>
            </w:tcBorders>
            <w:noWrap/>
            <w:vAlign w:val="center"/>
          </w:tcPr>
          <w:p w14:paraId="5EE3D940" w14:textId="77777777" w:rsidR="00FF1CE6" w:rsidRPr="00FF1CE6" w:rsidRDefault="00FF1CE6" w:rsidP="00FF1CE6">
            <w:pPr>
              <w:jc w:val="center"/>
              <w:rPr>
                <w:sz w:val="16"/>
                <w:szCs w:val="16"/>
              </w:rPr>
            </w:pPr>
            <w:r w:rsidRPr="00FF1CE6">
              <w:rPr>
                <w:sz w:val="16"/>
                <w:szCs w:val="16"/>
              </w:rPr>
              <w:t>-,04</w:t>
            </w:r>
          </w:p>
        </w:tc>
        <w:tc>
          <w:tcPr>
            <w:tcW w:w="657" w:type="dxa"/>
            <w:tcBorders>
              <w:top w:val="nil"/>
              <w:left w:val="nil"/>
              <w:right w:val="nil"/>
            </w:tcBorders>
            <w:noWrap/>
            <w:vAlign w:val="center"/>
          </w:tcPr>
          <w:p w14:paraId="5EE3D941" w14:textId="77777777" w:rsidR="00FF1CE6" w:rsidRPr="00FF1CE6" w:rsidRDefault="00FF1CE6" w:rsidP="00FF1CE6">
            <w:pPr>
              <w:jc w:val="center"/>
              <w:rPr>
                <w:sz w:val="16"/>
                <w:szCs w:val="16"/>
              </w:rPr>
            </w:pPr>
            <w:r w:rsidRPr="00FF1CE6">
              <w:rPr>
                <w:sz w:val="16"/>
                <w:szCs w:val="16"/>
              </w:rPr>
              <w:t>,08</w:t>
            </w:r>
          </w:p>
        </w:tc>
        <w:tc>
          <w:tcPr>
            <w:tcW w:w="657" w:type="dxa"/>
            <w:tcBorders>
              <w:top w:val="nil"/>
              <w:left w:val="nil"/>
              <w:right w:val="nil"/>
            </w:tcBorders>
            <w:noWrap/>
            <w:vAlign w:val="center"/>
          </w:tcPr>
          <w:p w14:paraId="5EE3D942"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right w:val="nil"/>
            </w:tcBorders>
            <w:noWrap/>
            <w:vAlign w:val="center"/>
          </w:tcPr>
          <w:p w14:paraId="5EE3D943" w14:textId="77777777" w:rsidR="00FF1CE6" w:rsidRPr="00FF1CE6" w:rsidRDefault="00FF1CE6" w:rsidP="00FF1CE6">
            <w:pPr>
              <w:jc w:val="center"/>
              <w:rPr>
                <w:sz w:val="16"/>
                <w:szCs w:val="16"/>
              </w:rPr>
            </w:pPr>
            <w:r w:rsidRPr="00FF1CE6">
              <w:rPr>
                <w:sz w:val="16"/>
                <w:szCs w:val="16"/>
              </w:rPr>
              <w:t>-,06</w:t>
            </w:r>
          </w:p>
        </w:tc>
        <w:tc>
          <w:tcPr>
            <w:tcW w:w="657" w:type="dxa"/>
            <w:tcBorders>
              <w:top w:val="nil"/>
              <w:left w:val="nil"/>
              <w:right w:val="nil"/>
            </w:tcBorders>
            <w:noWrap/>
            <w:vAlign w:val="center"/>
          </w:tcPr>
          <w:p w14:paraId="5EE3D944"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right w:val="nil"/>
            </w:tcBorders>
            <w:noWrap/>
            <w:vAlign w:val="center"/>
          </w:tcPr>
          <w:p w14:paraId="5EE3D945"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right w:val="nil"/>
            </w:tcBorders>
            <w:noWrap/>
            <w:vAlign w:val="center"/>
          </w:tcPr>
          <w:p w14:paraId="5EE3D946" w14:textId="77777777" w:rsidR="00FF1CE6" w:rsidRPr="00FF1CE6" w:rsidRDefault="00FF1CE6" w:rsidP="00FF1CE6">
            <w:pPr>
              <w:jc w:val="center"/>
              <w:rPr>
                <w:sz w:val="16"/>
                <w:szCs w:val="16"/>
              </w:rPr>
            </w:pPr>
            <w:r w:rsidRPr="00FF1CE6">
              <w:rPr>
                <w:sz w:val="16"/>
                <w:szCs w:val="16"/>
              </w:rPr>
              <w:t>,21**</w:t>
            </w:r>
          </w:p>
        </w:tc>
        <w:tc>
          <w:tcPr>
            <w:tcW w:w="657" w:type="dxa"/>
            <w:tcBorders>
              <w:top w:val="nil"/>
              <w:left w:val="nil"/>
              <w:right w:val="nil"/>
            </w:tcBorders>
            <w:noWrap/>
            <w:vAlign w:val="center"/>
          </w:tcPr>
          <w:p w14:paraId="5EE3D947" w14:textId="77777777" w:rsidR="00FF1CE6" w:rsidRPr="00FF1CE6" w:rsidRDefault="00FF1CE6" w:rsidP="00FF1CE6">
            <w:pPr>
              <w:jc w:val="center"/>
              <w:rPr>
                <w:sz w:val="16"/>
                <w:szCs w:val="16"/>
              </w:rPr>
            </w:pPr>
            <w:r w:rsidRPr="00FF1CE6">
              <w:rPr>
                <w:sz w:val="16"/>
                <w:szCs w:val="16"/>
              </w:rPr>
              <w:t>,00</w:t>
            </w:r>
          </w:p>
        </w:tc>
        <w:tc>
          <w:tcPr>
            <w:tcW w:w="657" w:type="dxa"/>
            <w:tcBorders>
              <w:top w:val="nil"/>
              <w:left w:val="nil"/>
              <w:right w:val="nil"/>
            </w:tcBorders>
            <w:noWrap/>
            <w:vAlign w:val="center"/>
          </w:tcPr>
          <w:p w14:paraId="5EE3D948" w14:textId="77777777" w:rsidR="00FF1CE6" w:rsidRPr="00FF1CE6" w:rsidRDefault="00FF1CE6" w:rsidP="00FF1CE6">
            <w:pPr>
              <w:jc w:val="center"/>
              <w:rPr>
                <w:sz w:val="16"/>
                <w:szCs w:val="16"/>
              </w:rPr>
            </w:pPr>
            <w:r w:rsidRPr="00FF1CE6">
              <w:rPr>
                <w:sz w:val="16"/>
                <w:szCs w:val="16"/>
              </w:rPr>
              <w:t>-,05</w:t>
            </w:r>
          </w:p>
        </w:tc>
        <w:tc>
          <w:tcPr>
            <w:tcW w:w="657" w:type="dxa"/>
            <w:tcBorders>
              <w:top w:val="nil"/>
              <w:left w:val="nil"/>
              <w:right w:val="nil"/>
            </w:tcBorders>
            <w:noWrap/>
            <w:vAlign w:val="center"/>
          </w:tcPr>
          <w:p w14:paraId="5EE3D949" w14:textId="77777777" w:rsidR="00FF1CE6" w:rsidRPr="00FF1CE6" w:rsidRDefault="00FF1CE6" w:rsidP="00FF1CE6">
            <w:pPr>
              <w:jc w:val="center"/>
              <w:rPr>
                <w:sz w:val="16"/>
                <w:szCs w:val="16"/>
              </w:rPr>
            </w:pPr>
            <w:r w:rsidRPr="00FF1CE6">
              <w:rPr>
                <w:sz w:val="16"/>
                <w:szCs w:val="16"/>
              </w:rPr>
              <w:t>,09</w:t>
            </w:r>
          </w:p>
        </w:tc>
        <w:tc>
          <w:tcPr>
            <w:tcW w:w="657" w:type="dxa"/>
            <w:tcBorders>
              <w:top w:val="nil"/>
              <w:left w:val="nil"/>
              <w:right w:val="nil"/>
            </w:tcBorders>
            <w:noWrap/>
            <w:vAlign w:val="center"/>
          </w:tcPr>
          <w:p w14:paraId="5EE3D94A" w14:textId="77777777" w:rsidR="00FF1CE6" w:rsidRPr="00FF1CE6" w:rsidRDefault="00FF1CE6" w:rsidP="00FF1CE6">
            <w:pPr>
              <w:jc w:val="center"/>
              <w:rPr>
                <w:sz w:val="16"/>
                <w:szCs w:val="16"/>
              </w:rPr>
            </w:pPr>
            <w:r w:rsidRPr="00FF1CE6">
              <w:rPr>
                <w:sz w:val="16"/>
                <w:szCs w:val="16"/>
              </w:rPr>
              <w:t>-,18**</w:t>
            </w:r>
          </w:p>
        </w:tc>
        <w:tc>
          <w:tcPr>
            <w:tcW w:w="658" w:type="dxa"/>
            <w:tcBorders>
              <w:top w:val="nil"/>
              <w:left w:val="nil"/>
              <w:right w:val="nil"/>
            </w:tcBorders>
            <w:noWrap/>
            <w:vAlign w:val="center"/>
          </w:tcPr>
          <w:p w14:paraId="5EE3D94B" w14:textId="77777777" w:rsidR="00FF1CE6" w:rsidRPr="00FF1CE6" w:rsidRDefault="00FF1CE6" w:rsidP="00FF1CE6">
            <w:pPr>
              <w:jc w:val="center"/>
              <w:rPr>
                <w:sz w:val="16"/>
                <w:szCs w:val="16"/>
              </w:rPr>
            </w:pPr>
            <w:r w:rsidRPr="00FF1CE6">
              <w:rPr>
                <w:sz w:val="16"/>
                <w:szCs w:val="16"/>
              </w:rPr>
              <w:t>-,22**</w:t>
            </w:r>
          </w:p>
        </w:tc>
        <w:tc>
          <w:tcPr>
            <w:tcW w:w="658" w:type="dxa"/>
            <w:tcBorders>
              <w:top w:val="nil"/>
              <w:left w:val="nil"/>
              <w:right w:val="nil"/>
            </w:tcBorders>
            <w:vAlign w:val="center"/>
          </w:tcPr>
          <w:p w14:paraId="5EE3D94C" w14:textId="77777777" w:rsidR="00FF1CE6" w:rsidRPr="00FF1CE6" w:rsidRDefault="00FF1CE6" w:rsidP="00FF1CE6">
            <w:pPr>
              <w:jc w:val="center"/>
              <w:rPr>
                <w:sz w:val="16"/>
                <w:szCs w:val="16"/>
              </w:rPr>
            </w:pPr>
            <w:r w:rsidRPr="00FF1CE6">
              <w:rPr>
                <w:sz w:val="16"/>
                <w:szCs w:val="16"/>
              </w:rPr>
              <w:t>.15*</w:t>
            </w:r>
          </w:p>
        </w:tc>
        <w:tc>
          <w:tcPr>
            <w:tcW w:w="658" w:type="dxa"/>
            <w:tcBorders>
              <w:top w:val="nil"/>
              <w:left w:val="nil"/>
              <w:right w:val="nil"/>
            </w:tcBorders>
            <w:vAlign w:val="center"/>
          </w:tcPr>
          <w:p w14:paraId="5EE3D94D" w14:textId="77777777" w:rsidR="00FF1CE6" w:rsidRPr="00FF1CE6" w:rsidRDefault="00FF1CE6" w:rsidP="00FF1CE6">
            <w:pPr>
              <w:jc w:val="center"/>
              <w:rPr>
                <w:sz w:val="16"/>
                <w:szCs w:val="16"/>
              </w:rPr>
            </w:pPr>
            <w:r w:rsidRPr="00FF1CE6">
              <w:rPr>
                <w:sz w:val="16"/>
                <w:szCs w:val="16"/>
              </w:rPr>
              <w:t>1</w:t>
            </w:r>
          </w:p>
        </w:tc>
      </w:tr>
      <w:tr w:rsidR="00FF1CE6" w:rsidRPr="00FF1CE6" w14:paraId="5EE3D952" w14:textId="77777777" w:rsidTr="00FF1CE6">
        <w:trPr>
          <w:trHeight w:val="319"/>
        </w:trPr>
        <w:tc>
          <w:tcPr>
            <w:tcW w:w="14559" w:type="dxa"/>
            <w:gridSpan w:val="21"/>
            <w:tcBorders>
              <w:left w:val="nil"/>
              <w:bottom w:val="nil"/>
              <w:right w:val="nil"/>
            </w:tcBorders>
            <w:vAlign w:val="center"/>
          </w:tcPr>
          <w:p w14:paraId="5EE3D94F" w14:textId="334DBEB5" w:rsidR="00FF1CE6" w:rsidRPr="00FF1CE6" w:rsidRDefault="00FF1CE6" w:rsidP="00FF1CE6">
            <w:pPr>
              <w:rPr>
                <w:sz w:val="16"/>
                <w:szCs w:val="16"/>
              </w:rPr>
            </w:pPr>
            <w:r w:rsidRPr="00FF1CE6">
              <w:rPr>
                <w:i/>
                <w:sz w:val="16"/>
                <w:szCs w:val="16"/>
                <w:lang w:eastAsia="en-US"/>
              </w:rPr>
              <w:t>Note</w:t>
            </w:r>
            <w:r w:rsidRPr="00FF1CE6">
              <w:rPr>
                <w:sz w:val="16"/>
                <w:szCs w:val="16"/>
                <w:lang w:eastAsia="en-US"/>
              </w:rPr>
              <w:t>: * p&lt;0.05, ** p&lt;0.01</w:t>
            </w:r>
            <w:r w:rsidR="00DA4B73">
              <w:rPr>
                <w:sz w:val="16"/>
                <w:szCs w:val="16"/>
                <w:lang w:eastAsia="en-US"/>
              </w:rPr>
              <w:t>, n=265</w:t>
            </w:r>
          </w:p>
        </w:tc>
        <w:tc>
          <w:tcPr>
            <w:tcW w:w="658" w:type="dxa"/>
            <w:tcBorders>
              <w:left w:val="nil"/>
              <w:bottom w:val="nil"/>
              <w:right w:val="nil"/>
            </w:tcBorders>
          </w:tcPr>
          <w:p w14:paraId="5EE3D950" w14:textId="77777777" w:rsidR="00FF1CE6" w:rsidRPr="00FF1CE6" w:rsidRDefault="00FF1CE6" w:rsidP="00FF1CE6">
            <w:pPr>
              <w:rPr>
                <w:i/>
                <w:sz w:val="16"/>
                <w:szCs w:val="16"/>
                <w:lang w:eastAsia="en-US"/>
              </w:rPr>
            </w:pPr>
          </w:p>
        </w:tc>
        <w:tc>
          <w:tcPr>
            <w:tcW w:w="658" w:type="dxa"/>
            <w:tcBorders>
              <w:left w:val="nil"/>
              <w:bottom w:val="nil"/>
              <w:right w:val="nil"/>
            </w:tcBorders>
          </w:tcPr>
          <w:p w14:paraId="5EE3D951" w14:textId="77777777" w:rsidR="00FF1CE6" w:rsidRPr="00FF1CE6" w:rsidRDefault="00FF1CE6" w:rsidP="00FF1CE6">
            <w:pPr>
              <w:rPr>
                <w:i/>
                <w:sz w:val="16"/>
                <w:szCs w:val="16"/>
                <w:lang w:eastAsia="en-US"/>
              </w:rPr>
            </w:pPr>
          </w:p>
        </w:tc>
      </w:tr>
    </w:tbl>
    <w:p w14:paraId="5EE3D953" w14:textId="77777777" w:rsidR="00E03C2E" w:rsidRPr="00311416" w:rsidRDefault="00E03C2E" w:rsidP="00C73E11">
      <w:pPr>
        <w:jc w:val="center"/>
        <w:rPr>
          <w:b/>
          <w:sz w:val="20"/>
          <w:szCs w:val="20"/>
        </w:rPr>
      </w:pPr>
    </w:p>
    <w:p w14:paraId="5EE3D954" w14:textId="77777777" w:rsidR="00E03C2E" w:rsidRDefault="00E03C2E">
      <w:pPr>
        <w:rPr>
          <w:b/>
          <w:bCs/>
          <w:sz w:val="20"/>
          <w:szCs w:val="20"/>
        </w:rPr>
      </w:pPr>
      <w:r>
        <w:br w:type="page"/>
      </w:r>
    </w:p>
    <w:p w14:paraId="5EE3D955" w14:textId="77777777" w:rsidR="00E03C2E" w:rsidRPr="00FA2B9F" w:rsidRDefault="00E03C2E" w:rsidP="00FA2B9F">
      <w:pPr>
        <w:jc w:val="center"/>
        <w:rPr>
          <w:b/>
          <w:sz w:val="20"/>
          <w:szCs w:val="20"/>
        </w:rPr>
        <w:sectPr w:rsidR="00E03C2E" w:rsidRPr="00FA2B9F" w:rsidSect="00311416">
          <w:pgSz w:w="15840" w:h="12240" w:orient="landscape" w:code="1"/>
          <w:pgMar w:top="993" w:right="1134" w:bottom="993" w:left="1417" w:header="709" w:footer="709" w:gutter="0"/>
          <w:cols w:space="708"/>
          <w:docGrid w:linePitch="360"/>
        </w:sectPr>
      </w:pPr>
    </w:p>
    <w:p w14:paraId="5EE3D956" w14:textId="77777777" w:rsidR="00E03C2E" w:rsidRDefault="00E03C2E" w:rsidP="00A21E1E">
      <w:pPr>
        <w:pStyle w:val="Caption"/>
        <w:keepNext/>
        <w:jc w:val="center"/>
      </w:pPr>
      <w:r>
        <w:lastRenderedPageBreak/>
        <w:t>T</w:t>
      </w:r>
      <w:r w:rsidR="002B2892">
        <w:t>ABLE</w:t>
      </w:r>
      <w:r>
        <w:t xml:space="preserve"> </w:t>
      </w:r>
      <w:r w:rsidR="00134CE8">
        <w:fldChar w:fldCharType="begin"/>
      </w:r>
      <w:r w:rsidR="004C3CCE">
        <w:instrText xml:space="preserve"> SEQ Table \* ARABIC </w:instrText>
      </w:r>
      <w:r w:rsidR="00134CE8">
        <w:fldChar w:fldCharType="separate"/>
      </w:r>
      <w:r w:rsidR="0073205D">
        <w:rPr>
          <w:noProof/>
        </w:rPr>
        <w:t>2</w:t>
      </w:r>
      <w:r w:rsidR="00134CE8">
        <w:rPr>
          <w:noProof/>
        </w:rPr>
        <w:fldChar w:fldCharType="end"/>
      </w:r>
    </w:p>
    <w:p w14:paraId="5EE3D957" w14:textId="77777777" w:rsidR="00E03C2E" w:rsidRPr="00311416" w:rsidRDefault="00E03C2E" w:rsidP="00A21E1E">
      <w:pPr>
        <w:jc w:val="center"/>
        <w:rPr>
          <w:b/>
          <w:sz w:val="20"/>
          <w:szCs w:val="20"/>
        </w:rPr>
      </w:pPr>
      <w:r>
        <w:rPr>
          <w:b/>
          <w:sz w:val="20"/>
          <w:szCs w:val="20"/>
        </w:rPr>
        <w:t>L</w:t>
      </w:r>
      <w:r w:rsidR="002B2892">
        <w:rPr>
          <w:b/>
          <w:sz w:val="20"/>
          <w:szCs w:val="20"/>
        </w:rPr>
        <w:t>OGISTIC REGRESSION OF EXPORT CHANNEL CHOICE</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8"/>
        <w:gridCol w:w="1172"/>
        <w:gridCol w:w="1172"/>
        <w:gridCol w:w="1172"/>
        <w:gridCol w:w="1172"/>
        <w:gridCol w:w="1172"/>
        <w:gridCol w:w="1173"/>
      </w:tblGrid>
      <w:tr w:rsidR="00E03C2E" w:rsidRPr="000443CE" w14:paraId="5EE3D95F" w14:textId="77777777" w:rsidTr="00596AF3">
        <w:trPr>
          <w:trHeight w:val="265"/>
          <w:jc w:val="center"/>
        </w:trPr>
        <w:tc>
          <w:tcPr>
            <w:tcW w:w="3018" w:type="dxa"/>
            <w:tcBorders>
              <w:left w:val="nil"/>
              <w:right w:val="nil"/>
            </w:tcBorders>
            <w:vAlign w:val="center"/>
          </w:tcPr>
          <w:p w14:paraId="5EE3D958" w14:textId="77777777" w:rsidR="00E03C2E" w:rsidRPr="000443CE" w:rsidRDefault="00E03C2E" w:rsidP="003A6F56">
            <w:pPr>
              <w:jc w:val="center"/>
              <w:rPr>
                <w:i/>
                <w:sz w:val="18"/>
                <w:szCs w:val="18"/>
                <w:lang w:eastAsia="en-US"/>
              </w:rPr>
            </w:pPr>
            <w:r w:rsidRPr="000443CE">
              <w:rPr>
                <w:b/>
                <w:bCs/>
                <w:sz w:val="18"/>
                <w:szCs w:val="18"/>
                <w:lang w:eastAsia="en-US"/>
              </w:rPr>
              <w:br w:type="page"/>
            </w:r>
          </w:p>
        </w:tc>
        <w:tc>
          <w:tcPr>
            <w:tcW w:w="1172" w:type="dxa"/>
            <w:tcBorders>
              <w:left w:val="nil"/>
              <w:right w:val="nil"/>
            </w:tcBorders>
            <w:vAlign w:val="center"/>
          </w:tcPr>
          <w:p w14:paraId="5EE3D959" w14:textId="77777777" w:rsidR="00E03C2E" w:rsidRPr="000443CE" w:rsidRDefault="00E03C2E" w:rsidP="003A6F56">
            <w:pPr>
              <w:jc w:val="center"/>
              <w:rPr>
                <w:i/>
                <w:sz w:val="18"/>
                <w:szCs w:val="18"/>
                <w:lang w:val="it-IT" w:eastAsia="en-US"/>
              </w:rPr>
            </w:pPr>
            <w:r w:rsidRPr="000443CE">
              <w:rPr>
                <w:i/>
                <w:sz w:val="18"/>
                <w:szCs w:val="18"/>
                <w:lang w:val="it-IT" w:eastAsia="en-US"/>
              </w:rPr>
              <w:t>Model 1</w:t>
            </w:r>
          </w:p>
        </w:tc>
        <w:tc>
          <w:tcPr>
            <w:tcW w:w="1172" w:type="dxa"/>
            <w:tcBorders>
              <w:left w:val="nil"/>
              <w:right w:val="nil"/>
            </w:tcBorders>
            <w:vAlign w:val="center"/>
          </w:tcPr>
          <w:p w14:paraId="5EE3D95A" w14:textId="77777777" w:rsidR="00E03C2E" w:rsidRPr="000443CE" w:rsidRDefault="00E03C2E" w:rsidP="003A6F56">
            <w:pPr>
              <w:jc w:val="center"/>
              <w:rPr>
                <w:i/>
                <w:sz w:val="18"/>
                <w:szCs w:val="18"/>
                <w:lang w:val="it-IT" w:eastAsia="en-US"/>
              </w:rPr>
            </w:pPr>
            <w:r w:rsidRPr="000443CE">
              <w:rPr>
                <w:i/>
                <w:sz w:val="18"/>
                <w:szCs w:val="18"/>
                <w:lang w:val="it-IT" w:eastAsia="en-US"/>
              </w:rPr>
              <w:t>Model 2</w:t>
            </w:r>
          </w:p>
        </w:tc>
        <w:tc>
          <w:tcPr>
            <w:tcW w:w="1172" w:type="dxa"/>
            <w:tcBorders>
              <w:left w:val="nil"/>
              <w:right w:val="nil"/>
            </w:tcBorders>
            <w:vAlign w:val="center"/>
          </w:tcPr>
          <w:p w14:paraId="5EE3D95B" w14:textId="77777777" w:rsidR="00E03C2E" w:rsidRPr="000443CE" w:rsidRDefault="00E03C2E" w:rsidP="003A6F56">
            <w:pPr>
              <w:jc w:val="center"/>
              <w:rPr>
                <w:i/>
                <w:sz w:val="18"/>
                <w:szCs w:val="18"/>
                <w:lang w:val="it-IT" w:eastAsia="en-US"/>
              </w:rPr>
            </w:pPr>
            <w:r w:rsidRPr="000443CE">
              <w:rPr>
                <w:i/>
                <w:sz w:val="18"/>
                <w:szCs w:val="18"/>
                <w:lang w:val="it-IT" w:eastAsia="en-US"/>
              </w:rPr>
              <w:t>Model 3</w:t>
            </w:r>
          </w:p>
        </w:tc>
        <w:tc>
          <w:tcPr>
            <w:tcW w:w="1172" w:type="dxa"/>
            <w:tcBorders>
              <w:left w:val="nil"/>
              <w:right w:val="nil"/>
            </w:tcBorders>
            <w:vAlign w:val="center"/>
          </w:tcPr>
          <w:p w14:paraId="5EE3D95C" w14:textId="77777777" w:rsidR="00E03C2E" w:rsidRPr="000443CE" w:rsidRDefault="00E03C2E" w:rsidP="003A6F56">
            <w:pPr>
              <w:jc w:val="center"/>
              <w:rPr>
                <w:i/>
                <w:sz w:val="18"/>
                <w:szCs w:val="18"/>
                <w:lang w:val="it-IT" w:eastAsia="en-US"/>
              </w:rPr>
            </w:pPr>
            <w:r w:rsidRPr="000443CE">
              <w:rPr>
                <w:i/>
                <w:sz w:val="18"/>
                <w:szCs w:val="18"/>
                <w:lang w:val="it-IT" w:eastAsia="en-US"/>
              </w:rPr>
              <w:t>Model 4</w:t>
            </w:r>
          </w:p>
        </w:tc>
        <w:tc>
          <w:tcPr>
            <w:tcW w:w="1172" w:type="dxa"/>
            <w:tcBorders>
              <w:left w:val="nil"/>
              <w:right w:val="nil"/>
            </w:tcBorders>
            <w:vAlign w:val="center"/>
          </w:tcPr>
          <w:p w14:paraId="5EE3D95D" w14:textId="77777777" w:rsidR="00E03C2E" w:rsidRPr="000443CE" w:rsidRDefault="00E03C2E" w:rsidP="003A6F56">
            <w:pPr>
              <w:jc w:val="center"/>
              <w:rPr>
                <w:i/>
                <w:sz w:val="18"/>
                <w:szCs w:val="18"/>
                <w:lang w:val="it-IT" w:eastAsia="en-US"/>
              </w:rPr>
            </w:pPr>
            <w:r w:rsidRPr="000443CE">
              <w:rPr>
                <w:i/>
                <w:sz w:val="18"/>
                <w:szCs w:val="18"/>
                <w:lang w:val="it-IT" w:eastAsia="en-US"/>
              </w:rPr>
              <w:t>Model 5</w:t>
            </w:r>
          </w:p>
        </w:tc>
        <w:tc>
          <w:tcPr>
            <w:tcW w:w="1173" w:type="dxa"/>
            <w:tcBorders>
              <w:left w:val="nil"/>
              <w:right w:val="nil"/>
            </w:tcBorders>
            <w:vAlign w:val="center"/>
          </w:tcPr>
          <w:p w14:paraId="5EE3D95E" w14:textId="77777777" w:rsidR="00E03C2E" w:rsidRPr="000443CE" w:rsidRDefault="00E03C2E" w:rsidP="003A6F56">
            <w:pPr>
              <w:jc w:val="center"/>
              <w:rPr>
                <w:i/>
                <w:sz w:val="18"/>
                <w:szCs w:val="18"/>
                <w:lang w:val="it-IT" w:eastAsia="en-US"/>
              </w:rPr>
            </w:pPr>
            <w:r w:rsidRPr="000443CE">
              <w:rPr>
                <w:i/>
                <w:sz w:val="18"/>
                <w:szCs w:val="18"/>
                <w:lang w:val="it-IT" w:eastAsia="en-US"/>
              </w:rPr>
              <w:t>Model 6</w:t>
            </w:r>
          </w:p>
        </w:tc>
      </w:tr>
      <w:tr w:rsidR="00E03C2E" w:rsidRPr="000443CE" w14:paraId="5EE3D967" w14:textId="77777777" w:rsidTr="00596AF3">
        <w:trPr>
          <w:trHeight w:val="265"/>
          <w:jc w:val="center"/>
        </w:trPr>
        <w:tc>
          <w:tcPr>
            <w:tcW w:w="3018" w:type="dxa"/>
            <w:tcBorders>
              <w:left w:val="nil"/>
              <w:bottom w:val="nil"/>
              <w:right w:val="nil"/>
            </w:tcBorders>
          </w:tcPr>
          <w:p w14:paraId="5EE3D960" w14:textId="77777777" w:rsidR="00E03C2E" w:rsidRPr="000443CE" w:rsidRDefault="00E03C2E" w:rsidP="003A6F56">
            <w:pPr>
              <w:rPr>
                <w:i/>
                <w:sz w:val="18"/>
                <w:szCs w:val="18"/>
                <w:lang w:val="it-IT" w:eastAsia="en-US"/>
              </w:rPr>
            </w:pPr>
            <w:r w:rsidRPr="000443CE">
              <w:rPr>
                <w:i/>
                <w:sz w:val="18"/>
                <w:szCs w:val="18"/>
                <w:lang w:val="it-IT" w:eastAsia="en-US"/>
              </w:rPr>
              <w:t>Control variables</w:t>
            </w:r>
          </w:p>
        </w:tc>
        <w:tc>
          <w:tcPr>
            <w:tcW w:w="1172" w:type="dxa"/>
            <w:tcBorders>
              <w:left w:val="nil"/>
              <w:bottom w:val="nil"/>
              <w:right w:val="nil"/>
            </w:tcBorders>
          </w:tcPr>
          <w:p w14:paraId="5EE3D961" w14:textId="77777777" w:rsidR="00E03C2E" w:rsidRPr="000443CE" w:rsidRDefault="00E03C2E" w:rsidP="003A6F56">
            <w:pPr>
              <w:jc w:val="center"/>
              <w:rPr>
                <w:sz w:val="18"/>
                <w:szCs w:val="18"/>
                <w:lang w:val="it-IT" w:eastAsia="en-US"/>
              </w:rPr>
            </w:pPr>
          </w:p>
        </w:tc>
        <w:tc>
          <w:tcPr>
            <w:tcW w:w="1172" w:type="dxa"/>
            <w:tcBorders>
              <w:left w:val="nil"/>
              <w:bottom w:val="nil"/>
              <w:right w:val="nil"/>
            </w:tcBorders>
          </w:tcPr>
          <w:p w14:paraId="5EE3D962" w14:textId="77777777" w:rsidR="00E03C2E" w:rsidRPr="000443CE" w:rsidRDefault="00E03C2E" w:rsidP="003A6F56">
            <w:pPr>
              <w:jc w:val="center"/>
              <w:rPr>
                <w:sz w:val="18"/>
                <w:szCs w:val="18"/>
                <w:lang w:val="it-IT" w:eastAsia="en-US"/>
              </w:rPr>
            </w:pPr>
          </w:p>
        </w:tc>
        <w:tc>
          <w:tcPr>
            <w:tcW w:w="1172" w:type="dxa"/>
            <w:tcBorders>
              <w:left w:val="nil"/>
              <w:bottom w:val="nil"/>
              <w:right w:val="nil"/>
            </w:tcBorders>
          </w:tcPr>
          <w:p w14:paraId="5EE3D963" w14:textId="77777777" w:rsidR="00E03C2E" w:rsidRPr="000443CE" w:rsidRDefault="00E03C2E" w:rsidP="003A6F56">
            <w:pPr>
              <w:jc w:val="center"/>
              <w:rPr>
                <w:sz w:val="18"/>
                <w:szCs w:val="18"/>
                <w:lang w:val="it-IT" w:eastAsia="en-US"/>
              </w:rPr>
            </w:pPr>
          </w:p>
        </w:tc>
        <w:tc>
          <w:tcPr>
            <w:tcW w:w="1172" w:type="dxa"/>
            <w:tcBorders>
              <w:left w:val="nil"/>
              <w:bottom w:val="nil"/>
              <w:right w:val="nil"/>
            </w:tcBorders>
          </w:tcPr>
          <w:p w14:paraId="5EE3D964" w14:textId="77777777" w:rsidR="00E03C2E" w:rsidRPr="000443CE" w:rsidRDefault="00E03C2E" w:rsidP="003A6F56">
            <w:pPr>
              <w:jc w:val="center"/>
              <w:rPr>
                <w:sz w:val="18"/>
                <w:szCs w:val="18"/>
                <w:lang w:val="it-IT" w:eastAsia="en-US"/>
              </w:rPr>
            </w:pPr>
          </w:p>
        </w:tc>
        <w:tc>
          <w:tcPr>
            <w:tcW w:w="1172" w:type="dxa"/>
            <w:tcBorders>
              <w:left w:val="nil"/>
              <w:bottom w:val="nil"/>
              <w:right w:val="nil"/>
            </w:tcBorders>
          </w:tcPr>
          <w:p w14:paraId="5EE3D965" w14:textId="77777777" w:rsidR="00E03C2E" w:rsidRPr="000443CE" w:rsidRDefault="00E03C2E" w:rsidP="003A6F56">
            <w:pPr>
              <w:jc w:val="center"/>
              <w:rPr>
                <w:sz w:val="18"/>
                <w:szCs w:val="18"/>
                <w:lang w:val="it-IT" w:eastAsia="en-US"/>
              </w:rPr>
            </w:pPr>
          </w:p>
        </w:tc>
        <w:tc>
          <w:tcPr>
            <w:tcW w:w="1173" w:type="dxa"/>
            <w:tcBorders>
              <w:left w:val="nil"/>
              <w:bottom w:val="nil"/>
              <w:right w:val="nil"/>
            </w:tcBorders>
          </w:tcPr>
          <w:p w14:paraId="5EE3D966" w14:textId="77777777" w:rsidR="00E03C2E" w:rsidRPr="000443CE" w:rsidRDefault="00E03C2E" w:rsidP="003A6F56">
            <w:pPr>
              <w:jc w:val="center"/>
              <w:rPr>
                <w:sz w:val="18"/>
                <w:szCs w:val="18"/>
                <w:lang w:val="it-IT" w:eastAsia="en-US"/>
              </w:rPr>
            </w:pPr>
          </w:p>
        </w:tc>
      </w:tr>
      <w:tr w:rsidR="00E03C2E" w:rsidRPr="00C038C2" w14:paraId="5EE3D976" w14:textId="77777777" w:rsidTr="00596AF3">
        <w:trPr>
          <w:trHeight w:val="265"/>
          <w:jc w:val="center"/>
        </w:trPr>
        <w:tc>
          <w:tcPr>
            <w:tcW w:w="3018" w:type="dxa"/>
            <w:tcBorders>
              <w:top w:val="nil"/>
              <w:left w:val="nil"/>
              <w:bottom w:val="nil"/>
              <w:right w:val="nil"/>
            </w:tcBorders>
          </w:tcPr>
          <w:p w14:paraId="5EE3D968" w14:textId="77777777" w:rsidR="00E03C2E" w:rsidRPr="000443CE" w:rsidRDefault="00E03C2E" w:rsidP="003A6F56">
            <w:pPr>
              <w:ind w:left="130" w:firstLine="142"/>
              <w:rPr>
                <w:sz w:val="18"/>
                <w:szCs w:val="18"/>
                <w:lang w:val="it-IT" w:eastAsia="en-US"/>
              </w:rPr>
            </w:pPr>
            <w:r w:rsidRPr="000443CE">
              <w:rPr>
                <w:sz w:val="18"/>
                <w:szCs w:val="18"/>
                <w:lang w:val="it-IT" w:eastAsia="en-US"/>
              </w:rPr>
              <w:t>Nationality</w:t>
            </w:r>
          </w:p>
          <w:p w14:paraId="5EE3D969"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96A" w14:textId="77777777" w:rsidR="00E03C2E" w:rsidRDefault="00E03C2E" w:rsidP="003A6F56">
            <w:pPr>
              <w:autoSpaceDE w:val="0"/>
              <w:autoSpaceDN w:val="0"/>
              <w:adjustRightInd w:val="0"/>
              <w:ind w:left="60" w:right="60"/>
              <w:jc w:val="center"/>
              <w:rPr>
                <w:color w:val="000000"/>
                <w:sz w:val="18"/>
                <w:szCs w:val="18"/>
              </w:rPr>
            </w:pPr>
            <w:r w:rsidRPr="004F7118">
              <w:rPr>
                <w:color w:val="000000"/>
                <w:sz w:val="18"/>
                <w:szCs w:val="18"/>
              </w:rPr>
              <w:t>-</w:t>
            </w:r>
            <w:r>
              <w:rPr>
                <w:color w:val="000000"/>
                <w:sz w:val="18"/>
                <w:szCs w:val="18"/>
              </w:rPr>
              <w:t>.</w:t>
            </w:r>
            <w:r w:rsidRPr="004F7118">
              <w:rPr>
                <w:color w:val="000000"/>
                <w:sz w:val="18"/>
                <w:szCs w:val="18"/>
              </w:rPr>
              <w:t>9</w:t>
            </w:r>
            <w:r w:rsidR="00653DFB">
              <w:rPr>
                <w:color w:val="000000"/>
                <w:sz w:val="18"/>
                <w:szCs w:val="18"/>
              </w:rPr>
              <w:t>3</w:t>
            </w:r>
            <w:r>
              <w:rPr>
                <w:color w:val="000000"/>
                <w:sz w:val="18"/>
                <w:szCs w:val="18"/>
              </w:rPr>
              <w:t>***</w:t>
            </w:r>
          </w:p>
          <w:p w14:paraId="5EE3D96B" w14:textId="77777777" w:rsidR="00E03C2E" w:rsidRPr="004F7118" w:rsidRDefault="00E03C2E" w:rsidP="00653DFB">
            <w:pPr>
              <w:autoSpaceDE w:val="0"/>
              <w:autoSpaceDN w:val="0"/>
              <w:adjustRightInd w:val="0"/>
              <w:ind w:left="60" w:right="60"/>
              <w:jc w:val="center"/>
              <w:rPr>
                <w:color w:val="000000"/>
                <w:sz w:val="18"/>
                <w:szCs w:val="18"/>
              </w:rPr>
            </w:pPr>
            <w:r>
              <w:rPr>
                <w:color w:val="000000"/>
                <w:sz w:val="18"/>
                <w:szCs w:val="18"/>
              </w:rPr>
              <w:t>(.3</w:t>
            </w:r>
            <w:r w:rsidR="00653DFB">
              <w:rPr>
                <w:color w:val="000000"/>
                <w:sz w:val="18"/>
                <w:szCs w:val="18"/>
              </w:rPr>
              <w:t>6</w:t>
            </w:r>
            <w:r>
              <w:rPr>
                <w:color w:val="000000"/>
                <w:sz w:val="18"/>
                <w:szCs w:val="18"/>
              </w:rPr>
              <w:t>)</w:t>
            </w:r>
          </w:p>
        </w:tc>
        <w:tc>
          <w:tcPr>
            <w:tcW w:w="1172" w:type="dxa"/>
            <w:tcBorders>
              <w:top w:val="nil"/>
              <w:left w:val="nil"/>
              <w:bottom w:val="nil"/>
              <w:right w:val="nil"/>
            </w:tcBorders>
            <w:vAlign w:val="center"/>
          </w:tcPr>
          <w:p w14:paraId="5EE3D96C" w14:textId="77777777" w:rsidR="00E03C2E" w:rsidRDefault="00E03C2E" w:rsidP="003A6F56">
            <w:pPr>
              <w:autoSpaceDE w:val="0"/>
              <w:autoSpaceDN w:val="0"/>
              <w:adjustRightInd w:val="0"/>
              <w:ind w:left="60" w:right="60"/>
              <w:jc w:val="center"/>
              <w:rPr>
                <w:color w:val="000000"/>
                <w:sz w:val="18"/>
                <w:szCs w:val="18"/>
              </w:rPr>
            </w:pPr>
            <w:r w:rsidRPr="00D8300E">
              <w:rPr>
                <w:color w:val="000000"/>
                <w:sz w:val="18"/>
                <w:szCs w:val="18"/>
              </w:rPr>
              <w:t>-1</w:t>
            </w:r>
            <w:r>
              <w:rPr>
                <w:color w:val="000000"/>
                <w:sz w:val="18"/>
                <w:szCs w:val="18"/>
              </w:rPr>
              <w:t>.</w:t>
            </w:r>
            <w:r w:rsidRPr="00D8300E">
              <w:rPr>
                <w:color w:val="000000"/>
                <w:sz w:val="18"/>
                <w:szCs w:val="18"/>
              </w:rPr>
              <w:t>18</w:t>
            </w:r>
            <w:r>
              <w:rPr>
                <w:color w:val="000000"/>
                <w:sz w:val="18"/>
                <w:szCs w:val="18"/>
              </w:rPr>
              <w:t>***</w:t>
            </w:r>
          </w:p>
          <w:p w14:paraId="5EE3D96D" w14:textId="77777777" w:rsidR="00E03C2E" w:rsidRPr="00D8300E" w:rsidRDefault="00E03C2E" w:rsidP="00653DFB">
            <w:pPr>
              <w:autoSpaceDE w:val="0"/>
              <w:autoSpaceDN w:val="0"/>
              <w:adjustRightInd w:val="0"/>
              <w:ind w:left="60" w:right="60"/>
              <w:jc w:val="center"/>
              <w:rPr>
                <w:color w:val="000000"/>
                <w:sz w:val="18"/>
                <w:szCs w:val="18"/>
              </w:rPr>
            </w:pPr>
            <w:r>
              <w:rPr>
                <w:color w:val="000000"/>
                <w:sz w:val="18"/>
                <w:szCs w:val="18"/>
              </w:rPr>
              <w:t>(.38)</w:t>
            </w:r>
          </w:p>
        </w:tc>
        <w:tc>
          <w:tcPr>
            <w:tcW w:w="1172" w:type="dxa"/>
            <w:tcBorders>
              <w:top w:val="nil"/>
              <w:left w:val="nil"/>
              <w:bottom w:val="nil"/>
              <w:right w:val="nil"/>
            </w:tcBorders>
            <w:vAlign w:val="center"/>
          </w:tcPr>
          <w:p w14:paraId="5EE3D96E" w14:textId="77777777" w:rsidR="00E03C2E" w:rsidRDefault="00E03C2E" w:rsidP="003A6F56">
            <w:pPr>
              <w:autoSpaceDE w:val="0"/>
              <w:autoSpaceDN w:val="0"/>
              <w:adjustRightInd w:val="0"/>
              <w:ind w:left="60" w:right="60"/>
              <w:jc w:val="center"/>
              <w:rPr>
                <w:color w:val="000000"/>
                <w:sz w:val="18"/>
                <w:szCs w:val="18"/>
              </w:rPr>
            </w:pPr>
            <w:r w:rsidRPr="00721ACE">
              <w:rPr>
                <w:color w:val="000000"/>
                <w:sz w:val="18"/>
                <w:szCs w:val="18"/>
              </w:rPr>
              <w:t>-1</w:t>
            </w:r>
            <w:r>
              <w:rPr>
                <w:color w:val="000000"/>
                <w:sz w:val="18"/>
                <w:szCs w:val="18"/>
              </w:rPr>
              <w:t>.</w:t>
            </w:r>
            <w:r w:rsidRPr="00721ACE">
              <w:rPr>
                <w:color w:val="000000"/>
                <w:sz w:val="18"/>
                <w:szCs w:val="18"/>
              </w:rPr>
              <w:t>4</w:t>
            </w:r>
            <w:r w:rsidR="00653DFB">
              <w:rPr>
                <w:color w:val="000000"/>
                <w:sz w:val="18"/>
                <w:szCs w:val="18"/>
              </w:rPr>
              <w:t>6</w:t>
            </w:r>
            <w:r>
              <w:rPr>
                <w:color w:val="000000"/>
                <w:sz w:val="18"/>
                <w:szCs w:val="18"/>
              </w:rPr>
              <w:t>***</w:t>
            </w:r>
          </w:p>
          <w:p w14:paraId="5EE3D96F"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(.4</w:t>
            </w:r>
            <w:r w:rsidR="00653DFB">
              <w:rPr>
                <w:color w:val="000000"/>
                <w:sz w:val="18"/>
                <w:szCs w:val="18"/>
              </w:rPr>
              <w:t>2</w:t>
            </w:r>
            <w:r>
              <w:rPr>
                <w:color w:val="000000"/>
                <w:sz w:val="18"/>
                <w:szCs w:val="18"/>
              </w:rPr>
              <w:t>)</w:t>
            </w:r>
          </w:p>
        </w:tc>
        <w:tc>
          <w:tcPr>
            <w:tcW w:w="1172" w:type="dxa"/>
            <w:tcBorders>
              <w:top w:val="nil"/>
              <w:left w:val="nil"/>
              <w:bottom w:val="nil"/>
              <w:right w:val="nil"/>
            </w:tcBorders>
            <w:vAlign w:val="center"/>
          </w:tcPr>
          <w:p w14:paraId="5EE3D970" w14:textId="77777777" w:rsidR="00E03C2E" w:rsidRDefault="00E03C2E" w:rsidP="003A6F56">
            <w:pPr>
              <w:autoSpaceDE w:val="0"/>
              <w:autoSpaceDN w:val="0"/>
              <w:adjustRightInd w:val="0"/>
              <w:ind w:left="60" w:right="60"/>
              <w:jc w:val="center"/>
              <w:rPr>
                <w:color w:val="000000"/>
                <w:sz w:val="18"/>
                <w:szCs w:val="18"/>
              </w:rPr>
            </w:pPr>
            <w:r w:rsidRPr="009D5340">
              <w:rPr>
                <w:color w:val="000000"/>
                <w:sz w:val="18"/>
                <w:szCs w:val="18"/>
              </w:rPr>
              <w:t>-1</w:t>
            </w:r>
            <w:r>
              <w:rPr>
                <w:color w:val="000000"/>
                <w:sz w:val="18"/>
                <w:szCs w:val="18"/>
              </w:rPr>
              <w:t>.</w:t>
            </w:r>
            <w:r w:rsidRPr="009D5340">
              <w:rPr>
                <w:color w:val="000000"/>
                <w:sz w:val="18"/>
                <w:szCs w:val="18"/>
              </w:rPr>
              <w:t>4</w:t>
            </w:r>
            <w:r>
              <w:rPr>
                <w:color w:val="000000"/>
                <w:sz w:val="18"/>
                <w:szCs w:val="18"/>
              </w:rPr>
              <w:t>4***</w:t>
            </w:r>
          </w:p>
          <w:p w14:paraId="5EE3D971"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(.4</w:t>
            </w:r>
            <w:r w:rsidR="00653DFB">
              <w:rPr>
                <w:color w:val="000000"/>
                <w:sz w:val="18"/>
                <w:szCs w:val="18"/>
              </w:rPr>
              <w:t>2</w:t>
            </w:r>
            <w:r>
              <w:rPr>
                <w:color w:val="000000"/>
                <w:sz w:val="18"/>
                <w:szCs w:val="18"/>
              </w:rPr>
              <w:t>)</w:t>
            </w:r>
          </w:p>
        </w:tc>
        <w:tc>
          <w:tcPr>
            <w:tcW w:w="1172" w:type="dxa"/>
            <w:tcBorders>
              <w:top w:val="nil"/>
              <w:left w:val="nil"/>
              <w:bottom w:val="nil"/>
              <w:right w:val="nil"/>
            </w:tcBorders>
            <w:vAlign w:val="center"/>
          </w:tcPr>
          <w:p w14:paraId="5EE3D972" w14:textId="77777777" w:rsidR="00E03C2E" w:rsidRPr="00C038C2" w:rsidRDefault="00E03C2E" w:rsidP="003A6F56">
            <w:pPr>
              <w:autoSpaceDE w:val="0"/>
              <w:autoSpaceDN w:val="0"/>
              <w:adjustRightInd w:val="0"/>
              <w:ind w:left="60" w:right="60"/>
              <w:jc w:val="center"/>
              <w:rPr>
                <w:color w:val="000000"/>
                <w:sz w:val="18"/>
                <w:szCs w:val="18"/>
              </w:rPr>
            </w:pPr>
            <w:r w:rsidRPr="00CC6048">
              <w:rPr>
                <w:color w:val="000000"/>
                <w:sz w:val="18"/>
                <w:szCs w:val="18"/>
              </w:rPr>
              <w:t>-1</w:t>
            </w:r>
            <w:r>
              <w:rPr>
                <w:color w:val="000000"/>
                <w:sz w:val="18"/>
                <w:szCs w:val="18"/>
              </w:rPr>
              <w:t>.40</w:t>
            </w:r>
            <w:r w:rsidRPr="00C038C2">
              <w:rPr>
                <w:color w:val="000000"/>
                <w:sz w:val="18"/>
                <w:szCs w:val="18"/>
              </w:rPr>
              <w:t>***</w:t>
            </w:r>
          </w:p>
          <w:p w14:paraId="5EE3D973" w14:textId="77777777" w:rsidR="00E03C2E" w:rsidRPr="00CC6048" w:rsidRDefault="00E03C2E" w:rsidP="00653DFB">
            <w:pPr>
              <w:autoSpaceDE w:val="0"/>
              <w:autoSpaceDN w:val="0"/>
              <w:adjustRightInd w:val="0"/>
              <w:ind w:left="60" w:right="60"/>
              <w:jc w:val="center"/>
              <w:rPr>
                <w:color w:val="000000"/>
                <w:sz w:val="18"/>
                <w:szCs w:val="18"/>
              </w:rPr>
            </w:pPr>
            <w:r w:rsidRPr="00C038C2">
              <w:rPr>
                <w:color w:val="000000"/>
                <w:sz w:val="18"/>
                <w:szCs w:val="18"/>
              </w:rPr>
              <w:t>(.41)</w:t>
            </w:r>
          </w:p>
        </w:tc>
        <w:tc>
          <w:tcPr>
            <w:tcW w:w="1173" w:type="dxa"/>
            <w:tcBorders>
              <w:top w:val="nil"/>
              <w:left w:val="nil"/>
              <w:bottom w:val="nil"/>
              <w:right w:val="nil"/>
            </w:tcBorders>
            <w:vAlign w:val="center"/>
          </w:tcPr>
          <w:p w14:paraId="5EE3D974"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-1.</w:t>
            </w:r>
            <w:r w:rsidRPr="003019C4">
              <w:rPr>
                <w:color w:val="000000"/>
                <w:sz w:val="18"/>
                <w:szCs w:val="18"/>
              </w:rPr>
              <w:t>42</w:t>
            </w:r>
            <w:r w:rsidRPr="00C038C2">
              <w:rPr>
                <w:color w:val="000000"/>
                <w:sz w:val="18"/>
                <w:szCs w:val="18"/>
              </w:rPr>
              <w:t>***</w:t>
            </w:r>
          </w:p>
          <w:p w14:paraId="5EE3D975" w14:textId="77777777" w:rsidR="00E03C2E" w:rsidRPr="003019C4" w:rsidRDefault="00E03C2E" w:rsidP="00653DFB">
            <w:pPr>
              <w:autoSpaceDE w:val="0"/>
              <w:autoSpaceDN w:val="0"/>
              <w:adjustRightInd w:val="0"/>
              <w:ind w:left="60" w:right="60"/>
              <w:jc w:val="center"/>
              <w:rPr>
                <w:color w:val="000000"/>
                <w:sz w:val="18"/>
                <w:szCs w:val="18"/>
              </w:rPr>
            </w:pPr>
            <w:r w:rsidRPr="00C038C2">
              <w:rPr>
                <w:color w:val="000000"/>
                <w:sz w:val="18"/>
                <w:szCs w:val="18"/>
              </w:rPr>
              <w:t>(.4</w:t>
            </w:r>
            <w:r w:rsidR="00653DFB">
              <w:rPr>
                <w:color w:val="000000"/>
                <w:sz w:val="18"/>
                <w:szCs w:val="18"/>
              </w:rPr>
              <w:t>2</w:t>
            </w:r>
            <w:r w:rsidRPr="00C038C2">
              <w:rPr>
                <w:color w:val="000000"/>
                <w:sz w:val="18"/>
                <w:szCs w:val="18"/>
              </w:rPr>
              <w:t>)</w:t>
            </w:r>
          </w:p>
        </w:tc>
      </w:tr>
      <w:tr w:rsidR="00E03C2E" w:rsidRPr="00C038C2" w14:paraId="5EE3D985" w14:textId="77777777" w:rsidTr="00596AF3">
        <w:trPr>
          <w:trHeight w:val="265"/>
          <w:jc w:val="center"/>
        </w:trPr>
        <w:tc>
          <w:tcPr>
            <w:tcW w:w="3018" w:type="dxa"/>
            <w:tcBorders>
              <w:top w:val="nil"/>
              <w:left w:val="nil"/>
              <w:bottom w:val="nil"/>
              <w:right w:val="nil"/>
            </w:tcBorders>
          </w:tcPr>
          <w:p w14:paraId="5EE3D977" w14:textId="77777777" w:rsidR="00E03C2E" w:rsidRPr="000443CE" w:rsidRDefault="00E03C2E" w:rsidP="003A6F56">
            <w:pPr>
              <w:ind w:left="130" w:firstLine="142"/>
              <w:rPr>
                <w:sz w:val="18"/>
                <w:szCs w:val="18"/>
                <w:lang w:val="it-IT" w:eastAsia="en-US"/>
              </w:rPr>
            </w:pPr>
            <w:r w:rsidRPr="000443CE">
              <w:rPr>
                <w:sz w:val="18"/>
                <w:szCs w:val="18"/>
                <w:lang w:val="it-IT" w:eastAsia="en-US"/>
              </w:rPr>
              <w:t>Firm size</w:t>
            </w:r>
          </w:p>
          <w:p w14:paraId="5EE3D978"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979"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4F7118">
              <w:rPr>
                <w:color w:val="000000"/>
                <w:sz w:val="18"/>
                <w:szCs w:val="18"/>
              </w:rPr>
              <w:t>00</w:t>
            </w:r>
          </w:p>
          <w:p w14:paraId="5EE3D97A" w14:textId="77777777" w:rsidR="00E03C2E" w:rsidRPr="004F7118" w:rsidRDefault="00E03C2E" w:rsidP="00653DFB">
            <w:pPr>
              <w:autoSpaceDE w:val="0"/>
              <w:autoSpaceDN w:val="0"/>
              <w:adjustRightInd w:val="0"/>
              <w:ind w:left="60" w:right="60"/>
              <w:jc w:val="center"/>
              <w:rPr>
                <w:color w:val="000000"/>
                <w:sz w:val="18"/>
                <w:szCs w:val="18"/>
              </w:rPr>
            </w:pPr>
            <w:r>
              <w:rPr>
                <w:color w:val="000000"/>
                <w:sz w:val="18"/>
                <w:szCs w:val="18"/>
              </w:rPr>
              <w:t>(.00)</w:t>
            </w:r>
          </w:p>
        </w:tc>
        <w:tc>
          <w:tcPr>
            <w:tcW w:w="1172" w:type="dxa"/>
            <w:tcBorders>
              <w:top w:val="nil"/>
              <w:left w:val="nil"/>
              <w:bottom w:val="nil"/>
              <w:right w:val="nil"/>
            </w:tcBorders>
            <w:vAlign w:val="center"/>
          </w:tcPr>
          <w:p w14:paraId="5EE3D97B"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D8300E">
              <w:rPr>
                <w:color w:val="000000"/>
                <w:sz w:val="18"/>
                <w:szCs w:val="18"/>
              </w:rPr>
              <w:t>00</w:t>
            </w:r>
          </w:p>
          <w:p w14:paraId="5EE3D97C" w14:textId="77777777" w:rsidR="00E03C2E" w:rsidRPr="00D8300E" w:rsidRDefault="00E03C2E" w:rsidP="00653DFB">
            <w:pPr>
              <w:autoSpaceDE w:val="0"/>
              <w:autoSpaceDN w:val="0"/>
              <w:adjustRightInd w:val="0"/>
              <w:ind w:left="60" w:right="60"/>
              <w:jc w:val="center"/>
              <w:rPr>
                <w:color w:val="000000"/>
                <w:sz w:val="18"/>
                <w:szCs w:val="18"/>
              </w:rPr>
            </w:pPr>
            <w:r>
              <w:rPr>
                <w:color w:val="000000"/>
                <w:sz w:val="18"/>
                <w:szCs w:val="18"/>
              </w:rPr>
              <w:t>(.00)</w:t>
            </w:r>
          </w:p>
        </w:tc>
        <w:tc>
          <w:tcPr>
            <w:tcW w:w="1172" w:type="dxa"/>
            <w:tcBorders>
              <w:top w:val="nil"/>
              <w:left w:val="nil"/>
              <w:bottom w:val="nil"/>
              <w:right w:val="nil"/>
            </w:tcBorders>
            <w:vAlign w:val="center"/>
          </w:tcPr>
          <w:p w14:paraId="5EE3D97D"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721ACE">
              <w:rPr>
                <w:color w:val="000000"/>
                <w:sz w:val="18"/>
                <w:szCs w:val="18"/>
              </w:rPr>
              <w:t>00</w:t>
            </w:r>
          </w:p>
          <w:p w14:paraId="5EE3D97E"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(.00)</w:t>
            </w:r>
          </w:p>
        </w:tc>
        <w:tc>
          <w:tcPr>
            <w:tcW w:w="1172" w:type="dxa"/>
            <w:tcBorders>
              <w:top w:val="nil"/>
              <w:left w:val="nil"/>
              <w:bottom w:val="nil"/>
              <w:right w:val="nil"/>
            </w:tcBorders>
            <w:vAlign w:val="center"/>
          </w:tcPr>
          <w:p w14:paraId="5EE3D97F"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9D5340">
              <w:rPr>
                <w:color w:val="000000"/>
                <w:sz w:val="18"/>
                <w:szCs w:val="18"/>
              </w:rPr>
              <w:t>00</w:t>
            </w:r>
          </w:p>
          <w:p w14:paraId="5EE3D980"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(.00)</w:t>
            </w:r>
          </w:p>
        </w:tc>
        <w:tc>
          <w:tcPr>
            <w:tcW w:w="1172" w:type="dxa"/>
            <w:tcBorders>
              <w:top w:val="nil"/>
              <w:left w:val="nil"/>
              <w:bottom w:val="nil"/>
              <w:right w:val="nil"/>
            </w:tcBorders>
            <w:vAlign w:val="center"/>
          </w:tcPr>
          <w:p w14:paraId="5EE3D981" w14:textId="77777777" w:rsidR="00E03C2E" w:rsidRPr="00C038C2" w:rsidRDefault="00E03C2E" w:rsidP="003A6F56">
            <w:pPr>
              <w:autoSpaceDE w:val="0"/>
              <w:autoSpaceDN w:val="0"/>
              <w:adjustRightInd w:val="0"/>
              <w:ind w:left="60" w:right="60"/>
              <w:jc w:val="center"/>
              <w:rPr>
                <w:color w:val="000000"/>
                <w:sz w:val="18"/>
                <w:szCs w:val="18"/>
              </w:rPr>
            </w:pPr>
            <w:r>
              <w:rPr>
                <w:color w:val="000000"/>
                <w:sz w:val="18"/>
                <w:szCs w:val="18"/>
              </w:rPr>
              <w:t>.</w:t>
            </w:r>
            <w:r w:rsidRPr="00CC6048">
              <w:rPr>
                <w:color w:val="000000"/>
                <w:sz w:val="18"/>
                <w:szCs w:val="18"/>
              </w:rPr>
              <w:t>00</w:t>
            </w:r>
          </w:p>
          <w:p w14:paraId="5EE3D982" w14:textId="77777777" w:rsidR="00E03C2E" w:rsidRPr="00CC6048" w:rsidRDefault="00E03C2E" w:rsidP="00653DFB">
            <w:pPr>
              <w:autoSpaceDE w:val="0"/>
              <w:autoSpaceDN w:val="0"/>
              <w:adjustRightInd w:val="0"/>
              <w:ind w:left="60" w:right="60"/>
              <w:jc w:val="center"/>
              <w:rPr>
                <w:color w:val="000000"/>
                <w:sz w:val="18"/>
                <w:szCs w:val="18"/>
              </w:rPr>
            </w:pPr>
            <w:r w:rsidRPr="00C038C2">
              <w:rPr>
                <w:color w:val="000000"/>
                <w:sz w:val="18"/>
                <w:szCs w:val="18"/>
              </w:rPr>
              <w:t>(.00)</w:t>
            </w:r>
          </w:p>
        </w:tc>
        <w:tc>
          <w:tcPr>
            <w:tcW w:w="1173" w:type="dxa"/>
            <w:tcBorders>
              <w:top w:val="nil"/>
              <w:left w:val="nil"/>
              <w:bottom w:val="nil"/>
              <w:right w:val="nil"/>
            </w:tcBorders>
            <w:vAlign w:val="center"/>
          </w:tcPr>
          <w:p w14:paraId="5EE3D983"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sidRPr="003019C4">
              <w:rPr>
                <w:color w:val="000000"/>
                <w:sz w:val="18"/>
                <w:szCs w:val="18"/>
              </w:rPr>
              <w:t>00</w:t>
            </w:r>
          </w:p>
          <w:p w14:paraId="5EE3D984" w14:textId="77777777" w:rsidR="00E03C2E" w:rsidRPr="003019C4" w:rsidRDefault="00E03C2E" w:rsidP="00653DFB">
            <w:pPr>
              <w:autoSpaceDE w:val="0"/>
              <w:autoSpaceDN w:val="0"/>
              <w:adjustRightInd w:val="0"/>
              <w:ind w:left="60" w:right="60"/>
              <w:jc w:val="center"/>
              <w:rPr>
                <w:color w:val="000000"/>
                <w:sz w:val="18"/>
                <w:szCs w:val="18"/>
              </w:rPr>
            </w:pPr>
            <w:r w:rsidRPr="00C038C2">
              <w:rPr>
                <w:color w:val="000000"/>
                <w:sz w:val="18"/>
                <w:szCs w:val="18"/>
              </w:rPr>
              <w:t>(.00)</w:t>
            </w:r>
          </w:p>
        </w:tc>
      </w:tr>
      <w:tr w:rsidR="00E03C2E" w:rsidRPr="00C038C2" w14:paraId="5EE3D994" w14:textId="77777777" w:rsidTr="00596AF3">
        <w:trPr>
          <w:trHeight w:val="265"/>
          <w:jc w:val="center"/>
        </w:trPr>
        <w:tc>
          <w:tcPr>
            <w:tcW w:w="3018" w:type="dxa"/>
            <w:tcBorders>
              <w:top w:val="nil"/>
              <w:left w:val="nil"/>
              <w:bottom w:val="nil"/>
              <w:right w:val="nil"/>
            </w:tcBorders>
          </w:tcPr>
          <w:p w14:paraId="5EE3D986" w14:textId="77777777" w:rsidR="00E03C2E" w:rsidRPr="000443CE" w:rsidRDefault="00E03C2E" w:rsidP="003A6F56">
            <w:pPr>
              <w:ind w:left="130" w:firstLine="142"/>
              <w:rPr>
                <w:sz w:val="18"/>
                <w:szCs w:val="18"/>
                <w:lang w:val="it-IT" w:eastAsia="en-US"/>
              </w:rPr>
            </w:pPr>
            <w:r w:rsidRPr="000443CE">
              <w:rPr>
                <w:sz w:val="18"/>
                <w:szCs w:val="18"/>
                <w:lang w:val="it-IT" w:eastAsia="en-US"/>
              </w:rPr>
              <w:t>International experience</w:t>
            </w:r>
          </w:p>
          <w:p w14:paraId="5EE3D987"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988"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4F7118">
              <w:rPr>
                <w:color w:val="000000"/>
                <w:sz w:val="18"/>
                <w:szCs w:val="18"/>
              </w:rPr>
              <w:t>0</w:t>
            </w:r>
            <w:r w:rsidR="00653DFB">
              <w:rPr>
                <w:color w:val="000000"/>
                <w:sz w:val="18"/>
                <w:szCs w:val="18"/>
              </w:rPr>
              <w:t>1</w:t>
            </w:r>
          </w:p>
          <w:p w14:paraId="5EE3D989" w14:textId="77777777" w:rsidR="00E03C2E" w:rsidRPr="004F7118" w:rsidRDefault="00E03C2E" w:rsidP="00653DFB">
            <w:pPr>
              <w:autoSpaceDE w:val="0"/>
              <w:autoSpaceDN w:val="0"/>
              <w:adjustRightInd w:val="0"/>
              <w:ind w:left="60" w:right="60"/>
              <w:jc w:val="center"/>
              <w:rPr>
                <w:color w:val="000000"/>
                <w:sz w:val="18"/>
                <w:szCs w:val="18"/>
              </w:rPr>
            </w:pPr>
            <w:r>
              <w:rPr>
                <w:color w:val="000000"/>
                <w:sz w:val="18"/>
                <w:szCs w:val="18"/>
              </w:rPr>
              <w:t>(.0</w:t>
            </w:r>
            <w:r w:rsidR="00653DFB">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98A"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D8300E">
              <w:rPr>
                <w:color w:val="000000"/>
                <w:sz w:val="18"/>
                <w:szCs w:val="18"/>
              </w:rPr>
              <w:t>0</w:t>
            </w:r>
            <w:r w:rsidR="00653DFB">
              <w:rPr>
                <w:color w:val="000000"/>
                <w:sz w:val="18"/>
                <w:szCs w:val="18"/>
              </w:rPr>
              <w:t>1</w:t>
            </w:r>
          </w:p>
          <w:p w14:paraId="5EE3D98B" w14:textId="77777777" w:rsidR="00E03C2E" w:rsidRPr="00D8300E" w:rsidRDefault="00E03C2E" w:rsidP="00653DFB">
            <w:pPr>
              <w:autoSpaceDE w:val="0"/>
              <w:autoSpaceDN w:val="0"/>
              <w:adjustRightInd w:val="0"/>
              <w:ind w:left="60" w:right="60"/>
              <w:jc w:val="center"/>
              <w:rPr>
                <w:color w:val="000000"/>
                <w:sz w:val="18"/>
                <w:szCs w:val="18"/>
              </w:rPr>
            </w:pPr>
            <w:r>
              <w:rPr>
                <w:color w:val="000000"/>
                <w:sz w:val="18"/>
                <w:szCs w:val="18"/>
              </w:rPr>
              <w:t>(.0</w:t>
            </w:r>
            <w:r w:rsidR="00653DFB">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98C"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721ACE">
              <w:rPr>
                <w:color w:val="000000"/>
                <w:sz w:val="18"/>
                <w:szCs w:val="18"/>
              </w:rPr>
              <w:t>0</w:t>
            </w:r>
            <w:r w:rsidR="00653DFB">
              <w:rPr>
                <w:color w:val="000000"/>
                <w:sz w:val="18"/>
                <w:szCs w:val="18"/>
              </w:rPr>
              <w:t>1</w:t>
            </w:r>
          </w:p>
          <w:p w14:paraId="5EE3D98D"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(.0</w:t>
            </w:r>
            <w:r w:rsidR="00653DFB">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98E"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9D5340">
              <w:rPr>
                <w:color w:val="000000"/>
                <w:sz w:val="18"/>
                <w:szCs w:val="18"/>
              </w:rPr>
              <w:t>0</w:t>
            </w:r>
            <w:r w:rsidR="00653DFB">
              <w:rPr>
                <w:color w:val="000000"/>
                <w:sz w:val="18"/>
                <w:szCs w:val="18"/>
              </w:rPr>
              <w:t>1</w:t>
            </w:r>
          </w:p>
          <w:p w14:paraId="5EE3D98F"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(.0</w:t>
            </w:r>
            <w:r w:rsidR="00653DFB">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990" w14:textId="77777777" w:rsidR="00E03C2E" w:rsidRPr="00C038C2" w:rsidRDefault="00E03C2E" w:rsidP="003A6F56">
            <w:pPr>
              <w:autoSpaceDE w:val="0"/>
              <w:autoSpaceDN w:val="0"/>
              <w:adjustRightInd w:val="0"/>
              <w:ind w:left="60" w:right="60"/>
              <w:jc w:val="center"/>
              <w:rPr>
                <w:color w:val="000000"/>
                <w:sz w:val="18"/>
                <w:szCs w:val="18"/>
              </w:rPr>
            </w:pPr>
            <w:r>
              <w:rPr>
                <w:color w:val="000000"/>
                <w:sz w:val="18"/>
                <w:szCs w:val="18"/>
              </w:rPr>
              <w:t>.</w:t>
            </w:r>
            <w:r w:rsidRPr="00CC6048">
              <w:rPr>
                <w:color w:val="000000"/>
                <w:sz w:val="18"/>
                <w:szCs w:val="18"/>
              </w:rPr>
              <w:t>0</w:t>
            </w:r>
            <w:r w:rsidR="00653DFB">
              <w:rPr>
                <w:color w:val="000000"/>
                <w:sz w:val="18"/>
                <w:szCs w:val="18"/>
              </w:rPr>
              <w:t>1</w:t>
            </w:r>
          </w:p>
          <w:p w14:paraId="5EE3D991" w14:textId="77777777" w:rsidR="00E03C2E" w:rsidRPr="00CC6048" w:rsidRDefault="00E03C2E" w:rsidP="00653DFB">
            <w:pPr>
              <w:autoSpaceDE w:val="0"/>
              <w:autoSpaceDN w:val="0"/>
              <w:adjustRightInd w:val="0"/>
              <w:ind w:left="60" w:right="60"/>
              <w:jc w:val="center"/>
              <w:rPr>
                <w:color w:val="000000"/>
                <w:sz w:val="18"/>
                <w:szCs w:val="18"/>
              </w:rPr>
            </w:pPr>
            <w:r w:rsidRPr="00C038C2">
              <w:rPr>
                <w:color w:val="000000"/>
                <w:sz w:val="18"/>
                <w:szCs w:val="18"/>
              </w:rPr>
              <w:t>(.0</w:t>
            </w:r>
            <w:r w:rsidR="00653DFB">
              <w:rPr>
                <w:color w:val="000000"/>
                <w:sz w:val="18"/>
                <w:szCs w:val="18"/>
              </w:rPr>
              <w:t>1</w:t>
            </w:r>
            <w:r w:rsidRPr="00C038C2">
              <w:rPr>
                <w:color w:val="000000"/>
                <w:sz w:val="18"/>
                <w:szCs w:val="18"/>
              </w:rPr>
              <w:t>)</w:t>
            </w:r>
          </w:p>
        </w:tc>
        <w:tc>
          <w:tcPr>
            <w:tcW w:w="1173" w:type="dxa"/>
            <w:tcBorders>
              <w:top w:val="nil"/>
              <w:left w:val="nil"/>
              <w:bottom w:val="nil"/>
              <w:right w:val="nil"/>
            </w:tcBorders>
            <w:vAlign w:val="center"/>
          </w:tcPr>
          <w:p w14:paraId="5EE3D992"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0</w:t>
            </w:r>
            <w:r w:rsidR="00653DFB">
              <w:rPr>
                <w:color w:val="000000"/>
                <w:sz w:val="18"/>
                <w:szCs w:val="18"/>
              </w:rPr>
              <w:t>1</w:t>
            </w:r>
          </w:p>
          <w:p w14:paraId="5EE3D993" w14:textId="77777777" w:rsidR="00E03C2E" w:rsidRPr="003019C4" w:rsidRDefault="00E03C2E" w:rsidP="00653DFB">
            <w:pPr>
              <w:autoSpaceDE w:val="0"/>
              <w:autoSpaceDN w:val="0"/>
              <w:adjustRightInd w:val="0"/>
              <w:ind w:left="60" w:right="60"/>
              <w:jc w:val="center"/>
              <w:rPr>
                <w:color w:val="000000"/>
                <w:sz w:val="18"/>
                <w:szCs w:val="18"/>
              </w:rPr>
            </w:pPr>
            <w:r w:rsidRPr="00C038C2">
              <w:rPr>
                <w:color w:val="000000"/>
                <w:sz w:val="18"/>
                <w:szCs w:val="18"/>
              </w:rPr>
              <w:t>(.0</w:t>
            </w:r>
            <w:r w:rsidR="00653DFB">
              <w:rPr>
                <w:color w:val="000000"/>
                <w:sz w:val="18"/>
                <w:szCs w:val="18"/>
              </w:rPr>
              <w:t>1</w:t>
            </w:r>
            <w:r w:rsidRPr="00C038C2">
              <w:rPr>
                <w:color w:val="000000"/>
                <w:sz w:val="18"/>
                <w:szCs w:val="18"/>
              </w:rPr>
              <w:t>)</w:t>
            </w:r>
          </w:p>
        </w:tc>
      </w:tr>
      <w:tr w:rsidR="00E03C2E" w:rsidRPr="00C038C2" w14:paraId="5EE3D9A3" w14:textId="77777777" w:rsidTr="00596AF3">
        <w:trPr>
          <w:trHeight w:val="265"/>
          <w:jc w:val="center"/>
        </w:trPr>
        <w:tc>
          <w:tcPr>
            <w:tcW w:w="3018" w:type="dxa"/>
            <w:tcBorders>
              <w:top w:val="nil"/>
              <w:left w:val="nil"/>
              <w:bottom w:val="nil"/>
              <w:right w:val="nil"/>
            </w:tcBorders>
          </w:tcPr>
          <w:p w14:paraId="5EE3D995" w14:textId="77777777" w:rsidR="00E03C2E" w:rsidRPr="000443CE" w:rsidRDefault="00E03C2E" w:rsidP="003A6F56">
            <w:pPr>
              <w:ind w:left="130" w:firstLine="142"/>
              <w:rPr>
                <w:sz w:val="18"/>
                <w:szCs w:val="18"/>
                <w:lang w:val="it-IT" w:eastAsia="en-US"/>
              </w:rPr>
            </w:pPr>
            <w:r w:rsidRPr="000443CE">
              <w:rPr>
                <w:sz w:val="18"/>
                <w:szCs w:val="18"/>
                <w:lang w:val="it-IT" w:eastAsia="en-US"/>
              </w:rPr>
              <w:t>Export channel experience</w:t>
            </w:r>
          </w:p>
          <w:p w14:paraId="5EE3D996"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997" w14:textId="77777777" w:rsidR="00E03C2E" w:rsidRDefault="00E03C2E" w:rsidP="003A6F56">
            <w:pPr>
              <w:autoSpaceDE w:val="0"/>
              <w:autoSpaceDN w:val="0"/>
              <w:adjustRightInd w:val="0"/>
              <w:ind w:left="60" w:right="60"/>
              <w:jc w:val="center"/>
              <w:rPr>
                <w:color w:val="000000"/>
                <w:sz w:val="18"/>
                <w:szCs w:val="18"/>
              </w:rPr>
            </w:pPr>
            <w:r w:rsidRPr="004F7118">
              <w:rPr>
                <w:color w:val="000000"/>
                <w:sz w:val="18"/>
                <w:szCs w:val="18"/>
              </w:rPr>
              <w:t>-</w:t>
            </w:r>
            <w:r>
              <w:rPr>
                <w:color w:val="000000"/>
                <w:sz w:val="18"/>
                <w:szCs w:val="18"/>
              </w:rPr>
              <w:t>.</w:t>
            </w:r>
            <w:r w:rsidRPr="004F7118">
              <w:rPr>
                <w:color w:val="000000"/>
                <w:sz w:val="18"/>
                <w:szCs w:val="18"/>
              </w:rPr>
              <w:t>0</w:t>
            </w:r>
            <w:r w:rsidR="00653DFB">
              <w:rPr>
                <w:color w:val="000000"/>
                <w:sz w:val="18"/>
                <w:szCs w:val="18"/>
              </w:rPr>
              <w:t>2</w:t>
            </w:r>
            <w:r>
              <w:rPr>
                <w:color w:val="000000"/>
                <w:sz w:val="18"/>
                <w:szCs w:val="18"/>
              </w:rPr>
              <w:t>***</w:t>
            </w:r>
          </w:p>
          <w:p w14:paraId="5EE3D998" w14:textId="77777777" w:rsidR="00E03C2E" w:rsidRPr="004F7118" w:rsidRDefault="00E03C2E" w:rsidP="00653DFB">
            <w:pPr>
              <w:autoSpaceDE w:val="0"/>
              <w:autoSpaceDN w:val="0"/>
              <w:adjustRightInd w:val="0"/>
              <w:ind w:left="60" w:right="60"/>
              <w:jc w:val="center"/>
              <w:rPr>
                <w:color w:val="000000"/>
                <w:sz w:val="18"/>
                <w:szCs w:val="18"/>
              </w:rPr>
            </w:pPr>
            <w:r>
              <w:rPr>
                <w:color w:val="000000"/>
                <w:sz w:val="18"/>
                <w:szCs w:val="18"/>
              </w:rPr>
              <w:t>(.0</w:t>
            </w:r>
            <w:r w:rsidR="00653DFB">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999" w14:textId="77777777" w:rsidR="00E03C2E" w:rsidRDefault="00E03C2E" w:rsidP="003A6F56">
            <w:pPr>
              <w:autoSpaceDE w:val="0"/>
              <w:autoSpaceDN w:val="0"/>
              <w:adjustRightInd w:val="0"/>
              <w:ind w:left="60" w:right="60"/>
              <w:jc w:val="center"/>
              <w:rPr>
                <w:color w:val="000000"/>
                <w:sz w:val="18"/>
                <w:szCs w:val="18"/>
              </w:rPr>
            </w:pPr>
            <w:r w:rsidRPr="00D8300E">
              <w:rPr>
                <w:color w:val="000000"/>
                <w:sz w:val="18"/>
                <w:szCs w:val="18"/>
              </w:rPr>
              <w:t>-</w:t>
            </w:r>
            <w:r>
              <w:rPr>
                <w:color w:val="000000"/>
                <w:sz w:val="18"/>
                <w:szCs w:val="18"/>
              </w:rPr>
              <w:t>.</w:t>
            </w:r>
            <w:r w:rsidRPr="00D8300E">
              <w:rPr>
                <w:color w:val="000000"/>
                <w:sz w:val="18"/>
                <w:szCs w:val="18"/>
              </w:rPr>
              <w:t>0</w:t>
            </w:r>
            <w:r w:rsidR="00653DFB">
              <w:rPr>
                <w:color w:val="000000"/>
                <w:sz w:val="18"/>
                <w:szCs w:val="18"/>
              </w:rPr>
              <w:t>2</w:t>
            </w:r>
            <w:r>
              <w:rPr>
                <w:color w:val="000000"/>
                <w:sz w:val="18"/>
                <w:szCs w:val="18"/>
              </w:rPr>
              <w:t>**</w:t>
            </w:r>
          </w:p>
          <w:p w14:paraId="5EE3D99A" w14:textId="77777777" w:rsidR="00E03C2E" w:rsidRPr="00D8300E" w:rsidRDefault="00E03C2E" w:rsidP="00653DFB">
            <w:pPr>
              <w:autoSpaceDE w:val="0"/>
              <w:autoSpaceDN w:val="0"/>
              <w:adjustRightInd w:val="0"/>
              <w:ind w:left="60" w:right="60"/>
              <w:jc w:val="center"/>
              <w:rPr>
                <w:color w:val="000000"/>
                <w:sz w:val="18"/>
                <w:szCs w:val="18"/>
              </w:rPr>
            </w:pPr>
            <w:r>
              <w:rPr>
                <w:color w:val="000000"/>
                <w:sz w:val="18"/>
                <w:szCs w:val="18"/>
              </w:rPr>
              <w:t>(.0</w:t>
            </w:r>
            <w:r w:rsidR="00653DFB">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99B" w14:textId="77777777" w:rsidR="00E03C2E" w:rsidRDefault="00E03C2E" w:rsidP="003A6F56">
            <w:pPr>
              <w:autoSpaceDE w:val="0"/>
              <w:autoSpaceDN w:val="0"/>
              <w:adjustRightInd w:val="0"/>
              <w:ind w:left="60" w:right="60"/>
              <w:jc w:val="center"/>
              <w:rPr>
                <w:color w:val="000000"/>
                <w:sz w:val="18"/>
                <w:szCs w:val="18"/>
              </w:rPr>
            </w:pPr>
            <w:r w:rsidRPr="00721ACE">
              <w:rPr>
                <w:color w:val="000000"/>
                <w:sz w:val="18"/>
                <w:szCs w:val="18"/>
              </w:rPr>
              <w:t>-</w:t>
            </w:r>
            <w:r>
              <w:rPr>
                <w:color w:val="000000"/>
                <w:sz w:val="18"/>
                <w:szCs w:val="18"/>
              </w:rPr>
              <w:t>.</w:t>
            </w:r>
            <w:r w:rsidRPr="00721ACE">
              <w:rPr>
                <w:color w:val="000000"/>
                <w:sz w:val="18"/>
                <w:szCs w:val="18"/>
              </w:rPr>
              <w:t>0</w:t>
            </w:r>
            <w:r w:rsidR="00653DFB">
              <w:rPr>
                <w:color w:val="000000"/>
                <w:sz w:val="18"/>
                <w:szCs w:val="18"/>
              </w:rPr>
              <w:t>2</w:t>
            </w:r>
            <w:r>
              <w:rPr>
                <w:color w:val="000000"/>
                <w:sz w:val="18"/>
                <w:szCs w:val="18"/>
              </w:rPr>
              <w:t>**</w:t>
            </w:r>
          </w:p>
          <w:p w14:paraId="5EE3D99C"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(.0</w:t>
            </w:r>
            <w:r w:rsidR="00653DFB">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99D" w14:textId="77777777" w:rsidR="00E03C2E" w:rsidRDefault="00E03C2E" w:rsidP="003A6F56">
            <w:pPr>
              <w:autoSpaceDE w:val="0"/>
              <w:autoSpaceDN w:val="0"/>
              <w:adjustRightInd w:val="0"/>
              <w:ind w:left="60" w:right="60"/>
              <w:jc w:val="center"/>
              <w:rPr>
                <w:color w:val="000000"/>
                <w:sz w:val="18"/>
                <w:szCs w:val="18"/>
              </w:rPr>
            </w:pPr>
            <w:r w:rsidRPr="009D5340">
              <w:rPr>
                <w:color w:val="000000"/>
                <w:sz w:val="18"/>
                <w:szCs w:val="18"/>
              </w:rPr>
              <w:t>-</w:t>
            </w:r>
            <w:r>
              <w:rPr>
                <w:color w:val="000000"/>
                <w:sz w:val="18"/>
                <w:szCs w:val="18"/>
              </w:rPr>
              <w:t>.</w:t>
            </w:r>
            <w:r w:rsidRPr="009D5340">
              <w:rPr>
                <w:color w:val="000000"/>
                <w:sz w:val="18"/>
                <w:szCs w:val="18"/>
              </w:rPr>
              <w:t>0</w:t>
            </w:r>
            <w:r w:rsidR="00653DFB">
              <w:rPr>
                <w:color w:val="000000"/>
                <w:sz w:val="18"/>
                <w:szCs w:val="18"/>
              </w:rPr>
              <w:t>2</w:t>
            </w:r>
            <w:r>
              <w:rPr>
                <w:color w:val="000000"/>
                <w:sz w:val="18"/>
                <w:szCs w:val="18"/>
              </w:rPr>
              <w:t>**</w:t>
            </w:r>
          </w:p>
          <w:p w14:paraId="5EE3D99E"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(.0</w:t>
            </w:r>
            <w:r w:rsidR="00653DFB">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99F" w14:textId="77777777" w:rsidR="00E03C2E" w:rsidRPr="00C038C2" w:rsidRDefault="00E03C2E" w:rsidP="003A6F56">
            <w:pPr>
              <w:autoSpaceDE w:val="0"/>
              <w:autoSpaceDN w:val="0"/>
              <w:adjustRightInd w:val="0"/>
              <w:ind w:left="60" w:right="60"/>
              <w:jc w:val="center"/>
              <w:rPr>
                <w:color w:val="000000"/>
                <w:sz w:val="18"/>
                <w:szCs w:val="18"/>
              </w:rPr>
            </w:pPr>
            <w:r w:rsidRPr="00CC6048">
              <w:rPr>
                <w:color w:val="000000"/>
                <w:sz w:val="18"/>
                <w:szCs w:val="18"/>
              </w:rPr>
              <w:t>-</w:t>
            </w:r>
            <w:r>
              <w:rPr>
                <w:color w:val="000000"/>
                <w:sz w:val="18"/>
                <w:szCs w:val="18"/>
              </w:rPr>
              <w:t>.</w:t>
            </w:r>
            <w:r w:rsidRPr="00CC6048">
              <w:rPr>
                <w:color w:val="000000"/>
                <w:sz w:val="18"/>
                <w:szCs w:val="18"/>
              </w:rPr>
              <w:t>01</w:t>
            </w:r>
            <w:r w:rsidRPr="00C038C2">
              <w:rPr>
                <w:color w:val="000000"/>
                <w:sz w:val="18"/>
                <w:szCs w:val="18"/>
              </w:rPr>
              <w:t>**</w:t>
            </w:r>
          </w:p>
          <w:p w14:paraId="5EE3D9A0" w14:textId="77777777" w:rsidR="00E03C2E" w:rsidRPr="00CC6048" w:rsidRDefault="00E03C2E" w:rsidP="00653DFB">
            <w:pPr>
              <w:autoSpaceDE w:val="0"/>
              <w:autoSpaceDN w:val="0"/>
              <w:adjustRightInd w:val="0"/>
              <w:ind w:left="60" w:right="60"/>
              <w:jc w:val="center"/>
              <w:rPr>
                <w:color w:val="000000"/>
                <w:sz w:val="18"/>
                <w:szCs w:val="18"/>
              </w:rPr>
            </w:pPr>
            <w:r w:rsidRPr="00C038C2">
              <w:rPr>
                <w:color w:val="000000"/>
                <w:sz w:val="18"/>
                <w:szCs w:val="18"/>
              </w:rPr>
              <w:t>(.0</w:t>
            </w:r>
            <w:r w:rsidR="00653DFB">
              <w:rPr>
                <w:color w:val="000000"/>
                <w:sz w:val="18"/>
                <w:szCs w:val="18"/>
              </w:rPr>
              <w:t>1</w:t>
            </w:r>
            <w:r w:rsidRPr="00C038C2">
              <w:rPr>
                <w:color w:val="000000"/>
                <w:sz w:val="18"/>
                <w:szCs w:val="18"/>
              </w:rPr>
              <w:t>)</w:t>
            </w:r>
          </w:p>
        </w:tc>
        <w:tc>
          <w:tcPr>
            <w:tcW w:w="1173" w:type="dxa"/>
            <w:tcBorders>
              <w:top w:val="nil"/>
              <w:left w:val="nil"/>
              <w:bottom w:val="nil"/>
              <w:right w:val="nil"/>
            </w:tcBorders>
            <w:vAlign w:val="center"/>
          </w:tcPr>
          <w:p w14:paraId="5EE3D9A1" w14:textId="77777777" w:rsidR="00E03C2E" w:rsidRPr="00C038C2" w:rsidRDefault="00E03C2E" w:rsidP="003A6F56">
            <w:pPr>
              <w:autoSpaceDE w:val="0"/>
              <w:autoSpaceDN w:val="0"/>
              <w:adjustRightInd w:val="0"/>
              <w:ind w:left="60" w:right="60"/>
              <w:jc w:val="center"/>
              <w:rPr>
                <w:color w:val="000000"/>
                <w:sz w:val="18"/>
                <w:szCs w:val="18"/>
              </w:rPr>
            </w:pPr>
            <w:r w:rsidRPr="003019C4">
              <w:rPr>
                <w:color w:val="000000"/>
                <w:sz w:val="18"/>
                <w:szCs w:val="18"/>
              </w:rPr>
              <w:t>-</w:t>
            </w:r>
            <w:r w:rsidRPr="00C038C2">
              <w:rPr>
                <w:color w:val="000000"/>
                <w:sz w:val="18"/>
                <w:szCs w:val="18"/>
              </w:rPr>
              <w:t>.</w:t>
            </w:r>
            <w:r w:rsidRPr="003019C4">
              <w:rPr>
                <w:color w:val="000000"/>
                <w:sz w:val="18"/>
                <w:szCs w:val="18"/>
              </w:rPr>
              <w:t>01</w:t>
            </w:r>
            <w:r w:rsidRPr="00C038C2">
              <w:rPr>
                <w:color w:val="000000"/>
                <w:sz w:val="18"/>
                <w:szCs w:val="18"/>
              </w:rPr>
              <w:t>*</w:t>
            </w:r>
          </w:p>
          <w:p w14:paraId="5EE3D9A2" w14:textId="77777777" w:rsidR="00E03C2E" w:rsidRPr="003019C4" w:rsidRDefault="00E03C2E" w:rsidP="00653DFB">
            <w:pPr>
              <w:autoSpaceDE w:val="0"/>
              <w:autoSpaceDN w:val="0"/>
              <w:adjustRightInd w:val="0"/>
              <w:ind w:left="60" w:right="60"/>
              <w:jc w:val="center"/>
              <w:rPr>
                <w:color w:val="000000"/>
                <w:sz w:val="18"/>
                <w:szCs w:val="18"/>
              </w:rPr>
            </w:pPr>
            <w:r w:rsidRPr="00C038C2">
              <w:rPr>
                <w:color w:val="000000"/>
                <w:sz w:val="18"/>
                <w:szCs w:val="18"/>
              </w:rPr>
              <w:t>(-.0</w:t>
            </w:r>
            <w:r w:rsidR="00653DFB">
              <w:rPr>
                <w:color w:val="000000"/>
                <w:sz w:val="18"/>
                <w:szCs w:val="18"/>
              </w:rPr>
              <w:t>1</w:t>
            </w:r>
            <w:r w:rsidRPr="00C038C2">
              <w:rPr>
                <w:color w:val="000000"/>
                <w:sz w:val="18"/>
                <w:szCs w:val="18"/>
              </w:rPr>
              <w:t>)</w:t>
            </w:r>
          </w:p>
        </w:tc>
      </w:tr>
      <w:tr w:rsidR="00E03C2E" w:rsidRPr="00C038C2" w14:paraId="5EE3D9B2" w14:textId="77777777" w:rsidTr="00596AF3">
        <w:trPr>
          <w:trHeight w:val="265"/>
          <w:jc w:val="center"/>
        </w:trPr>
        <w:tc>
          <w:tcPr>
            <w:tcW w:w="3018" w:type="dxa"/>
            <w:tcBorders>
              <w:top w:val="nil"/>
              <w:left w:val="nil"/>
              <w:bottom w:val="nil"/>
              <w:right w:val="nil"/>
            </w:tcBorders>
          </w:tcPr>
          <w:p w14:paraId="5EE3D9A4" w14:textId="77777777" w:rsidR="00E03C2E" w:rsidRPr="000443CE" w:rsidRDefault="00E03C2E" w:rsidP="003A6F56">
            <w:pPr>
              <w:ind w:left="130" w:firstLine="142"/>
              <w:rPr>
                <w:sz w:val="18"/>
                <w:szCs w:val="18"/>
                <w:lang w:val="it-IT" w:eastAsia="en-US"/>
              </w:rPr>
            </w:pPr>
            <w:r w:rsidRPr="000443CE">
              <w:rPr>
                <w:sz w:val="18"/>
                <w:szCs w:val="18"/>
                <w:lang w:val="it-IT" w:eastAsia="en-US"/>
              </w:rPr>
              <w:t>Number of countries</w:t>
            </w:r>
          </w:p>
          <w:p w14:paraId="5EE3D9A5"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9A6"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4F7118">
              <w:rPr>
                <w:color w:val="000000"/>
                <w:sz w:val="18"/>
                <w:szCs w:val="18"/>
              </w:rPr>
              <w:t>38</w:t>
            </w:r>
            <w:r>
              <w:rPr>
                <w:color w:val="000000"/>
                <w:sz w:val="18"/>
                <w:szCs w:val="18"/>
              </w:rPr>
              <w:t>**</w:t>
            </w:r>
          </w:p>
          <w:p w14:paraId="5EE3D9A7" w14:textId="77777777" w:rsidR="00E03C2E" w:rsidRPr="004F7118" w:rsidRDefault="00E03C2E" w:rsidP="00653DFB">
            <w:pPr>
              <w:autoSpaceDE w:val="0"/>
              <w:autoSpaceDN w:val="0"/>
              <w:adjustRightInd w:val="0"/>
              <w:ind w:left="60" w:right="60"/>
              <w:jc w:val="center"/>
              <w:rPr>
                <w:color w:val="000000"/>
                <w:sz w:val="18"/>
                <w:szCs w:val="18"/>
              </w:rPr>
            </w:pPr>
            <w:r>
              <w:rPr>
                <w:color w:val="000000"/>
                <w:sz w:val="18"/>
                <w:szCs w:val="18"/>
              </w:rPr>
              <w:t>(.19)</w:t>
            </w:r>
          </w:p>
        </w:tc>
        <w:tc>
          <w:tcPr>
            <w:tcW w:w="1172" w:type="dxa"/>
            <w:tcBorders>
              <w:top w:val="nil"/>
              <w:left w:val="nil"/>
              <w:bottom w:val="nil"/>
              <w:right w:val="nil"/>
            </w:tcBorders>
            <w:vAlign w:val="center"/>
          </w:tcPr>
          <w:p w14:paraId="5EE3D9A8"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00653DFB">
              <w:rPr>
                <w:color w:val="000000"/>
                <w:sz w:val="18"/>
                <w:szCs w:val="18"/>
              </w:rPr>
              <w:t>30</w:t>
            </w:r>
          </w:p>
          <w:p w14:paraId="5EE3D9A9" w14:textId="77777777" w:rsidR="00E03C2E" w:rsidRPr="00D8300E" w:rsidRDefault="00E03C2E" w:rsidP="00653DFB">
            <w:pPr>
              <w:autoSpaceDE w:val="0"/>
              <w:autoSpaceDN w:val="0"/>
              <w:adjustRightInd w:val="0"/>
              <w:ind w:left="60" w:right="60"/>
              <w:jc w:val="center"/>
              <w:rPr>
                <w:color w:val="000000"/>
                <w:sz w:val="18"/>
                <w:szCs w:val="18"/>
              </w:rPr>
            </w:pPr>
            <w:r>
              <w:rPr>
                <w:color w:val="000000"/>
                <w:sz w:val="18"/>
                <w:szCs w:val="18"/>
              </w:rPr>
              <w:t>(.</w:t>
            </w:r>
            <w:r w:rsidR="00653DFB">
              <w:rPr>
                <w:color w:val="000000"/>
                <w:sz w:val="18"/>
                <w:szCs w:val="18"/>
              </w:rPr>
              <w:t>20</w:t>
            </w:r>
            <w:r>
              <w:rPr>
                <w:color w:val="000000"/>
                <w:sz w:val="18"/>
                <w:szCs w:val="18"/>
              </w:rPr>
              <w:t>)</w:t>
            </w:r>
          </w:p>
        </w:tc>
        <w:tc>
          <w:tcPr>
            <w:tcW w:w="1172" w:type="dxa"/>
            <w:tcBorders>
              <w:top w:val="nil"/>
              <w:left w:val="nil"/>
              <w:bottom w:val="nil"/>
              <w:right w:val="nil"/>
            </w:tcBorders>
            <w:vAlign w:val="center"/>
          </w:tcPr>
          <w:p w14:paraId="5EE3D9AA"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.23</w:t>
            </w:r>
          </w:p>
          <w:p w14:paraId="5EE3D9AB"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(.20)</w:t>
            </w:r>
          </w:p>
        </w:tc>
        <w:tc>
          <w:tcPr>
            <w:tcW w:w="1172" w:type="dxa"/>
            <w:tcBorders>
              <w:top w:val="nil"/>
              <w:left w:val="nil"/>
              <w:bottom w:val="nil"/>
              <w:right w:val="nil"/>
            </w:tcBorders>
            <w:vAlign w:val="center"/>
          </w:tcPr>
          <w:p w14:paraId="5EE3D9AC"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.25</w:t>
            </w:r>
          </w:p>
          <w:p w14:paraId="5EE3D9AD"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(.20)</w:t>
            </w:r>
          </w:p>
        </w:tc>
        <w:tc>
          <w:tcPr>
            <w:tcW w:w="1172" w:type="dxa"/>
            <w:tcBorders>
              <w:top w:val="nil"/>
              <w:left w:val="nil"/>
              <w:bottom w:val="nil"/>
              <w:right w:val="nil"/>
            </w:tcBorders>
            <w:vAlign w:val="center"/>
          </w:tcPr>
          <w:p w14:paraId="5EE3D9AE" w14:textId="77777777" w:rsidR="00E03C2E" w:rsidRPr="00C038C2" w:rsidRDefault="00E03C2E" w:rsidP="003A6F56">
            <w:pPr>
              <w:autoSpaceDE w:val="0"/>
              <w:autoSpaceDN w:val="0"/>
              <w:adjustRightInd w:val="0"/>
              <w:ind w:left="60" w:right="60"/>
              <w:jc w:val="center"/>
              <w:rPr>
                <w:color w:val="000000"/>
                <w:sz w:val="18"/>
                <w:szCs w:val="18"/>
              </w:rPr>
            </w:pPr>
            <w:r>
              <w:rPr>
                <w:color w:val="000000"/>
                <w:sz w:val="18"/>
                <w:szCs w:val="18"/>
              </w:rPr>
              <w:t>.</w:t>
            </w:r>
            <w:r w:rsidRPr="00CC6048">
              <w:rPr>
                <w:color w:val="000000"/>
                <w:sz w:val="18"/>
                <w:szCs w:val="18"/>
              </w:rPr>
              <w:t>2</w:t>
            </w:r>
            <w:r w:rsidR="00653DFB">
              <w:rPr>
                <w:color w:val="000000"/>
                <w:sz w:val="18"/>
                <w:szCs w:val="18"/>
              </w:rPr>
              <w:t>7</w:t>
            </w:r>
          </w:p>
          <w:p w14:paraId="5EE3D9AF" w14:textId="77777777" w:rsidR="00E03C2E" w:rsidRPr="00CC6048" w:rsidRDefault="00E03C2E" w:rsidP="00653DFB">
            <w:pPr>
              <w:autoSpaceDE w:val="0"/>
              <w:autoSpaceDN w:val="0"/>
              <w:adjustRightInd w:val="0"/>
              <w:ind w:left="60" w:right="60"/>
              <w:jc w:val="center"/>
              <w:rPr>
                <w:color w:val="000000"/>
                <w:sz w:val="18"/>
                <w:szCs w:val="18"/>
              </w:rPr>
            </w:pPr>
            <w:r w:rsidRPr="00C038C2">
              <w:rPr>
                <w:color w:val="000000"/>
                <w:sz w:val="18"/>
                <w:szCs w:val="18"/>
              </w:rPr>
              <w:t>(.20)</w:t>
            </w:r>
          </w:p>
        </w:tc>
        <w:tc>
          <w:tcPr>
            <w:tcW w:w="1173" w:type="dxa"/>
            <w:tcBorders>
              <w:top w:val="nil"/>
              <w:left w:val="nil"/>
              <w:bottom w:val="nil"/>
              <w:right w:val="nil"/>
            </w:tcBorders>
            <w:vAlign w:val="center"/>
          </w:tcPr>
          <w:p w14:paraId="5EE3D9B0"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2</w:t>
            </w:r>
            <w:r w:rsidR="00653DFB">
              <w:rPr>
                <w:color w:val="000000"/>
                <w:sz w:val="18"/>
                <w:szCs w:val="18"/>
              </w:rPr>
              <w:t>1</w:t>
            </w:r>
          </w:p>
          <w:p w14:paraId="5EE3D9B1" w14:textId="77777777" w:rsidR="00E03C2E" w:rsidRPr="003019C4" w:rsidRDefault="00E03C2E" w:rsidP="00653DFB">
            <w:pPr>
              <w:autoSpaceDE w:val="0"/>
              <w:autoSpaceDN w:val="0"/>
              <w:adjustRightInd w:val="0"/>
              <w:ind w:left="60" w:right="60"/>
              <w:jc w:val="center"/>
              <w:rPr>
                <w:color w:val="000000"/>
                <w:sz w:val="18"/>
                <w:szCs w:val="18"/>
              </w:rPr>
            </w:pPr>
            <w:r w:rsidRPr="00C038C2">
              <w:rPr>
                <w:color w:val="000000"/>
                <w:sz w:val="18"/>
                <w:szCs w:val="18"/>
              </w:rPr>
              <w:t>(.20)</w:t>
            </w:r>
          </w:p>
        </w:tc>
      </w:tr>
      <w:tr w:rsidR="00E03C2E" w:rsidRPr="00C038C2" w14:paraId="5EE3D9C1" w14:textId="77777777" w:rsidTr="00596AF3">
        <w:trPr>
          <w:trHeight w:val="283"/>
          <w:jc w:val="center"/>
        </w:trPr>
        <w:tc>
          <w:tcPr>
            <w:tcW w:w="3018" w:type="dxa"/>
            <w:tcBorders>
              <w:top w:val="nil"/>
              <w:left w:val="nil"/>
              <w:bottom w:val="nil"/>
              <w:right w:val="nil"/>
            </w:tcBorders>
          </w:tcPr>
          <w:p w14:paraId="5EE3D9B3" w14:textId="77777777" w:rsidR="00E03C2E" w:rsidRPr="000443CE" w:rsidRDefault="00E03C2E" w:rsidP="003A6F56">
            <w:pPr>
              <w:ind w:left="130" w:firstLine="142"/>
              <w:rPr>
                <w:sz w:val="18"/>
                <w:szCs w:val="18"/>
                <w:lang w:val="it-IT" w:eastAsia="en-US"/>
              </w:rPr>
            </w:pPr>
            <w:r w:rsidRPr="000443CE">
              <w:rPr>
                <w:sz w:val="18"/>
                <w:szCs w:val="18"/>
                <w:lang w:val="it-IT" w:eastAsia="en-US"/>
              </w:rPr>
              <w:t>NACE 28</w:t>
            </w:r>
          </w:p>
          <w:p w14:paraId="5EE3D9B4"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9B5"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4F7118">
              <w:rPr>
                <w:color w:val="000000"/>
                <w:sz w:val="18"/>
                <w:szCs w:val="18"/>
              </w:rPr>
              <w:t>22</w:t>
            </w:r>
          </w:p>
          <w:p w14:paraId="5EE3D9B6" w14:textId="77777777" w:rsidR="00E03C2E" w:rsidRPr="004F7118" w:rsidRDefault="00E03C2E" w:rsidP="00653DFB">
            <w:pPr>
              <w:autoSpaceDE w:val="0"/>
              <w:autoSpaceDN w:val="0"/>
              <w:adjustRightInd w:val="0"/>
              <w:ind w:left="60" w:right="60"/>
              <w:jc w:val="center"/>
              <w:rPr>
                <w:color w:val="000000"/>
                <w:sz w:val="18"/>
                <w:szCs w:val="18"/>
              </w:rPr>
            </w:pPr>
            <w:r>
              <w:rPr>
                <w:color w:val="000000"/>
                <w:sz w:val="18"/>
                <w:szCs w:val="18"/>
              </w:rPr>
              <w:t>(.4</w:t>
            </w:r>
            <w:r w:rsidR="00653DFB">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9B7"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D8300E">
              <w:rPr>
                <w:color w:val="000000"/>
                <w:sz w:val="18"/>
                <w:szCs w:val="18"/>
              </w:rPr>
              <w:t>30</w:t>
            </w:r>
          </w:p>
          <w:p w14:paraId="5EE3D9B8" w14:textId="77777777" w:rsidR="00E03C2E" w:rsidRPr="00D8300E" w:rsidRDefault="00E03C2E" w:rsidP="00653DFB">
            <w:pPr>
              <w:autoSpaceDE w:val="0"/>
              <w:autoSpaceDN w:val="0"/>
              <w:adjustRightInd w:val="0"/>
              <w:ind w:left="60" w:right="60"/>
              <w:jc w:val="center"/>
              <w:rPr>
                <w:color w:val="000000"/>
                <w:sz w:val="18"/>
                <w:szCs w:val="18"/>
              </w:rPr>
            </w:pPr>
            <w:r>
              <w:rPr>
                <w:color w:val="000000"/>
                <w:sz w:val="18"/>
                <w:szCs w:val="18"/>
              </w:rPr>
              <w:t>(.41)</w:t>
            </w:r>
          </w:p>
        </w:tc>
        <w:tc>
          <w:tcPr>
            <w:tcW w:w="1172" w:type="dxa"/>
            <w:tcBorders>
              <w:top w:val="nil"/>
              <w:left w:val="nil"/>
              <w:bottom w:val="nil"/>
              <w:right w:val="nil"/>
            </w:tcBorders>
            <w:vAlign w:val="center"/>
          </w:tcPr>
          <w:p w14:paraId="5EE3D9B9"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.34</w:t>
            </w:r>
          </w:p>
          <w:p w14:paraId="5EE3D9BA"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(.4</w:t>
            </w:r>
            <w:r w:rsidR="00653DFB">
              <w:rPr>
                <w:color w:val="000000"/>
                <w:sz w:val="18"/>
                <w:szCs w:val="18"/>
              </w:rPr>
              <w:t>3</w:t>
            </w:r>
            <w:r>
              <w:rPr>
                <w:color w:val="000000"/>
                <w:sz w:val="18"/>
                <w:szCs w:val="18"/>
              </w:rPr>
              <w:t>)</w:t>
            </w:r>
          </w:p>
        </w:tc>
        <w:tc>
          <w:tcPr>
            <w:tcW w:w="1172" w:type="dxa"/>
            <w:tcBorders>
              <w:top w:val="nil"/>
              <w:left w:val="nil"/>
              <w:bottom w:val="nil"/>
              <w:right w:val="nil"/>
            </w:tcBorders>
            <w:vAlign w:val="center"/>
          </w:tcPr>
          <w:p w14:paraId="5EE3D9BB" w14:textId="77777777" w:rsidR="00E03C2E" w:rsidRDefault="00E03C2E" w:rsidP="00775FC5">
            <w:pPr>
              <w:autoSpaceDE w:val="0"/>
              <w:autoSpaceDN w:val="0"/>
              <w:adjustRightInd w:val="0"/>
              <w:ind w:left="60" w:right="60"/>
              <w:jc w:val="center"/>
              <w:rPr>
                <w:color w:val="000000"/>
                <w:sz w:val="18"/>
                <w:szCs w:val="18"/>
              </w:rPr>
            </w:pPr>
            <w:r>
              <w:rPr>
                <w:color w:val="000000"/>
                <w:sz w:val="18"/>
                <w:szCs w:val="18"/>
              </w:rPr>
              <w:t>.33</w:t>
            </w:r>
          </w:p>
          <w:p w14:paraId="5EE3D9BC"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(.42)</w:t>
            </w:r>
          </w:p>
        </w:tc>
        <w:tc>
          <w:tcPr>
            <w:tcW w:w="1172" w:type="dxa"/>
            <w:tcBorders>
              <w:top w:val="nil"/>
              <w:left w:val="nil"/>
              <w:bottom w:val="nil"/>
              <w:right w:val="nil"/>
            </w:tcBorders>
            <w:vAlign w:val="center"/>
          </w:tcPr>
          <w:p w14:paraId="5EE3D9BD" w14:textId="77777777" w:rsidR="00E03C2E" w:rsidRPr="00C038C2" w:rsidRDefault="00E03C2E" w:rsidP="003A6F56">
            <w:pPr>
              <w:autoSpaceDE w:val="0"/>
              <w:autoSpaceDN w:val="0"/>
              <w:adjustRightInd w:val="0"/>
              <w:ind w:left="60" w:right="60"/>
              <w:jc w:val="center"/>
              <w:rPr>
                <w:color w:val="000000"/>
                <w:sz w:val="18"/>
                <w:szCs w:val="18"/>
              </w:rPr>
            </w:pPr>
            <w:r>
              <w:rPr>
                <w:color w:val="000000"/>
                <w:sz w:val="18"/>
                <w:szCs w:val="18"/>
              </w:rPr>
              <w:t>.3</w:t>
            </w:r>
            <w:r w:rsidR="00653DFB">
              <w:rPr>
                <w:color w:val="000000"/>
                <w:sz w:val="18"/>
                <w:szCs w:val="18"/>
              </w:rPr>
              <w:t>4</w:t>
            </w:r>
          </w:p>
          <w:p w14:paraId="5EE3D9BE" w14:textId="77777777" w:rsidR="00E03C2E" w:rsidRPr="00CC6048" w:rsidRDefault="00E03C2E" w:rsidP="00653DFB">
            <w:pPr>
              <w:autoSpaceDE w:val="0"/>
              <w:autoSpaceDN w:val="0"/>
              <w:adjustRightInd w:val="0"/>
              <w:ind w:left="60" w:right="60"/>
              <w:jc w:val="center"/>
              <w:rPr>
                <w:color w:val="000000"/>
                <w:sz w:val="18"/>
                <w:szCs w:val="18"/>
              </w:rPr>
            </w:pPr>
            <w:r w:rsidRPr="00C038C2">
              <w:rPr>
                <w:color w:val="000000"/>
                <w:sz w:val="18"/>
                <w:szCs w:val="18"/>
              </w:rPr>
              <w:t>(.4</w:t>
            </w:r>
            <w:r w:rsidR="00653DFB">
              <w:rPr>
                <w:color w:val="000000"/>
                <w:sz w:val="18"/>
                <w:szCs w:val="18"/>
              </w:rPr>
              <w:t>2</w:t>
            </w:r>
            <w:r w:rsidRPr="00C038C2">
              <w:rPr>
                <w:color w:val="000000"/>
                <w:sz w:val="18"/>
                <w:szCs w:val="18"/>
              </w:rPr>
              <w:t>)</w:t>
            </w:r>
          </w:p>
        </w:tc>
        <w:tc>
          <w:tcPr>
            <w:tcW w:w="1173" w:type="dxa"/>
            <w:tcBorders>
              <w:top w:val="nil"/>
              <w:left w:val="nil"/>
              <w:bottom w:val="nil"/>
              <w:right w:val="nil"/>
            </w:tcBorders>
            <w:vAlign w:val="center"/>
          </w:tcPr>
          <w:p w14:paraId="5EE3D9BF"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sidR="00653DFB">
              <w:rPr>
                <w:color w:val="000000"/>
                <w:sz w:val="18"/>
                <w:szCs w:val="18"/>
              </w:rPr>
              <w:t>40</w:t>
            </w:r>
          </w:p>
          <w:p w14:paraId="5EE3D9C0" w14:textId="77777777" w:rsidR="00E03C2E" w:rsidRPr="003019C4" w:rsidRDefault="00E03C2E" w:rsidP="00653DFB">
            <w:pPr>
              <w:autoSpaceDE w:val="0"/>
              <w:autoSpaceDN w:val="0"/>
              <w:adjustRightInd w:val="0"/>
              <w:ind w:left="60" w:right="60"/>
              <w:jc w:val="center"/>
              <w:rPr>
                <w:color w:val="000000"/>
                <w:sz w:val="18"/>
                <w:szCs w:val="18"/>
              </w:rPr>
            </w:pPr>
            <w:r w:rsidRPr="00C038C2">
              <w:rPr>
                <w:color w:val="000000"/>
                <w:sz w:val="18"/>
                <w:szCs w:val="18"/>
              </w:rPr>
              <w:t>(.4</w:t>
            </w:r>
            <w:r w:rsidR="00653DFB">
              <w:rPr>
                <w:color w:val="000000"/>
                <w:sz w:val="18"/>
                <w:szCs w:val="18"/>
              </w:rPr>
              <w:t>3</w:t>
            </w:r>
            <w:r w:rsidRPr="00C038C2">
              <w:rPr>
                <w:color w:val="000000"/>
                <w:sz w:val="18"/>
                <w:szCs w:val="18"/>
              </w:rPr>
              <w:t>)</w:t>
            </w:r>
          </w:p>
        </w:tc>
      </w:tr>
      <w:tr w:rsidR="00E03C2E" w:rsidRPr="00C038C2" w14:paraId="5EE3D9D0" w14:textId="77777777" w:rsidTr="00596AF3">
        <w:trPr>
          <w:trHeight w:val="265"/>
          <w:jc w:val="center"/>
        </w:trPr>
        <w:tc>
          <w:tcPr>
            <w:tcW w:w="3018" w:type="dxa"/>
            <w:tcBorders>
              <w:top w:val="nil"/>
              <w:left w:val="nil"/>
              <w:bottom w:val="nil"/>
              <w:right w:val="nil"/>
            </w:tcBorders>
          </w:tcPr>
          <w:p w14:paraId="5EE3D9C2" w14:textId="77777777" w:rsidR="00E03C2E" w:rsidRPr="000443CE" w:rsidRDefault="00E03C2E" w:rsidP="003A6F56">
            <w:pPr>
              <w:ind w:left="130" w:firstLine="142"/>
              <w:rPr>
                <w:sz w:val="18"/>
                <w:szCs w:val="18"/>
                <w:lang w:val="it-IT" w:eastAsia="en-US"/>
              </w:rPr>
            </w:pPr>
            <w:r w:rsidRPr="000443CE">
              <w:rPr>
                <w:sz w:val="18"/>
                <w:szCs w:val="18"/>
                <w:lang w:val="it-IT" w:eastAsia="en-US"/>
              </w:rPr>
              <w:t>NACE 25</w:t>
            </w:r>
          </w:p>
          <w:p w14:paraId="5EE3D9C3"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9C4" w14:textId="77777777" w:rsidR="00E03C2E" w:rsidRDefault="00E03C2E" w:rsidP="003A6F56">
            <w:pPr>
              <w:autoSpaceDE w:val="0"/>
              <w:autoSpaceDN w:val="0"/>
              <w:adjustRightInd w:val="0"/>
              <w:ind w:left="60" w:right="60"/>
              <w:jc w:val="center"/>
              <w:rPr>
                <w:color w:val="000000"/>
                <w:sz w:val="18"/>
                <w:szCs w:val="18"/>
              </w:rPr>
            </w:pPr>
            <w:r w:rsidRPr="004F7118">
              <w:rPr>
                <w:color w:val="000000"/>
                <w:sz w:val="18"/>
                <w:szCs w:val="18"/>
              </w:rPr>
              <w:t>-</w:t>
            </w:r>
            <w:r>
              <w:rPr>
                <w:color w:val="000000"/>
                <w:sz w:val="18"/>
                <w:szCs w:val="18"/>
              </w:rPr>
              <w:t>.</w:t>
            </w:r>
            <w:r w:rsidRPr="004F7118">
              <w:rPr>
                <w:color w:val="000000"/>
                <w:sz w:val="18"/>
                <w:szCs w:val="18"/>
              </w:rPr>
              <w:t>3</w:t>
            </w:r>
            <w:r w:rsidR="00653DFB">
              <w:rPr>
                <w:color w:val="000000"/>
                <w:sz w:val="18"/>
                <w:szCs w:val="18"/>
              </w:rPr>
              <w:t>6</w:t>
            </w:r>
          </w:p>
          <w:p w14:paraId="5EE3D9C5" w14:textId="77777777" w:rsidR="00E03C2E" w:rsidRPr="004F7118" w:rsidRDefault="00E03C2E" w:rsidP="00653DFB">
            <w:pPr>
              <w:autoSpaceDE w:val="0"/>
              <w:autoSpaceDN w:val="0"/>
              <w:adjustRightInd w:val="0"/>
              <w:ind w:left="60" w:right="60"/>
              <w:jc w:val="center"/>
              <w:rPr>
                <w:color w:val="000000"/>
                <w:sz w:val="18"/>
                <w:szCs w:val="18"/>
              </w:rPr>
            </w:pPr>
            <w:r>
              <w:rPr>
                <w:color w:val="000000"/>
                <w:sz w:val="18"/>
                <w:szCs w:val="18"/>
              </w:rPr>
              <w:t>(.42)</w:t>
            </w:r>
          </w:p>
        </w:tc>
        <w:tc>
          <w:tcPr>
            <w:tcW w:w="1172" w:type="dxa"/>
            <w:tcBorders>
              <w:top w:val="nil"/>
              <w:left w:val="nil"/>
              <w:bottom w:val="nil"/>
              <w:right w:val="nil"/>
            </w:tcBorders>
            <w:vAlign w:val="center"/>
          </w:tcPr>
          <w:p w14:paraId="5EE3D9C6" w14:textId="77777777" w:rsidR="00E03C2E" w:rsidRDefault="00E03C2E" w:rsidP="003A6F56">
            <w:pPr>
              <w:autoSpaceDE w:val="0"/>
              <w:autoSpaceDN w:val="0"/>
              <w:adjustRightInd w:val="0"/>
              <w:ind w:left="60" w:right="60"/>
              <w:jc w:val="center"/>
              <w:rPr>
                <w:color w:val="000000"/>
                <w:sz w:val="18"/>
                <w:szCs w:val="18"/>
              </w:rPr>
            </w:pPr>
            <w:r w:rsidRPr="00D8300E">
              <w:rPr>
                <w:color w:val="000000"/>
                <w:sz w:val="18"/>
                <w:szCs w:val="18"/>
              </w:rPr>
              <w:t>-</w:t>
            </w:r>
            <w:r>
              <w:rPr>
                <w:color w:val="000000"/>
                <w:sz w:val="18"/>
                <w:szCs w:val="18"/>
              </w:rPr>
              <w:t>.</w:t>
            </w:r>
            <w:r w:rsidRPr="00D8300E">
              <w:rPr>
                <w:color w:val="000000"/>
                <w:sz w:val="18"/>
                <w:szCs w:val="18"/>
              </w:rPr>
              <w:t>35</w:t>
            </w:r>
          </w:p>
          <w:p w14:paraId="5EE3D9C7" w14:textId="77777777" w:rsidR="00E03C2E" w:rsidRPr="00D8300E" w:rsidRDefault="00E03C2E" w:rsidP="00653DFB">
            <w:pPr>
              <w:autoSpaceDE w:val="0"/>
              <w:autoSpaceDN w:val="0"/>
              <w:adjustRightInd w:val="0"/>
              <w:ind w:left="60" w:right="60"/>
              <w:jc w:val="center"/>
              <w:rPr>
                <w:color w:val="000000"/>
                <w:sz w:val="18"/>
                <w:szCs w:val="18"/>
              </w:rPr>
            </w:pPr>
            <w:r>
              <w:rPr>
                <w:color w:val="000000"/>
                <w:sz w:val="18"/>
                <w:szCs w:val="18"/>
              </w:rPr>
              <w:t>(.4</w:t>
            </w:r>
            <w:r w:rsidR="00653DFB">
              <w:rPr>
                <w:color w:val="000000"/>
                <w:sz w:val="18"/>
                <w:szCs w:val="18"/>
              </w:rPr>
              <w:t>3</w:t>
            </w:r>
            <w:r>
              <w:rPr>
                <w:color w:val="000000"/>
                <w:sz w:val="18"/>
                <w:szCs w:val="18"/>
              </w:rPr>
              <w:t>5)</w:t>
            </w:r>
          </w:p>
        </w:tc>
        <w:tc>
          <w:tcPr>
            <w:tcW w:w="1172" w:type="dxa"/>
            <w:tcBorders>
              <w:top w:val="nil"/>
              <w:left w:val="nil"/>
              <w:bottom w:val="nil"/>
              <w:right w:val="nil"/>
            </w:tcBorders>
            <w:vAlign w:val="center"/>
          </w:tcPr>
          <w:p w14:paraId="5EE3D9C8" w14:textId="77777777" w:rsidR="00E03C2E" w:rsidRDefault="00E03C2E" w:rsidP="003A6F56">
            <w:pPr>
              <w:autoSpaceDE w:val="0"/>
              <w:autoSpaceDN w:val="0"/>
              <w:adjustRightInd w:val="0"/>
              <w:ind w:left="60" w:right="60"/>
              <w:jc w:val="center"/>
              <w:rPr>
                <w:color w:val="000000"/>
                <w:sz w:val="18"/>
                <w:szCs w:val="18"/>
              </w:rPr>
            </w:pPr>
            <w:r w:rsidRPr="00721ACE">
              <w:rPr>
                <w:color w:val="000000"/>
                <w:sz w:val="18"/>
                <w:szCs w:val="18"/>
              </w:rPr>
              <w:t>-</w:t>
            </w:r>
            <w:r>
              <w:rPr>
                <w:color w:val="000000"/>
                <w:sz w:val="18"/>
                <w:szCs w:val="18"/>
              </w:rPr>
              <w:t>.34</w:t>
            </w:r>
          </w:p>
          <w:p w14:paraId="5EE3D9C9"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(.43)</w:t>
            </w:r>
          </w:p>
        </w:tc>
        <w:tc>
          <w:tcPr>
            <w:tcW w:w="1172" w:type="dxa"/>
            <w:tcBorders>
              <w:top w:val="nil"/>
              <w:left w:val="nil"/>
              <w:bottom w:val="nil"/>
              <w:right w:val="nil"/>
            </w:tcBorders>
            <w:vAlign w:val="center"/>
          </w:tcPr>
          <w:p w14:paraId="5EE3D9CA" w14:textId="77777777" w:rsidR="00E03C2E" w:rsidRDefault="00E03C2E" w:rsidP="003A6F56">
            <w:pPr>
              <w:autoSpaceDE w:val="0"/>
              <w:autoSpaceDN w:val="0"/>
              <w:adjustRightInd w:val="0"/>
              <w:ind w:left="60" w:right="60"/>
              <w:jc w:val="center"/>
              <w:rPr>
                <w:color w:val="000000"/>
                <w:sz w:val="18"/>
                <w:szCs w:val="18"/>
              </w:rPr>
            </w:pPr>
            <w:r w:rsidRPr="009D5340">
              <w:rPr>
                <w:color w:val="000000"/>
                <w:sz w:val="18"/>
                <w:szCs w:val="18"/>
              </w:rPr>
              <w:t>-</w:t>
            </w:r>
            <w:r>
              <w:rPr>
                <w:color w:val="000000"/>
                <w:sz w:val="18"/>
                <w:szCs w:val="18"/>
              </w:rPr>
              <w:t>.37</w:t>
            </w:r>
          </w:p>
          <w:p w14:paraId="5EE3D9CB"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(4</w:t>
            </w:r>
            <w:r w:rsidR="00653DFB">
              <w:rPr>
                <w:color w:val="000000"/>
                <w:sz w:val="18"/>
                <w:szCs w:val="18"/>
              </w:rPr>
              <w:t>3</w:t>
            </w:r>
            <w:r>
              <w:rPr>
                <w:color w:val="000000"/>
                <w:sz w:val="18"/>
                <w:szCs w:val="18"/>
              </w:rPr>
              <w:t>)</w:t>
            </w:r>
          </w:p>
        </w:tc>
        <w:tc>
          <w:tcPr>
            <w:tcW w:w="1172" w:type="dxa"/>
            <w:tcBorders>
              <w:top w:val="nil"/>
              <w:left w:val="nil"/>
              <w:bottom w:val="nil"/>
              <w:right w:val="nil"/>
            </w:tcBorders>
            <w:vAlign w:val="center"/>
          </w:tcPr>
          <w:p w14:paraId="5EE3D9CC" w14:textId="77777777" w:rsidR="00E03C2E" w:rsidRPr="00C038C2" w:rsidRDefault="00E03C2E" w:rsidP="003A6F56">
            <w:pPr>
              <w:autoSpaceDE w:val="0"/>
              <w:autoSpaceDN w:val="0"/>
              <w:adjustRightInd w:val="0"/>
              <w:ind w:left="60" w:right="60"/>
              <w:jc w:val="center"/>
              <w:rPr>
                <w:color w:val="000000"/>
                <w:sz w:val="18"/>
                <w:szCs w:val="18"/>
              </w:rPr>
            </w:pPr>
            <w:r w:rsidRPr="00CC6048">
              <w:rPr>
                <w:color w:val="000000"/>
                <w:sz w:val="18"/>
                <w:szCs w:val="18"/>
              </w:rPr>
              <w:t>-</w:t>
            </w:r>
            <w:r>
              <w:rPr>
                <w:color w:val="000000"/>
                <w:sz w:val="18"/>
                <w:szCs w:val="18"/>
              </w:rPr>
              <w:t>.41</w:t>
            </w:r>
          </w:p>
          <w:p w14:paraId="5EE3D9CD" w14:textId="77777777" w:rsidR="00E03C2E" w:rsidRPr="00CC6048" w:rsidRDefault="00E03C2E" w:rsidP="00653DFB">
            <w:pPr>
              <w:autoSpaceDE w:val="0"/>
              <w:autoSpaceDN w:val="0"/>
              <w:adjustRightInd w:val="0"/>
              <w:ind w:left="60" w:right="60"/>
              <w:jc w:val="center"/>
              <w:rPr>
                <w:color w:val="000000"/>
                <w:sz w:val="18"/>
                <w:szCs w:val="18"/>
              </w:rPr>
            </w:pPr>
            <w:r>
              <w:rPr>
                <w:color w:val="000000"/>
                <w:sz w:val="18"/>
                <w:szCs w:val="18"/>
              </w:rPr>
              <w:t>(.4</w:t>
            </w:r>
            <w:r w:rsidR="00653DFB">
              <w:rPr>
                <w:color w:val="000000"/>
                <w:sz w:val="18"/>
                <w:szCs w:val="18"/>
              </w:rPr>
              <w:t>3</w:t>
            </w:r>
            <w:r w:rsidRPr="00C038C2">
              <w:rPr>
                <w:color w:val="000000"/>
                <w:sz w:val="18"/>
                <w:szCs w:val="18"/>
              </w:rPr>
              <w:t>)</w:t>
            </w:r>
          </w:p>
        </w:tc>
        <w:tc>
          <w:tcPr>
            <w:tcW w:w="1173" w:type="dxa"/>
            <w:tcBorders>
              <w:top w:val="nil"/>
              <w:left w:val="nil"/>
              <w:bottom w:val="nil"/>
              <w:right w:val="nil"/>
            </w:tcBorders>
            <w:vAlign w:val="center"/>
          </w:tcPr>
          <w:p w14:paraId="5EE3D9CE" w14:textId="77777777" w:rsidR="00E03C2E" w:rsidRPr="00C038C2" w:rsidRDefault="00E03C2E" w:rsidP="003A6F56">
            <w:pPr>
              <w:autoSpaceDE w:val="0"/>
              <w:autoSpaceDN w:val="0"/>
              <w:adjustRightInd w:val="0"/>
              <w:ind w:left="60" w:right="60"/>
              <w:jc w:val="center"/>
              <w:rPr>
                <w:color w:val="000000"/>
                <w:sz w:val="18"/>
                <w:szCs w:val="18"/>
              </w:rPr>
            </w:pPr>
            <w:r w:rsidRPr="003019C4">
              <w:rPr>
                <w:color w:val="000000"/>
                <w:sz w:val="18"/>
                <w:szCs w:val="18"/>
              </w:rPr>
              <w:t>-</w:t>
            </w:r>
            <w:r w:rsidRPr="00C038C2">
              <w:rPr>
                <w:color w:val="000000"/>
                <w:sz w:val="18"/>
                <w:szCs w:val="18"/>
              </w:rPr>
              <w:t>.</w:t>
            </w:r>
            <w:r>
              <w:rPr>
                <w:color w:val="000000"/>
                <w:sz w:val="18"/>
                <w:szCs w:val="18"/>
              </w:rPr>
              <w:t>3</w:t>
            </w:r>
            <w:r w:rsidR="00653DFB">
              <w:rPr>
                <w:color w:val="000000"/>
                <w:sz w:val="18"/>
                <w:szCs w:val="18"/>
              </w:rPr>
              <w:t>7</w:t>
            </w:r>
          </w:p>
          <w:p w14:paraId="5EE3D9CF" w14:textId="77777777" w:rsidR="00E03C2E" w:rsidRPr="003019C4" w:rsidRDefault="00E03C2E" w:rsidP="00653DFB">
            <w:pPr>
              <w:autoSpaceDE w:val="0"/>
              <w:autoSpaceDN w:val="0"/>
              <w:adjustRightInd w:val="0"/>
              <w:ind w:left="60" w:right="60"/>
              <w:jc w:val="center"/>
              <w:rPr>
                <w:color w:val="000000"/>
                <w:sz w:val="18"/>
                <w:szCs w:val="18"/>
              </w:rPr>
            </w:pPr>
            <w:r>
              <w:rPr>
                <w:color w:val="000000"/>
                <w:sz w:val="18"/>
                <w:szCs w:val="18"/>
              </w:rPr>
              <w:t>(.4</w:t>
            </w:r>
            <w:r w:rsidR="00653DFB">
              <w:rPr>
                <w:color w:val="000000"/>
                <w:sz w:val="18"/>
                <w:szCs w:val="18"/>
              </w:rPr>
              <w:t>4</w:t>
            </w:r>
            <w:r w:rsidRPr="00C038C2">
              <w:rPr>
                <w:color w:val="000000"/>
                <w:sz w:val="18"/>
                <w:szCs w:val="18"/>
              </w:rPr>
              <w:t>)</w:t>
            </w:r>
          </w:p>
        </w:tc>
      </w:tr>
      <w:tr w:rsidR="00E03C2E" w:rsidRPr="00C038C2" w14:paraId="5EE3D9DF" w14:textId="77777777" w:rsidTr="00596AF3">
        <w:trPr>
          <w:trHeight w:val="265"/>
          <w:jc w:val="center"/>
        </w:trPr>
        <w:tc>
          <w:tcPr>
            <w:tcW w:w="3018" w:type="dxa"/>
            <w:tcBorders>
              <w:top w:val="nil"/>
              <w:left w:val="nil"/>
              <w:bottom w:val="nil"/>
              <w:right w:val="nil"/>
            </w:tcBorders>
          </w:tcPr>
          <w:p w14:paraId="5EE3D9D1" w14:textId="77777777" w:rsidR="00E03C2E" w:rsidRPr="000443CE" w:rsidRDefault="00E03C2E" w:rsidP="003A6F56">
            <w:pPr>
              <w:ind w:left="130" w:firstLine="142"/>
              <w:rPr>
                <w:sz w:val="18"/>
                <w:szCs w:val="18"/>
                <w:lang w:val="it-IT" w:eastAsia="en-US"/>
              </w:rPr>
            </w:pPr>
            <w:r w:rsidRPr="000443CE">
              <w:rPr>
                <w:sz w:val="18"/>
                <w:szCs w:val="18"/>
                <w:lang w:val="it-IT" w:eastAsia="en-US"/>
              </w:rPr>
              <w:t>NACE 23</w:t>
            </w:r>
          </w:p>
          <w:p w14:paraId="5EE3D9D2"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9D3" w14:textId="77777777" w:rsidR="00E03C2E" w:rsidRDefault="00E03C2E" w:rsidP="003A6F56">
            <w:pPr>
              <w:autoSpaceDE w:val="0"/>
              <w:autoSpaceDN w:val="0"/>
              <w:adjustRightInd w:val="0"/>
              <w:ind w:left="60" w:right="60"/>
              <w:jc w:val="center"/>
              <w:rPr>
                <w:color w:val="000000"/>
                <w:sz w:val="18"/>
                <w:szCs w:val="18"/>
              </w:rPr>
            </w:pPr>
            <w:r w:rsidRPr="004F7118">
              <w:rPr>
                <w:color w:val="000000"/>
                <w:sz w:val="18"/>
                <w:szCs w:val="18"/>
              </w:rPr>
              <w:t>-</w:t>
            </w:r>
            <w:r>
              <w:rPr>
                <w:color w:val="000000"/>
                <w:sz w:val="18"/>
                <w:szCs w:val="18"/>
              </w:rPr>
              <w:t>.</w:t>
            </w:r>
            <w:r w:rsidRPr="004F7118">
              <w:rPr>
                <w:color w:val="000000"/>
                <w:sz w:val="18"/>
                <w:szCs w:val="18"/>
              </w:rPr>
              <w:t>32</w:t>
            </w:r>
          </w:p>
          <w:p w14:paraId="5EE3D9D4" w14:textId="77777777" w:rsidR="00E03C2E" w:rsidRPr="004F7118" w:rsidRDefault="00E03C2E" w:rsidP="00653DFB">
            <w:pPr>
              <w:autoSpaceDE w:val="0"/>
              <w:autoSpaceDN w:val="0"/>
              <w:adjustRightInd w:val="0"/>
              <w:ind w:left="60" w:right="60"/>
              <w:jc w:val="center"/>
              <w:rPr>
                <w:color w:val="000000"/>
                <w:sz w:val="18"/>
                <w:szCs w:val="18"/>
              </w:rPr>
            </w:pPr>
            <w:r>
              <w:rPr>
                <w:color w:val="000000"/>
                <w:sz w:val="18"/>
                <w:szCs w:val="18"/>
              </w:rPr>
              <w:t>(.61)</w:t>
            </w:r>
          </w:p>
        </w:tc>
        <w:tc>
          <w:tcPr>
            <w:tcW w:w="1172" w:type="dxa"/>
            <w:tcBorders>
              <w:top w:val="nil"/>
              <w:left w:val="nil"/>
              <w:bottom w:val="nil"/>
              <w:right w:val="nil"/>
            </w:tcBorders>
            <w:vAlign w:val="center"/>
          </w:tcPr>
          <w:p w14:paraId="5EE3D9D5" w14:textId="77777777" w:rsidR="00E03C2E" w:rsidRDefault="00E03C2E" w:rsidP="003A6F56">
            <w:pPr>
              <w:autoSpaceDE w:val="0"/>
              <w:autoSpaceDN w:val="0"/>
              <w:adjustRightInd w:val="0"/>
              <w:ind w:left="60" w:right="60"/>
              <w:jc w:val="center"/>
              <w:rPr>
                <w:color w:val="000000"/>
                <w:sz w:val="18"/>
                <w:szCs w:val="18"/>
              </w:rPr>
            </w:pPr>
            <w:r w:rsidRPr="00D8300E">
              <w:rPr>
                <w:color w:val="000000"/>
                <w:sz w:val="18"/>
                <w:szCs w:val="18"/>
              </w:rPr>
              <w:t>-</w:t>
            </w:r>
            <w:r>
              <w:rPr>
                <w:color w:val="000000"/>
                <w:sz w:val="18"/>
                <w:szCs w:val="18"/>
              </w:rPr>
              <w:t>.</w:t>
            </w:r>
            <w:r w:rsidRPr="00D8300E">
              <w:rPr>
                <w:color w:val="000000"/>
                <w:sz w:val="18"/>
                <w:szCs w:val="18"/>
              </w:rPr>
              <w:t>05</w:t>
            </w:r>
          </w:p>
          <w:p w14:paraId="5EE3D9D6" w14:textId="77777777" w:rsidR="00E03C2E" w:rsidRPr="00D8300E" w:rsidRDefault="00E03C2E" w:rsidP="00653DFB">
            <w:pPr>
              <w:autoSpaceDE w:val="0"/>
              <w:autoSpaceDN w:val="0"/>
              <w:adjustRightInd w:val="0"/>
              <w:ind w:left="60" w:right="60"/>
              <w:jc w:val="center"/>
              <w:rPr>
                <w:color w:val="000000"/>
                <w:sz w:val="18"/>
                <w:szCs w:val="18"/>
              </w:rPr>
            </w:pPr>
            <w:r>
              <w:rPr>
                <w:color w:val="000000"/>
                <w:sz w:val="18"/>
                <w:szCs w:val="18"/>
              </w:rPr>
              <w:t>(063)</w:t>
            </w:r>
          </w:p>
        </w:tc>
        <w:tc>
          <w:tcPr>
            <w:tcW w:w="1172" w:type="dxa"/>
            <w:tcBorders>
              <w:top w:val="nil"/>
              <w:left w:val="nil"/>
              <w:bottom w:val="nil"/>
              <w:right w:val="nil"/>
            </w:tcBorders>
            <w:vAlign w:val="center"/>
          </w:tcPr>
          <w:p w14:paraId="5EE3D9D7"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.0</w:t>
            </w:r>
            <w:r w:rsidR="00653DFB">
              <w:rPr>
                <w:color w:val="000000"/>
                <w:sz w:val="18"/>
                <w:szCs w:val="18"/>
              </w:rPr>
              <w:t>9</w:t>
            </w:r>
          </w:p>
          <w:p w14:paraId="5EE3D9D8"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(.66)</w:t>
            </w:r>
          </w:p>
        </w:tc>
        <w:tc>
          <w:tcPr>
            <w:tcW w:w="1172" w:type="dxa"/>
            <w:tcBorders>
              <w:top w:val="nil"/>
              <w:left w:val="nil"/>
              <w:bottom w:val="nil"/>
              <w:right w:val="nil"/>
            </w:tcBorders>
            <w:vAlign w:val="center"/>
          </w:tcPr>
          <w:p w14:paraId="5EE3D9D9"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.1</w:t>
            </w:r>
            <w:r w:rsidR="00653DFB">
              <w:rPr>
                <w:color w:val="000000"/>
                <w:sz w:val="18"/>
                <w:szCs w:val="18"/>
              </w:rPr>
              <w:t>3</w:t>
            </w:r>
          </w:p>
          <w:p w14:paraId="5EE3D9DA"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(.67)</w:t>
            </w:r>
          </w:p>
        </w:tc>
        <w:tc>
          <w:tcPr>
            <w:tcW w:w="1172" w:type="dxa"/>
            <w:tcBorders>
              <w:top w:val="nil"/>
              <w:left w:val="nil"/>
              <w:bottom w:val="nil"/>
              <w:right w:val="nil"/>
            </w:tcBorders>
            <w:vAlign w:val="center"/>
          </w:tcPr>
          <w:p w14:paraId="5EE3D9DB" w14:textId="77777777" w:rsidR="00E03C2E" w:rsidRPr="00C038C2" w:rsidRDefault="00E03C2E" w:rsidP="003A6F56">
            <w:pPr>
              <w:autoSpaceDE w:val="0"/>
              <w:autoSpaceDN w:val="0"/>
              <w:adjustRightInd w:val="0"/>
              <w:ind w:left="60" w:right="60"/>
              <w:jc w:val="center"/>
              <w:rPr>
                <w:color w:val="000000"/>
                <w:sz w:val="18"/>
                <w:szCs w:val="18"/>
              </w:rPr>
            </w:pPr>
            <w:r>
              <w:rPr>
                <w:color w:val="000000"/>
                <w:sz w:val="18"/>
                <w:szCs w:val="18"/>
              </w:rPr>
              <w:t>.1</w:t>
            </w:r>
            <w:r w:rsidR="00653DFB">
              <w:rPr>
                <w:color w:val="000000"/>
                <w:sz w:val="18"/>
                <w:szCs w:val="18"/>
              </w:rPr>
              <w:t>7</w:t>
            </w:r>
          </w:p>
          <w:p w14:paraId="5EE3D9DC" w14:textId="77777777" w:rsidR="00E03C2E" w:rsidRPr="00CC6048" w:rsidRDefault="00E03C2E" w:rsidP="00653DFB">
            <w:pPr>
              <w:autoSpaceDE w:val="0"/>
              <w:autoSpaceDN w:val="0"/>
              <w:adjustRightInd w:val="0"/>
              <w:ind w:left="60" w:right="60"/>
              <w:jc w:val="center"/>
              <w:rPr>
                <w:color w:val="000000"/>
                <w:sz w:val="18"/>
                <w:szCs w:val="18"/>
              </w:rPr>
            </w:pPr>
            <w:r>
              <w:rPr>
                <w:color w:val="000000"/>
                <w:sz w:val="18"/>
                <w:szCs w:val="18"/>
              </w:rPr>
              <w:t>(.67</w:t>
            </w:r>
            <w:r w:rsidRPr="00C038C2">
              <w:rPr>
                <w:color w:val="000000"/>
                <w:sz w:val="18"/>
                <w:szCs w:val="18"/>
              </w:rPr>
              <w:t>)</w:t>
            </w:r>
          </w:p>
        </w:tc>
        <w:tc>
          <w:tcPr>
            <w:tcW w:w="1173" w:type="dxa"/>
            <w:tcBorders>
              <w:top w:val="nil"/>
              <w:left w:val="nil"/>
              <w:bottom w:val="nil"/>
              <w:right w:val="nil"/>
            </w:tcBorders>
            <w:vAlign w:val="center"/>
          </w:tcPr>
          <w:p w14:paraId="5EE3D9DD"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3</w:t>
            </w:r>
            <w:r w:rsidR="00653DFB">
              <w:rPr>
                <w:color w:val="000000"/>
                <w:sz w:val="18"/>
                <w:szCs w:val="18"/>
              </w:rPr>
              <w:t>1</w:t>
            </w:r>
          </w:p>
          <w:p w14:paraId="5EE3D9DE" w14:textId="77777777" w:rsidR="00E03C2E" w:rsidRPr="003019C4" w:rsidRDefault="00E03C2E" w:rsidP="00653DFB">
            <w:pPr>
              <w:autoSpaceDE w:val="0"/>
              <w:autoSpaceDN w:val="0"/>
              <w:adjustRightInd w:val="0"/>
              <w:ind w:left="60" w:right="60"/>
              <w:jc w:val="center"/>
              <w:rPr>
                <w:color w:val="000000"/>
                <w:sz w:val="18"/>
                <w:szCs w:val="18"/>
              </w:rPr>
            </w:pPr>
            <w:r>
              <w:rPr>
                <w:color w:val="000000"/>
                <w:sz w:val="18"/>
                <w:szCs w:val="18"/>
              </w:rPr>
              <w:t>(.68</w:t>
            </w:r>
            <w:r w:rsidRPr="00C038C2">
              <w:rPr>
                <w:color w:val="000000"/>
                <w:sz w:val="18"/>
                <w:szCs w:val="18"/>
              </w:rPr>
              <w:t>)</w:t>
            </w:r>
          </w:p>
        </w:tc>
      </w:tr>
      <w:tr w:rsidR="00E03C2E" w:rsidRPr="00C038C2" w14:paraId="5EE3D9EE" w14:textId="77777777" w:rsidTr="00596AF3">
        <w:trPr>
          <w:trHeight w:val="265"/>
          <w:jc w:val="center"/>
        </w:trPr>
        <w:tc>
          <w:tcPr>
            <w:tcW w:w="3018" w:type="dxa"/>
            <w:tcBorders>
              <w:top w:val="nil"/>
              <w:left w:val="nil"/>
              <w:bottom w:val="nil"/>
              <w:right w:val="nil"/>
            </w:tcBorders>
          </w:tcPr>
          <w:p w14:paraId="5EE3D9E0" w14:textId="77777777" w:rsidR="00E03C2E" w:rsidRPr="000443CE" w:rsidRDefault="00E03C2E" w:rsidP="003A6F56">
            <w:pPr>
              <w:ind w:left="130" w:firstLine="142"/>
              <w:rPr>
                <w:sz w:val="18"/>
                <w:szCs w:val="18"/>
                <w:lang w:val="it-IT" w:eastAsia="en-US"/>
              </w:rPr>
            </w:pPr>
            <w:r w:rsidRPr="000443CE">
              <w:rPr>
                <w:sz w:val="18"/>
                <w:szCs w:val="18"/>
                <w:lang w:val="it-IT" w:eastAsia="en-US"/>
              </w:rPr>
              <w:t>NACE 10</w:t>
            </w:r>
          </w:p>
          <w:p w14:paraId="5EE3D9E1"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9E2" w14:textId="77777777" w:rsidR="00E03C2E" w:rsidRDefault="00E03C2E" w:rsidP="003A6F56">
            <w:pPr>
              <w:autoSpaceDE w:val="0"/>
              <w:autoSpaceDN w:val="0"/>
              <w:adjustRightInd w:val="0"/>
              <w:ind w:left="60" w:right="60"/>
              <w:jc w:val="center"/>
              <w:rPr>
                <w:color w:val="000000"/>
                <w:sz w:val="18"/>
                <w:szCs w:val="18"/>
              </w:rPr>
            </w:pPr>
            <w:r w:rsidRPr="004F7118">
              <w:rPr>
                <w:color w:val="000000"/>
                <w:sz w:val="18"/>
                <w:szCs w:val="18"/>
              </w:rPr>
              <w:t>-1</w:t>
            </w:r>
            <w:r>
              <w:rPr>
                <w:color w:val="000000"/>
                <w:sz w:val="18"/>
                <w:szCs w:val="18"/>
              </w:rPr>
              <w:t>.</w:t>
            </w:r>
            <w:r w:rsidRPr="004F7118">
              <w:rPr>
                <w:color w:val="000000"/>
                <w:sz w:val="18"/>
                <w:szCs w:val="18"/>
              </w:rPr>
              <w:t>0</w:t>
            </w:r>
            <w:r w:rsidR="00653DFB">
              <w:rPr>
                <w:color w:val="000000"/>
                <w:sz w:val="18"/>
                <w:szCs w:val="18"/>
              </w:rPr>
              <w:t>3</w:t>
            </w:r>
          </w:p>
          <w:p w14:paraId="5EE3D9E3" w14:textId="77777777" w:rsidR="00E03C2E" w:rsidRPr="004F7118" w:rsidRDefault="00E03C2E" w:rsidP="00653DFB">
            <w:pPr>
              <w:autoSpaceDE w:val="0"/>
              <w:autoSpaceDN w:val="0"/>
              <w:adjustRightInd w:val="0"/>
              <w:ind w:left="60" w:right="60"/>
              <w:jc w:val="center"/>
              <w:rPr>
                <w:color w:val="000000"/>
                <w:sz w:val="18"/>
                <w:szCs w:val="18"/>
              </w:rPr>
            </w:pPr>
            <w:r>
              <w:rPr>
                <w:color w:val="000000"/>
                <w:sz w:val="18"/>
                <w:szCs w:val="18"/>
              </w:rPr>
              <w:t>(.6</w:t>
            </w:r>
            <w:r w:rsidR="00653DFB">
              <w:rPr>
                <w:color w:val="000000"/>
                <w:sz w:val="18"/>
                <w:szCs w:val="18"/>
              </w:rPr>
              <w:t>4</w:t>
            </w:r>
            <w:r>
              <w:rPr>
                <w:color w:val="000000"/>
                <w:sz w:val="18"/>
                <w:szCs w:val="18"/>
              </w:rPr>
              <w:t>)</w:t>
            </w:r>
          </w:p>
        </w:tc>
        <w:tc>
          <w:tcPr>
            <w:tcW w:w="1172" w:type="dxa"/>
            <w:tcBorders>
              <w:top w:val="nil"/>
              <w:left w:val="nil"/>
              <w:bottom w:val="nil"/>
              <w:right w:val="nil"/>
            </w:tcBorders>
            <w:vAlign w:val="center"/>
          </w:tcPr>
          <w:p w14:paraId="5EE3D9E4" w14:textId="77777777" w:rsidR="00E03C2E" w:rsidRDefault="00E03C2E" w:rsidP="003A6F56">
            <w:pPr>
              <w:autoSpaceDE w:val="0"/>
              <w:autoSpaceDN w:val="0"/>
              <w:adjustRightInd w:val="0"/>
              <w:ind w:left="60" w:right="60"/>
              <w:jc w:val="center"/>
              <w:rPr>
                <w:color w:val="000000"/>
                <w:sz w:val="18"/>
                <w:szCs w:val="18"/>
              </w:rPr>
            </w:pPr>
            <w:r w:rsidRPr="00D8300E">
              <w:rPr>
                <w:color w:val="000000"/>
                <w:sz w:val="18"/>
                <w:szCs w:val="18"/>
              </w:rPr>
              <w:t>-</w:t>
            </w:r>
            <w:r>
              <w:rPr>
                <w:color w:val="000000"/>
                <w:sz w:val="18"/>
                <w:szCs w:val="18"/>
              </w:rPr>
              <w:t>.</w:t>
            </w:r>
            <w:r w:rsidRPr="00D8300E">
              <w:rPr>
                <w:color w:val="000000"/>
                <w:sz w:val="18"/>
                <w:szCs w:val="18"/>
              </w:rPr>
              <w:t>9</w:t>
            </w:r>
            <w:r w:rsidR="00653DFB">
              <w:rPr>
                <w:color w:val="000000"/>
                <w:sz w:val="18"/>
                <w:szCs w:val="18"/>
              </w:rPr>
              <w:t>5</w:t>
            </w:r>
          </w:p>
          <w:p w14:paraId="5EE3D9E5" w14:textId="77777777" w:rsidR="00E03C2E" w:rsidRPr="00D8300E" w:rsidRDefault="00E03C2E" w:rsidP="00653DFB">
            <w:pPr>
              <w:autoSpaceDE w:val="0"/>
              <w:autoSpaceDN w:val="0"/>
              <w:adjustRightInd w:val="0"/>
              <w:ind w:left="60" w:right="60"/>
              <w:jc w:val="center"/>
              <w:rPr>
                <w:color w:val="000000"/>
                <w:sz w:val="18"/>
                <w:szCs w:val="18"/>
              </w:rPr>
            </w:pPr>
            <w:r>
              <w:rPr>
                <w:color w:val="000000"/>
                <w:sz w:val="18"/>
                <w:szCs w:val="18"/>
              </w:rPr>
              <w:t>(.64)</w:t>
            </w:r>
          </w:p>
        </w:tc>
        <w:tc>
          <w:tcPr>
            <w:tcW w:w="1172" w:type="dxa"/>
            <w:tcBorders>
              <w:top w:val="nil"/>
              <w:left w:val="nil"/>
              <w:bottom w:val="nil"/>
              <w:right w:val="nil"/>
            </w:tcBorders>
            <w:vAlign w:val="center"/>
          </w:tcPr>
          <w:p w14:paraId="5EE3D9E6" w14:textId="77777777" w:rsidR="00E03C2E" w:rsidRDefault="00E03C2E" w:rsidP="003A6F56">
            <w:pPr>
              <w:autoSpaceDE w:val="0"/>
              <w:autoSpaceDN w:val="0"/>
              <w:adjustRightInd w:val="0"/>
              <w:ind w:left="60" w:right="60"/>
              <w:jc w:val="center"/>
              <w:rPr>
                <w:color w:val="000000"/>
                <w:sz w:val="18"/>
                <w:szCs w:val="18"/>
              </w:rPr>
            </w:pPr>
            <w:r w:rsidRPr="00721ACE">
              <w:rPr>
                <w:color w:val="000000"/>
                <w:sz w:val="18"/>
                <w:szCs w:val="18"/>
              </w:rPr>
              <w:t>-</w:t>
            </w:r>
            <w:r>
              <w:rPr>
                <w:color w:val="000000"/>
                <w:sz w:val="18"/>
                <w:szCs w:val="18"/>
              </w:rPr>
              <w:t>.8</w:t>
            </w:r>
            <w:r w:rsidR="00653DFB">
              <w:rPr>
                <w:color w:val="000000"/>
                <w:sz w:val="18"/>
                <w:szCs w:val="18"/>
              </w:rPr>
              <w:t>7</w:t>
            </w:r>
          </w:p>
          <w:p w14:paraId="5EE3D9E7"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(.6</w:t>
            </w:r>
            <w:r w:rsidR="00653DFB">
              <w:rPr>
                <w:color w:val="000000"/>
                <w:sz w:val="18"/>
                <w:szCs w:val="18"/>
              </w:rPr>
              <w:t>6</w:t>
            </w:r>
            <w:r>
              <w:rPr>
                <w:color w:val="000000"/>
                <w:sz w:val="18"/>
                <w:szCs w:val="18"/>
              </w:rPr>
              <w:t>)</w:t>
            </w:r>
          </w:p>
        </w:tc>
        <w:tc>
          <w:tcPr>
            <w:tcW w:w="1172" w:type="dxa"/>
            <w:tcBorders>
              <w:top w:val="nil"/>
              <w:left w:val="nil"/>
              <w:bottom w:val="nil"/>
              <w:right w:val="nil"/>
            </w:tcBorders>
            <w:vAlign w:val="center"/>
          </w:tcPr>
          <w:p w14:paraId="5EE3D9E8" w14:textId="77777777" w:rsidR="00E03C2E" w:rsidRDefault="00E03C2E" w:rsidP="003A6F56">
            <w:pPr>
              <w:autoSpaceDE w:val="0"/>
              <w:autoSpaceDN w:val="0"/>
              <w:adjustRightInd w:val="0"/>
              <w:ind w:left="60" w:right="60"/>
              <w:jc w:val="center"/>
              <w:rPr>
                <w:color w:val="000000"/>
                <w:sz w:val="18"/>
                <w:szCs w:val="18"/>
              </w:rPr>
            </w:pPr>
            <w:r w:rsidRPr="009D5340">
              <w:rPr>
                <w:color w:val="000000"/>
                <w:sz w:val="18"/>
                <w:szCs w:val="18"/>
              </w:rPr>
              <w:t>-</w:t>
            </w:r>
            <w:r>
              <w:rPr>
                <w:color w:val="000000"/>
                <w:sz w:val="18"/>
                <w:szCs w:val="18"/>
              </w:rPr>
              <w:t>.9</w:t>
            </w:r>
            <w:r w:rsidR="00653DFB">
              <w:rPr>
                <w:color w:val="000000"/>
                <w:sz w:val="18"/>
                <w:szCs w:val="18"/>
              </w:rPr>
              <w:t>2</w:t>
            </w:r>
          </w:p>
          <w:p w14:paraId="5EE3D9E9"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(.66)</w:t>
            </w:r>
          </w:p>
        </w:tc>
        <w:tc>
          <w:tcPr>
            <w:tcW w:w="1172" w:type="dxa"/>
            <w:tcBorders>
              <w:top w:val="nil"/>
              <w:left w:val="nil"/>
              <w:bottom w:val="nil"/>
              <w:right w:val="nil"/>
            </w:tcBorders>
            <w:vAlign w:val="center"/>
          </w:tcPr>
          <w:p w14:paraId="5EE3D9EA" w14:textId="77777777" w:rsidR="00E03C2E" w:rsidRPr="00C038C2" w:rsidRDefault="00E03C2E" w:rsidP="003A6F56">
            <w:pPr>
              <w:autoSpaceDE w:val="0"/>
              <w:autoSpaceDN w:val="0"/>
              <w:adjustRightInd w:val="0"/>
              <w:ind w:left="60" w:right="60"/>
              <w:jc w:val="center"/>
              <w:rPr>
                <w:color w:val="000000"/>
                <w:sz w:val="18"/>
                <w:szCs w:val="18"/>
              </w:rPr>
            </w:pPr>
            <w:r>
              <w:rPr>
                <w:color w:val="000000"/>
                <w:sz w:val="18"/>
                <w:szCs w:val="18"/>
              </w:rPr>
              <w:t>-.98</w:t>
            </w:r>
          </w:p>
          <w:p w14:paraId="5EE3D9EB" w14:textId="77777777" w:rsidR="00E03C2E" w:rsidRPr="00CC6048" w:rsidRDefault="00E03C2E" w:rsidP="00653DFB">
            <w:pPr>
              <w:autoSpaceDE w:val="0"/>
              <w:autoSpaceDN w:val="0"/>
              <w:adjustRightInd w:val="0"/>
              <w:ind w:left="60" w:right="60"/>
              <w:jc w:val="center"/>
              <w:rPr>
                <w:color w:val="000000"/>
                <w:sz w:val="18"/>
                <w:szCs w:val="18"/>
              </w:rPr>
            </w:pPr>
            <w:r>
              <w:rPr>
                <w:color w:val="000000"/>
                <w:sz w:val="18"/>
                <w:szCs w:val="18"/>
              </w:rPr>
              <w:t>(.66</w:t>
            </w:r>
            <w:r w:rsidRPr="00C038C2">
              <w:rPr>
                <w:color w:val="000000"/>
                <w:sz w:val="18"/>
                <w:szCs w:val="18"/>
              </w:rPr>
              <w:t>)</w:t>
            </w:r>
          </w:p>
        </w:tc>
        <w:tc>
          <w:tcPr>
            <w:tcW w:w="1173" w:type="dxa"/>
            <w:tcBorders>
              <w:top w:val="nil"/>
              <w:left w:val="nil"/>
              <w:bottom w:val="nil"/>
              <w:right w:val="nil"/>
            </w:tcBorders>
            <w:vAlign w:val="center"/>
          </w:tcPr>
          <w:p w14:paraId="5EE3D9EC" w14:textId="77777777" w:rsidR="00E03C2E" w:rsidRPr="00C038C2" w:rsidRDefault="00E03C2E" w:rsidP="003A6F56">
            <w:pPr>
              <w:autoSpaceDE w:val="0"/>
              <w:autoSpaceDN w:val="0"/>
              <w:adjustRightInd w:val="0"/>
              <w:ind w:left="60" w:right="60"/>
              <w:jc w:val="center"/>
              <w:rPr>
                <w:color w:val="000000"/>
                <w:sz w:val="18"/>
                <w:szCs w:val="18"/>
              </w:rPr>
            </w:pPr>
            <w:r w:rsidRPr="003019C4">
              <w:rPr>
                <w:color w:val="000000"/>
                <w:sz w:val="18"/>
                <w:szCs w:val="18"/>
              </w:rPr>
              <w:t>-</w:t>
            </w:r>
            <w:r w:rsidRPr="00C038C2">
              <w:rPr>
                <w:color w:val="000000"/>
                <w:sz w:val="18"/>
                <w:szCs w:val="18"/>
              </w:rPr>
              <w:t>.</w:t>
            </w:r>
            <w:r w:rsidR="00653DFB">
              <w:rPr>
                <w:color w:val="000000"/>
                <w:sz w:val="18"/>
                <w:szCs w:val="18"/>
              </w:rPr>
              <w:t>85</w:t>
            </w:r>
          </w:p>
          <w:p w14:paraId="5EE3D9ED" w14:textId="77777777" w:rsidR="00E03C2E" w:rsidRPr="003019C4" w:rsidRDefault="00E03C2E" w:rsidP="00653DFB">
            <w:pPr>
              <w:autoSpaceDE w:val="0"/>
              <w:autoSpaceDN w:val="0"/>
              <w:adjustRightInd w:val="0"/>
              <w:ind w:left="60" w:right="60"/>
              <w:jc w:val="center"/>
              <w:rPr>
                <w:color w:val="000000"/>
                <w:sz w:val="18"/>
                <w:szCs w:val="18"/>
              </w:rPr>
            </w:pPr>
            <w:r>
              <w:rPr>
                <w:color w:val="000000"/>
                <w:sz w:val="18"/>
                <w:szCs w:val="18"/>
              </w:rPr>
              <w:t>(.66</w:t>
            </w:r>
            <w:r w:rsidRPr="00C038C2">
              <w:rPr>
                <w:color w:val="000000"/>
                <w:sz w:val="18"/>
                <w:szCs w:val="18"/>
              </w:rPr>
              <w:t>)</w:t>
            </w:r>
          </w:p>
        </w:tc>
      </w:tr>
      <w:tr w:rsidR="00E03C2E" w:rsidRPr="00C038C2" w14:paraId="5EE3D9FD" w14:textId="77777777" w:rsidTr="00596AF3">
        <w:trPr>
          <w:trHeight w:val="283"/>
          <w:jc w:val="center"/>
        </w:trPr>
        <w:tc>
          <w:tcPr>
            <w:tcW w:w="3018" w:type="dxa"/>
            <w:tcBorders>
              <w:top w:val="nil"/>
              <w:left w:val="nil"/>
              <w:bottom w:val="nil"/>
              <w:right w:val="nil"/>
            </w:tcBorders>
          </w:tcPr>
          <w:p w14:paraId="5EE3D9EF" w14:textId="77777777" w:rsidR="00E03C2E" w:rsidRPr="000443CE" w:rsidRDefault="00E03C2E" w:rsidP="003A6F56">
            <w:pPr>
              <w:ind w:left="130" w:firstLine="142"/>
              <w:rPr>
                <w:sz w:val="18"/>
                <w:szCs w:val="18"/>
                <w:lang w:val="it-IT" w:eastAsia="en-US"/>
              </w:rPr>
            </w:pPr>
            <w:r w:rsidRPr="000443CE">
              <w:rPr>
                <w:sz w:val="18"/>
                <w:szCs w:val="18"/>
                <w:lang w:val="it-IT" w:eastAsia="en-US"/>
              </w:rPr>
              <w:t>NACE 32</w:t>
            </w:r>
          </w:p>
          <w:p w14:paraId="5EE3D9F0"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9F1" w14:textId="77777777" w:rsidR="00E03C2E" w:rsidRDefault="00E03C2E" w:rsidP="003A6F56">
            <w:pPr>
              <w:autoSpaceDE w:val="0"/>
              <w:autoSpaceDN w:val="0"/>
              <w:adjustRightInd w:val="0"/>
              <w:ind w:left="60" w:right="60"/>
              <w:jc w:val="center"/>
              <w:rPr>
                <w:color w:val="000000"/>
                <w:sz w:val="18"/>
                <w:szCs w:val="18"/>
              </w:rPr>
            </w:pPr>
            <w:r w:rsidRPr="004F7118">
              <w:rPr>
                <w:color w:val="000000"/>
                <w:sz w:val="18"/>
                <w:szCs w:val="18"/>
              </w:rPr>
              <w:t>1</w:t>
            </w:r>
            <w:r>
              <w:rPr>
                <w:color w:val="000000"/>
                <w:sz w:val="18"/>
                <w:szCs w:val="18"/>
              </w:rPr>
              <w:t>.</w:t>
            </w:r>
            <w:r w:rsidRPr="004F7118">
              <w:rPr>
                <w:color w:val="000000"/>
                <w:sz w:val="18"/>
                <w:szCs w:val="18"/>
              </w:rPr>
              <w:t>5</w:t>
            </w:r>
            <w:r w:rsidR="00653DFB">
              <w:rPr>
                <w:color w:val="000000"/>
                <w:sz w:val="18"/>
                <w:szCs w:val="18"/>
              </w:rPr>
              <w:t>3</w:t>
            </w:r>
            <w:r>
              <w:rPr>
                <w:color w:val="000000"/>
                <w:sz w:val="18"/>
                <w:szCs w:val="18"/>
              </w:rPr>
              <w:t>**</w:t>
            </w:r>
          </w:p>
          <w:p w14:paraId="5EE3D9F2" w14:textId="77777777" w:rsidR="00E03C2E" w:rsidRPr="004F7118" w:rsidRDefault="00E03C2E" w:rsidP="00653DFB">
            <w:pPr>
              <w:autoSpaceDE w:val="0"/>
              <w:autoSpaceDN w:val="0"/>
              <w:adjustRightInd w:val="0"/>
              <w:ind w:left="60" w:right="60"/>
              <w:jc w:val="center"/>
              <w:rPr>
                <w:color w:val="000000"/>
                <w:sz w:val="18"/>
                <w:szCs w:val="18"/>
              </w:rPr>
            </w:pPr>
            <w:r>
              <w:rPr>
                <w:color w:val="000000"/>
                <w:sz w:val="18"/>
                <w:szCs w:val="18"/>
              </w:rPr>
              <w:t>(.67)</w:t>
            </w:r>
          </w:p>
        </w:tc>
        <w:tc>
          <w:tcPr>
            <w:tcW w:w="1172" w:type="dxa"/>
            <w:tcBorders>
              <w:top w:val="nil"/>
              <w:left w:val="nil"/>
              <w:bottom w:val="nil"/>
              <w:right w:val="nil"/>
            </w:tcBorders>
            <w:vAlign w:val="center"/>
          </w:tcPr>
          <w:p w14:paraId="5EE3D9F3" w14:textId="77777777" w:rsidR="00E03C2E" w:rsidRDefault="00E03C2E" w:rsidP="003A6F56">
            <w:pPr>
              <w:autoSpaceDE w:val="0"/>
              <w:autoSpaceDN w:val="0"/>
              <w:adjustRightInd w:val="0"/>
              <w:ind w:left="60" w:right="60"/>
              <w:jc w:val="center"/>
              <w:rPr>
                <w:color w:val="000000"/>
                <w:sz w:val="18"/>
                <w:szCs w:val="18"/>
              </w:rPr>
            </w:pPr>
            <w:r w:rsidRPr="00D8300E">
              <w:rPr>
                <w:color w:val="000000"/>
                <w:sz w:val="18"/>
                <w:szCs w:val="18"/>
              </w:rPr>
              <w:t>1</w:t>
            </w:r>
            <w:r>
              <w:rPr>
                <w:color w:val="000000"/>
                <w:sz w:val="18"/>
                <w:szCs w:val="18"/>
              </w:rPr>
              <w:t>.</w:t>
            </w:r>
            <w:r w:rsidRPr="00D8300E">
              <w:rPr>
                <w:color w:val="000000"/>
                <w:sz w:val="18"/>
                <w:szCs w:val="18"/>
              </w:rPr>
              <w:t>56</w:t>
            </w:r>
            <w:r>
              <w:rPr>
                <w:color w:val="000000"/>
                <w:sz w:val="18"/>
                <w:szCs w:val="18"/>
              </w:rPr>
              <w:t>**</w:t>
            </w:r>
          </w:p>
          <w:p w14:paraId="5EE3D9F4" w14:textId="77777777" w:rsidR="00E03C2E" w:rsidRPr="00D8300E" w:rsidRDefault="00E03C2E" w:rsidP="00653DFB">
            <w:pPr>
              <w:autoSpaceDE w:val="0"/>
              <w:autoSpaceDN w:val="0"/>
              <w:adjustRightInd w:val="0"/>
              <w:ind w:left="60" w:right="60"/>
              <w:jc w:val="center"/>
              <w:rPr>
                <w:color w:val="000000"/>
                <w:sz w:val="18"/>
                <w:szCs w:val="18"/>
              </w:rPr>
            </w:pPr>
            <w:r>
              <w:rPr>
                <w:color w:val="000000"/>
                <w:sz w:val="18"/>
                <w:szCs w:val="18"/>
              </w:rPr>
              <w:t>(.67)</w:t>
            </w:r>
          </w:p>
        </w:tc>
        <w:tc>
          <w:tcPr>
            <w:tcW w:w="1172" w:type="dxa"/>
            <w:tcBorders>
              <w:top w:val="nil"/>
              <w:left w:val="nil"/>
              <w:bottom w:val="nil"/>
              <w:right w:val="nil"/>
            </w:tcBorders>
            <w:vAlign w:val="center"/>
          </w:tcPr>
          <w:p w14:paraId="5EE3D9F5" w14:textId="77777777" w:rsidR="00E03C2E" w:rsidRDefault="00E03C2E" w:rsidP="003A6F56">
            <w:pPr>
              <w:autoSpaceDE w:val="0"/>
              <w:autoSpaceDN w:val="0"/>
              <w:adjustRightInd w:val="0"/>
              <w:ind w:left="60" w:right="60"/>
              <w:jc w:val="center"/>
              <w:rPr>
                <w:color w:val="000000"/>
                <w:sz w:val="18"/>
                <w:szCs w:val="18"/>
              </w:rPr>
            </w:pPr>
            <w:r w:rsidRPr="00721ACE">
              <w:rPr>
                <w:color w:val="000000"/>
                <w:sz w:val="18"/>
                <w:szCs w:val="18"/>
              </w:rPr>
              <w:t>1</w:t>
            </w:r>
            <w:r>
              <w:rPr>
                <w:color w:val="000000"/>
                <w:sz w:val="18"/>
                <w:szCs w:val="18"/>
              </w:rPr>
              <w:t>.71**</w:t>
            </w:r>
          </w:p>
          <w:p w14:paraId="5EE3D9F6"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(.69)</w:t>
            </w:r>
          </w:p>
        </w:tc>
        <w:tc>
          <w:tcPr>
            <w:tcW w:w="1172" w:type="dxa"/>
            <w:tcBorders>
              <w:top w:val="nil"/>
              <w:left w:val="nil"/>
              <w:bottom w:val="nil"/>
              <w:right w:val="nil"/>
            </w:tcBorders>
            <w:vAlign w:val="center"/>
          </w:tcPr>
          <w:p w14:paraId="5EE3D9F7" w14:textId="77777777" w:rsidR="00E03C2E" w:rsidRDefault="00E03C2E" w:rsidP="003A6F56">
            <w:pPr>
              <w:autoSpaceDE w:val="0"/>
              <w:autoSpaceDN w:val="0"/>
              <w:adjustRightInd w:val="0"/>
              <w:ind w:left="60" w:right="60"/>
              <w:jc w:val="center"/>
              <w:rPr>
                <w:color w:val="000000"/>
                <w:sz w:val="18"/>
                <w:szCs w:val="18"/>
              </w:rPr>
            </w:pPr>
            <w:r w:rsidRPr="009D5340">
              <w:rPr>
                <w:color w:val="000000"/>
                <w:sz w:val="18"/>
                <w:szCs w:val="18"/>
              </w:rPr>
              <w:t>1</w:t>
            </w:r>
            <w:r>
              <w:rPr>
                <w:color w:val="000000"/>
                <w:sz w:val="18"/>
                <w:szCs w:val="18"/>
              </w:rPr>
              <w:t>.68**</w:t>
            </w:r>
          </w:p>
          <w:p w14:paraId="5EE3D9F8"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(.69)</w:t>
            </w:r>
          </w:p>
        </w:tc>
        <w:tc>
          <w:tcPr>
            <w:tcW w:w="1172" w:type="dxa"/>
            <w:tcBorders>
              <w:top w:val="nil"/>
              <w:left w:val="nil"/>
              <w:bottom w:val="nil"/>
              <w:right w:val="nil"/>
            </w:tcBorders>
            <w:vAlign w:val="center"/>
          </w:tcPr>
          <w:p w14:paraId="5EE3D9F9" w14:textId="77777777" w:rsidR="00E03C2E" w:rsidRPr="00C038C2" w:rsidRDefault="00E03C2E" w:rsidP="003A6F56">
            <w:pPr>
              <w:autoSpaceDE w:val="0"/>
              <w:autoSpaceDN w:val="0"/>
              <w:adjustRightInd w:val="0"/>
              <w:ind w:left="60" w:right="60"/>
              <w:jc w:val="center"/>
              <w:rPr>
                <w:color w:val="000000"/>
                <w:sz w:val="18"/>
                <w:szCs w:val="18"/>
              </w:rPr>
            </w:pPr>
            <w:r w:rsidRPr="00CC6048">
              <w:rPr>
                <w:color w:val="000000"/>
                <w:sz w:val="18"/>
                <w:szCs w:val="18"/>
              </w:rPr>
              <w:t>1</w:t>
            </w:r>
            <w:r>
              <w:rPr>
                <w:color w:val="000000"/>
                <w:sz w:val="18"/>
                <w:szCs w:val="18"/>
              </w:rPr>
              <w:t>.70</w:t>
            </w:r>
            <w:r w:rsidRPr="00C038C2">
              <w:rPr>
                <w:color w:val="000000"/>
                <w:sz w:val="18"/>
                <w:szCs w:val="18"/>
              </w:rPr>
              <w:t>**</w:t>
            </w:r>
          </w:p>
          <w:p w14:paraId="5EE3D9FA" w14:textId="77777777" w:rsidR="00E03C2E" w:rsidRPr="00CC6048" w:rsidRDefault="00E03C2E" w:rsidP="00653DFB">
            <w:pPr>
              <w:autoSpaceDE w:val="0"/>
              <w:autoSpaceDN w:val="0"/>
              <w:adjustRightInd w:val="0"/>
              <w:ind w:left="60" w:right="60"/>
              <w:jc w:val="center"/>
              <w:rPr>
                <w:color w:val="000000"/>
                <w:sz w:val="18"/>
                <w:szCs w:val="18"/>
              </w:rPr>
            </w:pPr>
            <w:r>
              <w:rPr>
                <w:color w:val="000000"/>
                <w:sz w:val="18"/>
                <w:szCs w:val="18"/>
              </w:rPr>
              <w:t>(.68</w:t>
            </w:r>
            <w:r w:rsidRPr="00C038C2">
              <w:rPr>
                <w:color w:val="000000"/>
                <w:sz w:val="18"/>
                <w:szCs w:val="18"/>
              </w:rPr>
              <w:t>)</w:t>
            </w:r>
          </w:p>
        </w:tc>
        <w:tc>
          <w:tcPr>
            <w:tcW w:w="1173" w:type="dxa"/>
            <w:tcBorders>
              <w:top w:val="nil"/>
              <w:left w:val="nil"/>
              <w:bottom w:val="nil"/>
              <w:right w:val="nil"/>
            </w:tcBorders>
            <w:vAlign w:val="center"/>
          </w:tcPr>
          <w:p w14:paraId="5EE3D9FB"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1.</w:t>
            </w:r>
            <w:r>
              <w:rPr>
                <w:color w:val="000000"/>
                <w:sz w:val="18"/>
                <w:szCs w:val="18"/>
              </w:rPr>
              <w:t>67</w:t>
            </w:r>
            <w:r w:rsidRPr="00C038C2">
              <w:rPr>
                <w:color w:val="000000"/>
                <w:sz w:val="18"/>
                <w:szCs w:val="18"/>
              </w:rPr>
              <w:t>**</w:t>
            </w:r>
          </w:p>
          <w:p w14:paraId="5EE3D9FC" w14:textId="77777777" w:rsidR="00E03C2E" w:rsidRPr="003019C4" w:rsidRDefault="00E03C2E" w:rsidP="00653DFB">
            <w:pPr>
              <w:autoSpaceDE w:val="0"/>
              <w:autoSpaceDN w:val="0"/>
              <w:adjustRightInd w:val="0"/>
              <w:ind w:left="60" w:right="60"/>
              <w:jc w:val="center"/>
              <w:rPr>
                <w:color w:val="000000"/>
                <w:sz w:val="18"/>
                <w:szCs w:val="18"/>
              </w:rPr>
            </w:pPr>
            <w:r w:rsidRPr="00C038C2">
              <w:rPr>
                <w:color w:val="000000"/>
                <w:sz w:val="18"/>
                <w:szCs w:val="18"/>
              </w:rPr>
              <w:t>(.69)</w:t>
            </w:r>
          </w:p>
        </w:tc>
      </w:tr>
      <w:tr w:rsidR="00E03C2E" w:rsidRPr="00C038C2" w14:paraId="5EE3DA0C" w14:textId="77777777" w:rsidTr="00596AF3">
        <w:trPr>
          <w:trHeight w:val="265"/>
          <w:jc w:val="center"/>
        </w:trPr>
        <w:tc>
          <w:tcPr>
            <w:tcW w:w="3018" w:type="dxa"/>
            <w:tcBorders>
              <w:top w:val="nil"/>
              <w:left w:val="nil"/>
              <w:bottom w:val="nil"/>
              <w:right w:val="nil"/>
            </w:tcBorders>
          </w:tcPr>
          <w:p w14:paraId="5EE3D9FE" w14:textId="77777777" w:rsidR="00E03C2E" w:rsidRPr="000443CE" w:rsidRDefault="00E03C2E" w:rsidP="003A6F56">
            <w:pPr>
              <w:ind w:left="130" w:firstLine="142"/>
              <w:rPr>
                <w:sz w:val="18"/>
                <w:szCs w:val="18"/>
                <w:lang w:val="it-IT" w:eastAsia="en-US"/>
              </w:rPr>
            </w:pPr>
            <w:r w:rsidRPr="000443CE">
              <w:rPr>
                <w:sz w:val="18"/>
                <w:szCs w:val="18"/>
                <w:lang w:val="it-IT" w:eastAsia="en-US"/>
              </w:rPr>
              <w:t>NACE 31</w:t>
            </w:r>
          </w:p>
          <w:p w14:paraId="5EE3D9FF"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A00"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4F7118">
              <w:rPr>
                <w:color w:val="000000"/>
                <w:sz w:val="18"/>
                <w:szCs w:val="18"/>
              </w:rPr>
              <w:t>57</w:t>
            </w:r>
          </w:p>
          <w:p w14:paraId="5EE3DA01" w14:textId="77777777" w:rsidR="00E03C2E" w:rsidRPr="004F7118" w:rsidRDefault="00E03C2E" w:rsidP="00653DFB">
            <w:pPr>
              <w:autoSpaceDE w:val="0"/>
              <w:autoSpaceDN w:val="0"/>
              <w:adjustRightInd w:val="0"/>
              <w:ind w:left="60" w:right="60"/>
              <w:jc w:val="center"/>
              <w:rPr>
                <w:color w:val="000000"/>
                <w:sz w:val="18"/>
                <w:szCs w:val="18"/>
              </w:rPr>
            </w:pPr>
            <w:r>
              <w:rPr>
                <w:color w:val="000000"/>
                <w:sz w:val="18"/>
                <w:szCs w:val="18"/>
              </w:rPr>
              <w:t>(.69)</w:t>
            </w:r>
          </w:p>
        </w:tc>
        <w:tc>
          <w:tcPr>
            <w:tcW w:w="1172" w:type="dxa"/>
            <w:tcBorders>
              <w:top w:val="nil"/>
              <w:left w:val="nil"/>
              <w:bottom w:val="nil"/>
              <w:right w:val="nil"/>
            </w:tcBorders>
            <w:vAlign w:val="center"/>
          </w:tcPr>
          <w:p w14:paraId="5EE3DA02"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D8300E">
              <w:rPr>
                <w:color w:val="000000"/>
                <w:sz w:val="18"/>
                <w:szCs w:val="18"/>
              </w:rPr>
              <w:t>6</w:t>
            </w:r>
            <w:r w:rsidR="00653DFB">
              <w:rPr>
                <w:color w:val="000000"/>
                <w:sz w:val="18"/>
                <w:szCs w:val="18"/>
              </w:rPr>
              <w:t>3</w:t>
            </w:r>
          </w:p>
          <w:p w14:paraId="5EE3DA03" w14:textId="77777777" w:rsidR="00E03C2E" w:rsidRPr="00D8300E" w:rsidRDefault="00E03C2E" w:rsidP="00653DFB">
            <w:pPr>
              <w:autoSpaceDE w:val="0"/>
              <w:autoSpaceDN w:val="0"/>
              <w:adjustRightInd w:val="0"/>
              <w:ind w:left="60" w:right="60"/>
              <w:jc w:val="center"/>
              <w:rPr>
                <w:color w:val="000000"/>
                <w:sz w:val="18"/>
                <w:szCs w:val="18"/>
              </w:rPr>
            </w:pPr>
            <w:r>
              <w:rPr>
                <w:color w:val="000000"/>
                <w:sz w:val="18"/>
                <w:szCs w:val="18"/>
              </w:rPr>
              <w:t>(.70)</w:t>
            </w:r>
          </w:p>
        </w:tc>
        <w:tc>
          <w:tcPr>
            <w:tcW w:w="1172" w:type="dxa"/>
            <w:tcBorders>
              <w:top w:val="nil"/>
              <w:left w:val="nil"/>
              <w:bottom w:val="nil"/>
              <w:right w:val="nil"/>
            </w:tcBorders>
            <w:vAlign w:val="center"/>
          </w:tcPr>
          <w:p w14:paraId="5EE3DA04"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.82</w:t>
            </w:r>
          </w:p>
          <w:p w14:paraId="5EE3DA05"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(.71)</w:t>
            </w:r>
          </w:p>
        </w:tc>
        <w:tc>
          <w:tcPr>
            <w:tcW w:w="1172" w:type="dxa"/>
            <w:tcBorders>
              <w:top w:val="nil"/>
              <w:left w:val="nil"/>
              <w:bottom w:val="nil"/>
              <w:right w:val="nil"/>
            </w:tcBorders>
            <w:vAlign w:val="center"/>
          </w:tcPr>
          <w:p w14:paraId="5EE3DA06"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.82</w:t>
            </w:r>
          </w:p>
          <w:p w14:paraId="5EE3DA07"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(.72)</w:t>
            </w:r>
          </w:p>
        </w:tc>
        <w:tc>
          <w:tcPr>
            <w:tcW w:w="1172" w:type="dxa"/>
            <w:tcBorders>
              <w:top w:val="nil"/>
              <w:left w:val="nil"/>
              <w:bottom w:val="nil"/>
              <w:right w:val="nil"/>
            </w:tcBorders>
            <w:vAlign w:val="center"/>
          </w:tcPr>
          <w:p w14:paraId="5EE3DA08" w14:textId="77777777" w:rsidR="00E03C2E" w:rsidRPr="00C038C2" w:rsidRDefault="00E03C2E" w:rsidP="003A6F56">
            <w:pPr>
              <w:autoSpaceDE w:val="0"/>
              <w:autoSpaceDN w:val="0"/>
              <w:adjustRightInd w:val="0"/>
              <w:ind w:left="60" w:right="60"/>
              <w:jc w:val="center"/>
              <w:rPr>
                <w:color w:val="000000"/>
                <w:sz w:val="18"/>
                <w:szCs w:val="18"/>
              </w:rPr>
            </w:pPr>
            <w:r>
              <w:rPr>
                <w:color w:val="000000"/>
                <w:sz w:val="18"/>
                <w:szCs w:val="18"/>
              </w:rPr>
              <w:t>.73</w:t>
            </w:r>
          </w:p>
          <w:p w14:paraId="5EE3DA09" w14:textId="77777777" w:rsidR="00E03C2E" w:rsidRPr="00CC6048" w:rsidRDefault="00E03C2E" w:rsidP="00653DFB">
            <w:pPr>
              <w:autoSpaceDE w:val="0"/>
              <w:autoSpaceDN w:val="0"/>
              <w:adjustRightInd w:val="0"/>
              <w:ind w:left="60" w:right="60"/>
              <w:jc w:val="center"/>
              <w:rPr>
                <w:color w:val="000000"/>
                <w:sz w:val="18"/>
                <w:szCs w:val="18"/>
              </w:rPr>
            </w:pPr>
            <w:r>
              <w:rPr>
                <w:color w:val="000000"/>
                <w:sz w:val="18"/>
                <w:szCs w:val="18"/>
              </w:rPr>
              <w:t>(.72</w:t>
            </w:r>
            <w:r w:rsidRPr="00C038C2">
              <w:rPr>
                <w:color w:val="000000"/>
                <w:sz w:val="18"/>
                <w:szCs w:val="18"/>
              </w:rPr>
              <w:t>)</w:t>
            </w:r>
          </w:p>
        </w:tc>
        <w:tc>
          <w:tcPr>
            <w:tcW w:w="1173" w:type="dxa"/>
            <w:tcBorders>
              <w:top w:val="nil"/>
              <w:left w:val="nil"/>
              <w:bottom w:val="nil"/>
              <w:right w:val="nil"/>
            </w:tcBorders>
            <w:vAlign w:val="center"/>
          </w:tcPr>
          <w:p w14:paraId="5EE3DA0A"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9</w:t>
            </w:r>
            <w:r w:rsidR="00653DFB">
              <w:rPr>
                <w:color w:val="000000"/>
                <w:sz w:val="18"/>
                <w:szCs w:val="18"/>
              </w:rPr>
              <w:t>2</w:t>
            </w:r>
          </w:p>
          <w:p w14:paraId="5EE3DA0B" w14:textId="77777777" w:rsidR="00E03C2E" w:rsidRPr="003019C4" w:rsidRDefault="00E03C2E" w:rsidP="00653DFB">
            <w:pPr>
              <w:autoSpaceDE w:val="0"/>
              <w:autoSpaceDN w:val="0"/>
              <w:adjustRightInd w:val="0"/>
              <w:ind w:left="60" w:right="60"/>
              <w:jc w:val="center"/>
              <w:rPr>
                <w:color w:val="000000"/>
                <w:sz w:val="18"/>
                <w:szCs w:val="18"/>
              </w:rPr>
            </w:pPr>
            <w:r>
              <w:rPr>
                <w:color w:val="000000"/>
                <w:sz w:val="18"/>
                <w:szCs w:val="18"/>
              </w:rPr>
              <w:t>(.73</w:t>
            </w:r>
            <w:r w:rsidRPr="00C038C2">
              <w:rPr>
                <w:color w:val="000000"/>
                <w:sz w:val="18"/>
                <w:szCs w:val="18"/>
              </w:rPr>
              <w:t>)</w:t>
            </w:r>
          </w:p>
        </w:tc>
      </w:tr>
      <w:tr w:rsidR="00E03C2E" w:rsidRPr="00C038C2" w14:paraId="5EE3DA1B" w14:textId="77777777" w:rsidTr="00596AF3">
        <w:trPr>
          <w:trHeight w:val="265"/>
          <w:jc w:val="center"/>
        </w:trPr>
        <w:tc>
          <w:tcPr>
            <w:tcW w:w="3018" w:type="dxa"/>
            <w:tcBorders>
              <w:top w:val="nil"/>
              <w:left w:val="nil"/>
              <w:bottom w:val="nil"/>
              <w:right w:val="nil"/>
            </w:tcBorders>
          </w:tcPr>
          <w:p w14:paraId="5EE3DA0D" w14:textId="77777777" w:rsidR="00E03C2E" w:rsidRPr="000443CE" w:rsidRDefault="00E03C2E" w:rsidP="003A6F56">
            <w:pPr>
              <w:ind w:left="130" w:firstLine="142"/>
              <w:rPr>
                <w:sz w:val="18"/>
                <w:szCs w:val="18"/>
                <w:lang w:val="it-IT" w:eastAsia="en-US"/>
              </w:rPr>
            </w:pPr>
            <w:r w:rsidRPr="000443CE">
              <w:rPr>
                <w:sz w:val="18"/>
                <w:szCs w:val="18"/>
                <w:lang w:val="it-IT" w:eastAsia="en-US"/>
              </w:rPr>
              <w:t>NACE 22</w:t>
            </w:r>
          </w:p>
          <w:p w14:paraId="5EE3DA0E" w14:textId="77777777" w:rsidR="00E03C2E" w:rsidRPr="000443CE" w:rsidRDefault="00E03C2E" w:rsidP="003A6F56">
            <w:pPr>
              <w:ind w:left="130" w:firstLine="142"/>
              <w:rPr>
                <w:sz w:val="18"/>
                <w:szCs w:val="18"/>
                <w:lang w:val="it-IT" w:eastAsia="en-US"/>
              </w:rPr>
            </w:pPr>
          </w:p>
        </w:tc>
        <w:tc>
          <w:tcPr>
            <w:tcW w:w="1172" w:type="dxa"/>
            <w:tcBorders>
              <w:top w:val="nil"/>
              <w:left w:val="nil"/>
              <w:bottom w:val="nil"/>
              <w:right w:val="nil"/>
            </w:tcBorders>
            <w:vAlign w:val="center"/>
          </w:tcPr>
          <w:p w14:paraId="5EE3DA0F" w14:textId="77777777" w:rsidR="00E03C2E" w:rsidRDefault="00E03C2E" w:rsidP="003A6F56">
            <w:pPr>
              <w:autoSpaceDE w:val="0"/>
              <w:autoSpaceDN w:val="0"/>
              <w:adjustRightInd w:val="0"/>
              <w:ind w:left="60" w:right="60"/>
              <w:jc w:val="center"/>
              <w:rPr>
                <w:color w:val="000000"/>
                <w:sz w:val="18"/>
                <w:szCs w:val="18"/>
              </w:rPr>
            </w:pPr>
            <w:r w:rsidRPr="004F7118">
              <w:rPr>
                <w:color w:val="000000"/>
                <w:sz w:val="18"/>
                <w:szCs w:val="18"/>
              </w:rPr>
              <w:t>-1</w:t>
            </w:r>
            <w:r>
              <w:rPr>
                <w:color w:val="000000"/>
                <w:sz w:val="18"/>
                <w:szCs w:val="18"/>
              </w:rPr>
              <w:t>.</w:t>
            </w:r>
            <w:r w:rsidRPr="004F7118">
              <w:rPr>
                <w:color w:val="000000"/>
                <w:sz w:val="18"/>
                <w:szCs w:val="18"/>
              </w:rPr>
              <w:t>50</w:t>
            </w:r>
            <w:r>
              <w:rPr>
                <w:color w:val="000000"/>
                <w:sz w:val="18"/>
                <w:szCs w:val="18"/>
              </w:rPr>
              <w:t>*</w:t>
            </w:r>
          </w:p>
          <w:p w14:paraId="5EE3DA10" w14:textId="77777777" w:rsidR="00E03C2E" w:rsidRPr="004F7118" w:rsidRDefault="00E03C2E" w:rsidP="00AB33F3">
            <w:pPr>
              <w:autoSpaceDE w:val="0"/>
              <w:autoSpaceDN w:val="0"/>
              <w:adjustRightInd w:val="0"/>
              <w:ind w:left="60" w:right="60"/>
              <w:jc w:val="center"/>
              <w:rPr>
                <w:color w:val="000000"/>
                <w:sz w:val="18"/>
                <w:szCs w:val="18"/>
              </w:rPr>
            </w:pPr>
            <w:r>
              <w:rPr>
                <w:color w:val="000000"/>
                <w:sz w:val="18"/>
                <w:szCs w:val="18"/>
              </w:rPr>
              <w:t>(.8</w:t>
            </w:r>
            <w:r w:rsidR="00AB33F3">
              <w:rPr>
                <w:color w:val="000000"/>
                <w:sz w:val="18"/>
                <w:szCs w:val="18"/>
              </w:rPr>
              <w:t>4</w:t>
            </w:r>
            <w:r>
              <w:rPr>
                <w:color w:val="000000"/>
                <w:sz w:val="18"/>
                <w:szCs w:val="18"/>
              </w:rPr>
              <w:t>)</w:t>
            </w:r>
          </w:p>
        </w:tc>
        <w:tc>
          <w:tcPr>
            <w:tcW w:w="1172" w:type="dxa"/>
            <w:tcBorders>
              <w:top w:val="nil"/>
              <w:left w:val="nil"/>
              <w:bottom w:val="nil"/>
              <w:right w:val="nil"/>
            </w:tcBorders>
            <w:vAlign w:val="center"/>
          </w:tcPr>
          <w:p w14:paraId="5EE3DA11" w14:textId="77777777" w:rsidR="00E03C2E" w:rsidRDefault="00E03C2E" w:rsidP="003A6F56">
            <w:pPr>
              <w:autoSpaceDE w:val="0"/>
              <w:autoSpaceDN w:val="0"/>
              <w:adjustRightInd w:val="0"/>
              <w:ind w:left="60" w:right="60"/>
              <w:jc w:val="center"/>
              <w:rPr>
                <w:color w:val="000000"/>
                <w:sz w:val="18"/>
                <w:szCs w:val="18"/>
              </w:rPr>
            </w:pPr>
            <w:r w:rsidRPr="00D8300E">
              <w:rPr>
                <w:color w:val="000000"/>
                <w:sz w:val="18"/>
                <w:szCs w:val="18"/>
              </w:rPr>
              <w:t>-1</w:t>
            </w:r>
            <w:r>
              <w:rPr>
                <w:color w:val="000000"/>
                <w:sz w:val="18"/>
                <w:szCs w:val="18"/>
              </w:rPr>
              <w:t>.</w:t>
            </w:r>
            <w:r w:rsidRPr="00D8300E">
              <w:rPr>
                <w:color w:val="000000"/>
                <w:sz w:val="18"/>
                <w:szCs w:val="18"/>
              </w:rPr>
              <w:t>53</w:t>
            </w:r>
            <w:r>
              <w:rPr>
                <w:color w:val="000000"/>
                <w:sz w:val="18"/>
                <w:szCs w:val="18"/>
              </w:rPr>
              <w:t>*</w:t>
            </w:r>
          </w:p>
          <w:p w14:paraId="5EE3DA12" w14:textId="77777777" w:rsidR="00E03C2E" w:rsidRPr="00D8300E" w:rsidRDefault="00E03C2E" w:rsidP="00AB33F3">
            <w:pPr>
              <w:autoSpaceDE w:val="0"/>
              <w:autoSpaceDN w:val="0"/>
              <w:adjustRightInd w:val="0"/>
              <w:ind w:left="60" w:right="60"/>
              <w:jc w:val="center"/>
              <w:rPr>
                <w:color w:val="000000"/>
                <w:sz w:val="18"/>
                <w:szCs w:val="18"/>
              </w:rPr>
            </w:pPr>
            <w:r>
              <w:rPr>
                <w:color w:val="000000"/>
                <w:sz w:val="18"/>
                <w:szCs w:val="18"/>
              </w:rPr>
              <w:t>(.8</w:t>
            </w:r>
            <w:r w:rsidR="00AB33F3">
              <w:rPr>
                <w:color w:val="000000"/>
                <w:sz w:val="18"/>
                <w:szCs w:val="18"/>
              </w:rPr>
              <w:t>4</w:t>
            </w:r>
            <w:r>
              <w:rPr>
                <w:color w:val="000000"/>
                <w:sz w:val="18"/>
                <w:szCs w:val="18"/>
              </w:rPr>
              <w:t>)</w:t>
            </w:r>
          </w:p>
        </w:tc>
        <w:tc>
          <w:tcPr>
            <w:tcW w:w="1172" w:type="dxa"/>
            <w:tcBorders>
              <w:top w:val="nil"/>
              <w:left w:val="nil"/>
              <w:bottom w:val="nil"/>
              <w:right w:val="nil"/>
            </w:tcBorders>
            <w:vAlign w:val="center"/>
          </w:tcPr>
          <w:p w14:paraId="5EE3DA13" w14:textId="77777777" w:rsidR="00E03C2E" w:rsidRDefault="00E03C2E" w:rsidP="003A6F56">
            <w:pPr>
              <w:autoSpaceDE w:val="0"/>
              <w:autoSpaceDN w:val="0"/>
              <w:adjustRightInd w:val="0"/>
              <w:ind w:left="60" w:right="60"/>
              <w:jc w:val="center"/>
              <w:rPr>
                <w:color w:val="000000"/>
                <w:sz w:val="18"/>
                <w:szCs w:val="18"/>
              </w:rPr>
            </w:pPr>
            <w:r w:rsidRPr="00721ACE">
              <w:rPr>
                <w:color w:val="000000"/>
                <w:sz w:val="18"/>
                <w:szCs w:val="18"/>
              </w:rPr>
              <w:t>-1</w:t>
            </w:r>
            <w:r>
              <w:rPr>
                <w:color w:val="000000"/>
                <w:sz w:val="18"/>
                <w:szCs w:val="18"/>
              </w:rPr>
              <w:t>.54*</w:t>
            </w:r>
          </w:p>
          <w:p w14:paraId="5EE3DA14"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(.87)</w:t>
            </w:r>
          </w:p>
        </w:tc>
        <w:tc>
          <w:tcPr>
            <w:tcW w:w="1172" w:type="dxa"/>
            <w:tcBorders>
              <w:top w:val="nil"/>
              <w:left w:val="nil"/>
              <w:bottom w:val="nil"/>
              <w:right w:val="nil"/>
            </w:tcBorders>
            <w:vAlign w:val="center"/>
          </w:tcPr>
          <w:p w14:paraId="5EE3DA15" w14:textId="77777777" w:rsidR="00E03C2E" w:rsidRDefault="00E03C2E" w:rsidP="003A6F56">
            <w:pPr>
              <w:autoSpaceDE w:val="0"/>
              <w:autoSpaceDN w:val="0"/>
              <w:adjustRightInd w:val="0"/>
              <w:ind w:left="60" w:right="60"/>
              <w:jc w:val="center"/>
              <w:rPr>
                <w:color w:val="000000"/>
                <w:sz w:val="18"/>
                <w:szCs w:val="18"/>
              </w:rPr>
            </w:pPr>
            <w:r w:rsidRPr="009D5340">
              <w:rPr>
                <w:color w:val="000000"/>
                <w:sz w:val="18"/>
                <w:szCs w:val="18"/>
              </w:rPr>
              <w:t>-1</w:t>
            </w:r>
            <w:r>
              <w:rPr>
                <w:color w:val="000000"/>
                <w:sz w:val="18"/>
                <w:szCs w:val="18"/>
              </w:rPr>
              <w:t>.70*</w:t>
            </w:r>
          </w:p>
          <w:p w14:paraId="5EE3DA16"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(.88)</w:t>
            </w:r>
          </w:p>
        </w:tc>
        <w:tc>
          <w:tcPr>
            <w:tcW w:w="1172" w:type="dxa"/>
            <w:tcBorders>
              <w:top w:val="nil"/>
              <w:left w:val="nil"/>
              <w:bottom w:val="nil"/>
              <w:right w:val="nil"/>
            </w:tcBorders>
            <w:vAlign w:val="center"/>
          </w:tcPr>
          <w:p w14:paraId="5EE3DA17" w14:textId="77777777" w:rsidR="00E03C2E" w:rsidRPr="00C038C2" w:rsidRDefault="00E03C2E" w:rsidP="003A6F56">
            <w:pPr>
              <w:autoSpaceDE w:val="0"/>
              <w:autoSpaceDN w:val="0"/>
              <w:adjustRightInd w:val="0"/>
              <w:ind w:left="60" w:right="60"/>
              <w:jc w:val="center"/>
              <w:rPr>
                <w:color w:val="000000"/>
                <w:sz w:val="18"/>
                <w:szCs w:val="18"/>
              </w:rPr>
            </w:pPr>
            <w:r w:rsidRPr="00CC6048">
              <w:rPr>
                <w:color w:val="000000"/>
                <w:sz w:val="18"/>
                <w:szCs w:val="18"/>
              </w:rPr>
              <w:t>-1</w:t>
            </w:r>
            <w:r>
              <w:rPr>
                <w:color w:val="000000"/>
                <w:sz w:val="18"/>
                <w:szCs w:val="18"/>
              </w:rPr>
              <w:t>.69</w:t>
            </w:r>
            <w:r w:rsidRPr="00C038C2">
              <w:rPr>
                <w:color w:val="000000"/>
                <w:sz w:val="18"/>
                <w:szCs w:val="18"/>
              </w:rPr>
              <w:t>*</w:t>
            </w:r>
          </w:p>
          <w:p w14:paraId="5EE3DA18" w14:textId="77777777" w:rsidR="00E03C2E" w:rsidRPr="00CC6048" w:rsidRDefault="00E03C2E" w:rsidP="00653DFB">
            <w:pPr>
              <w:autoSpaceDE w:val="0"/>
              <w:autoSpaceDN w:val="0"/>
              <w:adjustRightInd w:val="0"/>
              <w:ind w:left="60" w:right="60"/>
              <w:jc w:val="center"/>
              <w:rPr>
                <w:color w:val="000000"/>
                <w:sz w:val="18"/>
                <w:szCs w:val="18"/>
              </w:rPr>
            </w:pPr>
            <w:r>
              <w:rPr>
                <w:color w:val="000000"/>
                <w:sz w:val="18"/>
                <w:szCs w:val="18"/>
              </w:rPr>
              <w:t>(.87</w:t>
            </w:r>
            <w:r w:rsidRPr="00C038C2">
              <w:rPr>
                <w:color w:val="000000"/>
                <w:sz w:val="18"/>
                <w:szCs w:val="18"/>
              </w:rPr>
              <w:t>)</w:t>
            </w:r>
          </w:p>
        </w:tc>
        <w:tc>
          <w:tcPr>
            <w:tcW w:w="1173" w:type="dxa"/>
            <w:tcBorders>
              <w:top w:val="nil"/>
              <w:left w:val="nil"/>
              <w:bottom w:val="nil"/>
              <w:right w:val="nil"/>
            </w:tcBorders>
            <w:vAlign w:val="center"/>
          </w:tcPr>
          <w:p w14:paraId="5EE3DA19" w14:textId="77777777" w:rsidR="00E03C2E" w:rsidRPr="00C038C2" w:rsidRDefault="00E03C2E" w:rsidP="003A6F56">
            <w:pPr>
              <w:autoSpaceDE w:val="0"/>
              <w:autoSpaceDN w:val="0"/>
              <w:adjustRightInd w:val="0"/>
              <w:ind w:left="60" w:right="60"/>
              <w:jc w:val="center"/>
              <w:rPr>
                <w:color w:val="000000"/>
                <w:sz w:val="18"/>
                <w:szCs w:val="18"/>
              </w:rPr>
            </w:pPr>
            <w:r w:rsidRPr="003019C4">
              <w:rPr>
                <w:color w:val="000000"/>
                <w:sz w:val="18"/>
                <w:szCs w:val="18"/>
              </w:rPr>
              <w:t>-1</w:t>
            </w:r>
            <w:r w:rsidRPr="00C038C2">
              <w:rPr>
                <w:color w:val="000000"/>
                <w:sz w:val="18"/>
                <w:szCs w:val="18"/>
              </w:rPr>
              <w:t>.</w:t>
            </w:r>
            <w:r>
              <w:rPr>
                <w:color w:val="000000"/>
                <w:sz w:val="18"/>
                <w:szCs w:val="18"/>
              </w:rPr>
              <w:t>71*</w:t>
            </w:r>
          </w:p>
          <w:p w14:paraId="5EE3DA1A" w14:textId="77777777" w:rsidR="00E03C2E" w:rsidRPr="003019C4" w:rsidRDefault="00E03C2E" w:rsidP="00653DFB">
            <w:pPr>
              <w:autoSpaceDE w:val="0"/>
              <w:autoSpaceDN w:val="0"/>
              <w:adjustRightInd w:val="0"/>
              <w:ind w:left="60" w:right="60"/>
              <w:jc w:val="center"/>
              <w:rPr>
                <w:color w:val="000000"/>
                <w:sz w:val="18"/>
                <w:szCs w:val="18"/>
              </w:rPr>
            </w:pPr>
            <w:r>
              <w:rPr>
                <w:color w:val="000000"/>
                <w:sz w:val="18"/>
                <w:szCs w:val="18"/>
              </w:rPr>
              <w:t>(.90</w:t>
            </w:r>
            <w:r w:rsidRPr="00C038C2">
              <w:rPr>
                <w:color w:val="000000"/>
                <w:sz w:val="18"/>
                <w:szCs w:val="18"/>
              </w:rPr>
              <w:t>)</w:t>
            </w:r>
          </w:p>
        </w:tc>
      </w:tr>
      <w:tr w:rsidR="00E03C2E" w:rsidRPr="00C038C2" w14:paraId="5EE3DA2A" w14:textId="77777777" w:rsidTr="00596AF3">
        <w:trPr>
          <w:trHeight w:val="265"/>
          <w:jc w:val="center"/>
        </w:trPr>
        <w:tc>
          <w:tcPr>
            <w:tcW w:w="3018" w:type="dxa"/>
            <w:tcBorders>
              <w:top w:val="nil"/>
              <w:left w:val="nil"/>
              <w:bottom w:val="nil"/>
              <w:right w:val="nil"/>
            </w:tcBorders>
          </w:tcPr>
          <w:p w14:paraId="5EE3DA1C" w14:textId="77777777" w:rsidR="00E03C2E" w:rsidRPr="000443CE" w:rsidRDefault="00E03C2E" w:rsidP="003A6F56">
            <w:pPr>
              <w:ind w:firstLine="272"/>
              <w:rPr>
                <w:sz w:val="18"/>
                <w:szCs w:val="18"/>
                <w:lang w:val="it-IT" w:eastAsia="en-US"/>
              </w:rPr>
            </w:pPr>
            <w:r w:rsidRPr="000443CE">
              <w:rPr>
                <w:sz w:val="18"/>
                <w:szCs w:val="18"/>
                <w:lang w:val="it-IT" w:eastAsia="en-US"/>
              </w:rPr>
              <w:t>Asset specificity (R&amp;D)</w:t>
            </w:r>
          </w:p>
          <w:p w14:paraId="5EE3DA1D" w14:textId="77777777" w:rsidR="00E03C2E" w:rsidRPr="000443CE" w:rsidRDefault="00E03C2E" w:rsidP="003A6F56">
            <w:pPr>
              <w:ind w:firstLine="272"/>
              <w:rPr>
                <w:sz w:val="18"/>
                <w:szCs w:val="18"/>
                <w:lang w:val="it-IT" w:eastAsia="en-US"/>
              </w:rPr>
            </w:pPr>
          </w:p>
        </w:tc>
        <w:tc>
          <w:tcPr>
            <w:tcW w:w="1172" w:type="dxa"/>
            <w:tcBorders>
              <w:top w:val="nil"/>
              <w:left w:val="nil"/>
              <w:bottom w:val="nil"/>
              <w:right w:val="nil"/>
            </w:tcBorders>
            <w:vAlign w:val="center"/>
          </w:tcPr>
          <w:p w14:paraId="5EE3DA1E"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4F7118">
              <w:rPr>
                <w:color w:val="000000"/>
                <w:sz w:val="18"/>
                <w:szCs w:val="18"/>
              </w:rPr>
              <w:t>02</w:t>
            </w:r>
            <w:r>
              <w:rPr>
                <w:color w:val="000000"/>
                <w:sz w:val="18"/>
                <w:szCs w:val="18"/>
              </w:rPr>
              <w:t>*</w:t>
            </w:r>
          </w:p>
          <w:p w14:paraId="5EE3DA1F" w14:textId="77777777" w:rsidR="00E03C2E" w:rsidRPr="004F7118" w:rsidRDefault="00E03C2E" w:rsidP="004A65BC">
            <w:pPr>
              <w:autoSpaceDE w:val="0"/>
              <w:autoSpaceDN w:val="0"/>
              <w:adjustRightInd w:val="0"/>
              <w:ind w:left="60" w:right="60"/>
              <w:jc w:val="center"/>
              <w:rPr>
                <w:color w:val="000000"/>
                <w:sz w:val="18"/>
                <w:szCs w:val="18"/>
              </w:rPr>
            </w:pPr>
            <w:r>
              <w:rPr>
                <w:color w:val="000000"/>
                <w:sz w:val="18"/>
                <w:szCs w:val="18"/>
              </w:rPr>
              <w:t>(.01)</w:t>
            </w:r>
          </w:p>
        </w:tc>
        <w:tc>
          <w:tcPr>
            <w:tcW w:w="1172" w:type="dxa"/>
            <w:tcBorders>
              <w:top w:val="nil"/>
              <w:left w:val="nil"/>
              <w:bottom w:val="nil"/>
              <w:right w:val="nil"/>
            </w:tcBorders>
            <w:vAlign w:val="center"/>
          </w:tcPr>
          <w:p w14:paraId="5EE3DA20"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D8300E">
              <w:rPr>
                <w:color w:val="000000"/>
                <w:sz w:val="18"/>
                <w:szCs w:val="18"/>
              </w:rPr>
              <w:t>0</w:t>
            </w:r>
            <w:r w:rsidR="004A65BC">
              <w:rPr>
                <w:color w:val="000000"/>
                <w:sz w:val="18"/>
                <w:szCs w:val="18"/>
              </w:rPr>
              <w:t>2</w:t>
            </w:r>
          </w:p>
          <w:p w14:paraId="5EE3DA21" w14:textId="77777777" w:rsidR="00E03C2E" w:rsidRPr="00D8300E" w:rsidRDefault="00E03C2E" w:rsidP="004A65BC">
            <w:pPr>
              <w:autoSpaceDE w:val="0"/>
              <w:autoSpaceDN w:val="0"/>
              <w:adjustRightInd w:val="0"/>
              <w:ind w:left="60" w:right="60"/>
              <w:jc w:val="center"/>
              <w:rPr>
                <w:color w:val="000000"/>
                <w:sz w:val="18"/>
                <w:szCs w:val="18"/>
              </w:rPr>
            </w:pPr>
            <w:r>
              <w:rPr>
                <w:color w:val="000000"/>
                <w:sz w:val="18"/>
                <w:szCs w:val="18"/>
              </w:rPr>
              <w:t>(.01)</w:t>
            </w:r>
          </w:p>
        </w:tc>
        <w:tc>
          <w:tcPr>
            <w:tcW w:w="1172" w:type="dxa"/>
            <w:tcBorders>
              <w:top w:val="nil"/>
              <w:left w:val="nil"/>
              <w:bottom w:val="nil"/>
              <w:right w:val="nil"/>
            </w:tcBorders>
            <w:vAlign w:val="center"/>
          </w:tcPr>
          <w:p w14:paraId="5EE3DA22"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.02</w:t>
            </w:r>
          </w:p>
          <w:p w14:paraId="5EE3DA23" w14:textId="77777777" w:rsidR="00E03C2E" w:rsidRPr="00721ACE" w:rsidRDefault="00E03C2E" w:rsidP="00653DFB">
            <w:pPr>
              <w:autoSpaceDE w:val="0"/>
              <w:autoSpaceDN w:val="0"/>
              <w:adjustRightInd w:val="0"/>
              <w:ind w:left="60" w:right="60"/>
              <w:jc w:val="center"/>
              <w:rPr>
                <w:color w:val="000000"/>
                <w:sz w:val="18"/>
                <w:szCs w:val="18"/>
              </w:rPr>
            </w:pPr>
            <w:r>
              <w:rPr>
                <w:color w:val="000000"/>
                <w:sz w:val="18"/>
                <w:szCs w:val="18"/>
              </w:rPr>
              <w:t>(.01)</w:t>
            </w:r>
          </w:p>
        </w:tc>
        <w:tc>
          <w:tcPr>
            <w:tcW w:w="1172" w:type="dxa"/>
            <w:tcBorders>
              <w:top w:val="nil"/>
              <w:left w:val="nil"/>
              <w:bottom w:val="nil"/>
              <w:right w:val="nil"/>
            </w:tcBorders>
            <w:vAlign w:val="center"/>
          </w:tcPr>
          <w:p w14:paraId="5EE3DA24"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9D5340">
              <w:rPr>
                <w:color w:val="000000"/>
                <w:sz w:val="18"/>
                <w:szCs w:val="18"/>
              </w:rPr>
              <w:t>02</w:t>
            </w:r>
          </w:p>
          <w:p w14:paraId="5EE3DA25" w14:textId="77777777" w:rsidR="00E03C2E" w:rsidRPr="009D5340" w:rsidRDefault="00E03C2E" w:rsidP="00653DFB">
            <w:pPr>
              <w:autoSpaceDE w:val="0"/>
              <w:autoSpaceDN w:val="0"/>
              <w:adjustRightInd w:val="0"/>
              <w:ind w:left="60" w:right="60"/>
              <w:jc w:val="center"/>
              <w:rPr>
                <w:color w:val="000000"/>
                <w:sz w:val="18"/>
                <w:szCs w:val="18"/>
              </w:rPr>
            </w:pPr>
            <w:r>
              <w:rPr>
                <w:color w:val="000000"/>
                <w:sz w:val="18"/>
                <w:szCs w:val="18"/>
              </w:rPr>
              <w:t>(.01)</w:t>
            </w:r>
          </w:p>
        </w:tc>
        <w:tc>
          <w:tcPr>
            <w:tcW w:w="1172" w:type="dxa"/>
            <w:tcBorders>
              <w:top w:val="nil"/>
              <w:left w:val="nil"/>
              <w:bottom w:val="nil"/>
              <w:right w:val="nil"/>
            </w:tcBorders>
            <w:vAlign w:val="center"/>
          </w:tcPr>
          <w:p w14:paraId="5EE3DA26" w14:textId="77777777" w:rsidR="00E03C2E" w:rsidRPr="00C038C2" w:rsidRDefault="00E03C2E" w:rsidP="003A6F56">
            <w:pPr>
              <w:autoSpaceDE w:val="0"/>
              <w:autoSpaceDN w:val="0"/>
              <w:adjustRightInd w:val="0"/>
              <w:ind w:left="60" w:right="60"/>
              <w:jc w:val="center"/>
              <w:rPr>
                <w:color w:val="000000"/>
                <w:sz w:val="18"/>
                <w:szCs w:val="18"/>
              </w:rPr>
            </w:pPr>
            <w:r>
              <w:rPr>
                <w:color w:val="000000"/>
                <w:sz w:val="18"/>
                <w:szCs w:val="18"/>
              </w:rPr>
              <w:t>.0</w:t>
            </w:r>
            <w:r w:rsidR="00653DFB">
              <w:rPr>
                <w:color w:val="000000"/>
                <w:sz w:val="18"/>
                <w:szCs w:val="18"/>
              </w:rPr>
              <w:t>2</w:t>
            </w:r>
          </w:p>
          <w:p w14:paraId="5EE3DA27" w14:textId="77777777" w:rsidR="00E03C2E" w:rsidRPr="00CC6048" w:rsidRDefault="00E03C2E" w:rsidP="00653DFB">
            <w:pPr>
              <w:autoSpaceDE w:val="0"/>
              <w:autoSpaceDN w:val="0"/>
              <w:adjustRightInd w:val="0"/>
              <w:ind w:left="60" w:right="60"/>
              <w:jc w:val="center"/>
              <w:rPr>
                <w:color w:val="000000"/>
                <w:sz w:val="18"/>
                <w:szCs w:val="18"/>
              </w:rPr>
            </w:pPr>
            <w:r w:rsidRPr="00C038C2">
              <w:rPr>
                <w:color w:val="000000"/>
                <w:sz w:val="18"/>
                <w:szCs w:val="18"/>
              </w:rPr>
              <w:t>(.01)</w:t>
            </w:r>
          </w:p>
        </w:tc>
        <w:tc>
          <w:tcPr>
            <w:tcW w:w="1173" w:type="dxa"/>
            <w:tcBorders>
              <w:top w:val="nil"/>
              <w:left w:val="nil"/>
              <w:bottom w:val="nil"/>
              <w:right w:val="nil"/>
            </w:tcBorders>
            <w:vAlign w:val="center"/>
          </w:tcPr>
          <w:p w14:paraId="5EE3DA28"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0</w:t>
            </w:r>
            <w:r w:rsidR="00653DFB">
              <w:rPr>
                <w:color w:val="000000"/>
                <w:sz w:val="18"/>
                <w:szCs w:val="18"/>
              </w:rPr>
              <w:t>2</w:t>
            </w:r>
          </w:p>
          <w:p w14:paraId="5EE3DA29" w14:textId="77777777" w:rsidR="00E03C2E" w:rsidRPr="003019C4" w:rsidRDefault="00E03C2E" w:rsidP="00653DFB">
            <w:pPr>
              <w:autoSpaceDE w:val="0"/>
              <w:autoSpaceDN w:val="0"/>
              <w:adjustRightInd w:val="0"/>
              <w:ind w:left="60" w:right="60"/>
              <w:jc w:val="center"/>
              <w:rPr>
                <w:color w:val="000000"/>
                <w:sz w:val="18"/>
                <w:szCs w:val="18"/>
              </w:rPr>
            </w:pPr>
            <w:r w:rsidRPr="00C038C2">
              <w:rPr>
                <w:color w:val="000000"/>
                <w:sz w:val="18"/>
                <w:szCs w:val="18"/>
              </w:rPr>
              <w:t>(.01)</w:t>
            </w:r>
          </w:p>
        </w:tc>
      </w:tr>
      <w:tr w:rsidR="00E03C2E" w:rsidRPr="00C038C2" w14:paraId="5EE3DA39" w14:textId="77777777" w:rsidTr="00596AF3">
        <w:trPr>
          <w:trHeight w:val="265"/>
          <w:jc w:val="center"/>
        </w:trPr>
        <w:tc>
          <w:tcPr>
            <w:tcW w:w="3018" w:type="dxa"/>
            <w:tcBorders>
              <w:top w:val="nil"/>
              <w:left w:val="nil"/>
              <w:bottom w:val="nil"/>
              <w:right w:val="nil"/>
            </w:tcBorders>
          </w:tcPr>
          <w:p w14:paraId="5EE3DA2B" w14:textId="77777777" w:rsidR="00E03C2E" w:rsidRPr="000443CE" w:rsidRDefault="00E03C2E" w:rsidP="003A6F56">
            <w:pPr>
              <w:ind w:firstLine="272"/>
              <w:rPr>
                <w:sz w:val="18"/>
                <w:szCs w:val="18"/>
                <w:lang w:val="it-IT" w:eastAsia="en-US"/>
              </w:rPr>
            </w:pPr>
            <w:r w:rsidRPr="000443CE">
              <w:rPr>
                <w:sz w:val="18"/>
                <w:szCs w:val="18"/>
                <w:lang w:val="it-IT" w:eastAsia="en-US"/>
              </w:rPr>
              <w:t>Internal uncertainty</w:t>
            </w:r>
          </w:p>
          <w:p w14:paraId="5EE3DA2C" w14:textId="77777777" w:rsidR="00E03C2E" w:rsidRPr="000443CE" w:rsidRDefault="00E03C2E" w:rsidP="003A6F56">
            <w:pPr>
              <w:ind w:firstLine="272"/>
              <w:rPr>
                <w:sz w:val="18"/>
                <w:szCs w:val="18"/>
                <w:lang w:val="it-IT" w:eastAsia="en-US"/>
              </w:rPr>
            </w:pPr>
          </w:p>
        </w:tc>
        <w:tc>
          <w:tcPr>
            <w:tcW w:w="1172" w:type="dxa"/>
            <w:tcBorders>
              <w:top w:val="nil"/>
              <w:left w:val="nil"/>
              <w:bottom w:val="nil"/>
              <w:right w:val="nil"/>
            </w:tcBorders>
            <w:vAlign w:val="center"/>
          </w:tcPr>
          <w:p w14:paraId="5EE3DA2D" w14:textId="77777777" w:rsidR="00E03C2E" w:rsidRDefault="00E03C2E" w:rsidP="003A6F56">
            <w:pPr>
              <w:autoSpaceDE w:val="0"/>
              <w:autoSpaceDN w:val="0"/>
              <w:adjustRightInd w:val="0"/>
              <w:ind w:left="60" w:right="60"/>
              <w:jc w:val="center"/>
              <w:rPr>
                <w:color w:val="000000"/>
                <w:sz w:val="18"/>
                <w:szCs w:val="18"/>
              </w:rPr>
            </w:pPr>
            <w:r w:rsidRPr="004F7118">
              <w:rPr>
                <w:color w:val="000000"/>
                <w:sz w:val="18"/>
                <w:szCs w:val="18"/>
              </w:rPr>
              <w:t>-</w:t>
            </w:r>
            <w:r>
              <w:rPr>
                <w:color w:val="000000"/>
                <w:sz w:val="18"/>
                <w:szCs w:val="18"/>
              </w:rPr>
              <w:t>.</w:t>
            </w:r>
            <w:r w:rsidRPr="004F7118">
              <w:rPr>
                <w:color w:val="000000"/>
                <w:sz w:val="18"/>
                <w:szCs w:val="18"/>
              </w:rPr>
              <w:t>1</w:t>
            </w:r>
            <w:r w:rsidR="004A65BC">
              <w:rPr>
                <w:color w:val="000000"/>
                <w:sz w:val="18"/>
                <w:szCs w:val="18"/>
              </w:rPr>
              <w:t>2</w:t>
            </w:r>
          </w:p>
          <w:p w14:paraId="5EE3DA2E" w14:textId="77777777" w:rsidR="00E03C2E" w:rsidRPr="004F7118" w:rsidRDefault="00E03C2E" w:rsidP="004A65BC">
            <w:pPr>
              <w:autoSpaceDE w:val="0"/>
              <w:autoSpaceDN w:val="0"/>
              <w:adjustRightInd w:val="0"/>
              <w:ind w:left="60" w:right="60"/>
              <w:jc w:val="center"/>
              <w:rPr>
                <w:color w:val="000000"/>
                <w:sz w:val="18"/>
                <w:szCs w:val="18"/>
              </w:rPr>
            </w:pPr>
            <w:r>
              <w:rPr>
                <w:color w:val="000000"/>
                <w:sz w:val="18"/>
                <w:szCs w:val="18"/>
              </w:rPr>
              <w:t>(.09)</w:t>
            </w:r>
          </w:p>
        </w:tc>
        <w:tc>
          <w:tcPr>
            <w:tcW w:w="1172" w:type="dxa"/>
            <w:tcBorders>
              <w:top w:val="nil"/>
              <w:left w:val="nil"/>
              <w:bottom w:val="nil"/>
              <w:right w:val="nil"/>
            </w:tcBorders>
            <w:vAlign w:val="center"/>
          </w:tcPr>
          <w:p w14:paraId="5EE3DA2F" w14:textId="77777777" w:rsidR="00E03C2E" w:rsidRDefault="00E03C2E" w:rsidP="003A6F56">
            <w:pPr>
              <w:autoSpaceDE w:val="0"/>
              <w:autoSpaceDN w:val="0"/>
              <w:adjustRightInd w:val="0"/>
              <w:ind w:left="60" w:right="60"/>
              <w:jc w:val="center"/>
              <w:rPr>
                <w:color w:val="000000"/>
                <w:sz w:val="18"/>
                <w:szCs w:val="18"/>
              </w:rPr>
            </w:pPr>
            <w:r w:rsidRPr="00D8300E">
              <w:rPr>
                <w:color w:val="000000"/>
                <w:sz w:val="18"/>
                <w:szCs w:val="18"/>
              </w:rPr>
              <w:t>-</w:t>
            </w:r>
            <w:r>
              <w:rPr>
                <w:color w:val="000000"/>
                <w:sz w:val="18"/>
                <w:szCs w:val="18"/>
              </w:rPr>
              <w:t>.</w:t>
            </w:r>
            <w:r w:rsidRPr="00D8300E">
              <w:rPr>
                <w:color w:val="000000"/>
                <w:sz w:val="18"/>
                <w:szCs w:val="18"/>
              </w:rPr>
              <w:t>1</w:t>
            </w:r>
            <w:r w:rsidR="004A65BC">
              <w:rPr>
                <w:color w:val="000000"/>
                <w:sz w:val="18"/>
                <w:szCs w:val="18"/>
              </w:rPr>
              <w:t>4</w:t>
            </w:r>
          </w:p>
          <w:p w14:paraId="5EE3DA30" w14:textId="77777777" w:rsidR="00E03C2E" w:rsidRPr="00D8300E" w:rsidRDefault="00E03C2E" w:rsidP="004A65BC">
            <w:pPr>
              <w:autoSpaceDE w:val="0"/>
              <w:autoSpaceDN w:val="0"/>
              <w:adjustRightInd w:val="0"/>
              <w:ind w:left="60" w:right="60"/>
              <w:jc w:val="center"/>
              <w:rPr>
                <w:color w:val="000000"/>
                <w:sz w:val="18"/>
                <w:szCs w:val="18"/>
              </w:rPr>
            </w:pPr>
            <w:r>
              <w:rPr>
                <w:color w:val="000000"/>
                <w:sz w:val="18"/>
                <w:szCs w:val="18"/>
              </w:rPr>
              <w:t>(.09)</w:t>
            </w:r>
          </w:p>
        </w:tc>
        <w:tc>
          <w:tcPr>
            <w:tcW w:w="1172" w:type="dxa"/>
            <w:tcBorders>
              <w:top w:val="nil"/>
              <w:left w:val="nil"/>
              <w:bottom w:val="nil"/>
              <w:right w:val="nil"/>
            </w:tcBorders>
            <w:vAlign w:val="center"/>
          </w:tcPr>
          <w:p w14:paraId="5EE3DA31" w14:textId="77777777" w:rsidR="00E03C2E" w:rsidRDefault="00E03C2E" w:rsidP="003A6F56">
            <w:pPr>
              <w:autoSpaceDE w:val="0"/>
              <w:autoSpaceDN w:val="0"/>
              <w:adjustRightInd w:val="0"/>
              <w:ind w:left="60" w:right="60"/>
              <w:jc w:val="center"/>
              <w:rPr>
                <w:color w:val="000000"/>
                <w:sz w:val="18"/>
                <w:szCs w:val="18"/>
              </w:rPr>
            </w:pPr>
            <w:r w:rsidRPr="00721ACE">
              <w:rPr>
                <w:color w:val="000000"/>
                <w:sz w:val="18"/>
                <w:szCs w:val="18"/>
              </w:rPr>
              <w:t>-</w:t>
            </w:r>
            <w:r>
              <w:rPr>
                <w:color w:val="000000"/>
                <w:sz w:val="18"/>
                <w:szCs w:val="18"/>
              </w:rPr>
              <w:t>.13</w:t>
            </w:r>
          </w:p>
          <w:p w14:paraId="5EE3DA32" w14:textId="77777777" w:rsidR="00E03C2E" w:rsidRPr="00721ACE" w:rsidRDefault="00E03C2E" w:rsidP="004A65BC">
            <w:pPr>
              <w:autoSpaceDE w:val="0"/>
              <w:autoSpaceDN w:val="0"/>
              <w:adjustRightInd w:val="0"/>
              <w:ind w:left="60" w:right="60"/>
              <w:jc w:val="center"/>
              <w:rPr>
                <w:color w:val="000000"/>
                <w:sz w:val="18"/>
                <w:szCs w:val="18"/>
              </w:rPr>
            </w:pPr>
            <w:r>
              <w:rPr>
                <w:color w:val="000000"/>
                <w:sz w:val="18"/>
                <w:szCs w:val="18"/>
              </w:rPr>
              <w:t>(.09)</w:t>
            </w:r>
          </w:p>
        </w:tc>
        <w:tc>
          <w:tcPr>
            <w:tcW w:w="1172" w:type="dxa"/>
            <w:tcBorders>
              <w:top w:val="nil"/>
              <w:left w:val="nil"/>
              <w:bottom w:val="nil"/>
              <w:right w:val="nil"/>
            </w:tcBorders>
            <w:vAlign w:val="center"/>
          </w:tcPr>
          <w:p w14:paraId="5EE3DA33" w14:textId="77777777" w:rsidR="00E03C2E" w:rsidRDefault="00E03C2E" w:rsidP="003A6F56">
            <w:pPr>
              <w:autoSpaceDE w:val="0"/>
              <w:autoSpaceDN w:val="0"/>
              <w:adjustRightInd w:val="0"/>
              <w:ind w:left="60" w:right="60"/>
              <w:jc w:val="center"/>
              <w:rPr>
                <w:color w:val="000000"/>
                <w:sz w:val="18"/>
                <w:szCs w:val="18"/>
              </w:rPr>
            </w:pPr>
            <w:r w:rsidRPr="009D5340">
              <w:rPr>
                <w:color w:val="000000"/>
                <w:sz w:val="18"/>
                <w:szCs w:val="18"/>
              </w:rPr>
              <w:t>-</w:t>
            </w:r>
            <w:r>
              <w:rPr>
                <w:color w:val="000000"/>
                <w:sz w:val="18"/>
                <w:szCs w:val="18"/>
              </w:rPr>
              <w:t>.15</w:t>
            </w:r>
          </w:p>
          <w:p w14:paraId="5EE3DA34" w14:textId="77777777" w:rsidR="00E03C2E" w:rsidRPr="009D5340" w:rsidRDefault="00E03C2E" w:rsidP="004A65BC">
            <w:pPr>
              <w:autoSpaceDE w:val="0"/>
              <w:autoSpaceDN w:val="0"/>
              <w:adjustRightInd w:val="0"/>
              <w:ind w:left="60" w:right="60"/>
              <w:jc w:val="center"/>
              <w:rPr>
                <w:color w:val="000000"/>
                <w:sz w:val="18"/>
                <w:szCs w:val="18"/>
              </w:rPr>
            </w:pPr>
            <w:r>
              <w:rPr>
                <w:color w:val="000000"/>
                <w:sz w:val="18"/>
                <w:szCs w:val="18"/>
              </w:rPr>
              <w:t>(.09)</w:t>
            </w:r>
          </w:p>
        </w:tc>
        <w:tc>
          <w:tcPr>
            <w:tcW w:w="1172" w:type="dxa"/>
            <w:tcBorders>
              <w:top w:val="nil"/>
              <w:left w:val="nil"/>
              <w:bottom w:val="nil"/>
              <w:right w:val="nil"/>
            </w:tcBorders>
            <w:vAlign w:val="center"/>
          </w:tcPr>
          <w:p w14:paraId="5EE3DA35" w14:textId="77777777" w:rsidR="00E03C2E" w:rsidRPr="00C038C2" w:rsidRDefault="00E03C2E" w:rsidP="003A6F56">
            <w:pPr>
              <w:autoSpaceDE w:val="0"/>
              <w:autoSpaceDN w:val="0"/>
              <w:adjustRightInd w:val="0"/>
              <w:ind w:left="60" w:right="60"/>
              <w:jc w:val="center"/>
              <w:rPr>
                <w:color w:val="000000"/>
                <w:sz w:val="18"/>
                <w:szCs w:val="18"/>
              </w:rPr>
            </w:pPr>
            <w:r w:rsidRPr="00CC6048">
              <w:rPr>
                <w:color w:val="000000"/>
                <w:sz w:val="18"/>
                <w:szCs w:val="18"/>
              </w:rPr>
              <w:t>-</w:t>
            </w:r>
            <w:r>
              <w:rPr>
                <w:color w:val="000000"/>
                <w:sz w:val="18"/>
                <w:szCs w:val="18"/>
              </w:rPr>
              <w:t>.16</w:t>
            </w:r>
            <w:r w:rsidRPr="00C038C2">
              <w:rPr>
                <w:color w:val="000000"/>
                <w:sz w:val="18"/>
                <w:szCs w:val="18"/>
              </w:rPr>
              <w:t>*</w:t>
            </w:r>
          </w:p>
          <w:p w14:paraId="5EE3DA36" w14:textId="77777777" w:rsidR="00E03C2E" w:rsidRPr="00CC6048" w:rsidRDefault="00E03C2E" w:rsidP="004A65BC">
            <w:pPr>
              <w:autoSpaceDE w:val="0"/>
              <w:autoSpaceDN w:val="0"/>
              <w:adjustRightInd w:val="0"/>
              <w:ind w:left="60" w:right="60"/>
              <w:jc w:val="center"/>
              <w:rPr>
                <w:color w:val="000000"/>
                <w:sz w:val="18"/>
                <w:szCs w:val="18"/>
              </w:rPr>
            </w:pPr>
            <w:r>
              <w:rPr>
                <w:color w:val="000000"/>
                <w:sz w:val="18"/>
                <w:szCs w:val="18"/>
              </w:rPr>
              <w:t>(.09</w:t>
            </w:r>
            <w:r w:rsidRPr="00C038C2">
              <w:rPr>
                <w:color w:val="000000"/>
                <w:sz w:val="18"/>
                <w:szCs w:val="18"/>
              </w:rPr>
              <w:t>)</w:t>
            </w:r>
          </w:p>
        </w:tc>
        <w:tc>
          <w:tcPr>
            <w:tcW w:w="1173" w:type="dxa"/>
            <w:tcBorders>
              <w:top w:val="nil"/>
              <w:left w:val="nil"/>
              <w:bottom w:val="nil"/>
              <w:right w:val="nil"/>
            </w:tcBorders>
            <w:vAlign w:val="center"/>
          </w:tcPr>
          <w:p w14:paraId="5EE3DA37" w14:textId="77777777" w:rsidR="00E03C2E" w:rsidRPr="00C038C2" w:rsidRDefault="00E03C2E" w:rsidP="003A6F56">
            <w:pPr>
              <w:autoSpaceDE w:val="0"/>
              <w:autoSpaceDN w:val="0"/>
              <w:adjustRightInd w:val="0"/>
              <w:ind w:left="60" w:right="60"/>
              <w:jc w:val="center"/>
              <w:rPr>
                <w:color w:val="000000"/>
                <w:sz w:val="18"/>
                <w:szCs w:val="18"/>
              </w:rPr>
            </w:pPr>
            <w:r w:rsidRPr="003019C4">
              <w:rPr>
                <w:color w:val="000000"/>
                <w:sz w:val="18"/>
                <w:szCs w:val="18"/>
              </w:rPr>
              <w:t>-</w:t>
            </w:r>
            <w:r w:rsidRPr="00C038C2">
              <w:rPr>
                <w:color w:val="000000"/>
                <w:sz w:val="18"/>
                <w:szCs w:val="18"/>
              </w:rPr>
              <w:t>.</w:t>
            </w:r>
            <w:r w:rsidRPr="003019C4">
              <w:rPr>
                <w:color w:val="000000"/>
                <w:sz w:val="18"/>
                <w:szCs w:val="18"/>
              </w:rPr>
              <w:t>1</w:t>
            </w:r>
            <w:r w:rsidR="004A65BC">
              <w:rPr>
                <w:color w:val="000000"/>
                <w:sz w:val="18"/>
                <w:szCs w:val="18"/>
              </w:rPr>
              <w:t>5</w:t>
            </w:r>
          </w:p>
          <w:p w14:paraId="5EE3DA38" w14:textId="77777777" w:rsidR="00E03C2E" w:rsidRPr="003019C4" w:rsidRDefault="00E03C2E" w:rsidP="004A65BC">
            <w:pPr>
              <w:autoSpaceDE w:val="0"/>
              <w:autoSpaceDN w:val="0"/>
              <w:adjustRightInd w:val="0"/>
              <w:ind w:left="60" w:right="60"/>
              <w:jc w:val="center"/>
              <w:rPr>
                <w:color w:val="000000"/>
                <w:sz w:val="18"/>
                <w:szCs w:val="18"/>
              </w:rPr>
            </w:pPr>
            <w:r w:rsidRPr="00C038C2">
              <w:rPr>
                <w:color w:val="000000"/>
                <w:sz w:val="18"/>
                <w:szCs w:val="18"/>
              </w:rPr>
              <w:t>(.09)</w:t>
            </w:r>
          </w:p>
        </w:tc>
      </w:tr>
      <w:tr w:rsidR="00E03C2E" w:rsidRPr="00C038C2" w14:paraId="5EE3DA48" w14:textId="77777777" w:rsidTr="00596AF3">
        <w:trPr>
          <w:trHeight w:val="265"/>
          <w:jc w:val="center"/>
        </w:trPr>
        <w:tc>
          <w:tcPr>
            <w:tcW w:w="3018" w:type="dxa"/>
            <w:tcBorders>
              <w:top w:val="nil"/>
              <w:left w:val="nil"/>
              <w:bottom w:val="nil"/>
              <w:right w:val="nil"/>
            </w:tcBorders>
          </w:tcPr>
          <w:p w14:paraId="5EE3DA3A" w14:textId="77777777" w:rsidR="00E03C2E" w:rsidRPr="000443CE" w:rsidRDefault="00E03C2E" w:rsidP="003A6F56">
            <w:pPr>
              <w:ind w:firstLine="272"/>
              <w:rPr>
                <w:sz w:val="18"/>
                <w:szCs w:val="18"/>
                <w:lang w:val="it-IT" w:eastAsia="en-US"/>
              </w:rPr>
            </w:pPr>
            <w:r w:rsidRPr="000443CE">
              <w:rPr>
                <w:sz w:val="18"/>
                <w:szCs w:val="18"/>
                <w:lang w:val="it-IT" w:eastAsia="en-US"/>
              </w:rPr>
              <w:t>External uncertainty</w:t>
            </w:r>
          </w:p>
          <w:p w14:paraId="5EE3DA3B" w14:textId="77777777" w:rsidR="00E03C2E" w:rsidRPr="000443CE" w:rsidRDefault="00E03C2E" w:rsidP="003A6F56">
            <w:pPr>
              <w:ind w:firstLine="272"/>
              <w:rPr>
                <w:sz w:val="18"/>
                <w:szCs w:val="18"/>
                <w:lang w:val="it-IT" w:eastAsia="en-US"/>
              </w:rPr>
            </w:pPr>
          </w:p>
        </w:tc>
        <w:tc>
          <w:tcPr>
            <w:tcW w:w="1172" w:type="dxa"/>
            <w:tcBorders>
              <w:top w:val="nil"/>
              <w:left w:val="nil"/>
              <w:bottom w:val="nil"/>
              <w:right w:val="nil"/>
            </w:tcBorders>
            <w:vAlign w:val="center"/>
          </w:tcPr>
          <w:p w14:paraId="5EE3DA3C"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4F7118">
              <w:rPr>
                <w:color w:val="000000"/>
                <w:sz w:val="18"/>
                <w:szCs w:val="18"/>
              </w:rPr>
              <w:t>0</w:t>
            </w:r>
            <w:r w:rsidR="004A65BC">
              <w:rPr>
                <w:color w:val="000000"/>
                <w:sz w:val="18"/>
                <w:szCs w:val="18"/>
              </w:rPr>
              <w:t>5</w:t>
            </w:r>
          </w:p>
          <w:p w14:paraId="5EE3DA3D" w14:textId="77777777" w:rsidR="00E03C2E" w:rsidRPr="004F7118" w:rsidRDefault="00E03C2E" w:rsidP="004A65BC">
            <w:pPr>
              <w:autoSpaceDE w:val="0"/>
              <w:autoSpaceDN w:val="0"/>
              <w:adjustRightInd w:val="0"/>
              <w:ind w:left="60" w:right="60"/>
              <w:jc w:val="center"/>
              <w:rPr>
                <w:color w:val="000000"/>
                <w:sz w:val="18"/>
                <w:szCs w:val="18"/>
              </w:rPr>
            </w:pPr>
            <w:r>
              <w:rPr>
                <w:color w:val="000000"/>
                <w:sz w:val="18"/>
                <w:szCs w:val="18"/>
              </w:rPr>
              <w:t>(.03)</w:t>
            </w:r>
          </w:p>
        </w:tc>
        <w:tc>
          <w:tcPr>
            <w:tcW w:w="1172" w:type="dxa"/>
            <w:tcBorders>
              <w:top w:val="nil"/>
              <w:left w:val="nil"/>
              <w:bottom w:val="nil"/>
              <w:right w:val="nil"/>
            </w:tcBorders>
            <w:vAlign w:val="center"/>
          </w:tcPr>
          <w:p w14:paraId="5EE3DA3E"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F65B44">
              <w:rPr>
                <w:color w:val="000000"/>
                <w:sz w:val="18"/>
                <w:szCs w:val="18"/>
              </w:rPr>
              <w:t>0</w:t>
            </w:r>
            <w:r w:rsidR="004A65BC">
              <w:rPr>
                <w:color w:val="000000"/>
                <w:sz w:val="18"/>
                <w:szCs w:val="18"/>
              </w:rPr>
              <w:t>6</w:t>
            </w:r>
            <w:r>
              <w:rPr>
                <w:color w:val="000000"/>
                <w:sz w:val="18"/>
                <w:szCs w:val="18"/>
              </w:rPr>
              <w:t>*</w:t>
            </w:r>
          </w:p>
          <w:p w14:paraId="5EE3DA3F" w14:textId="77777777" w:rsidR="00E03C2E" w:rsidRPr="00D8300E" w:rsidRDefault="00E03C2E" w:rsidP="004A65BC">
            <w:pPr>
              <w:autoSpaceDE w:val="0"/>
              <w:autoSpaceDN w:val="0"/>
              <w:adjustRightInd w:val="0"/>
              <w:ind w:left="60" w:right="60"/>
              <w:jc w:val="center"/>
              <w:rPr>
                <w:color w:val="000000"/>
                <w:sz w:val="18"/>
                <w:szCs w:val="18"/>
              </w:rPr>
            </w:pPr>
            <w:r>
              <w:rPr>
                <w:color w:val="000000"/>
                <w:sz w:val="18"/>
                <w:szCs w:val="18"/>
              </w:rPr>
              <w:t>(.0</w:t>
            </w:r>
            <w:r w:rsidR="004A65BC">
              <w:rPr>
                <w:color w:val="000000"/>
                <w:sz w:val="18"/>
                <w:szCs w:val="18"/>
              </w:rPr>
              <w:t>4</w:t>
            </w:r>
            <w:r>
              <w:rPr>
                <w:color w:val="000000"/>
                <w:sz w:val="18"/>
                <w:szCs w:val="18"/>
              </w:rPr>
              <w:t>)</w:t>
            </w:r>
          </w:p>
        </w:tc>
        <w:tc>
          <w:tcPr>
            <w:tcW w:w="1172" w:type="dxa"/>
            <w:tcBorders>
              <w:top w:val="nil"/>
              <w:left w:val="nil"/>
              <w:bottom w:val="nil"/>
              <w:right w:val="nil"/>
            </w:tcBorders>
            <w:vAlign w:val="center"/>
          </w:tcPr>
          <w:p w14:paraId="5EE3DA40"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.05</w:t>
            </w:r>
          </w:p>
          <w:p w14:paraId="5EE3DA41" w14:textId="77777777" w:rsidR="00E03C2E" w:rsidRPr="00721ACE" w:rsidRDefault="00E03C2E" w:rsidP="004A65BC">
            <w:pPr>
              <w:autoSpaceDE w:val="0"/>
              <w:autoSpaceDN w:val="0"/>
              <w:adjustRightInd w:val="0"/>
              <w:ind w:left="60" w:right="60"/>
              <w:jc w:val="center"/>
              <w:rPr>
                <w:color w:val="000000"/>
                <w:sz w:val="18"/>
                <w:szCs w:val="18"/>
              </w:rPr>
            </w:pPr>
            <w:r>
              <w:rPr>
                <w:color w:val="000000"/>
                <w:sz w:val="18"/>
                <w:szCs w:val="18"/>
              </w:rPr>
              <w:t>(.0</w:t>
            </w:r>
            <w:r w:rsidR="004A65BC">
              <w:rPr>
                <w:color w:val="000000"/>
                <w:sz w:val="18"/>
                <w:szCs w:val="18"/>
              </w:rPr>
              <w:t>4</w:t>
            </w:r>
            <w:r>
              <w:rPr>
                <w:color w:val="000000"/>
                <w:sz w:val="18"/>
                <w:szCs w:val="18"/>
              </w:rPr>
              <w:t>)</w:t>
            </w:r>
          </w:p>
        </w:tc>
        <w:tc>
          <w:tcPr>
            <w:tcW w:w="1172" w:type="dxa"/>
            <w:tcBorders>
              <w:top w:val="nil"/>
              <w:left w:val="nil"/>
              <w:bottom w:val="nil"/>
              <w:right w:val="nil"/>
            </w:tcBorders>
            <w:vAlign w:val="center"/>
          </w:tcPr>
          <w:p w14:paraId="5EE3DA42"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.06*</w:t>
            </w:r>
          </w:p>
          <w:p w14:paraId="5EE3DA43" w14:textId="77777777" w:rsidR="00E03C2E" w:rsidRPr="009D5340" w:rsidRDefault="00E03C2E" w:rsidP="004A65BC">
            <w:pPr>
              <w:autoSpaceDE w:val="0"/>
              <w:autoSpaceDN w:val="0"/>
              <w:adjustRightInd w:val="0"/>
              <w:ind w:left="60" w:right="60"/>
              <w:jc w:val="center"/>
              <w:rPr>
                <w:color w:val="000000"/>
                <w:sz w:val="18"/>
                <w:szCs w:val="18"/>
              </w:rPr>
            </w:pPr>
            <w:r>
              <w:rPr>
                <w:color w:val="000000"/>
                <w:sz w:val="18"/>
                <w:szCs w:val="18"/>
              </w:rPr>
              <w:t>(.0</w:t>
            </w:r>
            <w:r w:rsidR="004A65BC">
              <w:rPr>
                <w:color w:val="000000"/>
                <w:sz w:val="18"/>
                <w:szCs w:val="18"/>
              </w:rPr>
              <w:t>4</w:t>
            </w:r>
            <w:r>
              <w:rPr>
                <w:color w:val="000000"/>
                <w:sz w:val="18"/>
                <w:szCs w:val="18"/>
              </w:rPr>
              <w:t>)</w:t>
            </w:r>
          </w:p>
        </w:tc>
        <w:tc>
          <w:tcPr>
            <w:tcW w:w="1172" w:type="dxa"/>
            <w:tcBorders>
              <w:top w:val="nil"/>
              <w:left w:val="nil"/>
              <w:bottom w:val="nil"/>
              <w:right w:val="nil"/>
            </w:tcBorders>
            <w:vAlign w:val="center"/>
          </w:tcPr>
          <w:p w14:paraId="5EE3DA44" w14:textId="77777777" w:rsidR="00E03C2E" w:rsidRPr="00C038C2" w:rsidRDefault="00E03C2E" w:rsidP="003A6F56">
            <w:pPr>
              <w:autoSpaceDE w:val="0"/>
              <w:autoSpaceDN w:val="0"/>
              <w:adjustRightInd w:val="0"/>
              <w:ind w:left="60" w:right="60"/>
              <w:jc w:val="center"/>
              <w:rPr>
                <w:color w:val="000000"/>
                <w:sz w:val="18"/>
                <w:szCs w:val="18"/>
              </w:rPr>
            </w:pPr>
            <w:r>
              <w:rPr>
                <w:color w:val="000000"/>
                <w:sz w:val="18"/>
                <w:szCs w:val="18"/>
              </w:rPr>
              <w:t>.</w:t>
            </w:r>
            <w:r w:rsidRPr="00CC6048">
              <w:rPr>
                <w:color w:val="000000"/>
                <w:sz w:val="18"/>
                <w:szCs w:val="18"/>
              </w:rPr>
              <w:t>06</w:t>
            </w:r>
            <w:r w:rsidRPr="00C038C2">
              <w:rPr>
                <w:color w:val="000000"/>
                <w:sz w:val="18"/>
                <w:szCs w:val="18"/>
              </w:rPr>
              <w:t>*</w:t>
            </w:r>
          </w:p>
          <w:p w14:paraId="5EE3DA45" w14:textId="77777777" w:rsidR="00E03C2E" w:rsidRPr="00CC6048" w:rsidRDefault="00E03C2E" w:rsidP="004A65BC">
            <w:pPr>
              <w:autoSpaceDE w:val="0"/>
              <w:autoSpaceDN w:val="0"/>
              <w:adjustRightInd w:val="0"/>
              <w:ind w:left="60" w:right="60"/>
              <w:jc w:val="center"/>
              <w:rPr>
                <w:color w:val="000000"/>
                <w:sz w:val="18"/>
                <w:szCs w:val="18"/>
              </w:rPr>
            </w:pPr>
            <w:r w:rsidRPr="00C038C2">
              <w:rPr>
                <w:color w:val="000000"/>
                <w:sz w:val="18"/>
                <w:szCs w:val="18"/>
              </w:rPr>
              <w:t>(0.</w:t>
            </w:r>
            <w:r w:rsidR="004A65BC">
              <w:rPr>
                <w:color w:val="000000"/>
                <w:sz w:val="18"/>
                <w:szCs w:val="18"/>
              </w:rPr>
              <w:t>4</w:t>
            </w:r>
            <w:r w:rsidRPr="00C038C2">
              <w:rPr>
                <w:color w:val="000000"/>
                <w:sz w:val="18"/>
                <w:szCs w:val="18"/>
              </w:rPr>
              <w:t>)</w:t>
            </w:r>
          </w:p>
        </w:tc>
        <w:tc>
          <w:tcPr>
            <w:tcW w:w="1173" w:type="dxa"/>
            <w:tcBorders>
              <w:top w:val="nil"/>
              <w:left w:val="nil"/>
              <w:bottom w:val="nil"/>
              <w:right w:val="nil"/>
            </w:tcBorders>
            <w:vAlign w:val="center"/>
          </w:tcPr>
          <w:p w14:paraId="5EE3DA46"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06</w:t>
            </w:r>
          </w:p>
          <w:p w14:paraId="5EE3DA47" w14:textId="77777777" w:rsidR="00E03C2E" w:rsidRPr="003019C4" w:rsidRDefault="00E03C2E" w:rsidP="004A65BC">
            <w:pPr>
              <w:autoSpaceDE w:val="0"/>
              <w:autoSpaceDN w:val="0"/>
              <w:adjustRightInd w:val="0"/>
              <w:ind w:left="60" w:right="60"/>
              <w:jc w:val="center"/>
              <w:rPr>
                <w:color w:val="000000"/>
                <w:sz w:val="18"/>
                <w:szCs w:val="18"/>
              </w:rPr>
            </w:pPr>
            <w:r w:rsidRPr="00C038C2">
              <w:rPr>
                <w:color w:val="000000"/>
                <w:sz w:val="18"/>
                <w:szCs w:val="18"/>
              </w:rPr>
              <w:t>(.0</w:t>
            </w:r>
            <w:r w:rsidR="004A65BC">
              <w:rPr>
                <w:color w:val="000000"/>
                <w:sz w:val="18"/>
                <w:szCs w:val="18"/>
              </w:rPr>
              <w:t>4</w:t>
            </w:r>
            <w:r w:rsidRPr="00C038C2">
              <w:rPr>
                <w:color w:val="000000"/>
                <w:sz w:val="18"/>
                <w:szCs w:val="18"/>
              </w:rPr>
              <w:t>)</w:t>
            </w:r>
          </w:p>
        </w:tc>
      </w:tr>
      <w:tr w:rsidR="00E03C2E" w:rsidRPr="00C038C2" w14:paraId="5EE3DA57" w14:textId="77777777" w:rsidTr="00596AF3">
        <w:trPr>
          <w:trHeight w:val="265"/>
          <w:jc w:val="center"/>
        </w:trPr>
        <w:tc>
          <w:tcPr>
            <w:tcW w:w="3018" w:type="dxa"/>
            <w:tcBorders>
              <w:top w:val="nil"/>
              <w:left w:val="nil"/>
              <w:bottom w:val="nil"/>
              <w:right w:val="nil"/>
            </w:tcBorders>
          </w:tcPr>
          <w:p w14:paraId="5EE3DA49" w14:textId="77777777" w:rsidR="00E03C2E" w:rsidRPr="000443CE" w:rsidRDefault="00E03C2E" w:rsidP="003A6F56">
            <w:pPr>
              <w:ind w:firstLine="272"/>
              <w:rPr>
                <w:sz w:val="18"/>
                <w:szCs w:val="18"/>
                <w:lang w:val="it-IT" w:eastAsia="en-US"/>
              </w:rPr>
            </w:pPr>
            <w:r w:rsidRPr="000443CE">
              <w:rPr>
                <w:sz w:val="18"/>
                <w:szCs w:val="18"/>
                <w:lang w:val="it-IT" w:eastAsia="en-US"/>
              </w:rPr>
              <w:t>Frequency</w:t>
            </w:r>
          </w:p>
          <w:p w14:paraId="5EE3DA4A" w14:textId="77777777" w:rsidR="00E03C2E" w:rsidRPr="000443CE" w:rsidRDefault="00E03C2E" w:rsidP="003A6F56">
            <w:pPr>
              <w:ind w:firstLine="272"/>
              <w:rPr>
                <w:sz w:val="18"/>
                <w:szCs w:val="18"/>
                <w:lang w:val="it-IT" w:eastAsia="en-US"/>
              </w:rPr>
            </w:pPr>
          </w:p>
        </w:tc>
        <w:tc>
          <w:tcPr>
            <w:tcW w:w="1172" w:type="dxa"/>
            <w:tcBorders>
              <w:top w:val="nil"/>
              <w:left w:val="nil"/>
              <w:bottom w:val="nil"/>
              <w:right w:val="nil"/>
            </w:tcBorders>
            <w:vAlign w:val="center"/>
          </w:tcPr>
          <w:p w14:paraId="5EE3DA4B" w14:textId="77777777" w:rsidR="00E03C2E" w:rsidRDefault="00E03C2E" w:rsidP="003A6F56">
            <w:pPr>
              <w:autoSpaceDE w:val="0"/>
              <w:autoSpaceDN w:val="0"/>
              <w:adjustRightInd w:val="0"/>
              <w:ind w:left="60" w:right="60"/>
              <w:jc w:val="center"/>
              <w:rPr>
                <w:color w:val="000000"/>
                <w:sz w:val="18"/>
                <w:szCs w:val="18"/>
              </w:rPr>
            </w:pPr>
            <w:r w:rsidRPr="004F7118">
              <w:rPr>
                <w:color w:val="000000"/>
                <w:sz w:val="18"/>
                <w:szCs w:val="18"/>
              </w:rPr>
              <w:t>-</w:t>
            </w:r>
            <w:r>
              <w:rPr>
                <w:color w:val="000000"/>
                <w:sz w:val="18"/>
                <w:szCs w:val="18"/>
              </w:rPr>
              <w:t>.</w:t>
            </w:r>
            <w:r w:rsidRPr="004F7118">
              <w:rPr>
                <w:color w:val="000000"/>
                <w:sz w:val="18"/>
                <w:szCs w:val="18"/>
              </w:rPr>
              <w:t>0</w:t>
            </w:r>
            <w:r w:rsidR="004A65BC">
              <w:rPr>
                <w:color w:val="000000"/>
                <w:sz w:val="18"/>
                <w:szCs w:val="18"/>
              </w:rPr>
              <w:t>2</w:t>
            </w:r>
            <w:r>
              <w:rPr>
                <w:color w:val="000000"/>
                <w:sz w:val="18"/>
                <w:szCs w:val="18"/>
              </w:rPr>
              <w:t>**</w:t>
            </w:r>
          </w:p>
          <w:p w14:paraId="5EE3DA4C" w14:textId="77777777" w:rsidR="00E03C2E" w:rsidRPr="004F7118" w:rsidRDefault="00E03C2E" w:rsidP="004A65BC">
            <w:pPr>
              <w:autoSpaceDE w:val="0"/>
              <w:autoSpaceDN w:val="0"/>
              <w:adjustRightInd w:val="0"/>
              <w:ind w:left="60" w:right="60"/>
              <w:jc w:val="center"/>
              <w:rPr>
                <w:color w:val="000000"/>
                <w:sz w:val="18"/>
                <w:szCs w:val="18"/>
              </w:rPr>
            </w:pPr>
            <w:r>
              <w:rPr>
                <w:color w:val="000000"/>
                <w:sz w:val="18"/>
                <w:szCs w:val="18"/>
              </w:rPr>
              <w:t>(.0</w:t>
            </w:r>
            <w:r w:rsidR="004A65BC">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A4D" w14:textId="77777777" w:rsidR="00E03C2E" w:rsidRDefault="00E03C2E" w:rsidP="003A6F56">
            <w:pPr>
              <w:autoSpaceDE w:val="0"/>
              <w:autoSpaceDN w:val="0"/>
              <w:adjustRightInd w:val="0"/>
              <w:ind w:left="60" w:right="60"/>
              <w:jc w:val="center"/>
              <w:rPr>
                <w:color w:val="000000"/>
                <w:sz w:val="18"/>
                <w:szCs w:val="18"/>
              </w:rPr>
            </w:pPr>
            <w:r w:rsidRPr="00D8300E">
              <w:rPr>
                <w:color w:val="000000"/>
                <w:sz w:val="18"/>
                <w:szCs w:val="18"/>
              </w:rPr>
              <w:t>-</w:t>
            </w:r>
            <w:r>
              <w:rPr>
                <w:color w:val="000000"/>
                <w:sz w:val="18"/>
                <w:szCs w:val="18"/>
              </w:rPr>
              <w:t>.</w:t>
            </w:r>
            <w:r w:rsidRPr="00D8300E">
              <w:rPr>
                <w:color w:val="000000"/>
                <w:sz w:val="18"/>
                <w:szCs w:val="18"/>
              </w:rPr>
              <w:t>0</w:t>
            </w:r>
            <w:r w:rsidR="004A65BC">
              <w:rPr>
                <w:color w:val="000000"/>
                <w:sz w:val="18"/>
                <w:szCs w:val="18"/>
              </w:rPr>
              <w:t>2</w:t>
            </w:r>
            <w:r>
              <w:rPr>
                <w:color w:val="000000"/>
                <w:sz w:val="18"/>
                <w:szCs w:val="18"/>
              </w:rPr>
              <w:t>***</w:t>
            </w:r>
          </w:p>
          <w:p w14:paraId="5EE3DA4E" w14:textId="77777777" w:rsidR="00E03C2E" w:rsidRPr="00D8300E" w:rsidRDefault="00E03C2E" w:rsidP="004A65BC">
            <w:pPr>
              <w:autoSpaceDE w:val="0"/>
              <w:autoSpaceDN w:val="0"/>
              <w:adjustRightInd w:val="0"/>
              <w:ind w:left="60" w:right="60"/>
              <w:jc w:val="center"/>
              <w:rPr>
                <w:color w:val="000000"/>
                <w:sz w:val="18"/>
                <w:szCs w:val="18"/>
              </w:rPr>
            </w:pPr>
            <w:r>
              <w:rPr>
                <w:color w:val="000000"/>
                <w:sz w:val="18"/>
                <w:szCs w:val="18"/>
              </w:rPr>
              <w:t>(.0</w:t>
            </w:r>
            <w:r w:rsidR="004A65BC">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A4F" w14:textId="77777777" w:rsidR="00E03C2E" w:rsidRDefault="00E03C2E" w:rsidP="003A6F56">
            <w:pPr>
              <w:autoSpaceDE w:val="0"/>
              <w:autoSpaceDN w:val="0"/>
              <w:adjustRightInd w:val="0"/>
              <w:ind w:left="60" w:right="60"/>
              <w:jc w:val="center"/>
              <w:rPr>
                <w:color w:val="000000"/>
                <w:sz w:val="18"/>
                <w:szCs w:val="18"/>
              </w:rPr>
            </w:pPr>
            <w:r w:rsidRPr="00B4216B">
              <w:rPr>
                <w:color w:val="000000"/>
                <w:sz w:val="18"/>
                <w:szCs w:val="18"/>
              </w:rPr>
              <w:t>-.0</w:t>
            </w:r>
            <w:r w:rsidR="004A65BC">
              <w:rPr>
                <w:color w:val="000000"/>
                <w:sz w:val="18"/>
                <w:szCs w:val="18"/>
              </w:rPr>
              <w:t>2</w:t>
            </w:r>
            <w:r w:rsidRPr="00B4216B">
              <w:rPr>
                <w:color w:val="000000"/>
                <w:sz w:val="18"/>
                <w:szCs w:val="18"/>
              </w:rPr>
              <w:t>**</w:t>
            </w:r>
          </w:p>
          <w:p w14:paraId="5EE3DA50" w14:textId="77777777" w:rsidR="00E03C2E" w:rsidRPr="00721ACE" w:rsidRDefault="00E03C2E" w:rsidP="004A65BC">
            <w:pPr>
              <w:autoSpaceDE w:val="0"/>
              <w:autoSpaceDN w:val="0"/>
              <w:adjustRightInd w:val="0"/>
              <w:ind w:left="60" w:right="60"/>
              <w:jc w:val="center"/>
              <w:rPr>
                <w:color w:val="000000"/>
                <w:sz w:val="18"/>
                <w:szCs w:val="18"/>
              </w:rPr>
            </w:pPr>
            <w:r>
              <w:rPr>
                <w:color w:val="000000"/>
                <w:sz w:val="18"/>
                <w:szCs w:val="18"/>
              </w:rPr>
              <w:t>(.0</w:t>
            </w:r>
            <w:r w:rsidR="004A65BC">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A51" w14:textId="77777777" w:rsidR="00E03C2E" w:rsidRDefault="00E03C2E" w:rsidP="003A6F56">
            <w:pPr>
              <w:autoSpaceDE w:val="0"/>
              <w:autoSpaceDN w:val="0"/>
              <w:adjustRightInd w:val="0"/>
              <w:ind w:left="60" w:right="60"/>
              <w:jc w:val="center"/>
              <w:rPr>
                <w:color w:val="000000"/>
                <w:sz w:val="18"/>
                <w:szCs w:val="18"/>
              </w:rPr>
            </w:pPr>
            <w:r w:rsidRPr="009D5340">
              <w:rPr>
                <w:color w:val="000000"/>
                <w:sz w:val="18"/>
                <w:szCs w:val="18"/>
              </w:rPr>
              <w:t>-</w:t>
            </w:r>
            <w:r>
              <w:rPr>
                <w:color w:val="000000"/>
                <w:sz w:val="18"/>
                <w:szCs w:val="18"/>
              </w:rPr>
              <w:t>.</w:t>
            </w:r>
            <w:r w:rsidRPr="009D5340">
              <w:rPr>
                <w:color w:val="000000"/>
                <w:sz w:val="18"/>
                <w:szCs w:val="18"/>
              </w:rPr>
              <w:t>0</w:t>
            </w:r>
            <w:r w:rsidR="004A65BC">
              <w:rPr>
                <w:color w:val="000000"/>
                <w:sz w:val="18"/>
                <w:szCs w:val="18"/>
              </w:rPr>
              <w:t>2</w:t>
            </w:r>
            <w:r>
              <w:rPr>
                <w:color w:val="000000"/>
                <w:sz w:val="18"/>
                <w:szCs w:val="18"/>
              </w:rPr>
              <w:t>**</w:t>
            </w:r>
          </w:p>
          <w:p w14:paraId="5EE3DA52" w14:textId="77777777" w:rsidR="00E03C2E" w:rsidRPr="009D5340" w:rsidRDefault="00E03C2E" w:rsidP="004A65BC">
            <w:pPr>
              <w:autoSpaceDE w:val="0"/>
              <w:autoSpaceDN w:val="0"/>
              <w:adjustRightInd w:val="0"/>
              <w:ind w:left="60" w:right="60"/>
              <w:jc w:val="center"/>
              <w:rPr>
                <w:color w:val="000000"/>
                <w:sz w:val="18"/>
                <w:szCs w:val="18"/>
              </w:rPr>
            </w:pPr>
            <w:r>
              <w:rPr>
                <w:color w:val="000000"/>
                <w:sz w:val="18"/>
                <w:szCs w:val="18"/>
              </w:rPr>
              <w:t>(.0</w:t>
            </w:r>
            <w:r w:rsidR="004A65BC">
              <w:rPr>
                <w:color w:val="000000"/>
                <w:sz w:val="18"/>
                <w:szCs w:val="18"/>
              </w:rPr>
              <w:t>1</w:t>
            </w:r>
            <w:r>
              <w:rPr>
                <w:color w:val="000000"/>
                <w:sz w:val="18"/>
                <w:szCs w:val="18"/>
              </w:rPr>
              <w:t>)</w:t>
            </w:r>
          </w:p>
        </w:tc>
        <w:tc>
          <w:tcPr>
            <w:tcW w:w="1172" w:type="dxa"/>
            <w:tcBorders>
              <w:top w:val="nil"/>
              <w:left w:val="nil"/>
              <w:bottom w:val="nil"/>
              <w:right w:val="nil"/>
            </w:tcBorders>
            <w:vAlign w:val="center"/>
          </w:tcPr>
          <w:p w14:paraId="5EE3DA53" w14:textId="77777777" w:rsidR="00E03C2E" w:rsidRPr="00C038C2" w:rsidRDefault="00E03C2E" w:rsidP="003A6F56">
            <w:pPr>
              <w:autoSpaceDE w:val="0"/>
              <w:autoSpaceDN w:val="0"/>
              <w:adjustRightInd w:val="0"/>
              <w:ind w:left="60" w:right="60"/>
              <w:jc w:val="center"/>
              <w:rPr>
                <w:color w:val="000000"/>
                <w:sz w:val="18"/>
                <w:szCs w:val="18"/>
              </w:rPr>
            </w:pPr>
            <w:r w:rsidRPr="00CC6048">
              <w:rPr>
                <w:color w:val="000000"/>
                <w:sz w:val="18"/>
                <w:szCs w:val="18"/>
              </w:rPr>
              <w:t>-</w:t>
            </w:r>
            <w:r>
              <w:rPr>
                <w:color w:val="000000"/>
                <w:sz w:val="18"/>
                <w:szCs w:val="18"/>
              </w:rPr>
              <w:t>.</w:t>
            </w:r>
            <w:r w:rsidRPr="00CC6048">
              <w:rPr>
                <w:color w:val="000000"/>
                <w:sz w:val="18"/>
                <w:szCs w:val="18"/>
              </w:rPr>
              <w:t>0</w:t>
            </w:r>
            <w:r w:rsidR="004A65BC">
              <w:rPr>
                <w:color w:val="000000"/>
                <w:sz w:val="18"/>
                <w:szCs w:val="18"/>
              </w:rPr>
              <w:t>2</w:t>
            </w:r>
            <w:r w:rsidRPr="00C038C2">
              <w:rPr>
                <w:color w:val="000000"/>
                <w:sz w:val="18"/>
                <w:szCs w:val="18"/>
              </w:rPr>
              <w:t>**</w:t>
            </w:r>
          </w:p>
          <w:p w14:paraId="5EE3DA54" w14:textId="77777777" w:rsidR="00E03C2E" w:rsidRPr="00CC6048" w:rsidRDefault="00E03C2E" w:rsidP="004A65BC">
            <w:pPr>
              <w:autoSpaceDE w:val="0"/>
              <w:autoSpaceDN w:val="0"/>
              <w:adjustRightInd w:val="0"/>
              <w:ind w:left="60" w:right="60"/>
              <w:jc w:val="center"/>
              <w:rPr>
                <w:color w:val="000000"/>
                <w:sz w:val="18"/>
                <w:szCs w:val="18"/>
              </w:rPr>
            </w:pPr>
            <w:r w:rsidRPr="00C038C2">
              <w:rPr>
                <w:color w:val="000000"/>
                <w:sz w:val="18"/>
                <w:szCs w:val="18"/>
              </w:rPr>
              <w:t>(.0</w:t>
            </w:r>
            <w:r w:rsidR="004A65BC">
              <w:rPr>
                <w:color w:val="000000"/>
                <w:sz w:val="18"/>
                <w:szCs w:val="18"/>
              </w:rPr>
              <w:t>1</w:t>
            </w:r>
            <w:r w:rsidRPr="00C038C2">
              <w:rPr>
                <w:color w:val="000000"/>
                <w:sz w:val="18"/>
                <w:szCs w:val="18"/>
              </w:rPr>
              <w:t>)</w:t>
            </w:r>
          </w:p>
        </w:tc>
        <w:tc>
          <w:tcPr>
            <w:tcW w:w="1173" w:type="dxa"/>
            <w:tcBorders>
              <w:top w:val="nil"/>
              <w:left w:val="nil"/>
              <w:bottom w:val="nil"/>
              <w:right w:val="nil"/>
            </w:tcBorders>
            <w:vAlign w:val="center"/>
          </w:tcPr>
          <w:p w14:paraId="5EE3DA55" w14:textId="77777777" w:rsidR="00E03C2E" w:rsidRPr="00C038C2" w:rsidRDefault="00E03C2E" w:rsidP="003A6F56">
            <w:pPr>
              <w:autoSpaceDE w:val="0"/>
              <w:autoSpaceDN w:val="0"/>
              <w:adjustRightInd w:val="0"/>
              <w:ind w:left="60" w:right="60"/>
              <w:jc w:val="center"/>
              <w:rPr>
                <w:color w:val="000000"/>
                <w:sz w:val="18"/>
                <w:szCs w:val="18"/>
              </w:rPr>
            </w:pPr>
            <w:r w:rsidRPr="003019C4">
              <w:rPr>
                <w:color w:val="000000"/>
                <w:sz w:val="18"/>
                <w:szCs w:val="18"/>
              </w:rPr>
              <w:t>-</w:t>
            </w:r>
            <w:r w:rsidRPr="00C038C2">
              <w:rPr>
                <w:color w:val="000000"/>
                <w:sz w:val="18"/>
                <w:szCs w:val="18"/>
              </w:rPr>
              <w:t>.</w:t>
            </w:r>
            <w:r w:rsidRPr="003019C4">
              <w:rPr>
                <w:color w:val="000000"/>
                <w:sz w:val="18"/>
                <w:szCs w:val="18"/>
              </w:rPr>
              <w:t>0</w:t>
            </w:r>
            <w:r w:rsidR="004A65BC">
              <w:rPr>
                <w:color w:val="000000"/>
                <w:sz w:val="18"/>
                <w:szCs w:val="18"/>
              </w:rPr>
              <w:t>2</w:t>
            </w:r>
            <w:r w:rsidRPr="00C038C2">
              <w:rPr>
                <w:color w:val="000000"/>
                <w:sz w:val="18"/>
                <w:szCs w:val="18"/>
              </w:rPr>
              <w:t>**</w:t>
            </w:r>
          </w:p>
          <w:p w14:paraId="5EE3DA56" w14:textId="77777777" w:rsidR="00E03C2E" w:rsidRPr="003019C4" w:rsidRDefault="00E03C2E" w:rsidP="004A65BC">
            <w:pPr>
              <w:autoSpaceDE w:val="0"/>
              <w:autoSpaceDN w:val="0"/>
              <w:adjustRightInd w:val="0"/>
              <w:ind w:left="60" w:right="60"/>
              <w:jc w:val="center"/>
              <w:rPr>
                <w:color w:val="000000"/>
                <w:sz w:val="18"/>
                <w:szCs w:val="18"/>
              </w:rPr>
            </w:pPr>
            <w:r w:rsidRPr="00C038C2">
              <w:rPr>
                <w:color w:val="000000"/>
                <w:sz w:val="18"/>
                <w:szCs w:val="18"/>
              </w:rPr>
              <w:t>(.0</w:t>
            </w:r>
            <w:r w:rsidR="004A65BC">
              <w:rPr>
                <w:color w:val="000000"/>
                <w:sz w:val="18"/>
                <w:szCs w:val="18"/>
              </w:rPr>
              <w:t>1</w:t>
            </w:r>
            <w:r w:rsidRPr="00C038C2">
              <w:rPr>
                <w:color w:val="000000"/>
                <w:sz w:val="18"/>
                <w:szCs w:val="18"/>
              </w:rPr>
              <w:t>)</w:t>
            </w:r>
          </w:p>
        </w:tc>
      </w:tr>
      <w:tr w:rsidR="00E03C2E" w:rsidRPr="00C038C2" w14:paraId="5EE3DA5F" w14:textId="77777777" w:rsidTr="00596AF3">
        <w:trPr>
          <w:trHeight w:val="265"/>
          <w:jc w:val="center"/>
        </w:trPr>
        <w:tc>
          <w:tcPr>
            <w:tcW w:w="3018" w:type="dxa"/>
            <w:tcBorders>
              <w:top w:val="nil"/>
              <w:left w:val="nil"/>
              <w:bottom w:val="nil"/>
              <w:right w:val="nil"/>
            </w:tcBorders>
          </w:tcPr>
          <w:p w14:paraId="5EE3DA58" w14:textId="77777777" w:rsidR="00E03C2E" w:rsidRPr="000443CE" w:rsidRDefault="00E03C2E" w:rsidP="003A6F56">
            <w:pPr>
              <w:rPr>
                <w:i/>
                <w:sz w:val="18"/>
                <w:szCs w:val="18"/>
                <w:lang w:val="it-IT" w:eastAsia="en-US"/>
              </w:rPr>
            </w:pPr>
            <w:r w:rsidRPr="000443CE">
              <w:rPr>
                <w:i/>
                <w:sz w:val="18"/>
                <w:szCs w:val="18"/>
                <w:lang w:val="it-IT" w:eastAsia="en-US"/>
              </w:rPr>
              <w:t>Predictor variables</w:t>
            </w:r>
          </w:p>
        </w:tc>
        <w:tc>
          <w:tcPr>
            <w:tcW w:w="1172" w:type="dxa"/>
            <w:tcBorders>
              <w:top w:val="nil"/>
              <w:left w:val="nil"/>
              <w:bottom w:val="nil"/>
              <w:right w:val="nil"/>
            </w:tcBorders>
            <w:vAlign w:val="center"/>
          </w:tcPr>
          <w:p w14:paraId="5EE3DA59" w14:textId="77777777" w:rsidR="00E03C2E" w:rsidRPr="004F7118"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5A" w14:textId="77777777" w:rsidR="00E03C2E" w:rsidRPr="00D8300E"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5B" w14:textId="77777777" w:rsidR="00E03C2E" w:rsidRPr="00721ACE"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5C" w14:textId="77777777" w:rsidR="00E03C2E" w:rsidRPr="009D5340"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5D" w14:textId="77777777" w:rsidR="00E03C2E" w:rsidRPr="00CC6048" w:rsidRDefault="00E03C2E" w:rsidP="003A6F56">
            <w:pPr>
              <w:autoSpaceDE w:val="0"/>
              <w:autoSpaceDN w:val="0"/>
              <w:adjustRightInd w:val="0"/>
              <w:ind w:left="60" w:right="60"/>
              <w:jc w:val="center"/>
              <w:rPr>
                <w:color w:val="000000"/>
                <w:sz w:val="18"/>
                <w:szCs w:val="18"/>
              </w:rPr>
            </w:pPr>
          </w:p>
        </w:tc>
        <w:tc>
          <w:tcPr>
            <w:tcW w:w="1173" w:type="dxa"/>
            <w:tcBorders>
              <w:top w:val="nil"/>
              <w:left w:val="nil"/>
              <w:bottom w:val="nil"/>
              <w:right w:val="nil"/>
            </w:tcBorders>
            <w:vAlign w:val="center"/>
          </w:tcPr>
          <w:p w14:paraId="5EE3DA5E" w14:textId="77777777" w:rsidR="00E03C2E" w:rsidRPr="003019C4" w:rsidRDefault="00E03C2E" w:rsidP="003A6F56">
            <w:pPr>
              <w:autoSpaceDE w:val="0"/>
              <w:autoSpaceDN w:val="0"/>
              <w:adjustRightInd w:val="0"/>
              <w:ind w:left="60" w:right="60"/>
              <w:jc w:val="center"/>
              <w:rPr>
                <w:color w:val="000000"/>
                <w:sz w:val="18"/>
                <w:szCs w:val="18"/>
              </w:rPr>
            </w:pPr>
          </w:p>
        </w:tc>
      </w:tr>
      <w:tr w:rsidR="00E03C2E" w:rsidRPr="00C038C2" w14:paraId="5EE3DA6D" w14:textId="77777777" w:rsidTr="00596AF3">
        <w:trPr>
          <w:trHeight w:val="283"/>
          <w:jc w:val="center"/>
        </w:trPr>
        <w:tc>
          <w:tcPr>
            <w:tcW w:w="3018" w:type="dxa"/>
            <w:tcBorders>
              <w:top w:val="nil"/>
              <w:left w:val="nil"/>
              <w:bottom w:val="nil"/>
              <w:right w:val="nil"/>
            </w:tcBorders>
          </w:tcPr>
          <w:p w14:paraId="5EE3DA60" w14:textId="77777777" w:rsidR="00E03C2E" w:rsidRPr="000443CE" w:rsidRDefault="00E03C2E" w:rsidP="00595B7D">
            <w:pPr>
              <w:ind w:firstLine="272"/>
              <w:rPr>
                <w:sz w:val="18"/>
                <w:szCs w:val="18"/>
                <w:lang w:val="it-IT" w:eastAsia="en-US"/>
              </w:rPr>
            </w:pPr>
            <w:r w:rsidRPr="000443CE">
              <w:rPr>
                <w:sz w:val="18"/>
                <w:szCs w:val="18"/>
                <w:lang w:val="it-IT" w:eastAsia="en-US"/>
              </w:rPr>
              <w:t xml:space="preserve">Enterpreneurial </w:t>
            </w:r>
            <w:r w:rsidR="0077283E">
              <w:rPr>
                <w:sz w:val="18"/>
                <w:szCs w:val="18"/>
                <w:lang w:val="it-IT" w:eastAsia="en-US"/>
              </w:rPr>
              <w:t>Orientation</w:t>
            </w:r>
            <w:r>
              <w:rPr>
                <w:sz w:val="18"/>
                <w:szCs w:val="18"/>
                <w:lang w:val="it-IT" w:eastAsia="en-US"/>
              </w:rPr>
              <w:t xml:space="preserve"> (EO)</w:t>
            </w:r>
          </w:p>
          <w:p w14:paraId="5EE3DA61" w14:textId="77777777" w:rsidR="00E03C2E" w:rsidRPr="000443CE" w:rsidRDefault="00E03C2E" w:rsidP="00595B7D">
            <w:pPr>
              <w:ind w:firstLine="272"/>
              <w:rPr>
                <w:sz w:val="18"/>
                <w:szCs w:val="18"/>
                <w:lang w:val="it-IT" w:eastAsia="en-US"/>
              </w:rPr>
            </w:pPr>
          </w:p>
        </w:tc>
        <w:tc>
          <w:tcPr>
            <w:tcW w:w="1172" w:type="dxa"/>
            <w:tcBorders>
              <w:top w:val="nil"/>
              <w:left w:val="nil"/>
              <w:bottom w:val="nil"/>
              <w:right w:val="nil"/>
            </w:tcBorders>
            <w:vAlign w:val="center"/>
          </w:tcPr>
          <w:p w14:paraId="5EE3DA62" w14:textId="77777777" w:rsidR="00E03C2E" w:rsidRPr="003019C4" w:rsidRDefault="00E03C2E" w:rsidP="00595B7D">
            <w:pPr>
              <w:autoSpaceDE w:val="0"/>
              <w:autoSpaceDN w:val="0"/>
              <w:adjustRightInd w:val="0"/>
              <w:spacing w:line="320" w:lineRule="atLeast"/>
              <w:ind w:left="60" w:right="60"/>
              <w:jc w:val="center"/>
              <w:rPr>
                <w:color w:val="000000"/>
                <w:sz w:val="18"/>
                <w:szCs w:val="18"/>
              </w:rPr>
            </w:pPr>
          </w:p>
        </w:tc>
        <w:tc>
          <w:tcPr>
            <w:tcW w:w="1172" w:type="dxa"/>
            <w:tcBorders>
              <w:top w:val="nil"/>
              <w:left w:val="nil"/>
              <w:bottom w:val="nil"/>
              <w:right w:val="nil"/>
            </w:tcBorders>
            <w:vAlign w:val="center"/>
          </w:tcPr>
          <w:p w14:paraId="5EE3DA63" w14:textId="77777777" w:rsidR="00E03C2E" w:rsidRDefault="00E03C2E" w:rsidP="00595B7D">
            <w:pPr>
              <w:autoSpaceDE w:val="0"/>
              <w:autoSpaceDN w:val="0"/>
              <w:adjustRightInd w:val="0"/>
              <w:ind w:left="60" w:right="60"/>
              <w:jc w:val="center"/>
              <w:rPr>
                <w:color w:val="000000"/>
                <w:sz w:val="18"/>
                <w:szCs w:val="18"/>
              </w:rPr>
            </w:pPr>
            <w:r>
              <w:rPr>
                <w:color w:val="000000"/>
                <w:sz w:val="18"/>
                <w:szCs w:val="18"/>
              </w:rPr>
              <w:t>.</w:t>
            </w:r>
            <w:r w:rsidRPr="00D8300E">
              <w:rPr>
                <w:color w:val="000000"/>
                <w:sz w:val="18"/>
                <w:szCs w:val="18"/>
              </w:rPr>
              <w:t>31</w:t>
            </w:r>
            <w:r>
              <w:rPr>
                <w:color w:val="000000"/>
                <w:sz w:val="18"/>
                <w:szCs w:val="18"/>
              </w:rPr>
              <w:t>**</w:t>
            </w:r>
          </w:p>
          <w:p w14:paraId="5EE3DA64" w14:textId="77777777" w:rsidR="00E03C2E" w:rsidRPr="00D8300E" w:rsidRDefault="00E03C2E" w:rsidP="004A65BC">
            <w:pPr>
              <w:autoSpaceDE w:val="0"/>
              <w:autoSpaceDN w:val="0"/>
              <w:adjustRightInd w:val="0"/>
              <w:ind w:left="60" w:right="60"/>
              <w:jc w:val="center"/>
              <w:rPr>
                <w:color w:val="000000"/>
                <w:sz w:val="18"/>
                <w:szCs w:val="18"/>
              </w:rPr>
            </w:pPr>
            <w:r>
              <w:rPr>
                <w:color w:val="000000"/>
                <w:sz w:val="18"/>
                <w:szCs w:val="18"/>
              </w:rPr>
              <w:t>(.1</w:t>
            </w:r>
            <w:r w:rsidR="004A65BC">
              <w:rPr>
                <w:color w:val="000000"/>
                <w:sz w:val="18"/>
                <w:szCs w:val="18"/>
              </w:rPr>
              <w:t>6</w:t>
            </w:r>
            <w:r>
              <w:rPr>
                <w:color w:val="000000"/>
                <w:sz w:val="18"/>
                <w:szCs w:val="18"/>
              </w:rPr>
              <w:t>)</w:t>
            </w:r>
          </w:p>
        </w:tc>
        <w:tc>
          <w:tcPr>
            <w:tcW w:w="1172" w:type="dxa"/>
            <w:tcBorders>
              <w:top w:val="nil"/>
              <w:left w:val="nil"/>
              <w:bottom w:val="nil"/>
              <w:right w:val="nil"/>
            </w:tcBorders>
            <w:vAlign w:val="center"/>
          </w:tcPr>
          <w:p w14:paraId="5EE3DA65" w14:textId="77777777" w:rsidR="00E03C2E" w:rsidRDefault="00E03C2E" w:rsidP="00595B7D">
            <w:pPr>
              <w:autoSpaceDE w:val="0"/>
              <w:autoSpaceDN w:val="0"/>
              <w:adjustRightInd w:val="0"/>
              <w:ind w:left="60" w:right="60"/>
              <w:jc w:val="center"/>
              <w:rPr>
                <w:color w:val="000000"/>
                <w:sz w:val="18"/>
                <w:szCs w:val="18"/>
              </w:rPr>
            </w:pPr>
            <w:r>
              <w:rPr>
                <w:color w:val="000000"/>
                <w:sz w:val="18"/>
                <w:szCs w:val="18"/>
              </w:rPr>
              <w:t>.3</w:t>
            </w:r>
            <w:r w:rsidR="004A65BC">
              <w:rPr>
                <w:color w:val="000000"/>
                <w:sz w:val="18"/>
                <w:szCs w:val="18"/>
              </w:rPr>
              <w:t>1</w:t>
            </w:r>
            <w:r>
              <w:rPr>
                <w:color w:val="000000"/>
                <w:sz w:val="18"/>
                <w:szCs w:val="18"/>
              </w:rPr>
              <w:t>*</w:t>
            </w:r>
          </w:p>
          <w:p w14:paraId="5EE3DA66" w14:textId="77777777" w:rsidR="00E03C2E" w:rsidRPr="00721ACE" w:rsidRDefault="00E03C2E" w:rsidP="004A65BC">
            <w:pPr>
              <w:autoSpaceDE w:val="0"/>
              <w:autoSpaceDN w:val="0"/>
              <w:adjustRightInd w:val="0"/>
              <w:ind w:left="60" w:right="60"/>
              <w:jc w:val="center"/>
              <w:rPr>
                <w:color w:val="000000"/>
                <w:sz w:val="18"/>
                <w:szCs w:val="18"/>
              </w:rPr>
            </w:pPr>
            <w:r>
              <w:rPr>
                <w:color w:val="000000"/>
                <w:sz w:val="18"/>
                <w:szCs w:val="18"/>
              </w:rPr>
              <w:t>(.16)</w:t>
            </w:r>
          </w:p>
        </w:tc>
        <w:tc>
          <w:tcPr>
            <w:tcW w:w="1172" w:type="dxa"/>
            <w:tcBorders>
              <w:top w:val="nil"/>
              <w:left w:val="nil"/>
              <w:bottom w:val="nil"/>
              <w:right w:val="nil"/>
            </w:tcBorders>
            <w:vAlign w:val="center"/>
          </w:tcPr>
          <w:p w14:paraId="5EE3DA67" w14:textId="77777777" w:rsidR="00E03C2E" w:rsidRDefault="00E03C2E" w:rsidP="00595B7D">
            <w:pPr>
              <w:autoSpaceDE w:val="0"/>
              <w:autoSpaceDN w:val="0"/>
              <w:adjustRightInd w:val="0"/>
              <w:ind w:left="60" w:right="60"/>
              <w:jc w:val="center"/>
              <w:rPr>
                <w:color w:val="000000"/>
                <w:sz w:val="18"/>
                <w:szCs w:val="18"/>
              </w:rPr>
            </w:pPr>
            <w:r>
              <w:rPr>
                <w:color w:val="000000"/>
                <w:sz w:val="18"/>
                <w:szCs w:val="18"/>
              </w:rPr>
              <w:t>.</w:t>
            </w:r>
            <w:r w:rsidRPr="009D5340">
              <w:rPr>
                <w:color w:val="000000"/>
                <w:sz w:val="18"/>
                <w:szCs w:val="18"/>
              </w:rPr>
              <w:t>35</w:t>
            </w:r>
            <w:r>
              <w:rPr>
                <w:color w:val="000000"/>
                <w:sz w:val="18"/>
                <w:szCs w:val="18"/>
              </w:rPr>
              <w:t>**</w:t>
            </w:r>
          </w:p>
          <w:p w14:paraId="5EE3DA68" w14:textId="77777777" w:rsidR="00E03C2E" w:rsidRPr="009D5340" w:rsidRDefault="00E03C2E" w:rsidP="004A65BC">
            <w:pPr>
              <w:autoSpaceDE w:val="0"/>
              <w:autoSpaceDN w:val="0"/>
              <w:adjustRightInd w:val="0"/>
              <w:ind w:left="60" w:right="60"/>
              <w:jc w:val="center"/>
              <w:rPr>
                <w:color w:val="000000"/>
                <w:sz w:val="18"/>
                <w:szCs w:val="18"/>
              </w:rPr>
            </w:pPr>
            <w:r>
              <w:rPr>
                <w:color w:val="000000"/>
                <w:sz w:val="18"/>
                <w:szCs w:val="18"/>
              </w:rPr>
              <w:t>(.16)</w:t>
            </w:r>
          </w:p>
        </w:tc>
        <w:tc>
          <w:tcPr>
            <w:tcW w:w="1172" w:type="dxa"/>
            <w:tcBorders>
              <w:top w:val="nil"/>
              <w:left w:val="nil"/>
              <w:bottom w:val="nil"/>
              <w:right w:val="nil"/>
            </w:tcBorders>
            <w:vAlign w:val="center"/>
          </w:tcPr>
          <w:p w14:paraId="5EE3DA69" w14:textId="77777777" w:rsidR="00E03C2E" w:rsidRPr="00C038C2" w:rsidRDefault="00E03C2E" w:rsidP="00595B7D">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45</w:t>
            </w:r>
            <w:r w:rsidRPr="00C038C2">
              <w:rPr>
                <w:color w:val="000000"/>
                <w:sz w:val="18"/>
                <w:szCs w:val="18"/>
              </w:rPr>
              <w:t>**</w:t>
            </w:r>
          </w:p>
          <w:p w14:paraId="5EE3DA6A" w14:textId="77777777" w:rsidR="00E03C2E" w:rsidRPr="00CC6048" w:rsidRDefault="00E03C2E" w:rsidP="004A65BC">
            <w:pPr>
              <w:autoSpaceDE w:val="0"/>
              <w:autoSpaceDN w:val="0"/>
              <w:adjustRightInd w:val="0"/>
              <w:ind w:left="60" w:right="60"/>
              <w:jc w:val="center"/>
              <w:rPr>
                <w:color w:val="000000"/>
                <w:sz w:val="18"/>
                <w:szCs w:val="18"/>
              </w:rPr>
            </w:pPr>
            <w:r w:rsidRPr="00C038C2">
              <w:rPr>
                <w:color w:val="000000"/>
                <w:sz w:val="18"/>
                <w:szCs w:val="18"/>
              </w:rPr>
              <w:t>(.2</w:t>
            </w:r>
            <w:r w:rsidR="004A65BC">
              <w:rPr>
                <w:color w:val="000000"/>
                <w:sz w:val="18"/>
                <w:szCs w:val="18"/>
              </w:rPr>
              <w:t>3</w:t>
            </w:r>
            <w:r w:rsidRPr="00C038C2">
              <w:rPr>
                <w:color w:val="000000"/>
                <w:sz w:val="18"/>
                <w:szCs w:val="18"/>
              </w:rPr>
              <w:t>)</w:t>
            </w:r>
          </w:p>
        </w:tc>
        <w:tc>
          <w:tcPr>
            <w:tcW w:w="1173" w:type="dxa"/>
            <w:tcBorders>
              <w:top w:val="nil"/>
              <w:left w:val="nil"/>
              <w:bottom w:val="nil"/>
              <w:right w:val="nil"/>
            </w:tcBorders>
            <w:vAlign w:val="center"/>
          </w:tcPr>
          <w:p w14:paraId="5EE3DA6B" w14:textId="77777777" w:rsidR="00E03C2E" w:rsidRPr="00C038C2" w:rsidRDefault="00E03C2E" w:rsidP="00595B7D">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58</w:t>
            </w:r>
            <w:r w:rsidRPr="00C038C2">
              <w:rPr>
                <w:color w:val="000000"/>
                <w:sz w:val="18"/>
                <w:szCs w:val="18"/>
              </w:rPr>
              <w:t>**</w:t>
            </w:r>
          </w:p>
          <w:p w14:paraId="5EE3DA6C" w14:textId="77777777" w:rsidR="00E03C2E" w:rsidRPr="003019C4" w:rsidRDefault="00E03C2E" w:rsidP="004A65BC">
            <w:pPr>
              <w:autoSpaceDE w:val="0"/>
              <w:autoSpaceDN w:val="0"/>
              <w:adjustRightInd w:val="0"/>
              <w:ind w:left="60" w:right="60"/>
              <w:jc w:val="center"/>
              <w:rPr>
                <w:color w:val="000000"/>
                <w:sz w:val="18"/>
                <w:szCs w:val="18"/>
              </w:rPr>
            </w:pPr>
            <w:r>
              <w:rPr>
                <w:color w:val="000000"/>
                <w:sz w:val="18"/>
                <w:szCs w:val="18"/>
              </w:rPr>
              <w:t>(.2</w:t>
            </w:r>
            <w:r w:rsidR="004A65BC">
              <w:rPr>
                <w:color w:val="000000"/>
                <w:sz w:val="18"/>
                <w:szCs w:val="18"/>
              </w:rPr>
              <w:t>4</w:t>
            </w:r>
            <w:r w:rsidRPr="00C038C2">
              <w:rPr>
                <w:color w:val="000000"/>
                <w:sz w:val="18"/>
                <w:szCs w:val="18"/>
              </w:rPr>
              <w:t>)</w:t>
            </w:r>
          </w:p>
        </w:tc>
      </w:tr>
      <w:tr w:rsidR="00E03C2E" w:rsidRPr="00C038C2" w14:paraId="5EE3DA7A" w14:textId="77777777" w:rsidTr="00596AF3">
        <w:trPr>
          <w:trHeight w:val="283"/>
          <w:jc w:val="center"/>
        </w:trPr>
        <w:tc>
          <w:tcPr>
            <w:tcW w:w="3018" w:type="dxa"/>
            <w:tcBorders>
              <w:top w:val="nil"/>
              <w:left w:val="nil"/>
              <w:bottom w:val="nil"/>
              <w:right w:val="nil"/>
            </w:tcBorders>
          </w:tcPr>
          <w:p w14:paraId="5EE3DA6E" w14:textId="77777777" w:rsidR="00E03C2E" w:rsidRPr="000443CE" w:rsidRDefault="00E03C2E" w:rsidP="003A6F56">
            <w:pPr>
              <w:ind w:firstLine="272"/>
              <w:rPr>
                <w:sz w:val="18"/>
                <w:szCs w:val="18"/>
                <w:lang w:val="it-IT" w:eastAsia="en-US"/>
              </w:rPr>
            </w:pPr>
            <w:r w:rsidRPr="000443CE">
              <w:rPr>
                <w:sz w:val="18"/>
                <w:szCs w:val="18"/>
                <w:lang w:val="it-IT" w:eastAsia="en-US"/>
              </w:rPr>
              <w:t>Regulative distance</w:t>
            </w:r>
          </w:p>
          <w:p w14:paraId="5EE3DA6F" w14:textId="77777777" w:rsidR="00E03C2E" w:rsidRPr="000443CE" w:rsidRDefault="00E03C2E" w:rsidP="003A6F56">
            <w:pPr>
              <w:ind w:firstLine="272"/>
              <w:rPr>
                <w:sz w:val="18"/>
                <w:szCs w:val="18"/>
                <w:lang w:val="it-IT" w:eastAsia="en-US"/>
              </w:rPr>
            </w:pPr>
          </w:p>
        </w:tc>
        <w:tc>
          <w:tcPr>
            <w:tcW w:w="1172" w:type="dxa"/>
            <w:tcBorders>
              <w:top w:val="nil"/>
              <w:left w:val="nil"/>
              <w:bottom w:val="nil"/>
              <w:right w:val="nil"/>
            </w:tcBorders>
            <w:vAlign w:val="center"/>
          </w:tcPr>
          <w:p w14:paraId="5EE3DA70" w14:textId="77777777" w:rsidR="00E03C2E" w:rsidRPr="003019C4" w:rsidRDefault="00E03C2E" w:rsidP="003A6F56">
            <w:pPr>
              <w:autoSpaceDE w:val="0"/>
              <w:autoSpaceDN w:val="0"/>
              <w:adjustRightInd w:val="0"/>
              <w:spacing w:line="320" w:lineRule="atLeast"/>
              <w:ind w:left="60" w:right="60"/>
              <w:jc w:val="center"/>
              <w:rPr>
                <w:color w:val="000000"/>
                <w:sz w:val="18"/>
                <w:szCs w:val="18"/>
              </w:rPr>
            </w:pPr>
          </w:p>
        </w:tc>
        <w:tc>
          <w:tcPr>
            <w:tcW w:w="1172" w:type="dxa"/>
            <w:tcBorders>
              <w:top w:val="nil"/>
              <w:left w:val="nil"/>
              <w:bottom w:val="nil"/>
              <w:right w:val="nil"/>
            </w:tcBorders>
            <w:vAlign w:val="center"/>
          </w:tcPr>
          <w:p w14:paraId="5EE3DA71" w14:textId="77777777" w:rsidR="00E03C2E" w:rsidRPr="00D8300E"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72"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.02</w:t>
            </w:r>
          </w:p>
          <w:p w14:paraId="5EE3DA73" w14:textId="0B3B2B3C" w:rsidR="00E03C2E" w:rsidRPr="00721ACE" w:rsidRDefault="00E56268" w:rsidP="00A2444C">
            <w:pPr>
              <w:autoSpaceDE w:val="0"/>
              <w:autoSpaceDN w:val="0"/>
              <w:adjustRightInd w:val="0"/>
              <w:ind w:left="60" w:right="60"/>
              <w:jc w:val="center"/>
              <w:rPr>
                <w:color w:val="000000"/>
                <w:sz w:val="18"/>
                <w:szCs w:val="18"/>
              </w:rPr>
            </w:pPr>
            <w:r w:rsidRPr="00411422">
              <w:rPr>
                <w:color w:val="000000"/>
                <w:sz w:val="18"/>
                <w:szCs w:val="18"/>
              </w:rPr>
              <w:t>(.</w:t>
            </w:r>
            <w:r w:rsidR="00E03C2E" w:rsidRPr="00411422">
              <w:rPr>
                <w:color w:val="000000"/>
                <w:sz w:val="18"/>
                <w:szCs w:val="18"/>
              </w:rPr>
              <w:t>0</w:t>
            </w:r>
            <w:r w:rsidRPr="00411422">
              <w:rPr>
                <w:color w:val="000000"/>
                <w:sz w:val="18"/>
                <w:szCs w:val="18"/>
              </w:rPr>
              <w:t>3</w:t>
            </w:r>
            <w:r w:rsidR="00E03C2E" w:rsidRPr="00411422">
              <w:rPr>
                <w:color w:val="000000"/>
                <w:sz w:val="18"/>
                <w:szCs w:val="18"/>
              </w:rPr>
              <w:t>)</w:t>
            </w:r>
          </w:p>
        </w:tc>
        <w:tc>
          <w:tcPr>
            <w:tcW w:w="1172" w:type="dxa"/>
            <w:tcBorders>
              <w:top w:val="nil"/>
              <w:left w:val="nil"/>
              <w:bottom w:val="nil"/>
              <w:right w:val="nil"/>
            </w:tcBorders>
            <w:vAlign w:val="center"/>
          </w:tcPr>
          <w:p w14:paraId="5EE3DA74"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.0</w:t>
            </w:r>
            <w:r w:rsidR="004A65BC">
              <w:rPr>
                <w:color w:val="000000"/>
                <w:sz w:val="18"/>
                <w:szCs w:val="18"/>
              </w:rPr>
              <w:t>2</w:t>
            </w:r>
          </w:p>
          <w:p w14:paraId="5EE3DA75" w14:textId="77777777" w:rsidR="00E03C2E" w:rsidRPr="009D5340" w:rsidRDefault="00E03C2E" w:rsidP="004A65BC">
            <w:pPr>
              <w:autoSpaceDE w:val="0"/>
              <w:autoSpaceDN w:val="0"/>
              <w:adjustRightInd w:val="0"/>
              <w:ind w:left="60" w:right="60"/>
              <w:jc w:val="center"/>
              <w:rPr>
                <w:color w:val="000000"/>
                <w:sz w:val="18"/>
                <w:szCs w:val="18"/>
              </w:rPr>
            </w:pPr>
            <w:r>
              <w:rPr>
                <w:color w:val="000000"/>
                <w:sz w:val="18"/>
                <w:szCs w:val="18"/>
              </w:rPr>
              <w:t>(.0</w:t>
            </w:r>
            <w:r w:rsidR="004A65BC">
              <w:rPr>
                <w:color w:val="000000"/>
                <w:sz w:val="18"/>
                <w:szCs w:val="18"/>
              </w:rPr>
              <w:t>3</w:t>
            </w:r>
            <w:r>
              <w:rPr>
                <w:color w:val="000000"/>
                <w:sz w:val="18"/>
                <w:szCs w:val="18"/>
              </w:rPr>
              <w:t>)</w:t>
            </w:r>
          </w:p>
        </w:tc>
        <w:tc>
          <w:tcPr>
            <w:tcW w:w="1172" w:type="dxa"/>
            <w:tcBorders>
              <w:top w:val="nil"/>
              <w:left w:val="nil"/>
              <w:bottom w:val="nil"/>
              <w:right w:val="nil"/>
            </w:tcBorders>
            <w:vAlign w:val="center"/>
          </w:tcPr>
          <w:p w14:paraId="5EE3DA76"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0</w:t>
            </w:r>
            <w:r w:rsidR="004A65BC">
              <w:rPr>
                <w:color w:val="000000"/>
                <w:sz w:val="18"/>
                <w:szCs w:val="18"/>
              </w:rPr>
              <w:t>1</w:t>
            </w:r>
          </w:p>
          <w:p w14:paraId="5EE3DA77" w14:textId="77777777" w:rsidR="00E03C2E" w:rsidRPr="00CC6048" w:rsidRDefault="00E03C2E" w:rsidP="004A65BC">
            <w:pPr>
              <w:autoSpaceDE w:val="0"/>
              <w:autoSpaceDN w:val="0"/>
              <w:adjustRightInd w:val="0"/>
              <w:ind w:left="60" w:right="60"/>
              <w:jc w:val="center"/>
              <w:rPr>
                <w:color w:val="000000"/>
                <w:sz w:val="18"/>
                <w:szCs w:val="18"/>
              </w:rPr>
            </w:pPr>
            <w:r>
              <w:rPr>
                <w:color w:val="000000"/>
                <w:sz w:val="18"/>
                <w:szCs w:val="18"/>
              </w:rPr>
              <w:t>(.0</w:t>
            </w:r>
            <w:r w:rsidR="004A65BC">
              <w:rPr>
                <w:color w:val="000000"/>
                <w:sz w:val="18"/>
                <w:szCs w:val="18"/>
              </w:rPr>
              <w:t>3</w:t>
            </w:r>
            <w:r w:rsidRPr="00C038C2">
              <w:rPr>
                <w:color w:val="000000"/>
                <w:sz w:val="18"/>
                <w:szCs w:val="18"/>
              </w:rPr>
              <w:t>)</w:t>
            </w:r>
          </w:p>
        </w:tc>
        <w:tc>
          <w:tcPr>
            <w:tcW w:w="1173" w:type="dxa"/>
            <w:tcBorders>
              <w:top w:val="nil"/>
              <w:left w:val="nil"/>
              <w:bottom w:val="nil"/>
              <w:right w:val="nil"/>
            </w:tcBorders>
            <w:vAlign w:val="center"/>
          </w:tcPr>
          <w:p w14:paraId="5EE3DA78"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02</w:t>
            </w:r>
          </w:p>
          <w:p w14:paraId="5EE3DA79" w14:textId="77777777" w:rsidR="00E03C2E" w:rsidRPr="003019C4" w:rsidRDefault="00E03C2E" w:rsidP="004A65BC">
            <w:pPr>
              <w:autoSpaceDE w:val="0"/>
              <w:autoSpaceDN w:val="0"/>
              <w:adjustRightInd w:val="0"/>
              <w:ind w:left="60" w:right="60"/>
              <w:jc w:val="center"/>
              <w:rPr>
                <w:color w:val="000000"/>
                <w:sz w:val="18"/>
                <w:szCs w:val="18"/>
              </w:rPr>
            </w:pPr>
            <w:r>
              <w:rPr>
                <w:color w:val="000000"/>
                <w:sz w:val="18"/>
                <w:szCs w:val="18"/>
              </w:rPr>
              <w:t>(.03</w:t>
            </w:r>
            <w:r w:rsidRPr="00C038C2">
              <w:rPr>
                <w:color w:val="000000"/>
                <w:sz w:val="18"/>
                <w:szCs w:val="18"/>
              </w:rPr>
              <w:t>)</w:t>
            </w:r>
          </w:p>
        </w:tc>
      </w:tr>
      <w:tr w:rsidR="00E03C2E" w:rsidRPr="00C038C2" w14:paraId="5EE3DA87" w14:textId="77777777" w:rsidTr="00596AF3">
        <w:trPr>
          <w:trHeight w:val="283"/>
          <w:jc w:val="center"/>
        </w:trPr>
        <w:tc>
          <w:tcPr>
            <w:tcW w:w="3018" w:type="dxa"/>
            <w:tcBorders>
              <w:top w:val="nil"/>
              <w:left w:val="nil"/>
              <w:bottom w:val="nil"/>
              <w:right w:val="nil"/>
            </w:tcBorders>
          </w:tcPr>
          <w:p w14:paraId="5EE3DA7B" w14:textId="77777777" w:rsidR="00E03C2E" w:rsidRPr="000443CE" w:rsidRDefault="00E03C2E" w:rsidP="003A6F56">
            <w:pPr>
              <w:ind w:firstLine="272"/>
              <w:rPr>
                <w:sz w:val="18"/>
                <w:szCs w:val="18"/>
                <w:lang w:val="it-IT" w:eastAsia="en-US"/>
              </w:rPr>
            </w:pPr>
            <w:r w:rsidRPr="000443CE">
              <w:rPr>
                <w:sz w:val="18"/>
                <w:szCs w:val="18"/>
                <w:lang w:val="it-IT" w:eastAsia="en-US"/>
              </w:rPr>
              <w:t>Normative Distance</w:t>
            </w:r>
          </w:p>
          <w:p w14:paraId="5EE3DA7C" w14:textId="77777777" w:rsidR="00E03C2E" w:rsidRPr="000443CE" w:rsidRDefault="00E03C2E" w:rsidP="003A6F56">
            <w:pPr>
              <w:ind w:firstLine="272"/>
              <w:rPr>
                <w:sz w:val="18"/>
                <w:szCs w:val="18"/>
                <w:lang w:val="it-IT" w:eastAsia="en-US"/>
              </w:rPr>
            </w:pPr>
          </w:p>
        </w:tc>
        <w:tc>
          <w:tcPr>
            <w:tcW w:w="1172" w:type="dxa"/>
            <w:tcBorders>
              <w:top w:val="nil"/>
              <w:left w:val="nil"/>
              <w:bottom w:val="nil"/>
              <w:right w:val="nil"/>
            </w:tcBorders>
            <w:vAlign w:val="center"/>
          </w:tcPr>
          <w:p w14:paraId="5EE3DA7D" w14:textId="77777777" w:rsidR="00E03C2E" w:rsidRPr="003019C4" w:rsidRDefault="00E03C2E" w:rsidP="003A6F56">
            <w:pPr>
              <w:autoSpaceDE w:val="0"/>
              <w:autoSpaceDN w:val="0"/>
              <w:adjustRightInd w:val="0"/>
              <w:spacing w:line="320" w:lineRule="atLeast"/>
              <w:ind w:left="60" w:right="60"/>
              <w:jc w:val="center"/>
              <w:rPr>
                <w:color w:val="000000"/>
                <w:sz w:val="18"/>
                <w:szCs w:val="18"/>
              </w:rPr>
            </w:pPr>
          </w:p>
        </w:tc>
        <w:tc>
          <w:tcPr>
            <w:tcW w:w="1172" w:type="dxa"/>
            <w:tcBorders>
              <w:top w:val="nil"/>
              <w:left w:val="nil"/>
              <w:bottom w:val="nil"/>
              <w:right w:val="nil"/>
            </w:tcBorders>
            <w:vAlign w:val="center"/>
          </w:tcPr>
          <w:p w14:paraId="5EE3DA7E" w14:textId="77777777" w:rsidR="00E03C2E" w:rsidRPr="00372F66"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7F" w14:textId="77777777" w:rsidR="00E03C2E" w:rsidRDefault="00E03C2E" w:rsidP="003A6F56">
            <w:pPr>
              <w:autoSpaceDE w:val="0"/>
              <w:autoSpaceDN w:val="0"/>
              <w:adjustRightInd w:val="0"/>
              <w:ind w:left="60" w:right="60"/>
              <w:jc w:val="center"/>
              <w:rPr>
                <w:color w:val="000000"/>
                <w:sz w:val="18"/>
                <w:szCs w:val="18"/>
              </w:rPr>
            </w:pPr>
            <w:r w:rsidRPr="00721ACE">
              <w:rPr>
                <w:color w:val="000000"/>
                <w:sz w:val="18"/>
                <w:szCs w:val="18"/>
              </w:rPr>
              <w:t>-</w:t>
            </w:r>
            <w:r>
              <w:rPr>
                <w:color w:val="000000"/>
                <w:sz w:val="18"/>
                <w:szCs w:val="18"/>
              </w:rPr>
              <w:t>.1</w:t>
            </w:r>
            <w:r w:rsidR="004A65BC">
              <w:rPr>
                <w:color w:val="000000"/>
                <w:sz w:val="18"/>
                <w:szCs w:val="18"/>
              </w:rPr>
              <w:t>6</w:t>
            </w:r>
          </w:p>
          <w:p w14:paraId="5EE3DA80" w14:textId="77777777" w:rsidR="00E03C2E" w:rsidRPr="00721ACE" w:rsidRDefault="00E03C2E" w:rsidP="004A65BC">
            <w:pPr>
              <w:autoSpaceDE w:val="0"/>
              <w:autoSpaceDN w:val="0"/>
              <w:adjustRightInd w:val="0"/>
              <w:ind w:left="60" w:right="60"/>
              <w:jc w:val="center"/>
              <w:rPr>
                <w:color w:val="000000"/>
                <w:sz w:val="18"/>
                <w:szCs w:val="18"/>
              </w:rPr>
            </w:pPr>
            <w:r>
              <w:rPr>
                <w:color w:val="000000"/>
                <w:sz w:val="18"/>
                <w:szCs w:val="18"/>
              </w:rPr>
              <w:t>(.17)</w:t>
            </w:r>
          </w:p>
        </w:tc>
        <w:tc>
          <w:tcPr>
            <w:tcW w:w="1172" w:type="dxa"/>
            <w:tcBorders>
              <w:top w:val="nil"/>
              <w:left w:val="nil"/>
              <w:bottom w:val="nil"/>
              <w:right w:val="nil"/>
            </w:tcBorders>
            <w:vAlign w:val="center"/>
          </w:tcPr>
          <w:p w14:paraId="5EE3DA81" w14:textId="77777777" w:rsidR="00E03C2E" w:rsidRDefault="00E03C2E" w:rsidP="003A6F56">
            <w:pPr>
              <w:autoSpaceDE w:val="0"/>
              <w:autoSpaceDN w:val="0"/>
              <w:adjustRightInd w:val="0"/>
              <w:ind w:left="60" w:right="60"/>
              <w:jc w:val="center"/>
              <w:rPr>
                <w:color w:val="000000"/>
                <w:sz w:val="18"/>
                <w:szCs w:val="18"/>
              </w:rPr>
            </w:pPr>
            <w:r w:rsidRPr="009D5340">
              <w:rPr>
                <w:color w:val="000000"/>
                <w:sz w:val="18"/>
                <w:szCs w:val="18"/>
              </w:rPr>
              <w:t>-</w:t>
            </w:r>
            <w:r>
              <w:rPr>
                <w:color w:val="000000"/>
                <w:sz w:val="18"/>
                <w:szCs w:val="18"/>
              </w:rPr>
              <w:t>.19</w:t>
            </w:r>
          </w:p>
          <w:p w14:paraId="5EE3DA82" w14:textId="77777777" w:rsidR="00E03C2E" w:rsidRPr="009D5340" w:rsidRDefault="00E03C2E" w:rsidP="004A65BC">
            <w:pPr>
              <w:autoSpaceDE w:val="0"/>
              <w:autoSpaceDN w:val="0"/>
              <w:adjustRightInd w:val="0"/>
              <w:ind w:left="60" w:right="60"/>
              <w:jc w:val="center"/>
              <w:rPr>
                <w:color w:val="000000"/>
                <w:sz w:val="18"/>
                <w:szCs w:val="18"/>
              </w:rPr>
            </w:pPr>
            <w:r>
              <w:rPr>
                <w:color w:val="000000"/>
                <w:sz w:val="18"/>
                <w:szCs w:val="18"/>
              </w:rPr>
              <w:t>(.19)</w:t>
            </w:r>
          </w:p>
        </w:tc>
        <w:tc>
          <w:tcPr>
            <w:tcW w:w="1172" w:type="dxa"/>
            <w:tcBorders>
              <w:top w:val="nil"/>
              <w:left w:val="nil"/>
              <w:bottom w:val="nil"/>
              <w:right w:val="nil"/>
            </w:tcBorders>
            <w:vAlign w:val="center"/>
          </w:tcPr>
          <w:p w14:paraId="5EE3DA83"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12</w:t>
            </w:r>
          </w:p>
          <w:p w14:paraId="5EE3DA84" w14:textId="77777777" w:rsidR="00E03C2E" w:rsidRPr="00CC6048" w:rsidRDefault="00E03C2E" w:rsidP="004A65BC">
            <w:pPr>
              <w:autoSpaceDE w:val="0"/>
              <w:autoSpaceDN w:val="0"/>
              <w:adjustRightInd w:val="0"/>
              <w:ind w:left="60" w:right="60"/>
              <w:jc w:val="center"/>
              <w:rPr>
                <w:color w:val="000000"/>
                <w:sz w:val="18"/>
                <w:szCs w:val="18"/>
              </w:rPr>
            </w:pPr>
            <w:r>
              <w:rPr>
                <w:color w:val="000000"/>
                <w:sz w:val="18"/>
                <w:szCs w:val="18"/>
              </w:rPr>
              <w:t>(.16</w:t>
            </w:r>
            <w:r w:rsidRPr="00C038C2">
              <w:rPr>
                <w:color w:val="000000"/>
                <w:sz w:val="18"/>
                <w:szCs w:val="18"/>
              </w:rPr>
              <w:t>)</w:t>
            </w:r>
          </w:p>
        </w:tc>
        <w:tc>
          <w:tcPr>
            <w:tcW w:w="1173" w:type="dxa"/>
            <w:tcBorders>
              <w:top w:val="nil"/>
              <w:left w:val="nil"/>
              <w:bottom w:val="nil"/>
              <w:right w:val="nil"/>
            </w:tcBorders>
            <w:vAlign w:val="center"/>
          </w:tcPr>
          <w:p w14:paraId="5EE3DA85" w14:textId="77777777" w:rsidR="00E03C2E" w:rsidRPr="00C038C2" w:rsidRDefault="00E03C2E" w:rsidP="003A6F56">
            <w:pPr>
              <w:autoSpaceDE w:val="0"/>
              <w:autoSpaceDN w:val="0"/>
              <w:adjustRightInd w:val="0"/>
              <w:ind w:left="60" w:right="60"/>
              <w:jc w:val="center"/>
              <w:rPr>
                <w:color w:val="000000"/>
                <w:sz w:val="18"/>
                <w:szCs w:val="18"/>
              </w:rPr>
            </w:pPr>
            <w:r w:rsidRPr="003019C4">
              <w:rPr>
                <w:color w:val="000000"/>
                <w:sz w:val="18"/>
                <w:szCs w:val="18"/>
              </w:rPr>
              <w:t>-</w:t>
            </w:r>
            <w:r w:rsidRPr="00C038C2">
              <w:rPr>
                <w:color w:val="000000"/>
                <w:sz w:val="18"/>
                <w:szCs w:val="18"/>
              </w:rPr>
              <w:t>.</w:t>
            </w:r>
            <w:r w:rsidR="004A65BC">
              <w:rPr>
                <w:color w:val="000000"/>
                <w:sz w:val="18"/>
                <w:szCs w:val="18"/>
              </w:rPr>
              <w:t>20</w:t>
            </w:r>
          </w:p>
          <w:p w14:paraId="5EE3DA86" w14:textId="77777777" w:rsidR="00E03C2E" w:rsidRPr="003019C4" w:rsidRDefault="00E03C2E" w:rsidP="004A65BC">
            <w:pPr>
              <w:autoSpaceDE w:val="0"/>
              <w:autoSpaceDN w:val="0"/>
              <w:adjustRightInd w:val="0"/>
              <w:ind w:left="60" w:right="60"/>
              <w:jc w:val="center"/>
              <w:rPr>
                <w:color w:val="000000"/>
                <w:sz w:val="18"/>
                <w:szCs w:val="18"/>
              </w:rPr>
            </w:pPr>
            <w:r>
              <w:rPr>
                <w:color w:val="000000"/>
                <w:sz w:val="18"/>
                <w:szCs w:val="18"/>
              </w:rPr>
              <w:t>(.1</w:t>
            </w:r>
            <w:r w:rsidR="004A65BC">
              <w:rPr>
                <w:color w:val="000000"/>
                <w:sz w:val="18"/>
                <w:szCs w:val="18"/>
              </w:rPr>
              <w:t>9</w:t>
            </w:r>
            <w:r w:rsidRPr="00C038C2">
              <w:rPr>
                <w:color w:val="000000"/>
                <w:sz w:val="18"/>
                <w:szCs w:val="18"/>
              </w:rPr>
              <w:t>)</w:t>
            </w:r>
          </w:p>
        </w:tc>
      </w:tr>
      <w:tr w:rsidR="00E03C2E" w:rsidRPr="00C038C2" w14:paraId="5EE3DA94" w14:textId="77777777" w:rsidTr="00596AF3">
        <w:trPr>
          <w:trHeight w:val="283"/>
          <w:jc w:val="center"/>
        </w:trPr>
        <w:tc>
          <w:tcPr>
            <w:tcW w:w="3018" w:type="dxa"/>
            <w:tcBorders>
              <w:top w:val="nil"/>
              <w:left w:val="nil"/>
              <w:bottom w:val="nil"/>
              <w:right w:val="nil"/>
            </w:tcBorders>
          </w:tcPr>
          <w:p w14:paraId="5EE3DA88" w14:textId="77777777" w:rsidR="00E03C2E" w:rsidRPr="000443CE" w:rsidRDefault="00E03C2E" w:rsidP="003A6F56">
            <w:pPr>
              <w:ind w:firstLine="272"/>
              <w:rPr>
                <w:sz w:val="18"/>
                <w:szCs w:val="18"/>
                <w:lang w:val="it-IT" w:eastAsia="en-US"/>
              </w:rPr>
            </w:pPr>
            <w:r w:rsidRPr="000443CE">
              <w:rPr>
                <w:sz w:val="18"/>
                <w:szCs w:val="18"/>
                <w:lang w:val="it-IT" w:eastAsia="en-US"/>
              </w:rPr>
              <w:t>Cultural distance</w:t>
            </w:r>
          </w:p>
          <w:p w14:paraId="5EE3DA89" w14:textId="77777777" w:rsidR="00E03C2E" w:rsidRPr="000443CE" w:rsidRDefault="00E03C2E" w:rsidP="003A6F56">
            <w:pPr>
              <w:ind w:firstLine="272"/>
              <w:rPr>
                <w:sz w:val="18"/>
                <w:szCs w:val="18"/>
                <w:lang w:val="it-IT" w:eastAsia="en-US"/>
              </w:rPr>
            </w:pPr>
          </w:p>
        </w:tc>
        <w:tc>
          <w:tcPr>
            <w:tcW w:w="1172" w:type="dxa"/>
            <w:tcBorders>
              <w:top w:val="nil"/>
              <w:left w:val="nil"/>
              <w:bottom w:val="nil"/>
              <w:right w:val="nil"/>
            </w:tcBorders>
            <w:vAlign w:val="center"/>
          </w:tcPr>
          <w:p w14:paraId="5EE3DA8A" w14:textId="77777777" w:rsidR="00E03C2E" w:rsidRPr="003019C4" w:rsidRDefault="00E03C2E" w:rsidP="003A6F56">
            <w:pPr>
              <w:autoSpaceDE w:val="0"/>
              <w:autoSpaceDN w:val="0"/>
              <w:adjustRightInd w:val="0"/>
              <w:spacing w:line="320" w:lineRule="atLeast"/>
              <w:ind w:left="60" w:right="60"/>
              <w:jc w:val="center"/>
              <w:rPr>
                <w:color w:val="000000"/>
                <w:sz w:val="18"/>
                <w:szCs w:val="18"/>
              </w:rPr>
            </w:pPr>
          </w:p>
        </w:tc>
        <w:tc>
          <w:tcPr>
            <w:tcW w:w="1172" w:type="dxa"/>
            <w:tcBorders>
              <w:top w:val="nil"/>
              <w:left w:val="nil"/>
              <w:bottom w:val="nil"/>
              <w:right w:val="nil"/>
            </w:tcBorders>
            <w:vAlign w:val="center"/>
          </w:tcPr>
          <w:p w14:paraId="5EE3DA8B" w14:textId="77777777" w:rsidR="00E03C2E" w:rsidRPr="00372F66"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8C"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.2</w:t>
            </w:r>
            <w:r w:rsidR="004A65BC">
              <w:rPr>
                <w:color w:val="000000"/>
                <w:sz w:val="18"/>
                <w:szCs w:val="18"/>
              </w:rPr>
              <w:t>8</w:t>
            </w:r>
          </w:p>
          <w:p w14:paraId="5EE3DA8D" w14:textId="77777777" w:rsidR="00E03C2E" w:rsidRPr="00721ACE" w:rsidRDefault="00E03C2E" w:rsidP="004A65BC">
            <w:pPr>
              <w:autoSpaceDE w:val="0"/>
              <w:autoSpaceDN w:val="0"/>
              <w:adjustRightInd w:val="0"/>
              <w:ind w:left="60" w:right="60"/>
              <w:jc w:val="center"/>
              <w:rPr>
                <w:color w:val="000000"/>
                <w:sz w:val="18"/>
                <w:szCs w:val="18"/>
              </w:rPr>
            </w:pPr>
            <w:r>
              <w:rPr>
                <w:color w:val="000000"/>
                <w:sz w:val="18"/>
                <w:szCs w:val="18"/>
              </w:rPr>
              <w:t>(.18)</w:t>
            </w:r>
          </w:p>
        </w:tc>
        <w:tc>
          <w:tcPr>
            <w:tcW w:w="1172" w:type="dxa"/>
            <w:tcBorders>
              <w:top w:val="nil"/>
              <w:left w:val="nil"/>
              <w:bottom w:val="nil"/>
              <w:right w:val="nil"/>
            </w:tcBorders>
            <w:vAlign w:val="center"/>
          </w:tcPr>
          <w:p w14:paraId="5EE3DA8E"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9D5340">
              <w:rPr>
                <w:color w:val="000000"/>
                <w:sz w:val="18"/>
                <w:szCs w:val="18"/>
              </w:rPr>
              <w:t>3</w:t>
            </w:r>
            <w:r w:rsidR="004A65BC">
              <w:rPr>
                <w:color w:val="000000"/>
                <w:sz w:val="18"/>
                <w:szCs w:val="18"/>
              </w:rPr>
              <w:t>1</w:t>
            </w:r>
            <w:r>
              <w:rPr>
                <w:color w:val="000000"/>
                <w:sz w:val="18"/>
                <w:szCs w:val="18"/>
              </w:rPr>
              <w:t>*</w:t>
            </w:r>
          </w:p>
          <w:p w14:paraId="5EE3DA8F" w14:textId="77777777" w:rsidR="00E03C2E" w:rsidRPr="009D5340" w:rsidRDefault="00E03C2E" w:rsidP="004A65BC">
            <w:pPr>
              <w:autoSpaceDE w:val="0"/>
              <w:autoSpaceDN w:val="0"/>
              <w:adjustRightInd w:val="0"/>
              <w:ind w:left="60" w:right="60"/>
              <w:jc w:val="center"/>
              <w:rPr>
                <w:color w:val="000000"/>
                <w:sz w:val="18"/>
                <w:szCs w:val="18"/>
              </w:rPr>
            </w:pPr>
            <w:r>
              <w:rPr>
                <w:color w:val="000000"/>
                <w:sz w:val="18"/>
                <w:szCs w:val="18"/>
              </w:rPr>
              <w:t>(.18)</w:t>
            </w:r>
          </w:p>
        </w:tc>
        <w:tc>
          <w:tcPr>
            <w:tcW w:w="1172" w:type="dxa"/>
            <w:tcBorders>
              <w:top w:val="nil"/>
              <w:left w:val="nil"/>
              <w:bottom w:val="nil"/>
              <w:right w:val="nil"/>
            </w:tcBorders>
            <w:vAlign w:val="center"/>
          </w:tcPr>
          <w:p w14:paraId="5EE3DA90"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3</w:t>
            </w:r>
            <w:r w:rsidR="004A65BC">
              <w:rPr>
                <w:color w:val="000000"/>
                <w:sz w:val="18"/>
                <w:szCs w:val="18"/>
              </w:rPr>
              <w:t>1</w:t>
            </w:r>
            <w:r w:rsidRPr="00C038C2">
              <w:rPr>
                <w:color w:val="000000"/>
                <w:sz w:val="18"/>
                <w:szCs w:val="18"/>
              </w:rPr>
              <w:t>*</w:t>
            </w:r>
          </w:p>
          <w:p w14:paraId="5EE3DA91" w14:textId="77777777" w:rsidR="00E03C2E" w:rsidRPr="00CC6048" w:rsidRDefault="00E03C2E" w:rsidP="004A65BC">
            <w:pPr>
              <w:autoSpaceDE w:val="0"/>
              <w:autoSpaceDN w:val="0"/>
              <w:adjustRightInd w:val="0"/>
              <w:ind w:left="60" w:right="60"/>
              <w:jc w:val="center"/>
              <w:rPr>
                <w:color w:val="000000"/>
                <w:sz w:val="18"/>
                <w:szCs w:val="18"/>
              </w:rPr>
            </w:pPr>
            <w:r>
              <w:rPr>
                <w:color w:val="000000"/>
                <w:sz w:val="18"/>
                <w:szCs w:val="18"/>
              </w:rPr>
              <w:t>(.1</w:t>
            </w:r>
            <w:r w:rsidR="004A65BC">
              <w:rPr>
                <w:color w:val="000000"/>
                <w:sz w:val="18"/>
                <w:szCs w:val="18"/>
              </w:rPr>
              <w:t>8</w:t>
            </w:r>
            <w:r w:rsidRPr="00C038C2">
              <w:rPr>
                <w:color w:val="000000"/>
                <w:sz w:val="18"/>
                <w:szCs w:val="18"/>
              </w:rPr>
              <w:t>)</w:t>
            </w:r>
          </w:p>
        </w:tc>
        <w:tc>
          <w:tcPr>
            <w:tcW w:w="1173" w:type="dxa"/>
            <w:tcBorders>
              <w:top w:val="nil"/>
              <w:left w:val="nil"/>
              <w:bottom w:val="nil"/>
              <w:right w:val="nil"/>
            </w:tcBorders>
            <w:vAlign w:val="center"/>
          </w:tcPr>
          <w:p w14:paraId="5EE3DA92" w14:textId="77777777" w:rsidR="00E03C2E" w:rsidRPr="00C038C2" w:rsidRDefault="00E03C2E" w:rsidP="003A6F56">
            <w:pPr>
              <w:autoSpaceDE w:val="0"/>
              <w:autoSpaceDN w:val="0"/>
              <w:adjustRightInd w:val="0"/>
              <w:ind w:left="60" w:right="60"/>
              <w:jc w:val="center"/>
              <w:rPr>
                <w:color w:val="000000"/>
                <w:sz w:val="18"/>
                <w:szCs w:val="18"/>
              </w:rPr>
            </w:pPr>
            <w:r w:rsidRPr="00C038C2">
              <w:rPr>
                <w:color w:val="000000"/>
                <w:sz w:val="18"/>
                <w:szCs w:val="18"/>
              </w:rPr>
              <w:t>.</w:t>
            </w:r>
            <w:r>
              <w:rPr>
                <w:color w:val="000000"/>
                <w:sz w:val="18"/>
                <w:szCs w:val="18"/>
              </w:rPr>
              <w:t>32</w:t>
            </w:r>
            <w:r w:rsidRPr="00C038C2">
              <w:rPr>
                <w:color w:val="000000"/>
                <w:sz w:val="18"/>
                <w:szCs w:val="18"/>
              </w:rPr>
              <w:t>*</w:t>
            </w:r>
          </w:p>
          <w:p w14:paraId="5EE3DA93" w14:textId="77777777" w:rsidR="00E03C2E" w:rsidRPr="003019C4" w:rsidRDefault="00E03C2E" w:rsidP="004A65BC">
            <w:pPr>
              <w:autoSpaceDE w:val="0"/>
              <w:autoSpaceDN w:val="0"/>
              <w:adjustRightInd w:val="0"/>
              <w:ind w:left="60" w:right="60"/>
              <w:jc w:val="center"/>
              <w:rPr>
                <w:color w:val="000000"/>
                <w:sz w:val="18"/>
                <w:szCs w:val="18"/>
              </w:rPr>
            </w:pPr>
            <w:r>
              <w:rPr>
                <w:color w:val="000000"/>
                <w:sz w:val="18"/>
                <w:szCs w:val="18"/>
              </w:rPr>
              <w:t>(.18</w:t>
            </w:r>
            <w:r w:rsidRPr="00C038C2">
              <w:rPr>
                <w:color w:val="000000"/>
                <w:sz w:val="18"/>
                <w:szCs w:val="18"/>
              </w:rPr>
              <w:t>)</w:t>
            </w:r>
          </w:p>
        </w:tc>
      </w:tr>
      <w:tr w:rsidR="00E03C2E" w:rsidRPr="00C038C2" w14:paraId="5EE3DA9C" w14:textId="77777777" w:rsidTr="00596AF3">
        <w:trPr>
          <w:trHeight w:val="283"/>
          <w:jc w:val="center"/>
        </w:trPr>
        <w:tc>
          <w:tcPr>
            <w:tcW w:w="3018" w:type="dxa"/>
            <w:tcBorders>
              <w:top w:val="nil"/>
              <w:left w:val="nil"/>
              <w:bottom w:val="nil"/>
              <w:right w:val="nil"/>
            </w:tcBorders>
          </w:tcPr>
          <w:p w14:paraId="5EE3DA95" w14:textId="77777777" w:rsidR="00E03C2E" w:rsidRPr="000443CE" w:rsidRDefault="00E03C2E" w:rsidP="003A6F56">
            <w:pPr>
              <w:ind w:firstLine="272"/>
              <w:rPr>
                <w:sz w:val="18"/>
                <w:szCs w:val="18"/>
                <w:lang w:val="it-IT" w:eastAsia="en-US"/>
              </w:rPr>
            </w:pPr>
          </w:p>
        </w:tc>
        <w:tc>
          <w:tcPr>
            <w:tcW w:w="1172" w:type="dxa"/>
            <w:tcBorders>
              <w:top w:val="nil"/>
              <w:left w:val="nil"/>
              <w:bottom w:val="nil"/>
              <w:right w:val="nil"/>
            </w:tcBorders>
            <w:vAlign w:val="center"/>
          </w:tcPr>
          <w:p w14:paraId="5EE3DA96" w14:textId="77777777" w:rsidR="00E03C2E" w:rsidRPr="003019C4" w:rsidRDefault="00E03C2E" w:rsidP="003A6F56">
            <w:pPr>
              <w:autoSpaceDE w:val="0"/>
              <w:autoSpaceDN w:val="0"/>
              <w:adjustRightInd w:val="0"/>
              <w:spacing w:line="320" w:lineRule="atLeast"/>
              <w:ind w:left="60" w:right="60"/>
              <w:jc w:val="center"/>
              <w:rPr>
                <w:color w:val="000000"/>
                <w:sz w:val="18"/>
                <w:szCs w:val="18"/>
              </w:rPr>
            </w:pPr>
          </w:p>
        </w:tc>
        <w:tc>
          <w:tcPr>
            <w:tcW w:w="1172" w:type="dxa"/>
            <w:tcBorders>
              <w:top w:val="nil"/>
              <w:left w:val="nil"/>
              <w:bottom w:val="nil"/>
              <w:right w:val="nil"/>
            </w:tcBorders>
            <w:vAlign w:val="center"/>
          </w:tcPr>
          <w:p w14:paraId="5EE3DA97" w14:textId="77777777" w:rsidR="00E03C2E" w:rsidRPr="00D8300E"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98" w14:textId="77777777" w:rsidR="00E03C2E" w:rsidRPr="00721ACE"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99" w14:textId="77777777" w:rsidR="00E03C2E" w:rsidRPr="009D5340"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9A" w14:textId="77777777" w:rsidR="00E03C2E" w:rsidRPr="00CC6048" w:rsidRDefault="00E03C2E" w:rsidP="003A6F56">
            <w:pPr>
              <w:autoSpaceDE w:val="0"/>
              <w:autoSpaceDN w:val="0"/>
              <w:adjustRightInd w:val="0"/>
              <w:ind w:left="60" w:right="60"/>
              <w:jc w:val="center"/>
              <w:rPr>
                <w:color w:val="000000"/>
                <w:sz w:val="18"/>
                <w:szCs w:val="18"/>
              </w:rPr>
            </w:pPr>
          </w:p>
        </w:tc>
        <w:tc>
          <w:tcPr>
            <w:tcW w:w="1173" w:type="dxa"/>
            <w:tcBorders>
              <w:top w:val="nil"/>
              <w:left w:val="nil"/>
              <w:bottom w:val="nil"/>
              <w:right w:val="nil"/>
            </w:tcBorders>
            <w:vAlign w:val="center"/>
          </w:tcPr>
          <w:p w14:paraId="5EE3DA9B" w14:textId="77777777" w:rsidR="00E03C2E" w:rsidRPr="003019C4" w:rsidRDefault="00E03C2E" w:rsidP="003A6F56">
            <w:pPr>
              <w:autoSpaceDE w:val="0"/>
              <w:autoSpaceDN w:val="0"/>
              <w:adjustRightInd w:val="0"/>
              <w:ind w:left="60" w:right="60"/>
              <w:jc w:val="center"/>
              <w:rPr>
                <w:color w:val="000000"/>
                <w:sz w:val="18"/>
                <w:szCs w:val="18"/>
              </w:rPr>
            </w:pPr>
          </w:p>
        </w:tc>
      </w:tr>
      <w:tr w:rsidR="00E03C2E" w:rsidRPr="00C038C2" w14:paraId="5EE3DAA4" w14:textId="77777777" w:rsidTr="00596AF3">
        <w:trPr>
          <w:trHeight w:val="283"/>
          <w:jc w:val="center"/>
        </w:trPr>
        <w:tc>
          <w:tcPr>
            <w:tcW w:w="3018" w:type="dxa"/>
            <w:tcBorders>
              <w:top w:val="nil"/>
              <w:left w:val="nil"/>
              <w:bottom w:val="nil"/>
              <w:right w:val="nil"/>
            </w:tcBorders>
          </w:tcPr>
          <w:p w14:paraId="5EE3DA9D" w14:textId="77777777" w:rsidR="00E03C2E" w:rsidRPr="000443CE" w:rsidRDefault="00E03C2E" w:rsidP="003A6F56">
            <w:pPr>
              <w:rPr>
                <w:i/>
                <w:sz w:val="18"/>
                <w:szCs w:val="18"/>
                <w:lang w:val="it-IT" w:eastAsia="en-US"/>
              </w:rPr>
            </w:pPr>
            <w:r w:rsidRPr="000443CE">
              <w:rPr>
                <w:i/>
                <w:sz w:val="18"/>
                <w:szCs w:val="18"/>
                <w:lang w:val="it-IT" w:eastAsia="en-US"/>
              </w:rPr>
              <w:t>Interactions</w:t>
            </w:r>
          </w:p>
        </w:tc>
        <w:tc>
          <w:tcPr>
            <w:tcW w:w="1172" w:type="dxa"/>
            <w:tcBorders>
              <w:top w:val="nil"/>
              <w:left w:val="nil"/>
              <w:bottom w:val="nil"/>
              <w:right w:val="nil"/>
            </w:tcBorders>
            <w:vAlign w:val="center"/>
          </w:tcPr>
          <w:p w14:paraId="5EE3DA9E" w14:textId="77777777" w:rsidR="00E03C2E" w:rsidRPr="003019C4" w:rsidRDefault="00E03C2E" w:rsidP="003A6F56">
            <w:pPr>
              <w:autoSpaceDE w:val="0"/>
              <w:autoSpaceDN w:val="0"/>
              <w:adjustRightInd w:val="0"/>
              <w:spacing w:line="320" w:lineRule="atLeast"/>
              <w:ind w:left="60" w:right="60"/>
              <w:jc w:val="center"/>
              <w:rPr>
                <w:color w:val="000000"/>
                <w:sz w:val="18"/>
                <w:szCs w:val="18"/>
              </w:rPr>
            </w:pPr>
          </w:p>
        </w:tc>
        <w:tc>
          <w:tcPr>
            <w:tcW w:w="1172" w:type="dxa"/>
            <w:tcBorders>
              <w:top w:val="nil"/>
              <w:left w:val="nil"/>
              <w:bottom w:val="nil"/>
              <w:right w:val="nil"/>
            </w:tcBorders>
            <w:vAlign w:val="center"/>
          </w:tcPr>
          <w:p w14:paraId="5EE3DA9F" w14:textId="77777777" w:rsidR="00E03C2E" w:rsidRPr="00D8300E"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A0" w14:textId="77777777" w:rsidR="00E03C2E" w:rsidRPr="00721ACE"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A1" w14:textId="77777777" w:rsidR="00E03C2E" w:rsidRPr="009D5340"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A2" w14:textId="77777777" w:rsidR="00E03C2E" w:rsidRPr="00CC6048" w:rsidRDefault="00E03C2E" w:rsidP="003A6F56">
            <w:pPr>
              <w:autoSpaceDE w:val="0"/>
              <w:autoSpaceDN w:val="0"/>
              <w:adjustRightInd w:val="0"/>
              <w:ind w:left="60" w:right="60"/>
              <w:jc w:val="center"/>
              <w:rPr>
                <w:color w:val="000000"/>
                <w:sz w:val="18"/>
                <w:szCs w:val="18"/>
              </w:rPr>
            </w:pPr>
          </w:p>
        </w:tc>
        <w:tc>
          <w:tcPr>
            <w:tcW w:w="1173" w:type="dxa"/>
            <w:tcBorders>
              <w:top w:val="nil"/>
              <w:left w:val="nil"/>
              <w:bottom w:val="nil"/>
              <w:right w:val="nil"/>
            </w:tcBorders>
            <w:vAlign w:val="center"/>
          </w:tcPr>
          <w:p w14:paraId="5EE3DAA3" w14:textId="77777777" w:rsidR="00E03C2E" w:rsidRPr="003019C4" w:rsidRDefault="00E03C2E" w:rsidP="003A6F56">
            <w:pPr>
              <w:autoSpaceDE w:val="0"/>
              <w:autoSpaceDN w:val="0"/>
              <w:adjustRightInd w:val="0"/>
              <w:ind w:left="60" w:right="60"/>
              <w:jc w:val="center"/>
              <w:rPr>
                <w:color w:val="000000"/>
                <w:sz w:val="18"/>
                <w:szCs w:val="18"/>
              </w:rPr>
            </w:pPr>
          </w:p>
        </w:tc>
      </w:tr>
      <w:tr w:rsidR="00E03C2E" w:rsidRPr="000443CE" w14:paraId="5EE3DAAF" w14:textId="77777777" w:rsidTr="00596AF3">
        <w:trPr>
          <w:trHeight w:val="283"/>
          <w:jc w:val="center"/>
        </w:trPr>
        <w:tc>
          <w:tcPr>
            <w:tcW w:w="3018" w:type="dxa"/>
            <w:tcBorders>
              <w:top w:val="nil"/>
              <w:left w:val="nil"/>
              <w:bottom w:val="nil"/>
              <w:right w:val="nil"/>
            </w:tcBorders>
          </w:tcPr>
          <w:p w14:paraId="5EE3DAA5" w14:textId="77777777" w:rsidR="00E03C2E" w:rsidRPr="000443CE" w:rsidRDefault="00E03C2E" w:rsidP="003A6F56">
            <w:pPr>
              <w:ind w:firstLine="272"/>
              <w:rPr>
                <w:sz w:val="18"/>
                <w:szCs w:val="18"/>
                <w:lang w:val="it-IT" w:eastAsia="en-US"/>
              </w:rPr>
            </w:pPr>
            <w:r w:rsidRPr="000443CE">
              <w:rPr>
                <w:sz w:val="18"/>
                <w:szCs w:val="18"/>
                <w:lang w:val="it-IT" w:eastAsia="en-US"/>
              </w:rPr>
              <w:t>Regulative Distance * EO</w:t>
            </w:r>
          </w:p>
          <w:p w14:paraId="5EE3DAA6" w14:textId="77777777" w:rsidR="00E03C2E" w:rsidRPr="000443CE" w:rsidRDefault="00E03C2E" w:rsidP="003A6F56">
            <w:pPr>
              <w:ind w:firstLine="272"/>
              <w:rPr>
                <w:sz w:val="18"/>
                <w:szCs w:val="18"/>
                <w:lang w:val="it-IT" w:eastAsia="en-US"/>
              </w:rPr>
            </w:pPr>
          </w:p>
        </w:tc>
        <w:tc>
          <w:tcPr>
            <w:tcW w:w="1172" w:type="dxa"/>
            <w:tcBorders>
              <w:top w:val="nil"/>
              <w:left w:val="nil"/>
              <w:bottom w:val="nil"/>
              <w:right w:val="nil"/>
            </w:tcBorders>
            <w:vAlign w:val="center"/>
          </w:tcPr>
          <w:p w14:paraId="5EE3DAA7" w14:textId="77777777" w:rsidR="00E03C2E" w:rsidRPr="003019C4" w:rsidRDefault="00E03C2E" w:rsidP="003A6F56">
            <w:pPr>
              <w:autoSpaceDE w:val="0"/>
              <w:autoSpaceDN w:val="0"/>
              <w:adjustRightInd w:val="0"/>
              <w:spacing w:line="320" w:lineRule="atLeast"/>
              <w:ind w:left="60" w:right="60"/>
              <w:jc w:val="center"/>
              <w:rPr>
                <w:color w:val="000000"/>
                <w:sz w:val="18"/>
                <w:szCs w:val="18"/>
              </w:rPr>
            </w:pPr>
          </w:p>
        </w:tc>
        <w:tc>
          <w:tcPr>
            <w:tcW w:w="1172" w:type="dxa"/>
            <w:tcBorders>
              <w:top w:val="nil"/>
              <w:left w:val="nil"/>
              <w:bottom w:val="nil"/>
              <w:right w:val="nil"/>
            </w:tcBorders>
            <w:vAlign w:val="center"/>
          </w:tcPr>
          <w:p w14:paraId="5EE3DAA8" w14:textId="77777777" w:rsidR="00E03C2E" w:rsidRPr="000443CE" w:rsidRDefault="00E03C2E" w:rsidP="003A6F56">
            <w:pPr>
              <w:jc w:val="center"/>
              <w:rPr>
                <w:sz w:val="18"/>
                <w:szCs w:val="18"/>
                <w:lang w:val="it-IT" w:eastAsia="en-US"/>
              </w:rPr>
            </w:pPr>
          </w:p>
        </w:tc>
        <w:tc>
          <w:tcPr>
            <w:tcW w:w="1172" w:type="dxa"/>
            <w:tcBorders>
              <w:top w:val="nil"/>
              <w:left w:val="nil"/>
              <w:bottom w:val="nil"/>
              <w:right w:val="nil"/>
            </w:tcBorders>
            <w:vAlign w:val="center"/>
          </w:tcPr>
          <w:p w14:paraId="5EE3DAA9" w14:textId="77777777" w:rsidR="00E03C2E" w:rsidRDefault="00E03C2E" w:rsidP="003A6F56">
            <w:pPr>
              <w:autoSpaceDE w:val="0"/>
              <w:autoSpaceDN w:val="0"/>
              <w:adjustRightInd w:val="0"/>
              <w:ind w:left="60" w:right="60"/>
              <w:jc w:val="center"/>
              <w:rPr>
                <w:color w:val="000000"/>
                <w:sz w:val="18"/>
                <w:szCs w:val="18"/>
              </w:rPr>
            </w:pPr>
            <w:r w:rsidRPr="00B4216B">
              <w:rPr>
                <w:color w:val="000000"/>
                <w:sz w:val="18"/>
                <w:szCs w:val="18"/>
              </w:rPr>
              <w:t>-.0</w:t>
            </w:r>
            <w:r w:rsidR="004A65BC">
              <w:rPr>
                <w:color w:val="000000"/>
                <w:sz w:val="18"/>
                <w:szCs w:val="18"/>
              </w:rPr>
              <w:t>5</w:t>
            </w:r>
            <w:r w:rsidRPr="00B4216B">
              <w:rPr>
                <w:color w:val="000000"/>
                <w:sz w:val="18"/>
                <w:szCs w:val="18"/>
              </w:rPr>
              <w:t>**</w:t>
            </w:r>
          </w:p>
          <w:p w14:paraId="5EE3DAAA" w14:textId="77777777" w:rsidR="00E03C2E" w:rsidRPr="00721ACE" w:rsidRDefault="00E03C2E" w:rsidP="004A65BC">
            <w:pPr>
              <w:autoSpaceDE w:val="0"/>
              <w:autoSpaceDN w:val="0"/>
              <w:adjustRightInd w:val="0"/>
              <w:ind w:left="60" w:right="60"/>
              <w:jc w:val="center"/>
              <w:rPr>
                <w:color w:val="000000"/>
                <w:sz w:val="18"/>
                <w:szCs w:val="18"/>
              </w:rPr>
            </w:pPr>
            <w:r>
              <w:rPr>
                <w:color w:val="000000"/>
                <w:sz w:val="18"/>
                <w:szCs w:val="18"/>
              </w:rPr>
              <w:t>(.0</w:t>
            </w:r>
            <w:r w:rsidR="004A65BC">
              <w:rPr>
                <w:color w:val="000000"/>
                <w:sz w:val="18"/>
                <w:szCs w:val="18"/>
              </w:rPr>
              <w:t>3</w:t>
            </w:r>
            <w:r>
              <w:rPr>
                <w:color w:val="000000"/>
                <w:sz w:val="18"/>
                <w:szCs w:val="18"/>
              </w:rPr>
              <w:t>)</w:t>
            </w:r>
          </w:p>
        </w:tc>
        <w:tc>
          <w:tcPr>
            <w:tcW w:w="1172" w:type="dxa"/>
            <w:tcBorders>
              <w:top w:val="nil"/>
              <w:left w:val="nil"/>
              <w:bottom w:val="nil"/>
              <w:right w:val="nil"/>
            </w:tcBorders>
            <w:vAlign w:val="center"/>
          </w:tcPr>
          <w:p w14:paraId="5EE3DAAB" w14:textId="77777777" w:rsidR="00E03C2E" w:rsidRPr="009D5340"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AC" w14:textId="77777777" w:rsidR="00E03C2E" w:rsidRPr="00CC6048" w:rsidRDefault="00E03C2E" w:rsidP="003A6F56">
            <w:pPr>
              <w:autoSpaceDE w:val="0"/>
              <w:autoSpaceDN w:val="0"/>
              <w:adjustRightInd w:val="0"/>
              <w:ind w:left="60" w:right="60"/>
              <w:jc w:val="center"/>
              <w:rPr>
                <w:color w:val="000000"/>
                <w:sz w:val="18"/>
                <w:szCs w:val="18"/>
              </w:rPr>
            </w:pPr>
          </w:p>
        </w:tc>
        <w:tc>
          <w:tcPr>
            <w:tcW w:w="1173" w:type="dxa"/>
            <w:tcBorders>
              <w:top w:val="nil"/>
              <w:left w:val="nil"/>
              <w:bottom w:val="nil"/>
              <w:right w:val="nil"/>
            </w:tcBorders>
            <w:vAlign w:val="center"/>
          </w:tcPr>
          <w:p w14:paraId="5EE3DAAD" w14:textId="77777777" w:rsidR="00E03C2E" w:rsidRDefault="00E03C2E" w:rsidP="003A6F56">
            <w:pPr>
              <w:autoSpaceDE w:val="0"/>
              <w:autoSpaceDN w:val="0"/>
              <w:adjustRightInd w:val="0"/>
              <w:ind w:left="60" w:right="60"/>
              <w:jc w:val="center"/>
              <w:rPr>
                <w:color w:val="000000"/>
                <w:sz w:val="18"/>
                <w:szCs w:val="18"/>
              </w:rPr>
            </w:pPr>
            <w:r w:rsidRPr="003019C4">
              <w:rPr>
                <w:color w:val="000000"/>
                <w:sz w:val="18"/>
                <w:szCs w:val="18"/>
              </w:rPr>
              <w:t>-</w:t>
            </w:r>
            <w:r>
              <w:rPr>
                <w:color w:val="000000"/>
                <w:sz w:val="18"/>
                <w:szCs w:val="18"/>
              </w:rPr>
              <w:t>.0</w:t>
            </w:r>
            <w:r w:rsidR="004A65BC">
              <w:rPr>
                <w:color w:val="000000"/>
                <w:sz w:val="18"/>
                <w:szCs w:val="18"/>
              </w:rPr>
              <w:t>6</w:t>
            </w:r>
            <w:r>
              <w:rPr>
                <w:color w:val="000000"/>
                <w:sz w:val="18"/>
                <w:szCs w:val="18"/>
              </w:rPr>
              <w:t>*</w:t>
            </w:r>
          </w:p>
          <w:p w14:paraId="5EE3DAAE" w14:textId="77777777" w:rsidR="00E03C2E" w:rsidRPr="003019C4" w:rsidRDefault="00E03C2E" w:rsidP="004A65BC">
            <w:pPr>
              <w:autoSpaceDE w:val="0"/>
              <w:autoSpaceDN w:val="0"/>
              <w:adjustRightInd w:val="0"/>
              <w:ind w:left="60" w:right="60"/>
              <w:jc w:val="center"/>
              <w:rPr>
                <w:color w:val="000000"/>
                <w:sz w:val="18"/>
                <w:szCs w:val="18"/>
              </w:rPr>
            </w:pPr>
            <w:r>
              <w:rPr>
                <w:color w:val="000000"/>
                <w:sz w:val="18"/>
                <w:szCs w:val="18"/>
              </w:rPr>
              <w:t>(.03)</w:t>
            </w:r>
          </w:p>
        </w:tc>
      </w:tr>
      <w:tr w:rsidR="00E03C2E" w:rsidRPr="000443CE" w14:paraId="5EE3DABA" w14:textId="77777777" w:rsidTr="00596AF3">
        <w:trPr>
          <w:trHeight w:val="283"/>
          <w:jc w:val="center"/>
        </w:trPr>
        <w:tc>
          <w:tcPr>
            <w:tcW w:w="3018" w:type="dxa"/>
            <w:tcBorders>
              <w:top w:val="nil"/>
              <w:left w:val="nil"/>
              <w:bottom w:val="nil"/>
              <w:right w:val="nil"/>
            </w:tcBorders>
          </w:tcPr>
          <w:p w14:paraId="5EE3DAB0" w14:textId="77777777" w:rsidR="00E03C2E" w:rsidRPr="000443CE" w:rsidRDefault="00E03C2E" w:rsidP="003A6F56">
            <w:pPr>
              <w:ind w:firstLine="272"/>
              <w:rPr>
                <w:sz w:val="18"/>
                <w:szCs w:val="18"/>
                <w:lang w:val="it-IT" w:eastAsia="en-US"/>
              </w:rPr>
            </w:pPr>
            <w:r w:rsidRPr="000443CE">
              <w:rPr>
                <w:sz w:val="18"/>
                <w:szCs w:val="18"/>
                <w:lang w:val="it-IT" w:eastAsia="en-US"/>
              </w:rPr>
              <w:t>Normative Distance * EO</w:t>
            </w:r>
          </w:p>
          <w:p w14:paraId="5EE3DAB1" w14:textId="77777777" w:rsidR="00E03C2E" w:rsidRPr="000443CE" w:rsidRDefault="00E03C2E" w:rsidP="003A6F56">
            <w:pPr>
              <w:ind w:firstLine="272"/>
              <w:rPr>
                <w:sz w:val="18"/>
                <w:szCs w:val="18"/>
                <w:lang w:val="it-IT" w:eastAsia="en-US"/>
              </w:rPr>
            </w:pPr>
          </w:p>
        </w:tc>
        <w:tc>
          <w:tcPr>
            <w:tcW w:w="1172" w:type="dxa"/>
            <w:tcBorders>
              <w:top w:val="nil"/>
              <w:left w:val="nil"/>
              <w:bottom w:val="nil"/>
              <w:right w:val="nil"/>
            </w:tcBorders>
            <w:vAlign w:val="center"/>
          </w:tcPr>
          <w:p w14:paraId="5EE3DAB2" w14:textId="77777777" w:rsidR="00E03C2E" w:rsidRPr="003019C4" w:rsidRDefault="00E03C2E" w:rsidP="003A6F56">
            <w:pPr>
              <w:autoSpaceDE w:val="0"/>
              <w:autoSpaceDN w:val="0"/>
              <w:adjustRightInd w:val="0"/>
              <w:spacing w:line="320" w:lineRule="atLeast"/>
              <w:ind w:left="60" w:right="60"/>
              <w:jc w:val="center"/>
              <w:rPr>
                <w:color w:val="000000"/>
                <w:sz w:val="18"/>
                <w:szCs w:val="18"/>
              </w:rPr>
            </w:pPr>
          </w:p>
        </w:tc>
        <w:tc>
          <w:tcPr>
            <w:tcW w:w="1172" w:type="dxa"/>
            <w:tcBorders>
              <w:top w:val="nil"/>
              <w:left w:val="nil"/>
              <w:bottom w:val="nil"/>
              <w:right w:val="nil"/>
            </w:tcBorders>
            <w:vAlign w:val="center"/>
          </w:tcPr>
          <w:p w14:paraId="5EE3DAB3" w14:textId="77777777" w:rsidR="00E03C2E" w:rsidRPr="000443CE" w:rsidRDefault="00E03C2E" w:rsidP="003A6F56">
            <w:pPr>
              <w:jc w:val="center"/>
              <w:rPr>
                <w:sz w:val="18"/>
                <w:szCs w:val="18"/>
                <w:lang w:val="it-IT" w:eastAsia="en-US"/>
              </w:rPr>
            </w:pPr>
          </w:p>
        </w:tc>
        <w:tc>
          <w:tcPr>
            <w:tcW w:w="1172" w:type="dxa"/>
            <w:tcBorders>
              <w:top w:val="nil"/>
              <w:left w:val="nil"/>
              <w:bottom w:val="nil"/>
              <w:right w:val="nil"/>
            </w:tcBorders>
            <w:vAlign w:val="center"/>
          </w:tcPr>
          <w:p w14:paraId="5EE3DAB4" w14:textId="77777777" w:rsidR="00E03C2E" w:rsidRPr="00721ACE" w:rsidRDefault="00E03C2E" w:rsidP="003A6F56">
            <w:pPr>
              <w:autoSpaceDE w:val="0"/>
              <w:autoSpaceDN w:val="0"/>
              <w:adjustRightInd w:val="0"/>
              <w:ind w:left="60" w:right="60"/>
              <w:jc w:val="center"/>
              <w:rPr>
                <w:color w:val="000000"/>
                <w:sz w:val="18"/>
                <w:szCs w:val="18"/>
              </w:rPr>
            </w:pPr>
          </w:p>
        </w:tc>
        <w:tc>
          <w:tcPr>
            <w:tcW w:w="1172" w:type="dxa"/>
            <w:tcBorders>
              <w:top w:val="nil"/>
              <w:left w:val="nil"/>
              <w:bottom w:val="nil"/>
              <w:right w:val="nil"/>
            </w:tcBorders>
            <w:vAlign w:val="center"/>
          </w:tcPr>
          <w:p w14:paraId="5EE3DAB5" w14:textId="77777777" w:rsidR="00E03C2E" w:rsidRDefault="00E03C2E" w:rsidP="003A6F56">
            <w:pPr>
              <w:jc w:val="center"/>
              <w:rPr>
                <w:color w:val="000000"/>
                <w:sz w:val="18"/>
                <w:szCs w:val="18"/>
              </w:rPr>
            </w:pPr>
            <w:r>
              <w:rPr>
                <w:color w:val="000000"/>
                <w:sz w:val="18"/>
                <w:szCs w:val="18"/>
              </w:rPr>
              <w:t>.3</w:t>
            </w:r>
            <w:r w:rsidR="004A65BC">
              <w:rPr>
                <w:color w:val="000000"/>
                <w:sz w:val="18"/>
                <w:szCs w:val="18"/>
              </w:rPr>
              <w:t>3</w:t>
            </w:r>
            <w:r>
              <w:rPr>
                <w:color w:val="000000"/>
                <w:sz w:val="18"/>
                <w:szCs w:val="18"/>
              </w:rPr>
              <w:t>*</w:t>
            </w:r>
          </w:p>
          <w:p w14:paraId="5EE3DAB6" w14:textId="77777777" w:rsidR="00E03C2E" w:rsidRPr="000443CE" w:rsidRDefault="00E03C2E" w:rsidP="004A65BC">
            <w:pPr>
              <w:jc w:val="center"/>
              <w:rPr>
                <w:sz w:val="18"/>
                <w:szCs w:val="18"/>
                <w:lang w:val="it-IT" w:eastAsia="en-US"/>
              </w:rPr>
            </w:pPr>
            <w:r>
              <w:rPr>
                <w:color w:val="000000"/>
                <w:sz w:val="18"/>
                <w:szCs w:val="18"/>
              </w:rPr>
              <w:t>(.</w:t>
            </w:r>
            <w:r w:rsidR="004A65BC">
              <w:rPr>
                <w:color w:val="000000"/>
                <w:sz w:val="18"/>
                <w:szCs w:val="18"/>
              </w:rPr>
              <w:t>20</w:t>
            </w:r>
            <w:r>
              <w:rPr>
                <w:color w:val="000000"/>
                <w:sz w:val="18"/>
                <w:szCs w:val="18"/>
              </w:rPr>
              <w:t>)</w:t>
            </w:r>
          </w:p>
        </w:tc>
        <w:tc>
          <w:tcPr>
            <w:tcW w:w="1172" w:type="dxa"/>
            <w:tcBorders>
              <w:top w:val="nil"/>
              <w:left w:val="nil"/>
              <w:bottom w:val="nil"/>
              <w:right w:val="nil"/>
            </w:tcBorders>
            <w:vAlign w:val="center"/>
          </w:tcPr>
          <w:p w14:paraId="5EE3DAB7" w14:textId="77777777" w:rsidR="00E03C2E" w:rsidRPr="000443CE" w:rsidRDefault="00E03C2E" w:rsidP="003A6F56">
            <w:pPr>
              <w:jc w:val="center"/>
              <w:rPr>
                <w:sz w:val="18"/>
                <w:szCs w:val="18"/>
                <w:lang w:val="it-IT" w:eastAsia="en-US"/>
              </w:rPr>
            </w:pPr>
          </w:p>
        </w:tc>
        <w:tc>
          <w:tcPr>
            <w:tcW w:w="1173" w:type="dxa"/>
            <w:tcBorders>
              <w:top w:val="nil"/>
              <w:left w:val="nil"/>
              <w:bottom w:val="nil"/>
              <w:right w:val="nil"/>
            </w:tcBorders>
            <w:vAlign w:val="center"/>
          </w:tcPr>
          <w:p w14:paraId="5EE3DAB8"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.1</w:t>
            </w:r>
            <w:r w:rsidR="004A65BC">
              <w:rPr>
                <w:color w:val="000000"/>
                <w:sz w:val="18"/>
                <w:szCs w:val="18"/>
              </w:rPr>
              <w:t>3</w:t>
            </w:r>
          </w:p>
          <w:p w14:paraId="5EE3DAB9" w14:textId="77777777" w:rsidR="00E03C2E" w:rsidRPr="003019C4" w:rsidRDefault="00E03C2E" w:rsidP="004A65BC">
            <w:pPr>
              <w:autoSpaceDE w:val="0"/>
              <w:autoSpaceDN w:val="0"/>
              <w:adjustRightInd w:val="0"/>
              <w:ind w:left="60" w:right="60"/>
              <w:jc w:val="center"/>
              <w:rPr>
                <w:color w:val="000000"/>
                <w:sz w:val="18"/>
                <w:szCs w:val="18"/>
              </w:rPr>
            </w:pPr>
            <w:r>
              <w:rPr>
                <w:color w:val="000000"/>
                <w:sz w:val="18"/>
                <w:szCs w:val="18"/>
              </w:rPr>
              <w:t>(.22)</w:t>
            </w:r>
          </w:p>
        </w:tc>
      </w:tr>
      <w:tr w:rsidR="00E03C2E" w:rsidRPr="000443CE" w14:paraId="5EE3DAC5" w14:textId="77777777" w:rsidTr="00596AF3">
        <w:trPr>
          <w:trHeight w:val="283"/>
          <w:jc w:val="center"/>
        </w:trPr>
        <w:tc>
          <w:tcPr>
            <w:tcW w:w="3018" w:type="dxa"/>
            <w:tcBorders>
              <w:top w:val="nil"/>
              <w:left w:val="nil"/>
              <w:bottom w:val="nil"/>
              <w:right w:val="nil"/>
            </w:tcBorders>
          </w:tcPr>
          <w:p w14:paraId="5EE3DABB" w14:textId="77777777" w:rsidR="00E03C2E" w:rsidRPr="000443CE" w:rsidRDefault="00E03C2E" w:rsidP="003A6F56">
            <w:pPr>
              <w:ind w:firstLine="272"/>
              <w:rPr>
                <w:sz w:val="18"/>
                <w:szCs w:val="18"/>
                <w:lang w:val="it-IT" w:eastAsia="en-US"/>
              </w:rPr>
            </w:pPr>
            <w:r w:rsidRPr="000443CE">
              <w:rPr>
                <w:sz w:val="18"/>
                <w:szCs w:val="18"/>
                <w:lang w:val="it-IT" w:eastAsia="en-US"/>
              </w:rPr>
              <w:t>Cultural Distance * EO</w:t>
            </w:r>
          </w:p>
          <w:p w14:paraId="5EE3DABC" w14:textId="77777777" w:rsidR="00E03C2E" w:rsidRPr="000443CE" w:rsidRDefault="00E03C2E" w:rsidP="003A6F56">
            <w:pPr>
              <w:ind w:firstLine="272"/>
              <w:rPr>
                <w:sz w:val="18"/>
                <w:szCs w:val="18"/>
                <w:lang w:val="it-IT" w:eastAsia="en-US"/>
              </w:rPr>
            </w:pPr>
          </w:p>
        </w:tc>
        <w:tc>
          <w:tcPr>
            <w:tcW w:w="1172" w:type="dxa"/>
            <w:tcBorders>
              <w:top w:val="nil"/>
              <w:left w:val="nil"/>
              <w:bottom w:val="nil"/>
              <w:right w:val="nil"/>
            </w:tcBorders>
            <w:vAlign w:val="center"/>
          </w:tcPr>
          <w:p w14:paraId="5EE3DABD" w14:textId="77777777" w:rsidR="00E03C2E" w:rsidRPr="003019C4" w:rsidRDefault="00E03C2E" w:rsidP="003A6F56">
            <w:pPr>
              <w:autoSpaceDE w:val="0"/>
              <w:autoSpaceDN w:val="0"/>
              <w:adjustRightInd w:val="0"/>
              <w:spacing w:line="320" w:lineRule="atLeast"/>
              <w:ind w:left="60" w:right="60"/>
              <w:jc w:val="center"/>
              <w:rPr>
                <w:color w:val="000000"/>
                <w:sz w:val="18"/>
                <w:szCs w:val="18"/>
              </w:rPr>
            </w:pPr>
          </w:p>
        </w:tc>
        <w:tc>
          <w:tcPr>
            <w:tcW w:w="1172" w:type="dxa"/>
            <w:tcBorders>
              <w:top w:val="nil"/>
              <w:left w:val="nil"/>
              <w:bottom w:val="nil"/>
              <w:right w:val="nil"/>
            </w:tcBorders>
            <w:vAlign w:val="center"/>
          </w:tcPr>
          <w:p w14:paraId="5EE3DABE" w14:textId="77777777" w:rsidR="00E03C2E" w:rsidRPr="000443CE" w:rsidRDefault="00E03C2E" w:rsidP="003A6F56">
            <w:pPr>
              <w:jc w:val="center"/>
              <w:rPr>
                <w:sz w:val="18"/>
                <w:szCs w:val="18"/>
                <w:lang w:val="it-IT" w:eastAsia="en-US"/>
              </w:rPr>
            </w:pPr>
          </w:p>
        </w:tc>
        <w:tc>
          <w:tcPr>
            <w:tcW w:w="1172" w:type="dxa"/>
            <w:tcBorders>
              <w:top w:val="nil"/>
              <w:left w:val="nil"/>
              <w:bottom w:val="nil"/>
              <w:right w:val="nil"/>
            </w:tcBorders>
            <w:vAlign w:val="center"/>
          </w:tcPr>
          <w:p w14:paraId="5EE3DABF" w14:textId="77777777" w:rsidR="00E03C2E" w:rsidRPr="000443CE" w:rsidRDefault="00E03C2E" w:rsidP="003A6F56">
            <w:pPr>
              <w:jc w:val="center"/>
              <w:rPr>
                <w:sz w:val="18"/>
                <w:szCs w:val="18"/>
                <w:lang w:val="it-IT" w:eastAsia="en-US"/>
              </w:rPr>
            </w:pPr>
          </w:p>
        </w:tc>
        <w:tc>
          <w:tcPr>
            <w:tcW w:w="1172" w:type="dxa"/>
            <w:tcBorders>
              <w:top w:val="nil"/>
              <w:left w:val="nil"/>
              <w:bottom w:val="nil"/>
              <w:right w:val="nil"/>
            </w:tcBorders>
            <w:vAlign w:val="center"/>
          </w:tcPr>
          <w:p w14:paraId="5EE3DAC0" w14:textId="77777777" w:rsidR="00E03C2E" w:rsidRPr="000443CE" w:rsidRDefault="00E03C2E" w:rsidP="003A6F56">
            <w:pPr>
              <w:jc w:val="center"/>
              <w:rPr>
                <w:sz w:val="18"/>
                <w:szCs w:val="18"/>
                <w:lang w:val="it-IT" w:eastAsia="en-US"/>
              </w:rPr>
            </w:pPr>
          </w:p>
        </w:tc>
        <w:tc>
          <w:tcPr>
            <w:tcW w:w="1172" w:type="dxa"/>
            <w:tcBorders>
              <w:top w:val="nil"/>
              <w:left w:val="nil"/>
              <w:bottom w:val="nil"/>
              <w:right w:val="nil"/>
            </w:tcBorders>
            <w:vAlign w:val="center"/>
          </w:tcPr>
          <w:p w14:paraId="5EE3DAC1" w14:textId="77777777" w:rsidR="00E03C2E" w:rsidRDefault="00E03C2E" w:rsidP="003A6F56">
            <w:pPr>
              <w:autoSpaceDE w:val="0"/>
              <w:autoSpaceDN w:val="0"/>
              <w:adjustRightInd w:val="0"/>
              <w:ind w:left="60" w:right="60"/>
              <w:jc w:val="center"/>
              <w:rPr>
                <w:color w:val="000000"/>
                <w:sz w:val="18"/>
                <w:szCs w:val="18"/>
              </w:rPr>
            </w:pPr>
            <w:r w:rsidRPr="00CC6048">
              <w:rPr>
                <w:color w:val="000000"/>
                <w:sz w:val="18"/>
                <w:szCs w:val="18"/>
              </w:rPr>
              <w:t>-</w:t>
            </w:r>
            <w:r>
              <w:rPr>
                <w:color w:val="000000"/>
                <w:sz w:val="18"/>
                <w:szCs w:val="18"/>
              </w:rPr>
              <w:t>.</w:t>
            </w:r>
            <w:r w:rsidRPr="00CC6048">
              <w:rPr>
                <w:color w:val="000000"/>
                <w:sz w:val="18"/>
                <w:szCs w:val="18"/>
              </w:rPr>
              <w:t>10</w:t>
            </w:r>
          </w:p>
          <w:p w14:paraId="5EE3DAC2" w14:textId="77777777" w:rsidR="00E03C2E" w:rsidRPr="00CC6048" w:rsidRDefault="00E03C2E" w:rsidP="004A65BC">
            <w:pPr>
              <w:autoSpaceDE w:val="0"/>
              <w:autoSpaceDN w:val="0"/>
              <w:adjustRightInd w:val="0"/>
              <w:ind w:left="60" w:right="60"/>
              <w:jc w:val="center"/>
              <w:rPr>
                <w:color w:val="000000"/>
                <w:sz w:val="18"/>
                <w:szCs w:val="18"/>
              </w:rPr>
            </w:pPr>
            <w:r>
              <w:rPr>
                <w:color w:val="000000"/>
                <w:sz w:val="18"/>
                <w:szCs w:val="18"/>
              </w:rPr>
              <w:t>(.12)</w:t>
            </w:r>
          </w:p>
        </w:tc>
        <w:tc>
          <w:tcPr>
            <w:tcW w:w="1173" w:type="dxa"/>
            <w:tcBorders>
              <w:top w:val="nil"/>
              <w:left w:val="nil"/>
              <w:bottom w:val="nil"/>
              <w:right w:val="nil"/>
            </w:tcBorders>
            <w:vAlign w:val="center"/>
          </w:tcPr>
          <w:p w14:paraId="5EE3DAC3" w14:textId="77777777" w:rsidR="00E03C2E" w:rsidRDefault="00E03C2E" w:rsidP="003A6F56">
            <w:pPr>
              <w:autoSpaceDE w:val="0"/>
              <w:autoSpaceDN w:val="0"/>
              <w:adjustRightInd w:val="0"/>
              <w:ind w:left="60" w:right="60"/>
              <w:jc w:val="center"/>
              <w:rPr>
                <w:color w:val="000000"/>
                <w:sz w:val="18"/>
                <w:szCs w:val="18"/>
              </w:rPr>
            </w:pPr>
            <w:r w:rsidRPr="003019C4">
              <w:rPr>
                <w:color w:val="000000"/>
                <w:sz w:val="18"/>
                <w:szCs w:val="18"/>
              </w:rPr>
              <w:t>-</w:t>
            </w:r>
            <w:r>
              <w:rPr>
                <w:color w:val="000000"/>
                <w:sz w:val="18"/>
                <w:szCs w:val="18"/>
              </w:rPr>
              <w:t>.2</w:t>
            </w:r>
            <w:r w:rsidR="004A65BC">
              <w:rPr>
                <w:color w:val="000000"/>
                <w:sz w:val="18"/>
                <w:szCs w:val="18"/>
              </w:rPr>
              <w:t>1</w:t>
            </w:r>
          </w:p>
          <w:p w14:paraId="5EE3DAC4" w14:textId="77777777" w:rsidR="00E03C2E" w:rsidRPr="003019C4" w:rsidRDefault="00E03C2E" w:rsidP="004A65BC">
            <w:pPr>
              <w:autoSpaceDE w:val="0"/>
              <w:autoSpaceDN w:val="0"/>
              <w:adjustRightInd w:val="0"/>
              <w:ind w:left="60" w:right="60"/>
              <w:jc w:val="center"/>
              <w:rPr>
                <w:color w:val="000000"/>
                <w:sz w:val="18"/>
                <w:szCs w:val="18"/>
              </w:rPr>
            </w:pPr>
            <w:r>
              <w:rPr>
                <w:color w:val="000000"/>
                <w:sz w:val="18"/>
                <w:szCs w:val="18"/>
              </w:rPr>
              <w:t>(.13)</w:t>
            </w:r>
          </w:p>
        </w:tc>
      </w:tr>
      <w:tr w:rsidR="00E03C2E" w:rsidRPr="000443CE" w14:paraId="5EE3DAD4" w14:textId="77777777" w:rsidTr="00596AF3">
        <w:trPr>
          <w:trHeight w:val="283"/>
          <w:jc w:val="center"/>
        </w:trPr>
        <w:tc>
          <w:tcPr>
            <w:tcW w:w="3018" w:type="dxa"/>
            <w:tcBorders>
              <w:top w:val="nil"/>
              <w:left w:val="nil"/>
              <w:bottom w:val="nil"/>
              <w:right w:val="nil"/>
            </w:tcBorders>
          </w:tcPr>
          <w:p w14:paraId="5EE3DAC6" w14:textId="77777777" w:rsidR="00E03C2E" w:rsidRPr="000443CE" w:rsidRDefault="00E03C2E" w:rsidP="003A6F56">
            <w:pPr>
              <w:rPr>
                <w:sz w:val="18"/>
                <w:szCs w:val="18"/>
                <w:lang w:val="it-IT" w:eastAsia="en-US"/>
              </w:rPr>
            </w:pPr>
            <w:r w:rsidRPr="000443CE">
              <w:rPr>
                <w:sz w:val="18"/>
                <w:szCs w:val="18"/>
                <w:lang w:val="it-IT" w:eastAsia="en-US"/>
              </w:rPr>
              <w:t>Constant</w:t>
            </w:r>
          </w:p>
          <w:p w14:paraId="5EE3DAC7" w14:textId="77777777" w:rsidR="00E03C2E" w:rsidRPr="000443CE" w:rsidRDefault="00E03C2E" w:rsidP="003A6F56">
            <w:pPr>
              <w:rPr>
                <w:sz w:val="18"/>
                <w:szCs w:val="18"/>
                <w:lang w:val="it-IT" w:eastAsia="en-US"/>
              </w:rPr>
            </w:pPr>
          </w:p>
        </w:tc>
        <w:tc>
          <w:tcPr>
            <w:tcW w:w="1172" w:type="dxa"/>
            <w:tcBorders>
              <w:top w:val="nil"/>
              <w:left w:val="nil"/>
              <w:bottom w:val="nil"/>
              <w:right w:val="nil"/>
            </w:tcBorders>
            <w:vAlign w:val="center"/>
          </w:tcPr>
          <w:p w14:paraId="5EE3DAC8"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w:t>
            </w:r>
            <w:r w:rsidRPr="004F7118">
              <w:rPr>
                <w:color w:val="000000"/>
                <w:sz w:val="18"/>
                <w:szCs w:val="18"/>
              </w:rPr>
              <w:t>16</w:t>
            </w:r>
          </w:p>
          <w:p w14:paraId="5EE3DAC9" w14:textId="77777777" w:rsidR="00E03C2E" w:rsidRPr="004F7118" w:rsidRDefault="00E03C2E" w:rsidP="004A65BC">
            <w:pPr>
              <w:autoSpaceDE w:val="0"/>
              <w:autoSpaceDN w:val="0"/>
              <w:adjustRightInd w:val="0"/>
              <w:ind w:left="60" w:right="60"/>
              <w:jc w:val="center"/>
              <w:rPr>
                <w:color w:val="000000"/>
                <w:sz w:val="18"/>
                <w:szCs w:val="18"/>
              </w:rPr>
            </w:pPr>
            <w:r>
              <w:rPr>
                <w:color w:val="000000"/>
                <w:sz w:val="18"/>
                <w:szCs w:val="18"/>
              </w:rPr>
              <w:t>(.93)</w:t>
            </w:r>
          </w:p>
        </w:tc>
        <w:tc>
          <w:tcPr>
            <w:tcW w:w="1172" w:type="dxa"/>
            <w:tcBorders>
              <w:top w:val="nil"/>
              <w:left w:val="nil"/>
              <w:bottom w:val="nil"/>
              <w:right w:val="nil"/>
            </w:tcBorders>
            <w:vAlign w:val="center"/>
          </w:tcPr>
          <w:p w14:paraId="5EE3DACA" w14:textId="77777777" w:rsidR="00E03C2E" w:rsidRDefault="00E03C2E" w:rsidP="003A6F56">
            <w:pPr>
              <w:autoSpaceDE w:val="0"/>
              <w:autoSpaceDN w:val="0"/>
              <w:adjustRightInd w:val="0"/>
              <w:ind w:left="60" w:right="60"/>
              <w:jc w:val="center"/>
              <w:rPr>
                <w:color w:val="000000"/>
                <w:sz w:val="18"/>
                <w:szCs w:val="18"/>
              </w:rPr>
            </w:pPr>
            <w:r w:rsidRPr="00D8300E">
              <w:rPr>
                <w:color w:val="000000"/>
                <w:sz w:val="18"/>
                <w:szCs w:val="18"/>
              </w:rPr>
              <w:t>-</w:t>
            </w:r>
            <w:r>
              <w:rPr>
                <w:color w:val="000000"/>
                <w:sz w:val="18"/>
                <w:szCs w:val="18"/>
              </w:rPr>
              <w:t>.</w:t>
            </w:r>
            <w:r w:rsidRPr="00D8300E">
              <w:rPr>
                <w:color w:val="000000"/>
                <w:sz w:val="18"/>
                <w:szCs w:val="18"/>
              </w:rPr>
              <w:t>47</w:t>
            </w:r>
          </w:p>
          <w:p w14:paraId="5EE3DACB" w14:textId="77777777" w:rsidR="00E03C2E" w:rsidRPr="00D8300E" w:rsidRDefault="00E03C2E" w:rsidP="004A65BC">
            <w:pPr>
              <w:autoSpaceDE w:val="0"/>
              <w:autoSpaceDN w:val="0"/>
              <w:adjustRightInd w:val="0"/>
              <w:ind w:left="60" w:right="60"/>
              <w:jc w:val="center"/>
              <w:rPr>
                <w:color w:val="000000"/>
                <w:sz w:val="18"/>
                <w:szCs w:val="18"/>
              </w:rPr>
            </w:pPr>
            <w:r>
              <w:rPr>
                <w:color w:val="000000"/>
                <w:sz w:val="18"/>
                <w:szCs w:val="18"/>
              </w:rPr>
              <w:t>(</w:t>
            </w:r>
            <w:r w:rsidR="004A65BC">
              <w:rPr>
                <w:color w:val="000000"/>
                <w:sz w:val="18"/>
                <w:szCs w:val="18"/>
              </w:rPr>
              <w:t>1.00</w:t>
            </w:r>
            <w:r>
              <w:rPr>
                <w:color w:val="000000"/>
                <w:sz w:val="18"/>
                <w:szCs w:val="18"/>
              </w:rPr>
              <w:t>)</w:t>
            </w:r>
          </w:p>
        </w:tc>
        <w:tc>
          <w:tcPr>
            <w:tcW w:w="1172" w:type="dxa"/>
            <w:tcBorders>
              <w:top w:val="nil"/>
              <w:left w:val="nil"/>
              <w:bottom w:val="nil"/>
              <w:right w:val="nil"/>
            </w:tcBorders>
            <w:vAlign w:val="center"/>
          </w:tcPr>
          <w:p w14:paraId="5EE3DACC" w14:textId="77777777" w:rsidR="00E03C2E" w:rsidRDefault="00E03C2E" w:rsidP="003A6F56">
            <w:pPr>
              <w:jc w:val="center"/>
              <w:rPr>
                <w:color w:val="000000"/>
                <w:sz w:val="18"/>
                <w:szCs w:val="18"/>
              </w:rPr>
            </w:pPr>
            <w:r w:rsidRPr="00721ACE">
              <w:rPr>
                <w:color w:val="000000"/>
                <w:sz w:val="18"/>
                <w:szCs w:val="18"/>
              </w:rPr>
              <w:t>-</w:t>
            </w:r>
            <w:r>
              <w:rPr>
                <w:color w:val="000000"/>
                <w:sz w:val="18"/>
                <w:szCs w:val="18"/>
              </w:rPr>
              <w:t>.30</w:t>
            </w:r>
          </w:p>
          <w:p w14:paraId="5EE3DACD" w14:textId="77777777" w:rsidR="00E03C2E" w:rsidRPr="000443CE" w:rsidRDefault="00E03C2E" w:rsidP="004A65BC">
            <w:pPr>
              <w:jc w:val="center"/>
              <w:rPr>
                <w:sz w:val="18"/>
                <w:szCs w:val="18"/>
                <w:lang w:val="it-IT" w:eastAsia="en-US"/>
              </w:rPr>
            </w:pPr>
            <w:r>
              <w:rPr>
                <w:color w:val="000000"/>
                <w:sz w:val="18"/>
                <w:szCs w:val="18"/>
              </w:rPr>
              <w:t>(1.0</w:t>
            </w:r>
            <w:r w:rsidR="004A65BC">
              <w:rPr>
                <w:color w:val="000000"/>
                <w:sz w:val="18"/>
                <w:szCs w:val="18"/>
              </w:rPr>
              <w:t>3</w:t>
            </w:r>
            <w:r>
              <w:rPr>
                <w:color w:val="000000"/>
                <w:sz w:val="18"/>
                <w:szCs w:val="18"/>
              </w:rPr>
              <w:t>)</w:t>
            </w:r>
          </w:p>
        </w:tc>
        <w:tc>
          <w:tcPr>
            <w:tcW w:w="1172" w:type="dxa"/>
            <w:tcBorders>
              <w:top w:val="nil"/>
              <w:left w:val="nil"/>
              <w:bottom w:val="nil"/>
              <w:right w:val="nil"/>
            </w:tcBorders>
            <w:vAlign w:val="center"/>
          </w:tcPr>
          <w:p w14:paraId="5EE3DACE" w14:textId="77777777" w:rsidR="00E03C2E" w:rsidRDefault="00E03C2E" w:rsidP="003A6F56">
            <w:pPr>
              <w:jc w:val="center"/>
              <w:rPr>
                <w:color w:val="000000"/>
                <w:sz w:val="18"/>
                <w:szCs w:val="18"/>
              </w:rPr>
            </w:pPr>
            <w:r w:rsidRPr="009D5340">
              <w:rPr>
                <w:color w:val="000000"/>
                <w:sz w:val="18"/>
                <w:szCs w:val="18"/>
              </w:rPr>
              <w:t>-</w:t>
            </w:r>
            <w:r>
              <w:rPr>
                <w:color w:val="000000"/>
                <w:sz w:val="18"/>
                <w:szCs w:val="18"/>
              </w:rPr>
              <w:t>.59</w:t>
            </w:r>
          </w:p>
          <w:p w14:paraId="5EE3DACF" w14:textId="77777777" w:rsidR="00E03C2E" w:rsidRPr="000443CE" w:rsidRDefault="00E03C2E" w:rsidP="004A65BC">
            <w:pPr>
              <w:jc w:val="center"/>
              <w:rPr>
                <w:sz w:val="18"/>
                <w:szCs w:val="18"/>
                <w:lang w:val="it-IT" w:eastAsia="en-US"/>
              </w:rPr>
            </w:pPr>
            <w:r>
              <w:rPr>
                <w:color w:val="000000"/>
                <w:sz w:val="18"/>
                <w:szCs w:val="18"/>
              </w:rPr>
              <w:t>(1.01)</w:t>
            </w:r>
          </w:p>
        </w:tc>
        <w:tc>
          <w:tcPr>
            <w:tcW w:w="1172" w:type="dxa"/>
            <w:tcBorders>
              <w:top w:val="nil"/>
              <w:left w:val="nil"/>
              <w:bottom w:val="nil"/>
              <w:right w:val="nil"/>
            </w:tcBorders>
            <w:vAlign w:val="center"/>
          </w:tcPr>
          <w:p w14:paraId="5EE3DAD0" w14:textId="77777777" w:rsidR="00E03C2E" w:rsidRDefault="00E03C2E" w:rsidP="003A6F56">
            <w:pPr>
              <w:autoSpaceDE w:val="0"/>
              <w:autoSpaceDN w:val="0"/>
              <w:adjustRightInd w:val="0"/>
              <w:ind w:left="60" w:right="60"/>
              <w:jc w:val="center"/>
              <w:rPr>
                <w:color w:val="000000"/>
                <w:sz w:val="18"/>
                <w:szCs w:val="18"/>
              </w:rPr>
            </w:pPr>
            <w:r>
              <w:rPr>
                <w:color w:val="000000"/>
                <w:sz w:val="18"/>
                <w:szCs w:val="18"/>
              </w:rPr>
              <w:t>-.98</w:t>
            </w:r>
          </w:p>
          <w:p w14:paraId="5EE3DAD1" w14:textId="77777777" w:rsidR="00E03C2E" w:rsidRPr="00CC6048" w:rsidRDefault="00E03C2E" w:rsidP="004A65BC">
            <w:pPr>
              <w:autoSpaceDE w:val="0"/>
              <w:autoSpaceDN w:val="0"/>
              <w:adjustRightInd w:val="0"/>
              <w:ind w:left="60" w:right="60"/>
              <w:jc w:val="center"/>
              <w:rPr>
                <w:color w:val="000000"/>
                <w:sz w:val="18"/>
                <w:szCs w:val="18"/>
              </w:rPr>
            </w:pPr>
            <w:r>
              <w:rPr>
                <w:color w:val="000000"/>
                <w:sz w:val="18"/>
                <w:szCs w:val="18"/>
              </w:rPr>
              <w:t>(1.</w:t>
            </w:r>
            <w:r w:rsidR="004A65BC">
              <w:rPr>
                <w:color w:val="000000"/>
                <w:sz w:val="18"/>
                <w:szCs w:val="18"/>
              </w:rPr>
              <w:t>20</w:t>
            </w:r>
            <w:r>
              <w:rPr>
                <w:color w:val="000000"/>
                <w:sz w:val="18"/>
                <w:szCs w:val="18"/>
              </w:rPr>
              <w:t>)</w:t>
            </w:r>
          </w:p>
        </w:tc>
        <w:tc>
          <w:tcPr>
            <w:tcW w:w="1173" w:type="dxa"/>
            <w:tcBorders>
              <w:top w:val="nil"/>
              <w:left w:val="nil"/>
              <w:bottom w:val="nil"/>
              <w:right w:val="nil"/>
            </w:tcBorders>
            <w:vAlign w:val="center"/>
          </w:tcPr>
          <w:p w14:paraId="5EE3DAD2" w14:textId="77777777" w:rsidR="00E03C2E" w:rsidRDefault="00E03C2E" w:rsidP="003A6F56">
            <w:pPr>
              <w:autoSpaceDE w:val="0"/>
              <w:autoSpaceDN w:val="0"/>
              <w:adjustRightInd w:val="0"/>
              <w:ind w:left="60" w:right="60"/>
              <w:jc w:val="center"/>
              <w:rPr>
                <w:color w:val="000000"/>
                <w:sz w:val="18"/>
                <w:szCs w:val="18"/>
              </w:rPr>
            </w:pPr>
            <w:r w:rsidRPr="003019C4">
              <w:rPr>
                <w:color w:val="000000"/>
                <w:sz w:val="18"/>
                <w:szCs w:val="18"/>
              </w:rPr>
              <w:t>-1</w:t>
            </w:r>
            <w:r>
              <w:rPr>
                <w:color w:val="000000"/>
                <w:sz w:val="18"/>
                <w:szCs w:val="18"/>
              </w:rPr>
              <w:t>.3</w:t>
            </w:r>
            <w:r w:rsidR="004A65BC">
              <w:rPr>
                <w:color w:val="000000"/>
                <w:sz w:val="18"/>
                <w:szCs w:val="18"/>
              </w:rPr>
              <w:t>9</w:t>
            </w:r>
          </w:p>
          <w:p w14:paraId="5EE3DAD3" w14:textId="77777777" w:rsidR="00E03C2E" w:rsidRPr="003019C4" w:rsidRDefault="00E03C2E" w:rsidP="004A65BC">
            <w:pPr>
              <w:autoSpaceDE w:val="0"/>
              <w:autoSpaceDN w:val="0"/>
              <w:adjustRightInd w:val="0"/>
              <w:ind w:left="60" w:right="60"/>
              <w:jc w:val="center"/>
              <w:rPr>
                <w:color w:val="000000"/>
                <w:sz w:val="18"/>
                <w:szCs w:val="18"/>
              </w:rPr>
            </w:pPr>
            <w:r>
              <w:rPr>
                <w:color w:val="000000"/>
                <w:sz w:val="18"/>
                <w:szCs w:val="18"/>
              </w:rPr>
              <w:t>(1.24)</w:t>
            </w:r>
          </w:p>
        </w:tc>
      </w:tr>
      <w:tr w:rsidR="00E03C2E" w:rsidRPr="000443CE" w14:paraId="5EE3DADC" w14:textId="77777777" w:rsidTr="00596AF3">
        <w:trPr>
          <w:trHeight w:val="283"/>
          <w:jc w:val="center"/>
        </w:trPr>
        <w:tc>
          <w:tcPr>
            <w:tcW w:w="3018" w:type="dxa"/>
            <w:tcBorders>
              <w:top w:val="nil"/>
              <w:left w:val="nil"/>
              <w:bottom w:val="nil"/>
              <w:right w:val="nil"/>
            </w:tcBorders>
            <w:vAlign w:val="center"/>
          </w:tcPr>
          <w:p w14:paraId="5EE3DAD5" w14:textId="35F0B00C" w:rsidR="00E03C2E" w:rsidRPr="000443CE" w:rsidRDefault="00E03C2E" w:rsidP="003A6F56">
            <w:pPr>
              <w:rPr>
                <w:sz w:val="18"/>
                <w:szCs w:val="18"/>
                <w:lang w:val="it-IT" w:eastAsia="en-US"/>
              </w:rPr>
            </w:pPr>
            <w:r w:rsidRPr="000443CE">
              <w:rPr>
                <w:sz w:val="18"/>
                <w:szCs w:val="18"/>
                <w:lang w:val="it-IT" w:eastAsia="en-US"/>
              </w:rPr>
              <w:t>Chi square</w:t>
            </w:r>
          </w:p>
        </w:tc>
        <w:tc>
          <w:tcPr>
            <w:tcW w:w="1172" w:type="dxa"/>
            <w:tcBorders>
              <w:top w:val="nil"/>
              <w:left w:val="nil"/>
              <w:bottom w:val="nil"/>
              <w:right w:val="nil"/>
            </w:tcBorders>
            <w:vAlign w:val="center"/>
          </w:tcPr>
          <w:p w14:paraId="5EE3DAD6" w14:textId="77777777" w:rsidR="00E03C2E" w:rsidRPr="000443CE" w:rsidRDefault="00E03C2E" w:rsidP="004A65BC">
            <w:pPr>
              <w:jc w:val="center"/>
              <w:rPr>
                <w:sz w:val="18"/>
                <w:szCs w:val="18"/>
                <w:lang w:val="it-IT" w:eastAsia="en-US"/>
              </w:rPr>
            </w:pPr>
            <w:r>
              <w:rPr>
                <w:sz w:val="18"/>
                <w:szCs w:val="18"/>
                <w:lang w:val="it-IT" w:eastAsia="en-US"/>
              </w:rPr>
              <w:t>44.27***</w:t>
            </w:r>
          </w:p>
        </w:tc>
        <w:tc>
          <w:tcPr>
            <w:tcW w:w="1172" w:type="dxa"/>
            <w:tcBorders>
              <w:top w:val="nil"/>
              <w:left w:val="nil"/>
              <w:bottom w:val="nil"/>
              <w:right w:val="nil"/>
            </w:tcBorders>
            <w:vAlign w:val="center"/>
          </w:tcPr>
          <w:p w14:paraId="5EE3DAD7" w14:textId="77777777" w:rsidR="00E03C2E" w:rsidRPr="000443CE" w:rsidRDefault="00E03C2E" w:rsidP="004A65BC">
            <w:pPr>
              <w:jc w:val="center"/>
              <w:rPr>
                <w:sz w:val="18"/>
                <w:szCs w:val="18"/>
                <w:lang w:val="it-IT" w:eastAsia="en-US"/>
              </w:rPr>
            </w:pPr>
            <w:r>
              <w:rPr>
                <w:sz w:val="18"/>
                <w:szCs w:val="18"/>
                <w:lang w:val="it-IT" w:eastAsia="en-US"/>
              </w:rPr>
              <w:t>48.33***</w:t>
            </w:r>
          </w:p>
        </w:tc>
        <w:tc>
          <w:tcPr>
            <w:tcW w:w="1172" w:type="dxa"/>
            <w:tcBorders>
              <w:top w:val="nil"/>
              <w:left w:val="nil"/>
              <w:bottom w:val="nil"/>
              <w:right w:val="nil"/>
            </w:tcBorders>
            <w:vAlign w:val="center"/>
          </w:tcPr>
          <w:p w14:paraId="5EE3DAD8" w14:textId="77777777" w:rsidR="00E03C2E" w:rsidRPr="000443CE" w:rsidRDefault="00E03C2E" w:rsidP="004A65BC">
            <w:pPr>
              <w:jc w:val="center"/>
              <w:rPr>
                <w:sz w:val="18"/>
                <w:szCs w:val="18"/>
                <w:lang w:val="it-IT" w:eastAsia="en-US"/>
              </w:rPr>
            </w:pPr>
            <w:r>
              <w:rPr>
                <w:sz w:val="18"/>
                <w:szCs w:val="18"/>
                <w:lang w:val="it-IT" w:eastAsia="en-US"/>
              </w:rPr>
              <w:t>56.49***</w:t>
            </w:r>
          </w:p>
        </w:tc>
        <w:tc>
          <w:tcPr>
            <w:tcW w:w="1172" w:type="dxa"/>
            <w:tcBorders>
              <w:top w:val="nil"/>
              <w:left w:val="nil"/>
              <w:bottom w:val="nil"/>
              <w:right w:val="nil"/>
            </w:tcBorders>
            <w:vAlign w:val="center"/>
          </w:tcPr>
          <w:p w14:paraId="5EE3DAD9" w14:textId="77777777" w:rsidR="00E03C2E" w:rsidRPr="000443CE" w:rsidRDefault="00E03C2E" w:rsidP="004A65BC">
            <w:pPr>
              <w:jc w:val="center"/>
              <w:rPr>
                <w:sz w:val="18"/>
                <w:szCs w:val="18"/>
                <w:lang w:val="it-IT" w:eastAsia="en-US"/>
              </w:rPr>
            </w:pPr>
            <w:r>
              <w:rPr>
                <w:sz w:val="18"/>
                <w:szCs w:val="18"/>
                <w:lang w:val="it-IT" w:eastAsia="en-US"/>
              </w:rPr>
              <w:t>55.16***</w:t>
            </w:r>
          </w:p>
        </w:tc>
        <w:tc>
          <w:tcPr>
            <w:tcW w:w="1172" w:type="dxa"/>
            <w:tcBorders>
              <w:top w:val="nil"/>
              <w:left w:val="nil"/>
              <w:bottom w:val="nil"/>
              <w:right w:val="nil"/>
            </w:tcBorders>
            <w:vAlign w:val="center"/>
          </w:tcPr>
          <w:p w14:paraId="5EE3DADA" w14:textId="77777777" w:rsidR="00E03C2E" w:rsidRPr="000443CE" w:rsidRDefault="00E03C2E" w:rsidP="004A65BC">
            <w:pPr>
              <w:jc w:val="center"/>
              <w:rPr>
                <w:sz w:val="18"/>
                <w:szCs w:val="18"/>
                <w:lang w:val="it-IT" w:eastAsia="en-US"/>
              </w:rPr>
            </w:pPr>
            <w:r>
              <w:rPr>
                <w:sz w:val="18"/>
                <w:szCs w:val="18"/>
                <w:lang w:val="it-IT" w:eastAsia="en-US"/>
              </w:rPr>
              <w:t>52.8</w:t>
            </w:r>
            <w:r w:rsidR="004A65BC">
              <w:rPr>
                <w:sz w:val="18"/>
                <w:szCs w:val="18"/>
                <w:lang w:val="it-IT" w:eastAsia="en-US"/>
              </w:rPr>
              <w:t>1</w:t>
            </w:r>
            <w:r>
              <w:rPr>
                <w:sz w:val="18"/>
                <w:szCs w:val="18"/>
                <w:lang w:val="it-IT" w:eastAsia="en-US"/>
              </w:rPr>
              <w:t>***</w:t>
            </w:r>
          </w:p>
        </w:tc>
        <w:tc>
          <w:tcPr>
            <w:tcW w:w="1173" w:type="dxa"/>
            <w:tcBorders>
              <w:top w:val="nil"/>
              <w:left w:val="nil"/>
              <w:bottom w:val="nil"/>
              <w:right w:val="nil"/>
            </w:tcBorders>
            <w:vAlign w:val="center"/>
          </w:tcPr>
          <w:p w14:paraId="5EE3DADB" w14:textId="77777777" w:rsidR="00E03C2E" w:rsidRPr="000443CE" w:rsidRDefault="00E03C2E" w:rsidP="004A65BC">
            <w:pPr>
              <w:jc w:val="center"/>
              <w:rPr>
                <w:sz w:val="18"/>
                <w:szCs w:val="18"/>
                <w:lang w:val="it-IT" w:eastAsia="en-US"/>
              </w:rPr>
            </w:pPr>
            <w:r>
              <w:rPr>
                <w:sz w:val="18"/>
                <w:szCs w:val="18"/>
                <w:lang w:val="it-IT" w:eastAsia="en-US"/>
              </w:rPr>
              <w:t>59.67***</w:t>
            </w:r>
          </w:p>
        </w:tc>
      </w:tr>
      <w:tr w:rsidR="00E03C2E" w:rsidRPr="000443CE" w14:paraId="5EE3DAE4" w14:textId="77777777" w:rsidTr="00596AF3">
        <w:trPr>
          <w:trHeight w:val="283"/>
          <w:jc w:val="center"/>
        </w:trPr>
        <w:tc>
          <w:tcPr>
            <w:tcW w:w="3018" w:type="dxa"/>
            <w:tcBorders>
              <w:top w:val="nil"/>
              <w:left w:val="nil"/>
              <w:bottom w:val="nil"/>
              <w:right w:val="nil"/>
            </w:tcBorders>
          </w:tcPr>
          <w:p w14:paraId="5EE3DADD" w14:textId="77777777" w:rsidR="00E03C2E" w:rsidRPr="000443CE" w:rsidRDefault="00E03C2E" w:rsidP="003A6F56">
            <w:pPr>
              <w:rPr>
                <w:sz w:val="18"/>
                <w:szCs w:val="18"/>
                <w:lang w:val="it-IT" w:eastAsia="en-US"/>
              </w:rPr>
            </w:pPr>
            <w:r w:rsidRPr="000443CE">
              <w:rPr>
                <w:sz w:val="18"/>
                <w:szCs w:val="18"/>
                <w:lang w:val="it-IT" w:eastAsia="en-US"/>
              </w:rPr>
              <w:t>Chi square</w:t>
            </w:r>
            <w:r>
              <w:rPr>
                <w:sz w:val="18"/>
                <w:szCs w:val="18"/>
                <w:lang w:val="it-IT" w:eastAsia="en-US"/>
              </w:rPr>
              <w:t xml:space="preserve"> change from Model 1</w:t>
            </w:r>
          </w:p>
        </w:tc>
        <w:tc>
          <w:tcPr>
            <w:tcW w:w="1172" w:type="dxa"/>
            <w:tcBorders>
              <w:top w:val="nil"/>
              <w:left w:val="nil"/>
              <w:bottom w:val="nil"/>
              <w:right w:val="nil"/>
            </w:tcBorders>
            <w:vAlign w:val="center"/>
          </w:tcPr>
          <w:p w14:paraId="5EE3DADE" w14:textId="77777777" w:rsidR="00E03C2E" w:rsidRPr="000443CE" w:rsidRDefault="00E03C2E" w:rsidP="003A6F56">
            <w:pPr>
              <w:jc w:val="center"/>
              <w:rPr>
                <w:sz w:val="18"/>
                <w:szCs w:val="18"/>
                <w:lang w:val="it-IT" w:eastAsia="en-US"/>
              </w:rPr>
            </w:pPr>
          </w:p>
        </w:tc>
        <w:tc>
          <w:tcPr>
            <w:tcW w:w="1172" w:type="dxa"/>
            <w:tcBorders>
              <w:top w:val="nil"/>
              <w:left w:val="nil"/>
              <w:bottom w:val="nil"/>
              <w:right w:val="nil"/>
            </w:tcBorders>
            <w:vAlign w:val="center"/>
          </w:tcPr>
          <w:p w14:paraId="5EE3DADF" w14:textId="77777777" w:rsidR="00E03C2E" w:rsidRPr="000443CE" w:rsidRDefault="00E03C2E" w:rsidP="004A65BC">
            <w:pPr>
              <w:jc w:val="center"/>
              <w:rPr>
                <w:sz w:val="18"/>
                <w:szCs w:val="18"/>
                <w:lang w:val="it-IT" w:eastAsia="en-US"/>
              </w:rPr>
            </w:pPr>
            <w:r>
              <w:rPr>
                <w:sz w:val="18"/>
                <w:szCs w:val="18"/>
                <w:lang w:val="it-IT" w:eastAsia="en-US"/>
              </w:rPr>
              <w:t>4.0</w:t>
            </w:r>
            <w:r w:rsidR="004A65BC">
              <w:rPr>
                <w:sz w:val="18"/>
                <w:szCs w:val="18"/>
                <w:lang w:val="it-IT" w:eastAsia="en-US"/>
              </w:rPr>
              <w:t>7</w:t>
            </w:r>
            <w:r>
              <w:rPr>
                <w:sz w:val="18"/>
                <w:szCs w:val="18"/>
                <w:lang w:val="it-IT" w:eastAsia="en-US"/>
              </w:rPr>
              <w:t>**</w:t>
            </w:r>
          </w:p>
        </w:tc>
        <w:tc>
          <w:tcPr>
            <w:tcW w:w="1172" w:type="dxa"/>
            <w:tcBorders>
              <w:top w:val="nil"/>
              <w:left w:val="nil"/>
              <w:bottom w:val="nil"/>
              <w:right w:val="nil"/>
            </w:tcBorders>
            <w:vAlign w:val="center"/>
          </w:tcPr>
          <w:p w14:paraId="5EE3DAE0" w14:textId="77777777" w:rsidR="00E03C2E" w:rsidRPr="000443CE" w:rsidRDefault="00E03C2E" w:rsidP="00531D90">
            <w:pPr>
              <w:jc w:val="center"/>
              <w:rPr>
                <w:sz w:val="18"/>
                <w:szCs w:val="18"/>
                <w:lang w:val="it-IT" w:eastAsia="en-US"/>
              </w:rPr>
            </w:pPr>
          </w:p>
        </w:tc>
        <w:tc>
          <w:tcPr>
            <w:tcW w:w="1172" w:type="dxa"/>
            <w:tcBorders>
              <w:top w:val="nil"/>
              <w:left w:val="nil"/>
              <w:bottom w:val="nil"/>
              <w:right w:val="nil"/>
            </w:tcBorders>
            <w:vAlign w:val="center"/>
          </w:tcPr>
          <w:p w14:paraId="5EE3DAE1" w14:textId="77777777" w:rsidR="00E03C2E" w:rsidRPr="000443CE" w:rsidRDefault="00E03C2E" w:rsidP="003A6F56">
            <w:pPr>
              <w:jc w:val="center"/>
              <w:rPr>
                <w:sz w:val="18"/>
                <w:szCs w:val="18"/>
                <w:lang w:val="it-IT" w:eastAsia="en-US"/>
              </w:rPr>
            </w:pPr>
          </w:p>
        </w:tc>
        <w:tc>
          <w:tcPr>
            <w:tcW w:w="1172" w:type="dxa"/>
            <w:tcBorders>
              <w:top w:val="nil"/>
              <w:left w:val="nil"/>
              <w:bottom w:val="nil"/>
              <w:right w:val="nil"/>
            </w:tcBorders>
            <w:vAlign w:val="center"/>
          </w:tcPr>
          <w:p w14:paraId="5EE3DAE2" w14:textId="77777777" w:rsidR="00E03C2E" w:rsidRPr="000443CE" w:rsidRDefault="00E03C2E" w:rsidP="003A6F56">
            <w:pPr>
              <w:jc w:val="center"/>
              <w:rPr>
                <w:sz w:val="18"/>
                <w:szCs w:val="18"/>
                <w:lang w:val="it-IT" w:eastAsia="en-US"/>
              </w:rPr>
            </w:pPr>
          </w:p>
        </w:tc>
        <w:tc>
          <w:tcPr>
            <w:tcW w:w="1173" w:type="dxa"/>
            <w:tcBorders>
              <w:top w:val="nil"/>
              <w:left w:val="nil"/>
              <w:bottom w:val="nil"/>
              <w:right w:val="nil"/>
            </w:tcBorders>
            <w:vAlign w:val="center"/>
          </w:tcPr>
          <w:p w14:paraId="5EE3DAE3" w14:textId="77777777" w:rsidR="00E03C2E" w:rsidRPr="000443CE" w:rsidRDefault="00E03C2E" w:rsidP="003A6F56">
            <w:pPr>
              <w:jc w:val="center"/>
              <w:rPr>
                <w:sz w:val="18"/>
                <w:szCs w:val="18"/>
                <w:lang w:val="it-IT" w:eastAsia="en-US"/>
              </w:rPr>
            </w:pPr>
          </w:p>
        </w:tc>
      </w:tr>
      <w:tr w:rsidR="00E03C2E" w:rsidRPr="000443CE" w14:paraId="5EE3DAEC" w14:textId="77777777" w:rsidTr="00596AF3">
        <w:trPr>
          <w:trHeight w:val="283"/>
          <w:jc w:val="center"/>
        </w:trPr>
        <w:tc>
          <w:tcPr>
            <w:tcW w:w="3018" w:type="dxa"/>
            <w:tcBorders>
              <w:top w:val="nil"/>
              <w:left w:val="nil"/>
              <w:bottom w:val="nil"/>
              <w:right w:val="nil"/>
            </w:tcBorders>
          </w:tcPr>
          <w:p w14:paraId="5EE3DAE5" w14:textId="77777777" w:rsidR="00E03C2E" w:rsidRPr="000443CE" w:rsidRDefault="00E03C2E" w:rsidP="003A6F56">
            <w:pPr>
              <w:rPr>
                <w:sz w:val="18"/>
                <w:szCs w:val="18"/>
                <w:lang w:val="it-IT" w:eastAsia="en-US"/>
              </w:rPr>
            </w:pPr>
            <w:r w:rsidRPr="000443CE">
              <w:rPr>
                <w:sz w:val="18"/>
                <w:szCs w:val="18"/>
                <w:lang w:val="it-IT" w:eastAsia="en-US"/>
              </w:rPr>
              <w:t>Chi square</w:t>
            </w:r>
            <w:r>
              <w:rPr>
                <w:sz w:val="18"/>
                <w:szCs w:val="18"/>
                <w:lang w:val="it-IT" w:eastAsia="en-US"/>
              </w:rPr>
              <w:t xml:space="preserve"> change from Model 2</w:t>
            </w:r>
          </w:p>
        </w:tc>
        <w:tc>
          <w:tcPr>
            <w:tcW w:w="1172" w:type="dxa"/>
            <w:tcBorders>
              <w:top w:val="nil"/>
              <w:left w:val="nil"/>
              <w:bottom w:val="nil"/>
              <w:right w:val="nil"/>
            </w:tcBorders>
            <w:vAlign w:val="center"/>
          </w:tcPr>
          <w:p w14:paraId="5EE3DAE6" w14:textId="77777777" w:rsidR="00E03C2E" w:rsidRPr="000443CE" w:rsidRDefault="00E03C2E" w:rsidP="003A6F56">
            <w:pPr>
              <w:jc w:val="center"/>
              <w:rPr>
                <w:sz w:val="18"/>
                <w:szCs w:val="18"/>
                <w:lang w:val="it-IT" w:eastAsia="en-US"/>
              </w:rPr>
            </w:pPr>
          </w:p>
        </w:tc>
        <w:tc>
          <w:tcPr>
            <w:tcW w:w="1172" w:type="dxa"/>
            <w:tcBorders>
              <w:top w:val="nil"/>
              <w:left w:val="nil"/>
              <w:bottom w:val="nil"/>
              <w:right w:val="nil"/>
            </w:tcBorders>
            <w:vAlign w:val="center"/>
          </w:tcPr>
          <w:p w14:paraId="5EE3DAE7" w14:textId="77777777" w:rsidR="00E03C2E" w:rsidRPr="000443CE" w:rsidRDefault="00E03C2E" w:rsidP="003A6F56">
            <w:pPr>
              <w:jc w:val="center"/>
              <w:rPr>
                <w:sz w:val="18"/>
                <w:szCs w:val="18"/>
                <w:lang w:val="it-IT" w:eastAsia="en-US"/>
              </w:rPr>
            </w:pPr>
          </w:p>
        </w:tc>
        <w:tc>
          <w:tcPr>
            <w:tcW w:w="1172" w:type="dxa"/>
            <w:tcBorders>
              <w:top w:val="nil"/>
              <w:left w:val="nil"/>
              <w:bottom w:val="nil"/>
              <w:right w:val="nil"/>
            </w:tcBorders>
            <w:vAlign w:val="center"/>
          </w:tcPr>
          <w:p w14:paraId="5EE3DAE8" w14:textId="77777777" w:rsidR="00E03C2E" w:rsidRPr="000443CE" w:rsidRDefault="00E03C2E" w:rsidP="004A65BC">
            <w:pPr>
              <w:jc w:val="center"/>
              <w:rPr>
                <w:sz w:val="18"/>
                <w:szCs w:val="18"/>
                <w:lang w:val="it-IT" w:eastAsia="en-US"/>
              </w:rPr>
            </w:pPr>
            <w:r>
              <w:rPr>
                <w:sz w:val="18"/>
                <w:szCs w:val="18"/>
                <w:lang w:val="it-IT" w:eastAsia="en-US"/>
              </w:rPr>
              <w:t>8.16***</w:t>
            </w:r>
          </w:p>
        </w:tc>
        <w:tc>
          <w:tcPr>
            <w:tcW w:w="1172" w:type="dxa"/>
            <w:tcBorders>
              <w:top w:val="nil"/>
              <w:left w:val="nil"/>
              <w:bottom w:val="nil"/>
              <w:right w:val="nil"/>
            </w:tcBorders>
            <w:vAlign w:val="center"/>
          </w:tcPr>
          <w:p w14:paraId="5EE3DAE9" w14:textId="77777777" w:rsidR="00E03C2E" w:rsidRPr="000443CE" w:rsidRDefault="00E03C2E" w:rsidP="004A65BC">
            <w:pPr>
              <w:jc w:val="center"/>
              <w:rPr>
                <w:sz w:val="18"/>
                <w:szCs w:val="18"/>
                <w:lang w:val="it-IT" w:eastAsia="en-US"/>
              </w:rPr>
            </w:pPr>
            <w:r>
              <w:rPr>
                <w:sz w:val="18"/>
                <w:szCs w:val="18"/>
                <w:lang w:val="it-IT" w:eastAsia="en-US"/>
              </w:rPr>
              <w:t>6.83*</w:t>
            </w:r>
          </w:p>
        </w:tc>
        <w:tc>
          <w:tcPr>
            <w:tcW w:w="1172" w:type="dxa"/>
            <w:tcBorders>
              <w:top w:val="nil"/>
              <w:left w:val="nil"/>
              <w:bottom w:val="nil"/>
              <w:right w:val="nil"/>
            </w:tcBorders>
            <w:vAlign w:val="center"/>
          </w:tcPr>
          <w:p w14:paraId="5EE3DAEA" w14:textId="77777777" w:rsidR="00E03C2E" w:rsidRPr="000443CE" w:rsidRDefault="00E03C2E" w:rsidP="004A65BC">
            <w:pPr>
              <w:jc w:val="center"/>
              <w:rPr>
                <w:sz w:val="18"/>
                <w:szCs w:val="18"/>
                <w:lang w:val="it-IT" w:eastAsia="en-US"/>
              </w:rPr>
            </w:pPr>
            <w:r>
              <w:rPr>
                <w:sz w:val="18"/>
                <w:szCs w:val="18"/>
                <w:lang w:val="it-IT" w:eastAsia="en-US"/>
              </w:rPr>
              <w:t>4.47</w:t>
            </w:r>
          </w:p>
        </w:tc>
        <w:tc>
          <w:tcPr>
            <w:tcW w:w="1173" w:type="dxa"/>
            <w:tcBorders>
              <w:top w:val="nil"/>
              <w:left w:val="nil"/>
              <w:bottom w:val="nil"/>
              <w:right w:val="nil"/>
            </w:tcBorders>
            <w:vAlign w:val="center"/>
          </w:tcPr>
          <w:p w14:paraId="5EE3DAEB" w14:textId="77777777" w:rsidR="00E03C2E" w:rsidRPr="000443CE" w:rsidRDefault="00E03C2E" w:rsidP="004A65BC">
            <w:pPr>
              <w:jc w:val="center"/>
              <w:rPr>
                <w:sz w:val="18"/>
                <w:szCs w:val="18"/>
                <w:lang w:val="it-IT" w:eastAsia="en-US"/>
              </w:rPr>
            </w:pPr>
            <w:r>
              <w:rPr>
                <w:sz w:val="18"/>
                <w:szCs w:val="18"/>
                <w:lang w:val="it-IT" w:eastAsia="en-US"/>
              </w:rPr>
              <w:t>11.34</w:t>
            </w:r>
            <w:r w:rsidRPr="00090FEC">
              <w:rPr>
                <w:sz w:val="18"/>
                <w:szCs w:val="18"/>
                <w:lang w:val="it-IT" w:eastAsia="en-US"/>
              </w:rPr>
              <w:t>*</w:t>
            </w:r>
            <w:r>
              <w:rPr>
                <w:sz w:val="18"/>
                <w:szCs w:val="18"/>
                <w:lang w:val="it-IT" w:eastAsia="en-US"/>
              </w:rPr>
              <w:t>**</w:t>
            </w:r>
          </w:p>
        </w:tc>
      </w:tr>
      <w:tr w:rsidR="00E03C2E" w:rsidRPr="000443CE" w14:paraId="5EE3DAF4" w14:textId="77777777" w:rsidTr="00596AF3">
        <w:trPr>
          <w:trHeight w:val="283"/>
          <w:jc w:val="center"/>
        </w:trPr>
        <w:tc>
          <w:tcPr>
            <w:tcW w:w="3018" w:type="dxa"/>
            <w:tcBorders>
              <w:top w:val="nil"/>
              <w:left w:val="nil"/>
              <w:right w:val="nil"/>
            </w:tcBorders>
          </w:tcPr>
          <w:p w14:paraId="5EE3DAED" w14:textId="77777777" w:rsidR="00E03C2E" w:rsidRPr="000443CE" w:rsidRDefault="00E03C2E" w:rsidP="003A6F56">
            <w:pPr>
              <w:rPr>
                <w:sz w:val="18"/>
                <w:szCs w:val="18"/>
                <w:vertAlign w:val="superscript"/>
                <w:lang w:eastAsia="en-US"/>
              </w:rPr>
            </w:pPr>
            <w:proofErr w:type="spellStart"/>
            <w:r w:rsidRPr="000443CE">
              <w:rPr>
                <w:sz w:val="18"/>
                <w:szCs w:val="18"/>
                <w:lang w:eastAsia="en-US"/>
              </w:rPr>
              <w:t>Nagelkerke</w:t>
            </w:r>
            <w:proofErr w:type="spellEnd"/>
            <w:r w:rsidRPr="000443CE">
              <w:rPr>
                <w:sz w:val="18"/>
                <w:szCs w:val="18"/>
                <w:lang w:eastAsia="en-US"/>
              </w:rPr>
              <w:t xml:space="preserve"> R</w:t>
            </w:r>
            <w:r>
              <w:rPr>
                <w:sz w:val="18"/>
                <w:szCs w:val="18"/>
                <w:vertAlign w:val="superscript"/>
                <w:lang w:eastAsia="en-US"/>
              </w:rPr>
              <w:t>2</w:t>
            </w:r>
          </w:p>
        </w:tc>
        <w:tc>
          <w:tcPr>
            <w:tcW w:w="1172" w:type="dxa"/>
            <w:tcBorders>
              <w:top w:val="nil"/>
              <w:left w:val="nil"/>
              <w:right w:val="nil"/>
            </w:tcBorders>
            <w:vAlign w:val="center"/>
          </w:tcPr>
          <w:p w14:paraId="5EE3DAEE" w14:textId="77777777" w:rsidR="00E03C2E" w:rsidRPr="000443CE" w:rsidRDefault="00E03C2E" w:rsidP="008367BF">
            <w:pPr>
              <w:jc w:val="center"/>
              <w:rPr>
                <w:sz w:val="18"/>
                <w:szCs w:val="18"/>
                <w:lang w:val="it-IT" w:eastAsia="en-US"/>
              </w:rPr>
            </w:pPr>
            <w:r>
              <w:rPr>
                <w:sz w:val="18"/>
                <w:szCs w:val="18"/>
                <w:lang w:val="it-IT" w:eastAsia="en-US"/>
              </w:rPr>
              <w:t>.21</w:t>
            </w:r>
          </w:p>
        </w:tc>
        <w:tc>
          <w:tcPr>
            <w:tcW w:w="1172" w:type="dxa"/>
            <w:tcBorders>
              <w:top w:val="nil"/>
              <w:left w:val="nil"/>
              <w:right w:val="nil"/>
            </w:tcBorders>
            <w:vAlign w:val="center"/>
          </w:tcPr>
          <w:p w14:paraId="5EE3DAEF" w14:textId="77777777" w:rsidR="00E03C2E" w:rsidRPr="000443CE" w:rsidRDefault="00E03C2E" w:rsidP="008367BF">
            <w:pPr>
              <w:jc w:val="center"/>
              <w:rPr>
                <w:sz w:val="18"/>
                <w:szCs w:val="18"/>
                <w:lang w:val="it-IT" w:eastAsia="en-US"/>
              </w:rPr>
            </w:pPr>
            <w:r>
              <w:rPr>
                <w:sz w:val="18"/>
                <w:szCs w:val="18"/>
                <w:lang w:val="it-IT" w:eastAsia="en-US"/>
              </w:rPr>
              <w:t>.23</w:t>
            </w:r>
          </w:p>
        </w:tc>
        <w:tc>
          <w:tcPr>
            <w:tcW w:w="1172" w:type="dxa"/>
            <w:tcBorders>
              <w:top w:val="nil"/>
              <w:left w:val="nil"/>
              <w:right w:val="nil"/>
            </w:tcBorders>
            <w:vAlign w:val="center"/>
          </w:tcPr>
          <w:p w14:paraId="5EE3DAF0" w14:textId="77777777" w:rsidR="00E03C2E" w:rsidRPr="000443CE" w:rsidRDefault="00E03C2E" w:rsidP="008367BF">
            <w:pPr>
              <w:jc w:val="center"/>
              <w:rPr>
                <w:sz w:val="18"/>
                <w:szCs w:val="18"/>
                <w:lang w:val="it-IT" w:eastAsia="en-US"/>
              </w:rPr>
            </w:pPr>
            <w:r>
              <w:rPr>
                <w:sz w:val="18"/>
                <w:szCs w:val="18"/>
                <w:lang w:val="it-IT" w:eastAsia="en-US"/>
              </w:rPr>
              <w:t>.27</w:t>
            </w:r>
          </w:p>
        </w:tc>
        <w:tc>
          <w:tcPr>
            <w:tcW w:w="1172" w:type="dxa"/>
            <w:tcBorders>
              <w:top w:val="nil"/>
              <w:left w:val="nil"/>
              <w:right w:val="nil"/>
            </w:tcBorders>
            <w:vAlign w:val="center"/>
          </w:tcPr>
          <w:p w14:paraId="5EE3DAF1" w14:textId="77777777" w:rsidR="00E03C2E" w:rsidRPr="000443CE" w:rsidRDefault="00E03C2E" w:rsidP="008367BF">
            <w:pPr>
              <w:jc w:val="center"/>
              <w:rPr>
                <w:sz w:val="18"/>
                <w:szCs w:val="18"/>
                <w:lang w:val="it-IT" w:eastAsia="en-US"/>
              </w:rPr>
            </w:pPr>
            <w:r>
              <w:rPr>
                <w:sz w:val="18"/>
                <w:szCs w:val="18"/>
                <w:lang w:val="it-IT" w:eastAsia="en-US"/>
              </w:rPr>
              <w:t>.26</w:t>
            </w:r>
          </w:p>
        </w:tc>
        <w:tc>
          <w:tcPr>
            <w:tcW w:w="1172" w:type="dxa"/>
            <w:tcBorders>
              <w:top w:val="nil"/>
              <w:left w:val="nil"/>
              <w:right w:val="nil"/>
            </w:tcBorders>
            <w:vAlign w:val="center"/>
          </w:tcPr>
          <w:p w14:paraId="5EE3DAF2" w14:textId="77777777" w:rsidR="00E03C2E" w:rsidRPr="000443CE" w:rsidRDefault="00E03C2E" w:rsidP="008367BF">
            <w:pPr>
              <w:jc w:val="center"/>
              <w:rPr>
                <w:sz w:val="18"/>
                <w:szCs w:val="18"/>
                <w:lang w:val="it-IT" w:eastAsia="en-US"/>
              </w:rPr>
            </w:pPr>
            <w:r>
              <w:rPr>
                <w:sz w:val="18"/>
                <w:szCs w:val="18"/>
                <w:lang w:val="it-IT" w:eastAsia="en-US"/>
              </w:rPr>
              <w:t>.25</w:t>
            </w:r>
          </w:p>
        </w:tc>
        <w:tc>
          <w:tcPr>
            <w:tcW w:w="1173" w:type="dxa"/>
            <w:tcBorders>
              <w:top w:val="nil"/>
              <w:left w:val="nil"/>
              <w:right w:val="nil"/>
            </w:tcBorders>
            <w:vAlign w:val="center"/>
          </w:tcPr>
          <w:p w14:paraId="5EE3DAF3" w14:textId="77777777" w:rsidR="00E03C2E" w:rsidRPr="000443CE" w:rsidRDefault="00E03C2E" w:rsidP="008367BF">
            <w:pPr>
              <w:jc w:val="center"/>
              <w:rPr>
                <w:sz w:val="18"/>
                <w:szCs w:val="18"/>
                <w:lang w:val="it-IT" w:eastAsia="en-US"/>
              </w:rPr>
            </w:pPr>
            <w:r>
              <w:rPr>
                <w:sz w:val="18"/>
                <w:szCs w:val="18"/>
                <w:lang w:val="it-IT" w:eastAsia="en-US"/>
              </w:rPr>
              <w:t>.28</w:t>
            </w:r>
          </w:p>
        </w:tc>
      </w:tr>
      <w:tr w:rsidR="00E03C2E" w:rsidRPr="000443CE" w14:paraId="5EE3DAF6" w14:textId="77777777" w:rsidTr="003A6F56">
        <w:trPr>
          <w:trHeight w:val="283"/>
          <w:jc w:val="center"/>
        </w:trPr>
        <w:tc>
          <w:tcPr>
            <w:tcW w:w="10051" w:type="dxa"/>
            <w:gridSpan w:val="7"/>
            <w:tcBorders>
              <w:left w:val="nil"/>
              <w:bottom w:val="nil"/>
              <w:right w:val="nil"/>
            </w:tcBorders>
          </w:tcPr>
          <w:p w14:paraId="5EE3DAF5" w14:textId="0758CCA4" w:rsidR="00E03C2E" w:rsidRPr="000443CE" w:rsidRDefault="00E03C2E" w:rsidP="00031208">
            <w:pPr>
              <w:rPr>
                <w:i/>
                <w:sz w:val="18"/>
                <w:szCs w:val="18"/>
                <w:lang w:eastAsia="en-US"/>
              </w:rPr>
            </w:pPr>
            <w:r w:rsidRPr="000443CE">
              <w:rPr>
                <w:i/>
                <w:sz w:val="18"/>
                <w:szCs w:val="18"/>
                <w:lang w:eastAsia="en-US"/>
              </w:rPr>
              <w:t>Note</w:t>
            </w:r>
            <w:r w:rsidRPr="000443CE">
              <w:rPr>
                <w:sz w:val="18"/>
                <w:szCs w:val="18"/>
                <w:lang w:eastAsia="en-US"/>
              </w:rPr>
              <w:t>: * p&lt;0.1</w:t>
            </w:r>
            <w:r>
              <w:rPr>
                <w:sz w:val="18"/>
                <w:szCs w:val="18"/>
                <w:lang w:eastAsia="en-US"/>
              </w:rPr>
              <w:t>,</w:t>
            </w:r>
            <w:r w:rsidRPr="000443CE">
              <w:rPr>
                <w:sz w:val="18"/>
                <w:szCs w:val="18"/>
                <w:lang w:eastAsia="en-US"/>
              </w:rPr>
              <w:t xml:space="preserve"> ** p&lt;0.05, *** p&lt;0.01 Standard errors in parenthesis</w:t>
            </w:r>
            <w:r>
              <w:rPr>
                <w:sz w:val="18"/>
                <w:szCs w:val="18"/>
                <w:lang w:eastAsia="en-US"/>
              </w:rPr>
              <w:t xml:space="preserve">, </w:t>
            </w:r>
            <w:r w:rsidR="00031208">
              <w:rPr>
                <w:sz w:val="18"/>
                <w:szCs w:val="18"/>
                <w:lang w:eastAsia="en-US"/>
              </w:rPr>
              <w:t>Cooperative export</w:t>
            </w:r>
            <w:r w:rsidRPr="00524E14">
              <w:rPr>
                <w:sz w:val="18"/>
                <w:szCs w:val="18"/>
                <w:lang w:eastAsia="en-US"/>
              </w:rPr>
              <w:t xml:space="preserve"> channel=</w:t>
            </w:r>
            <w:r>
              <w:rPr>
                <w:sz w:val="18"/>
                <w:szCs w:val="18"/>
                <w:lang w:eastAsia="en-US"/>
              </w:rPr>
              <w:t>1</w:t>
            </w:r>
            <w:r w:rsidR="00783411">
              <w:rPr>
                <w:sz w:val="18"/>
                <w:szCs w:val="18"/>
                <w:lang w:eastAsia="en-US"/>
              </w:rPr>
              <w:t>, n=265</w:t>
            </w:r>
          </w:p>
        </w:tc>
      </w:tr>
    </w:tbl>
    <w:p w14:paraId="5EE3DAF7" w14:textId="77777777" w:rsidR="00F635F0" w:rsidRDefault="00F635F0">
      <w:pPr>
        <w:rPr>
          <w:b/>
        </w:rPr>
      </w:pPr>
      <w:r>
        <w:rPr>
          <w:b/>
        </w:rPr>
        <w:br w:type="page"/>
      </w:r>
    </w:p>
    <w:p w14:paraId="5EE3DAF8" w14:textId="77777777" w:rsidR="00E03C2E" w:rsidRPr="00B0685D" w:rsidRDefault="00E03C2E" w:rsidP="00B0685D">
      <w:pPr>
        <w:jc w:val="center"/>
        <w:rPr>
          <w:b/>
          <w:sz w:val="20"/>
          <w:szCs w:val="20"/>
        </w:rPr>
      </w:pPr>
      <w:r w:rsidRPr="00B0685D">
        <w:rPr>
          <w:b/>
          <w:sz w:val="20"/>
          <w:szCs w:val="20"/>
        </w:rPr>
        <w:lastRenderedPageBreak/>
        <w:t>T</w:t>
      </w:r>
      <w:r w:rsidR="002B2892" w:rsidRPr="00B0685D">
        <w:rPr>
          <w:b/>
          <w:sz w:val="20"/>
          <w:szCs w:val="20"/>
        </w:rPr>
        <w:t>ABLE</w:t>
      </w:r>
      <w:r w:rsidRPr="00B0685D">
        <w:rPr>
          <w:b/>
          <w:sz w:val="20"/>
          <w:szCs w:val="20"/>
        </w:rPr>
        <w:t xml:space="preserve"> 3</w:t>
      </w:r>
    </w:p>
    <w:p w14:paraId="5EE3DAF9" w14:textId="77777777" w:rsidR="00CE045C" w:rsidRPr="00CE045C" w:rsidRDefault="00CE045C" w:rsidP="00B0685D">
      <w:pPr>
        <w:jc w:val="center"/>
        <w:rPr>
          <w:rFonts w:eastAsiaTheme="minorHAnsi"/>
          <w:b/>
          <w:sz w:val="20"/>
          <w:szCs w:val="20"/>
          <w:lang w:val="en-GB" w:eastAsia="en-US"/>
        </w:rPr>
      </w:pPr>
      <w:r w:rsidRPr="00CE045C">
        <w:rPr>
          <w:rFonts w:eastAsiaTheme="minorHAnsi"/>
          <w:b/>
          <w:sz w:val="20"/>
          <w:szCs w:val="20"/>
          <w:lang w:val="en-GB" w:eastAsia="en-US"/>
        </w:rPr>
        <w:t>REGRESSION ANALYSIS OF EXPORT PERFORMANCE</w:t>
      </w:r>
    </w:p>
    <w:tbl>
      <w:tblPr>
        <w:tblW w:w="0" w:type="auto"/>
        <w:jc w:val="center"/>
        <w:tblLayout w:type="fixed"/>
        <w:tblCellMar>
          <w:left w:w="75" w:type="dxa"/>
          <w:right w:w="75" w:type="dxa"/>
        </w:tblCellMar>
        <w:tblLook w:val="0000" w:firstRow="0" w:lastRow="0" w:firstColumn="0" w:lastColumn="0" w:noHBand="0" w:noVBand="0"/>
      </w:tblPr>
      <w:tblGrid>
        <w:gridCol w:w="1947"/>
        <w:gridCol w:w="2448"/>
        <w:gridCol w:w="2448"/>
        <w:gridCol w:w="2448"/>
      </w:tblGrid>
      <w:tr w:rsidR="00CE045C" w:rsidRPr="00CE045C" w14:paraId="5EE3DAFE" w14:textId="77777777" w:rsidTr="00797760">
        <w:trPr>
          <w:jc w:val="center"/>
        </w:trPr>
        <w:tc>
          <w:tcPr>
            <w:tcW w:w="1947" w:type="dxa"/>
            <w:tcBorders>
              <w:top w:val="single" w:sz="4" w:space="0" w:color="auto"/>
              <w:left w:val="nil"/>
              <w:bottom w:val="single" w:sz="6" w:space="0" w:color="auto"/>
              <w:right w:val="nil"/>
            </w:tcBorders>
          </w:tcPr>
          <w:p w14:paraId="5EE3DAFA" w14:textId="77777777" w:rsidR="00CE045C" w:rsidRPr="00CE045C" w:rsidRDefault="00CE045C" w:rsidP="00CE045C">
            <w:pPr>
              <w:widowControl w:val="0"/>
              <w:autoSpaceDE w:val="0"/>
              <w:autoSpaceDN w:val="0"/>
              <w:adjustRightInd w:val="0"/>
              <w:rPr>
                <w:sz w:val="18"/>
                <w:szCs w:val="18"/>
                <w:lang w:val="it-IT"/>
              </w:rPr>
            </w:pPr>
            <w:r w:rsidRPr="00CE045C">
              <w:rPr>
                <w:sz w:val="18"/>
                <w:szCs w:val="18"/>
                <w:lang w:val="it-IT"/>
              </w:rPr>
              <w:t>VARIABLES</w:t>
            </w:r>
          </w:p>
        </w:tc>
        <w:tc>
          <w:tcPr>
            <w:tcW w:w="2448" w:type="dxa"/>
            <w:tcBorders>
              <w:top w:val="single" w:sz="4" w:space="0" w:color="auto"/>
              <w:left w:val="nil"/>
              <w:bottom w:val="single" w:sz="6" w:space="0" w:color="auto"/>
              <w:right w:val="nil"/>
            </w:tcBorders>
          </w:tcPr>
          <w:p w14:paraId="5EE3DAFB" w14:textId="77777777" w:rsidR="00CE045C" w:rsidRPr="00CE045C" w:rsidRDefault="00CE045C" w:rsidP="00CE045C">
            <w:pPr>
              <w:widowControl w:val="0"/>
              <w:autoSpaceDE w:val="0"/>
              <w:autoSpaceDN w:val="0"/>
              <w:adjustRightInd w:val="0"/>
              <w:jc w:val="center"/>
              <w:rPr>
                <w:i/>
                <w:sz w:val="18"/>
                <w:szCs w:val="18"/>
                <w:lang w:val="it-IT"/>
              </w:rPr>
            </w:pPr>
            <w:r w:rsidRPr="00CE045C">
              <w:rPr>
                <w:i/>
                <w:sz w:val="18"/>
                <w:szCs w:val="18"/>
                <w:lang w:val="it-IT"/>
              </w:rPr>
              <w:t>Model 1</w:t>
            </w:r>
          </w:p>
        </w:tc>
        <w:tc>
          <w:tcPr>
            <w:tcW w:w="2448" w:type="dxa"/>
            <w:tcBorders>
              <w:top w:val="single" w:sz="4" w:space="0" w:color="auto"/>
              <w:left w:val="nil"/>
              <w:bottom w:val="single" w:sz="6" w:space="0" w:color="auto"/>
              <w:right w:val="nil"/>
            </w:tcBorders>
          </w:tcPr>
          <w:p w14:paraId="5EE3DAFC" w14:textId="77777777" w:rsidR="00CE045C" w:rsidRPr="00CE045C" w:rsidRDefault="00CE045C" w:rsidP="00CE045C">
            <w:pPr>
              <w:widowControl w:val="0"/>
              <w:autoSpaceDE w:val="0"/>
              <w:autoSpaceDN w:val="0"/>
              <w:adjustRightInd w:val="0"/>
              <w:jc w:val="center"/>
              <w:rPr>
                <w:i/>
                <w:sz w:val="18"/>
                <w:szCs w:val="18"/>
                <w:lang w:val="it-IT"/>
              </w:rPr>
            </w:pPr>
            <w:r w:rsidRPr="00CE045C">
              <w:rPr>
                <w:i/>
                <w:sz w:val="18"/>
                <w:szCs w:val="18"/>
                <w:lang w:val="it-IT"/>
              </w:rPr>
              <w:t>Model 2</w:t>
            </w:r>
          </w:p>
        </w:tc>
        <w:tc>
          <w:tcPr>
            <w:tcW w:w="2448" w:type="dxa"/>
            <w:tcBorders>
              <w:top w:val="single" w:sz="4" w:space="0" w:color="auto"/>
              <w:left w:val="nil"/>
              <w:bottom w:val="single" w:sz="6" w:space="0" w:color="auto"/>
              <w:right w:val="nil"/>
            </w:tcBorders>
          </w:tcPr>
          <w:p w14:paraId="5EE3DAFD" w14:textId="77777777" w:rsidR="00CE045C" w:rsidRPr="00CE045C" w:rsidRDefault="00CE045C" w:rsidP="00CE045C">
            <w:pPr>
              <w:widowControl w:val="0"/>
              <w:autoSpaceDE w:val="0"/>
              <w:autoSpaceDN w:val="0"/>
              <w:adjustRightInd w:val="0"/>
              <w:jc w:val="center"/>
              <w:rPr>
                <w:i/>
                <w:sz w:val="18"/>
                <w:szCs w:val="18"/>
                <w:lang w:val="it-IT"/>
              </w:rPr>
            </w:pPr>
            <w:r w:rsidRPr="00CE045C">
              <w:rPr>
                <w:i/>
                <w:sz w:val="18"/>
                <w:szCs w:val="18"/>
                <w:lang w:val="it-IT"/>
              </w:rPr>
              <w:t>Model 3</w:t>
            </w:r>
          </w:p>
        </w:tc>
      </w:tr>
      <w:tr w:rsidR="00CE045C" w:rsidRPr="00CE045C" w14:paraId="5EE3DB03" w14:textId="77777777" w:rsidTr="00797760">
        <w:trPr>
          <w:jc w:val="center"/>
        </w:trPr>
        <w:tc>
          <w:tcPr>
            <w:tcW w:w="1947" w:type="dxa"/>
            <w:tcBorders>
              <w:top w:val="nil"/>
              <w:left w:val="nil"/>
              <w:bottom w:val="nil"/>
              <w:right w:val="nil"/>
            </w:tcBorders>
          </w:tcPr>
          <w:p w14:paraId="5EE3DAFF" w14:textId="77777777" w:rsidR="00CE045C" w:rsidRPr="00CE045C" w:rsidRDefault="00CE045C" w:rsidP="00CE045C">
            <w:pPr>
              <w:widowControl w:val="0"/>
              <w:autoSpaceDE w:val="0"/>
              <w:autoSpaceDN w:val="0"/>
              <w:adjustRightInd w:val="0"/>
              <w:rPr>
                <w:sz w:val="18"/>
                <w:szCs w:val="18"/>
                <w:lang w:val="it-IT"/>
              </w:rPr>
            </w:pPr>
          </w:p>
        </w:tc>
        <w:tc>
          <w:tcPr>
            <w:tcW w:w="2448" w:type="dxa"/>
            <w:tcBorders>
              <w:top w:val="nil"/>
              <w:left w:val="nil"/>
              <w:bottom w:val="nil"/>
              <w:right w:val="nil"/>
            </w:tcBorders>
          </w:tcPr>
          <w:p w14:paraId="5EE3DB00"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01"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02"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08" w14:textId="77777777" w:rsidTr="00797760">
        <w:trPr>
          <w:jc w:val="center"/>
        </w:trPr>
        <w:tc>
          <w:tcPr>
            <w:tcW w:w="1947" w:type="dxa"/>
            <w:tcBorders>
              <w:top w:val="nil"/>
              <w:left w:val="nil"/>
              <w:bottom w:val="nil"/>
              <w:right w:val="nil"/>
            </w:tcBorders>
          </w:tcPr>
          <w:p w14:paraId="5EE3DB04" w14:textId="77777777" w:rsidR="00CE045C" w:rsidRPr="00FD2E37" w:rsidRDefault="00CE045C" w:rsidP="00797760">
            <w:pPr>
              <w:widowControl w:val="0"/>
              <w:autoSpaceDE w:val="0"/>
              <w:autoSpaceDN w:val="0"/>
              <w:adjustRightInd w:val="0"/>
              <w:ind w:firstLine="184"/>
              <w:rPr>
                <w:sz w:val="18"/>
                <w:szCs w:val="18"/>
              </w:rPr>
            </w:pPr>
            <w:r w:rsidRPr="00FD2E37">
              <w:rPr>
                <w:sz w:val="18"/>
                <w:szCs w:val="18"/>
              </w:rPr>
              <w:t>Nationality</w:t>
            </w:r>
          </w:p>
        </w:tc>
        <w:tc>
          <w:tcPr>
            <w:tcW w:w="2448" w:type="dxa"/>
            <w:tcBorders>
              <w:top w:val="nil"/>
              <w:left w:val="nil"/>
              <w:bottom w:val="nil"/>
              <w:right w:val="nil"/>
            </w:tcBorders>
          </w:tcPr>
          <w:p w14:paraId="5EE3DB05"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2.0</w:t>
            </w:r>
            <w:r w:rsidR="00B52BF9">
              <w:rPr>
                <w:sz w:val="18"/>
                <w:szCs w:val="18"/>
                <w:lang w:val="it-IT"/>
              </w:rPr>
              <w:t>2</w:t>
            </w:r>
            <w:r w:rsidRPr="00CE045C">
              <w:rPr>
                <w:sz w:val="18"/>
                <w:szCs w:val="18"/>
                <w:lang w:val="it-IT"/>
              </w:rPr>
              <w:t>***</w:t>
            </w:r>
          </w:p>
        </w:tc>
        <w:tc>
          <w:tcPr>
            <w:tcW w:w="2448" w:type="dxa"/>
            <w:tcBorders>
              <w:top w:val="nil"/>
              <w:left w:val="nil"/>
              <w:bottom w:val="nil"/>
              <w:right w:val="nil"/>
            </w:tcBorders>
          </w:tcPr>
          <w:p w14:paraId="5EE3DB06"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2.08***</w:t>
            </w:r>
          </w:p>
        </w:tc>
        <w:tc>
          <w:tcPr>
            <w:tcW w:w="2448" w:type="dxa"/>
            <w:tcBorders>
              <w:top w:val="nil"/>
              <w:left w:val="nil"/>
              <w:bottom w:val="nil"/>
              <w:right w:val="nil"/>
            </w:tcBorders>
          </w:tcPr>
          <w:p w14:paraId="5EE3DB07"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2.0</w:t>
            </w:r>
            <w:r w:rsidR="00B52BF9">
              <w:rPr>
                <w:sz w:val="18"/>
                <w:szCs w:val="18"/>
                <w:lang w:val="it-IT"/>
              </w:rPr>
              <w:t>6</w:t>
            </w:r>
            <w:r w:rsidRPr="00CE045C">
              <w:rPr>
                <w:sz w:val="18"/>
                <w:szCs w:val="18"/>
                <w:lang w:val="it-IT"/>
              </w:rPr>
              <w:t>***</w:t>
            </w:r>
          </w:p>
        </w:tc>
      </w:tr>
      <w:tr w:rsidR="00CE045C" w:rsidRPr="00CE045C" w14:paraId="5EE3DB0D" w14:textId="77777777" w:rsidTr="00797760">
        <w:trPr>
          <w:jc w:val="center"/>
        </w:trPr>
        <w:tc>
          <w:tcPr>
            <w:tcW w:w="1947" w:type="dxa"/>
            <w:tcBorders>
              <w:top w:val="nil"/>
              <w:left w:val="nil"/>
              <w:bottom w:val="nil"/>
              <w:right w:val="nil"/>
            </w:tcBorders>
          </w:tcPr>
          <w:p w14:paraId="5EE3DB09"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0A"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(0.71)</w:t>
            </w:r>
          </w:p>
        </w:tc>
        <w:tc>
          <w:tcPr>
            <w:tcW w:w="2448" w:type="dxa"/>
            <w:tcBorders>
              <w:top w:val="nil"/>
              <w:left w:val="nil"/>
              <w:bottom w:val="nil"/>
              <w:right w:val="nil"/>
            </w:tcBorders>
          </w:tcPr>
          <w:p w14:paraId="5EE3DB0B"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(0.7</w:t>
            </w:r>
            <w:r w:rsidR="00B52BF9">
              <w:rPr>
                <w:sz w:val="18"/>
                <w:szCs w:val="18"/>
                <w:lang w:val="it-IT"/>
              </w:rPr>
              <w:t>4</w:t>
            </w:r>
            <w:r w:rsidRPr="00CE045C">
              <w:rPr>
                <w:sz w:val="18"/>
                <w:szCs w:val="18"/>
                <w:lang w:val="it-IT"/>
              </w:rPr>
              <w:t>)</w:t>
            </w:r>
          </w:p>
        </w:tc>
        <w:tc>
          <w:tcPr>
            <w:tcW w:w="2448" w:type="dxa"/>
            <w:tcBorders>
              <w:top w:val="nil"/>
              <w:left w:val="nil"/>
              <w:bottom w:val="nil"/>
              <w:right w:val="nil"/>
            </w:tcBorders>
          </w:tcPr>
          <w:p w14:paraId="5EE3DB0C"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(0.6</w:t>
            </w:r>
            <w:r w:rsidR="00B52BF9">
              <w:rPr>
                <w:sz w:val="18"/>
                <w:szCs w:val="18"/>
                <w:lang w:val="it-IT"/>
              </w:rPr>
              <w:t>4</w:t>
            </w:r>
            <w:r w:rsidRPr="00CE045C">
              <w:rPr>
                <w:sz w:val="18"/>
                <w:szCs w:val="18"/>
                <w:lang w:val="it-IT"/>
              </w:rPr>
              <w:t>)</w:t>
            </w:r>
          </w:p>
        </w:tc>
      </w:tr>
      <w:tr w:rsidR="00CE045C" w:rsidRPr="00CE045C" w14:paraId="5EE3DB12" w14:textId="77777777" w:rsidTr="00797760">
        <w:trPr>
          <w:jc w:val="center"/>
        </w:trPr>
        <w:tc>
          <w:tcPr>
            <w:tcW w:w="1947" w:type="dxa"/>
            <w:tcBorders>
              <w:top w:val="nil"/>
              <w:left w:val="nil"/>
              <w:bottom w:val="nil"/>
              <w:right w:val="nil"/>
            </w:tcBorders>
          </w:tcPr>
          <w:p w14:paraId="5EE3DB0E" w14:textId="77777777" w:rsidR="00CE045C" w:rsidRPr="00FD2E37" w:rsidRDefault="00CE045C" w:rsidP="00797760">
            <w:pPr>
              <w:widowControl w:val="0"/>
              <w:autoSpaceDE w:val="0"/>
              <w:autoSpaceDN w:val="0"/>
              <w:adjustRightInd w:val="0"/>
              <w:ind w:firstLine="184"/>
              <w:rPr>
                <w:sz w:val="18"/>
                <w:szCs w:val="18"/>
              </w:rPr>
            </w:pPr>
            <w:r w:rsidRPr="00FD2E37">
              <w:rPr>
                <w:sz w:val="18"/>
                <w:szCs w:val="18"/>
              </w:rPr>
              <w:t>Firm size</w:t>
            </w:r>
          </w:p>
        </w:tc>
        <w:tc>
          <w:tcPr>
            <w:tcW w:w="2448" w:type="dxa"/>
            <w:tcBorders>
              <w:top w:val="nil"/>
              <w:left w:val="nil"/>
              <w:bottom w:val="nil"/>
              <w:right w:val="nil"/>
            </w:tcBorders>
          </w:tcPr>
          <w:p w14:paraId="5EE3DB0F"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0.00</w:t>
            </w:r>
          </w:p>
        </w:tc>
        <w:tc>
          <w:tcPr>
            <w:tcW w:w="2448" w:type="dxa"/>
            <w:tcBorders>
              <w:top w:val="nil"/>
              <w:left w:val="nil"/>
              <w:bottom w:val="nil"/>
              <w:right w:val="nil"/>
            </w:tcBorders>
          </w:tcPr>
          <w:p w14:paraId="5EE3DB10"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0.00</w:t>
            </w:r>
          </w:p>
        </w:tc>
        <w:tc>
          <w:tcPr>
            <w:tcW w:w="2448" w:type="dxa"/>
            <w:tcBorders>
              <w:top w:val="nil"/>
              <w:left w:val="nil"/>
              <w:bottom w:val="nil"/>
              <w:right w:val="nil"/>
            </w:tcBorders>
          </w:tcPr>
          <w:p w14:paraId="5EE3DB11"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0.00</w:t>
            </w:r>
          </w:p>
        </w:tc>
      </w:tr>
      <w:tr w:rsidR="00CE045C" w:rsidRPr="00CE045C" w14:paraId="5EE3DB17" w14:textId="77777777" w:rsidTr="00797760">
        <w:trPr>
          <w:jc w:val="center"/>
        </w:trPr>
        <w:tc>
          <w:tcPr>
            <w:tcW w:w="1947" w:type="dxa"/>
            <w:tcBorders>
              <w:top w:val="nil"/>
              <w:left w:val="nil"/>
              <w:bottom w:val="nil"/>
              <w:right w:val="nil"/>
            </w:tcBorders>
          </w:tcPr>
          <w:p w14:paraId="5EE3DB13"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14"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1</w:t>
            </w:r>
            <w:r w:rsidRPr="00CE045C">
              <w:rPr>
                <w:sz w:val="18"/>
                <w:szCs w:val="18"/>
                <w:lang w:val="it-IT"/>
              </w:rPr>
              <w:t>)</w:t>
            </w:r>
          </w:p>
        </w:tc>
        <w:tc>
          <w:tcPr>
            <w:tcW w:w="2448" w:type="dxa"/>
            <w:tcBorders>
              <w:top w:val="nil"/>
              <w:left w:val="nil"/>
              <w:bottom w:val="nil"/>
              <w:right w:val="nil"/>
            </w:tcBorders>
          </w:tcPr>
          <w:p w14:paraId="5EE3DB15"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1</w:t>
            </w:r>
            <w:r w:rsidRPr="00CE045C">
              <w:rPr>
                <w:sz w:val="18"/>
                <w:szCs w:val="18"/>
                <w:lang w:val="it-IT"/>
              </w:rPr>
              <w:t>)</w:t>
            </w:r>
          </w:p>
        </w:tc>
        <w:tc>
          <w:tcPr>
            <w:tcW w:w="2448" w:type="dxa"/>
            <w:tcBorders>
              <w:top w:val="nil"/>
              <w:left w:val="nil"/>
              <w:bottom w:val="nil"/>
              <w:right w:val="nil"/>
            </w:tcBorders>
          </w:tcPr>
          <w:p w14:paraId="5EE3DB16"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1</w:t>
            </w:r>
            <w:r w:rsidRPr="00CE045C">
              <w:rPr>
                <w:sz w:val="18"/>
                <w:szCs w:val="18"/>
                <w:lang w:val="it-IT"/>
              </w:rPr>
              <w:t>)</w:t>
            </w:r>
          </w:p>
        </w:tc>
      </w:tr>
      <w:tr w:rsidR="00CE045C" w:rsidRPr="00CE045C" w14:paraId="5EE3DB1C" w14:textId="77777777" w:rsidTr="00797760">
        <w:trPr>
          <w:jc w:val="center"/>
        </w:trPr>
        <w:tc>
          <w:tcPr>
            <w:tcW w:w="1947" w:type="dxa"/>
            <w:tcBorders>
              <w:top w:val="nil"/>
              <w:left w:val="nil"/>
              <w:bottom w:val="nil"/>
              <w:right w:val="nil"/>
            </w:tcBorders>
          </w:tcPr>
          <w:p w14:paraId="5EE3DB18" w14:textId="77777777" w:rsidR="00CE045C" w:rsidRPr="00FD2E37" w:rsidRDefault="00CE045C" w:rsidP="00CE045C">
            <w:pPr>
              <w:widowControl w:val="0"/>
              <w:autoSpaceDE w:val="0"/>
              <w:autoSpaceDN w:val="0"/>
              <w:adjustRightInd w:val="0"/>
              <w:ind w:firstLine="184"/>
              <w:rPr>
                <w:sz w:val="18"/>
                <w:szCs w:val="18"/>
              </w:rPr>
            </w:pPr>
            <w:r>
              <w:rPr>
                <w:sz w:val="18"/>
                <w:szCs w:val="18"/>
              </w:rPr>
              <w:t xml:space="preserve">International </w:t>
            </w:r>
            <w:proofErr w:type="spellStart"/>
            <w:r w:rsidRPr="00FD2E37">
              <w:rPr>
                <w:sz w:val="18"/>
                <w:szCs w:val="18"/>
              </w:rPr>
              <w:t>exper</w:t>
            </w:r>
            <w:proofErr w:type="spellEnd"/>
          </w:p>
        </w:tc>
        <w:tc>
          <w:tcPr>
            <w:tcW w:w="2448" w:type="dxa"/>
            <w:tcBorders>
              <w:top w:val="nil"/>
              <w:left w:val="nil"/>
              <w:bottom w:val="nil"/>
              <w:right w:val="nil"/>
            </w:tcBorders>
          </w:tcPr>
          <w:p w14:paraId="5EE3DB19"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1</w:t>
            </w:r>
          </w:p>
        </w:tc>
        <w:tc>
          <w:tcPr>
            <w:tcW w:w="2448" w:type="dxa"/>
            <w:tcBorders>
              <w:top w:val="nil"/>
              <w:left w:val="nil"/>
              <w:bottom w:val="nil"/>
              <w:right w:val="nil"/>
            </w:tcBorders>
          </w:tcPr>
          <w:p w14:paraId="5EE3DB1A"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1</w:t>
            </w:r>
          </w:p>
        </w:tc>
        <w:tc>
          <w:tcPr>
            <w:tcW w:w="2448" w:type="dxa"/>
            <w:tcBorders>
              <w:top w:val="nil"/>
              <w:left w:val="nil"/>
              <w:bottom w:val="nil"/>
              <w:right w:val="nil"/>
            </w:tcBorders>
          </w:tcPr>
          <w:p w14:paraId="5EE3DB1B"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1</w:t>
            </w:r>
          </w:p>
        </w:tc>
      </w:tr>
      <w:tr w:rsidR="00CE045C" w:rsidRPr="00CE045C" w14:paraId="5EE3DB21" w14:textId="77777777" w:rsidTr="00797760">
        <w:trPr>
          <w:jc w:val="center"/>
        </w:trPr>
        <w:tc>
          <w:tcPr>
            <w:tcW w:w="1947" w:type="dxa"/>
            <w:tcBorders>
              <w:top w:val="nil"/>
              <w:left w:val="nil"/>
              <w:bottom w:val="nil"/>
              <w:right w:val="nil"/>
            </w:tcBorders>
          </w:tcPr>
          <w:p w14:paraId="5EE3DB1D" w14:textId="77777777" w:rsidR="00CE045C" w:rsidRPr="00CF1A52"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1E"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1</w:t>
            </w:r>
            <w:r w:rsidRPr="00CE045C">
              <w:rPr>
                <w:sz w:val="18"/>
                <w:szCs w:val="18"/>
                <w:lang w:val="it-IT"/>
              </w:rPr>
              <w:t>)</w:t>
            </w:r>
          </w:p>
        </w:tc>
        <w:tc>
          <w:tcPr>
            <w:tcW w:w="2448" w:type="dxa"/>
            <w:tcBorders>
              <w:top w:val="nil"/>
              <w:left w:val="nil"/>
              <w:bottom w:val="nil"/>
              <w:right w:val="nil"/>
            </w:tcBorders>
          </w:tcPr>
          <w:p w14:paraId="5EE3DB1F"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1</w:t>
            </w:r>
            <w:r w:rsidRPr="00CE045C">
              <w:rPr>
                <w:sz w:val="18"/>
                <w:szCs w:val="18"/>
                <w:lang w:val="it-IT"/>
              </w:rPr>
              <w:t>)</w:t>
            </w:r>
          </w:p>
        </w:tc>
        <w:tc>
          <w:tcPr>
            <w:tcW w:w="2448" w:type="dxa"/>
            <w:tcBorders>
              <w:top w:val="nil"/>
              <w:left w:val="nil"/>
              <w:bottom w:val="nil"/>
              <w:right w:val="nil"/>
            </w:tcBorders>
          </w:tcPr>
          <w:p w14:paraId="5EE3DB20"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1</w:t>
            </w:r>
            <w:r w:rsidRPr="00CE045C">
              <w:rPr>
                <w:sz w:val="18"/>
                <w:szCs w:val="18"/>
                <w:lang w:val="it-IT"/>
              </w:rPr>
              <w:t>)</w:t>
            </w:r>
          </w:p>
        </w:tc>
      </w:tr>
      <w:tr w:rsidR="00CE045C" w:rsidRPr="00CE045C" w14:paraId="5EE3DB26" w14:textId="77777777" w:rsidTr="00797760">
        <w:trPr>
          <w:jc w:val="center"/>
        </w:trPr>
        <w:tc>
          <w:tcPr>
            <w:tcW w:w="1947" w:type="dxa"/>
            <w:tcBorders>
              <w:top w:val="nil"/>
              <w:left w:val="nil"/>
              <w:bottom w:val="nil"/>
              <w:right w:val="nil"/>
            </w:tcBorders>
          </w:tcPr>
          <w:p w14:paraId="5EE3DB22" w14:textId="77777777" w:rsidR="00CE045C" w:rsidRPr="00FD2E37" w:rsidRDefault="00CE045C" w:rsidP="00797760">
            <w:pPr>
              <w:widowControl w:val="0"/>
              <w:autoSpaceDE w:val="0"/>
              <w:autoSpaceDN w:val="0"/>
              <w:adjustRightInd w:val="0"/>
              <w:ind w:firstLine="184"/>
              <w:rPr>
                <w:sz w:val="18"/>
                <w:szCs w:val="18"/>
              </w:rPr>
            </w:pPr>
            <w:r w:rsidRPr="00FD2E37">
              <w:rPr>
                <w:sz w:val="18"/>
                <w:szCs w:val="18"/>
              </w:rPr>
              <w:t>NACE 28</w:t>
            </w:r>
          </w:p>
        </w:tc>
        <w:tc>
          <w:tcPr>
            <w:tcW w:w="2448" w:type="dxa"/>
            <w:tcBorders>
              <w:top w:val="nil"/>
              <w:left w:val="nil"/>
              <w:bottom w:val="nil"/>
              <w:right w:val="nil"/>
            </w:tcBorders>
          </w:tcPr>
          <w:p w14:paraId="5EE3DB23"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w:t>
            </w:r>
            <w:r w:rsidR="00B52BF9">
              <w:rPr>
                <w:sz w:val="18"/>
                <w:szCs w:val="18"/>
                <w:lang w:val="it-IT"/>
              </w:rPr>
              <w:t>1</w:t>
            </w:r>
            <w:r w:rsidRPr="00CE045C">
              <w:rPr>
                <w:sz w:val="18"/>
                <w:szCs w:val="18"/>
                <w:lang w:val="it-IT"/>
              </w:rPr>
              <w:t>0</w:t>
            </w:r>
          </w:p>
        </w:tc>
        <w:tc>
          <w:tcPr>
            <w:tcW w:w="2448" w:type="dxa"/>
            <w:tcBorders>
              <w:top w:val="nil"/>
              <w:left w:val="nil"/>
              <w:bottom w:val="nil"/>
              <w:right w:val="nil"/>
            </w:tcBorders>
          </w:tcPr>
          <w:p w14:paraId="5EE3DB24"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-0.1</w:t>
            </w:r>
            <w:r w:rsidR="00B52BF9">
              <w:rPr>
                <w:sz w:val="18"/>
                <w:szCs w:val="18"/>
                <w:lang w:val="it-IT"/>
              </w:rPr>
              <w:t>8</w:t>
            </w:r>
          </w:p>
        </w:tc>
        <w:tc>
          <w:tcPr>
            <w:tcW w:w="2448" w:type="dxa"/>
            <w:tcBorders>
              <w:top w:val="nil"/>
              <w:left w:val="nil"/>
              <w:bottom w:val="nil"/>
              <w:right w:val="nil"/>
            </w:tcBorders>
          </w:tcPr>
          <w:p w14:paraId="5EE3DB25"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-0.03</w:t>
            </w:r>
          </w:p>
        </w:tc>
      </w:tr>
      <w:tr w:rsidR="00CE045C" w:rsidRPr="00CE045C" w14:paraId="5EE3DB2B" w14:textId="77777777" w:rsidTr="00797760">
        <w:trPr>
          <w:jc w:val="center"/>
        </w:trPr>
        <w:tc>
          <w:tcPr>
            <w:tcW w:w="1947" w:type="dxa"/>
            <w:tcBorders>
              <w:top w:val="nil"/>
              <w:left w:val="nil"/>
              <w:bottom w:val="nil"/>
              <w:right w:val="nil"/>
            </w:tcBorders>
          </w:tcPr>
          <w:p w14:paraId="5EE3DB27"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28"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(0.6</w:t>
            </w:r>
            <w:r w:rsidR="00B52BF9">
              <w:rPr>
                <w:sz w:val="18"/>
                <w:szCs w:val="18"/>
                <w:lang w:val="it-IT"/>
              </w:rPr>
              <w:t>9</w:t>
            </w:r>
            <w:r w:rsidRPr="00CE045C">
              <w:rPr>
                <w:sz w:val="18"/>
                <w:szCs w:val="18"/>
                <w:lang w:val="it-IT"/>
              </w:rPr>
              <w:t>)</w:t>
            </w:r>
          </w:p>
        </w:tc>
        <w:tc>
          <w:tcPr>
            <w:tcW w:w="2448" w:type="dxa"/>
            <w:tcBorders>
              <w:top w:val="nil"/>
              <w:left w:val="nil"/>
              <w:bottom w:val="nil"/>
              <w:right w:val="nil"/>
            </w:tcBorders>
          </w:tcPr>
          <w:p w14:paraId="5EE3DB29"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(0.7</w:t>
            </w:r>
            <w:r w:rsidR="00B52BF9">
              <w:rPr>
                <w:sz w:val="18"/>
                <w:szCs w:val="18"/>
                <w:lang w:val="it-IT"/>
              </w:rPr>
              <w:t>2</w:t>
            </w:r>
            <w:r w:rsidRPr="00CE045C">
              <w:rPr>
                <w:sz w:val="18"/>
                <w:szCs w:val="18"/>
                <w:lang w:val="it-IT"/>
              </w:rPr>
              <w:t>)</w:t>
            </w:r>
          </w:p>
        </w:tc>
        <w:tc>
          <w:tcPr>
            <w:tcW w:w="2448" w:type="dxa"/>
            <w:tcBorders>
              <w:top w:val="nil"/>
              <w:left w:val="nil"/>
              <w:bottom w:val="nil"/>
              <w:right w:val="nil"/>
            </w:tcBorders>
          </w:tcPr>
          <w:p w14:paraId="5EE3DB2A"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(0.6</w:t>
            </w:r>
            <w:r w:rsidR="00B52BF9">
              <w:rPr>
                <w:sz w:val="18"/>
                <w:szCs w:val="18"/>
                <w:lang w:val="it-IT"/>
              </w:rPr>
              <w:t>4</w:t>
            </w:r>
            <w:r w:rsidRPr="00CE045C">
              <w:rPr>
                <w:sz w:val="18"/>
                <w:szCs w:val="18"/>
                <w:lang w:val="it-IT"/>
              </w:rPr>
              <w:t>)</w:t>
            </w:r>
          </w:p>
        </w:tc>
      </w:tr>
      <w:tr w:rsidR="00CE045C" w:rsidRPr="00CE045C" w14:paraId="5EE3DB30" w14:textId="77777777" w:rsidTr="00797760">
        <w:trPr>
          <w:jc w:val="center"/>
        </w:trPr>
        <w:tc>
          <w:tcPr>
            <w:tcW w:w="1947" w:type="dxa"/>
            <w:tcBorders>
              <w:top w:val="nil"/>
              <w:left w:val="nil"/>
              <w:bottom w:val="nil"/>
              <w:right w:val="nil"/>
            </w:tcBorders>
          </w:tcPr>
          <w:p w14:paraId="5EE3DB2C" w14:textId="77777777" w:rsidR="00CE045C" w:rsidRPr="00FD2E37" w:rsidRDefault="00CE045C" w:rsidP="00797760">
            <w:pPr>
              <w:widowControl w:val="0"/>
              <w:autoSpaceDE w:val="0"/>
              <w:autoSpaceDN w:val="0"/>
              <w:adjustRightInd w:val="0"/>
              <w:ind w:firstLine="184"/>
              <w:rPr>
                <w:sz w:val="18"/>
                <w:szCs w:val="18"/>
              </w:rPr>
            </w:pPr>
            <w:r w:rsidRPr="00FD2E37">
              <w:rPr>
                <w:sz w:val="18"/>
                <w:szCs w:val="18"/>
              </w:rPr>
              <w:t>NACE 25</w:t>
            </w:r>
          </w:p>
        </w:tc>
        <w:tc>
          <w:tcPr>
            <w:tcW w:w="2448" w:type="dxa"/>
            <w:tcBorders>
              <w:top w:val="nil"/>
              <w:left w:val="nil"/>
              <w:bottom w:val="nil"/>
              <w:right w:val="nil"/>
            </w:tcBorders>
          </w:tcPr>
          <w:p w14:paraId="5EE3DB2D"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0.57</w:t>
            </w:r>
          </w:p>
        </w:tc>
        <w:tc>
          <w:tcPr>
            <w:tcW w:w="2448" w:type="dxa"/>
            <w:tcBorders>
              <w:top w:val="nil"/>
              <w:left w:val="nil"/>
              <w:bottom w:val="nil"/>
              <w:right w:val="nil"/>
            </w:tcBorders>
          </w:tcPr>
          <w:p w14:paraId="5EE3DB2E"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0.6</w:t>
            </w:r>
            <w:r w:rsidR="00B52BF9">
              <w:rPr>
                <w:sz w:val="18"/>
                <w:szCs w:val="18"/>
                <w:lang w:val="it-IT"/>
              </w:rPr>
              <w:t>3</w:t>
            </w:r>
          </w:p>
        </w:tc>
        <w:tc>
          <w:tcPr>
            <w:tcW w:w="2448" w:type="dxa"/>
            <w:tcBorders>
              <w:top w:val="nil"/>
              <w:left w:val="nil"/>
              <w:bottom w:val="nil"/>
              <w:right w:val="nil"/>
            </w:tcBorders>
          </w:tcPr>
          <w:p w14:paraId="5EE3DB2F"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0.64</w:t>
            </w:r>
          </w:p>
        </w:tc>
      </w:tr>
      <w:tr w:rsidR="00CE045C" w:rsidRPr="00CE045C" w14:paraId="5EE3DB35" w14:textId="77777777" w:rsidTr="00797760">
        <w:trPr>
          <w:jc w:val="center"/>
        </w:trPr>
        <w:tc>
          <w:tcPr>
            <w:tcW w:w="1947" w:type="dxa"/>
            <w:tcBorders>
              <w:top w:val="nil"/>
              <w:left w:val="nil"/>
              <w:bottom w:val="nil"/>
              <w:right w:val="nil"/>
            </w:tcBorders>
          </w:tcPr>
          <w:p w14:paraId="5EE3DB31"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32"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(0.74)</w:t>
            </w:r>
          </w:p>
        </w:tc>
        <w:tc>
          <w:tcPr>
            <w:tcW w:w="2448" w:type="dxa"/>
            <w:tcBorders>
              <w:top w:val="nil"/>
              <w:left w:val="nil"/>
              <w:bottom w:val="nil"/>
              <w:right w:val="nil"/>
            </w:tcBorders>
          </w:tcPr>
          <w:p w14:paraId="5EE3DB33"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(0.68)</w:t>
            </w:r>
          </w:p>
        </w:tc>
        <w:tc>
          <w:tcPr>
            <w:tcW w:w="2448" w:type="dxa"/>
            <w:tcBorders>
              <w:top w:val="nil"/>
              <w:left w:val="nil"/>
              <w:bottom w:val="nil"/>
              <w:right w:val="nil"/>
            </w:tcBorders>
          </w:tcPr>
          <w:p w14:paraId="5EE3DB34"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(0.70)</w:t>
            </w:r>
          </w:p>
        </w:tc>
      </w:tr>
      <w:tr w:rsidR="00CE045C" w:rsidRPr="00CE045C" w14:paraId="5EE3DB3A" w14:textId="77777777" w:rsidTr="00797760">
        <w:trPr>
          <w:jc w:val="center"/>
        </w:trPr>
        <w:tc>
          <w:tcPr>
            <w:tcW w:w="1947" w:type="dxa"/>
            <w:tcBorders>
              <w:top w:val="nil"/>
              <w:left w:val="nil"/>
              <w:bottom w:val="nil"/>
              <w:right w:val="nil"/>
            </w:tcBorders>
          </w:tcPr>
          <w:p w14:paraId="5EE3DB36" w14:textId="77777777" w:rsidR="00CE045C" w:rsidRPr="00FD2E37" w:rsidRDefault="00CE045C" w:rsidP="00797760">
            <w:pPr>
              <w:widowControl w:val="0"/>
              <w:autoSpaceDE w:val="0"/>
              <w:autoSpaceDN w:val="0"/>
              <w:adjustRightInd w:val="0"/>
              <w:ind w:firstLine="184"/>
              <w:rPr>
                <w:sz w:val="18"/>
                <w:szCs w:val="18"/>
              </w:rPr>
            </w:pPr>
            <w:r w:rsidRPr="00FD2E37">
              <w:rPr>
                <w:sz w:val="18"/>
                <w:szCs w:val="18"/>
              </w:rPr>
              <w:t>NACE 23</w:t>
            </w:r>
          </w:p>
        </w:tc>
        <w:tc>
          <w:tcPr>
            <w:tcW w:w="2448" w:type="dxa"/>
            <w:tcBorders>
              <w:top w:val="nil"/>
              <w:left w:val="nil"/>
              <w:bottom w:val="nil"/>
              <w:right w:val="nil"/>
            </w:tcBorders>
          </w:tcPr>
          <w:p w14:paraId="5EE3DB37"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-1.7</w:t>
            </w:r>
            <w:r w:rsidR="00B52BF9">
              <w:rPr>
                <w:sz w:val="18"/>
                <w:szCs w:val="18"/>
                <w:lang w:val="it-IT"/>
              </w:rPr>
              <w:t>8</w:t>
            </w:r>
          </w:p>
        </w:tc>
        <w:tc>
          <w:tcPr>
            <w:tcW w:w="2448" w:type="dxa"/>
            <w:tcBorders>
              <w:top w:val="nil"/>
              <w:left w:val="nil"/>
              <w:bottom w:val="nil"/>
              <w:right w:val="nil"/>
            </w:tcBorders>
          </w:tcPr>
          <w:p w14:paraId="5EE3DB38"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-1.74</w:t>
            </w:r>
          </w:p>
        </w:tc>
        <w:tc>
          <w:tcPr>
            <w:tcW w:w="2448" w:type="dxa"/>
            <w:tcBorders>
              <w:top w:val="nil"/>
              <w:left w:val="nil"/>
              <w:bottom w:val="nil"/>
              <w:right w:val="nil"/>
            </w:tcBorders>
          </w:tcPr>
          <w:p w14:paraId="5EE3DB39"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-1.68</w:t>
            </w:r>
          </w:p>
        </w:tc>
      </w:tr>
      <w:tr w:rsidR="00CE045C" w:rsidRPr="00CE045C" w14:paraId="5EE3DB3F" w14:textId="77777777" w:rsidTr="00797760">
        <w:trPr>
          <w:jc w:val="center"/>
        </w:trPr>
        <w:tc>
          <w:tcPr>
            <w:tcW w:w="1947" w:type="dxa"/>
            <w:tcBorders>
              <w:top w:val="nil"/>
              <w:left w:val="nil"/>
              <w:bottom w:val="nil"/>
              <w:right w:val="nil"/>
            </w:tcBorders>
          </w:tcPr>
          <w:p w14:paraId="5EE3DB3B"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3C"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(1.21)</w:t>
            </w:r>
          </w:p>
        </w:tc>
        <w:tc>
          <w:tcPr>
            <w:tcW w:w="2448" w:type="dxa"/>
            <w:tcBorders>
              <w:top w:val="nil"/>
              <w:left w:val="nil"/>
              <w:bottom w:val="nil"/>
              <w:right w:val="nil"/>
            </w:tcBorders>
          </w:tcPr>
          <w:p w14:paraId="5EE3DB3D"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w:t>
            </w:r>
            <w:r w:rsidR="00B52BF9">
              <w:rPr>
                <w:sz w:val="18"/>
                <w:szCs w:val="18"/>
                <w:lang w:val="it-IT"/>
              </w:rPr>
              <w:t>20</w:t>
            </w:r>
            <w:r w:rsidRPr="00CE045C">
              <w:rPr>
                <w:sz w:val="18"/>
                <w:szCs w:val="18"/>
                <w:lang w:val="it-IT"/>
              </w:rPr>
              <w:t>)</w:t>
            </w:r>
          </w:p>
        </w:tc>
        <w:tc>
          <w:tcPr>
            <w:tcW w:w="2448" w:type="dxa"/>
            <w:tcBorders>
              <w:top w:val="nil"/>
              <w:left w:val="nil"/>
              <w:bottom w:val="nil"/>
              <w:right w:val="nil"/>
            </w:tcBorders>
          </w:tcPr>
          <w:p w14:paraId="5EE3DB3E"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(1.29)</w:t>
            </w:r>
          </w:p>
        </w:tc>
      </w:tr>
      <w:tr w:rsidR="00CE045C" w:rsidRPr="00CE045C" w14:paraId="5EE3DB44" w14:textId="77777777" w:rsidTr="00797760">
        <w:trPr>
          <w:jc w:val="center"/>
        </w:trPr>
        <w:tc>
          <w:tcPr>
            <w:tcW w:w="1947" w:type="dxa"/>
            <w:tcBorders>
              <w:top w:val="nil"/>
              <w:left w:val="nil"/>
              <w:bottom w:val="nil"/>
              <w:right w:val="nil"/>
            </w:tcBorders>
          </w:tcPr>
          <w:p w14:paraId="5EE3DB40" w14:textId="77777777" w:rsidR="00CE045C" w:rsidRPr="00FD2E37" w:rsidRDefault="00CE045C" w:rsidP="00797760">
            <w:pPr>
              <w:widowControl w:val="0"/>
              <w:autoSpaceDE w:val="0"/>
              <w:autoSpaceDN w:val="0"/>
              <w:adjustRightInd w:val="0"/>
              <w:ind w:firstLine="184"/>
              <w:rPr>
                <w:sz w:val="18"/>
                <w:szCs w:val="18"/>
              </w:rPr>
            </w:pPr>
            <w:r w:rsidRPr="00FD2E37">
              <w:rPr>
                <w:sz w:val="18"/>
                <w:szCs w:val="18"/>
              </w:rPr>
              <w:t>NACE 10</w:t>
            </w:r>
          </w:p>
        </w:tc>
        <w:tc>
          <w:tcPr>
            <w:tcW w:w="2448" w:type="dxa"/>
            <w:tcBorders>
              <w:top w:val="nil"/>
              <w:left w:val="nil"/>
              <w:bottom w:val="nil"/>
              <w:right w:val="nil"/>
            </w:tcBorders>
          </w:tcPr>
          <w:p w14:paraId="5EE3DB41"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0.3</w:t>
            </w:r>
            <w:r w:rsidR="00B52BF9">
              <w:rPr>
                <w:sz w:val="18"/>
                <w:szCs w:val="18"/>
                <w:lang w:val="it-IT"/>
              </w:rPr>
              <w:t>9</w:t>
            </w:r>
          </w:p>
        </w:tc>
        <w:tc>
          <w:tcPr>
            <w:tcW w:w="2448" w:type="dxa"/>
            <w:tcBorders>
              <w:top w:val="nil"/>
              <w:left w:val="nil"/>
              <w:bottom w:val="nil"/>
              <w:right w:val="nil"/>
            </w:tcBorders>
          </w:tcPr>
          <w:p w14:paraId="5EE3DB42"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0.49</w:t>
            </w:r>
          </w:p>
        </w:tc>
        <w:tc>
          <w:tcPr>
            <w:tcW w:w="2448" w:type="dxa"/>
            <w:tcBorders>
              <w:top w:val="nil"/>
              <w:left w:val="nil"/>
              <w:bottom w:val="nil"/>
              <w:right w:val="nil"/>
            </w:tcBorders>
          </w:tcPr>
          <w:p w14:paraId="5EE3DB43"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0.48</w:t>
            </w:r>
          </w:p>
        </w:tc>
      </w:tr>
      <w:tr w:rsidR="00CE045C" w:rsidRPr="00CE045C" w14:paraId="5EE3DB49" w14:textId="77777777" w:rsidTr="00797760">
        <w:trPr>
          <w:jc w:val="center"/>
        </w:trPr>
        <w:tc>
          <w:tcPr>
            <w:tcW w:w="1947" w:type="dxa"/>
            <w:tcBorders>
              <w:top w:val="nil"/>
              <w:left w:val="nil"/>
              <w:bottom w:val="nil"/>
              <w:right w:val="nil"/>
            </w:tcBorders>
          </w:tcPr>
          <w:p w14:paraId="5EE3DB45"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46"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(1.07)</w:t>
            </w:r>
          </w:p>
        </w:tc>
        <w:tc>
          <w:tcPr>
            <w:tcW w:w="2448" w:type="dxa"/>
            <w:tcBorders>
              <w:top w:val="nil"/>
              <w:left w:val="nil"/>
              <w:bottom w:val="nil"/>
              <w:right w:val="nil"/>
            </w:tcBorders>
          </w:tcPr>
          <w:p w14:paraId="5EE3DB47"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(0.9</w:t>
            </w:r>
            <w:r w:rsidR="00B52BF9">
              <w:rPr>
                <w:sz w:val="18"/>
                <w:szCs w:val="18"/>
                <w:lang w:val="it-IT"/>
              </w:rPr>
              <w:t>4</w:t>
            </w:r>
            <w:r w:rsidRPr="00CE045C">
              <w:rPr>
                <w:sz w:val="18"/>
                <w:szCs w:val="18"/>
                <w:lang w:val="it-IT"/>
              </w:rPr>
              <w:t>)</w:t>
            </w:r>
          </w:p>
        </w:tc>
        <w:tc>
          <w:tcPr>
            <w:tcW w:w="2448" w:type="dxa"/>
            <w:tcBorders>
              <w:top w:val="nil"/>
              <w:left w:val="nil"/>
              <w:bottom w:val="nil"/>
              <w:right w:val="nil"/>
            </w:tcBorders>
          </w:tcPr>
          <w:p w14:paraId="5EE3DB48"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(0.9</w:t>
            </w:r>
            <w:r w:rsidR="00B52BF9">
              <w:rPr>
                <w:sz w:val="18"/>
                <w:szCs w:val="18"/>
                <w:lang w:val="it-IT"/>
              </w:rPr>
              <w:t>1</w:t>
            </w:r>
            <w:r w:rsidRPr="00CE045C">
              <w:rPr>
                <w:sz w:val="18"/>
                <w:szCs w:val="18"/>
                <w:lang w:val="it-IT"/>
              </w:rPr>
              <w:t>)</w:t>
            </w:r>
          </w:p>
        </w:tc>
      </w:tr>
      <w:tr w:rsidR="00CE045C" w:rsidRPr="00CE045C" w14:paraId="5EE3DB4E" w14:textId="77777777" w:rsidTr="00797760">
        <w:trPr>
          <w:jc w:val="center"/>
        </w:trPr>
        <w:tc>
          <w:tcPr>
            <w:tcW w:w="1947" w:type="dxa"/>
            <w:tcBorders>
              <w:top w:val="nil"/>
              <w:left w:val="nil"/>
              <w:bottom w:val="nil"/>
              <w:right w:val="nil"/>
            </w:tcBorders>
          </w:tcPr>
          <w:p w14:paraId="5EE3DB4A" w14:textId="77777777" w:rsidR="00CE045C" w:rsidRPr="00FD2E37" w:rsidRDefault="00CE045C" w:rsidP="00797760">
            <w:pPr>
              <w:widowControl w:val="0"/>
              <w:autoSpaceDE w:val="0"/>
              <w:autoSpaceDN w:val="0"/>
              <w:adjustRightInd w:val="0"/>
              <w:ind w:firstLine="184"/>
              <w:rPr>
                <w:sz w:val="18"/>
                <w:szCs w:val="18"/>
              </w:rPr>
            </w:pPr>
            <w:r w:rsidRPr="00FD2E37">
              <w:rPr>
                <w:sz w:val="18"/>
                <w:szCs w:val="18"/>
              </w:rPr>
              <w:t>NACE 32</w:t>
            </w:r>
          </w:p>
        </w:tc>
        <w:tc>
          <w:tcPr>
            <w:tcW w:w="2448" w:type="dxa"/>
            <w:tcBorders>
              <w:top w:val="nil"/>
              <w:left w:val="nil"/>
              <w:bottom w:val="nil"/>
              <w:right w:val="nil"/>
            </w:tcBorders>
          </w:tcPr>
          <w:p w14:paraId="5EE3DB4B"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-2.5</w:t>
            </w:r>
            <w:r w:rsidR="00B52BF9">
              <w:rPr>
                <w:sz w:val="18"/>
                <w:szCs w:val="18"/>
                <w:lang w:val="it-IT"/>
              </w:rPr>
              <w:t>1</w:t>
            </w:r>
          </w:p>
        </w:tc>
        <w:tc>
          <w:tcPr>
            <w:tcW w:w="2448" w:type="dxa"/>
            <w:tcBorders>
              <w:top w:val="nil"/>
              <w:left w:val="nil"/>
              <w:bottom w:val="nil"/>
              <w:right w:val="nil"/>
            </w:tcBorders>
          </w:tcPr>
          <w:p w14:paraId="5EE3DB4C"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-2.5</w:t>
            </w:r>
            <w:r w:rsidR="00B52BF9">
              <w:rPr>
                <w:sz w:val="18"/>
                <w:szCs w:val="18"/>
                <w:lang w:val="it-IT"/>
              </w:rPr>
              <w:t>4</w:t>
            </w:r>
          </w:p>
        </w:tc>
        <w:tc>
          <w:tcPr>
            <w:tcW w:w="2448" w:type="dxa"/>
            <w:tcBorders>
              <w:top w:val="nil"/>
              <w:left w:val="nil"/>
              <w:bottom w:val="nil"/>
              <w:right w:val="nil"/>
            </w:tcBorders>
          </w:tcPr>
          <w:p w14:paraId="5EE3DB4D"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-2.8</w:t>
            </w:r>
            <w:r w:rsidR="00B52BF9">
              <w:rPr>
                <w:sz w:val="18"/>
                <w:szCs w:val="18"/>
                <w:lang w:val="it-IT"/>
              </w:rPr>
              <w:t>1</w:t>
            </w:r>
            <w:r w:rsidRPr="00CE045C">
              <w:rPr>
                <w:sz w:val="18"/>
                <w:szCs w:val="18"/>
                <w:lang w:val="it-IT"/>
              </w:rPr>
              <w:t>**</w:t>
            </w:r>
          </w:p>
        </w:tc>
      </w:tr>
      <w:tr w:rsidR="00CE045C" w:rsidRPr="00CE045C" w14:paraId="5EE3DB53" w14:textId="77777777" w:rsidTr="00797760">
        <w:trPr>
          <w:jc w:val="center"/>
        </w:trPr>
        <w:tc>
          <w:tcPr>
            <w:tcW w:w="1947" w:type="dxa"/>
            <w:tcBorders>
              <w:top w:val="nil"/>
              <w:left w:val="nil"/>
              <w:bottom w:val="nil"/>
              <w:right w:val="nil"/>
            </w:tcBorders>
          </w:tcPr>
          <w:p w14:paraId="5EE3DB4F"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50"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(1.54)</w:t>
            </w:r>
          </w:p>
        </w:tc>
        <w:tc>
          <w:tcPr>
            <w:tcW w:w="2448" w:type="dxa"/>
            <w:tcBorders>
              <w:top w:val="nil"/>
              <w:left w:val="nil"/>
              <w:bottom w:val="nil"/>
              <w:right w:val="nil"/>
            </w:tcBorders>
          </w:tcPr>
          <w:p w14:paraId="5EE3DB51"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(1.47)</w:t>
            </w:r>
          </w:p>
        </w:tc>
        <w:tc>
          <w:tcPr>
            <w:tcW w:w="2448" w:type="dxa"/>
            <w:tcBorders>
              <w:top w:val="nil"/>
              <w:left w:val="nil"/>
              <w:bottom w:val="nil"/>
              <w:right w:val="nil"/>
            </w:tcBorders>
          </w:tcPr>
          <w:p w14:paraId="5EE3DB52"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(1.29)</w:t>
            </w:r>
          </w:p>
        </w:tc>
      </w:tr>
      <w:tr w:rsidR="00CE045C" w:rsidRPr="00CE045C" w14:paraId="5EE3DB58" w14:textId="77777777" w:rsidTr="00797760">
        <w:trPr>
          <w:jc w:val="center"/>
        </w:trPr>
        <w:tc>
          <w:tcPr>
            <w:tcW w:w="1947" w:type="dxa"/>
            <w:tcBorders>
              <w:top w:val="nil"/>
              <w:left w:val="nil"/>
              <w:bottom w:val="nil"/>
              <w:right w:val="nil"/>
            </w:tcBorders>
          </w:tcPr>
          <w:p w14:paraId="5EE3DB54" w14:textId="77777777" w:rsidR="00CE045C" w:rsidRPr="00FD2E37" w:rsidRDefault="00CE045C" w:rsidP="00797760">
            <w:pPr>
              <w:widowControl w:val="0"/>
              <w:autoSpaceDE w:val="0"/>
              <w:autoSpaceDN w:val="0"/>
              <w:adjustRightInd w:val="0"/>
              <w:ind w:firstLine="184"/>
              <w:rPr>
                <w:sz w:val="18"/>
                <w:szCs w:val="18"/>
              </w:rPr>
            </w:pPr>
            <w:r w:rsidRPr="00FD2E37">
              <w:rPr>
                <w:sz w:val="18"/>
                <w:szCs w:val="18"/>
              </w:rPr>
              <w:t>NACE 31</w:t>
            </w:r>
          </w:p>
        </w:tc>
        <w:tc>
          <w:tcPr>
            <w:tcW w:w="2448" w:type="dxa"/>
            <w:tcBorders>
              <w:top w:val="nil"/>
              <w:left w:val="nil"/>
              <w:bottom w:val="nil"/>
              <w:right w:val="nil"/>
            </w:tcBorders>
          </w:tcPr>
          <w:p w14:paraId="5EE3DB55"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-0.27</w:t>
            </w:r>
          </w:p>
        </w:tc>
        <w:tc>
          <w:tcPr>
            <w:tcW w:w="2448" w:type="dxa"/>
            <w:tcBorders>
              <w:top w:val="nil"/>
              <w:left w:val="nil"/>
              <w:bottom w:val="nil"/>
              <w:right w:val="nil"/>
            </w:tcBorders>
          </w:tcPr>
          <w:p w14:paraId="5EE3DB56"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-0.4</w:t>
            </w:r>
            <w:r w:rsidR="00B52BF9">
              <w:rPr>
                <w:sz w:val="18"/>
                <w:szCs w:val="18"/>
                <w:lang w:val="it-IT"/>
              </w:rPr>
              <w:t>3</w:t>
            </w:r>
          </w:p>
        </w:tc>
        <w:tc>
          <w:tcPr>
            <w:tcW w:w="2448" w:type="dxa"/>
            <w:tcBorders>
              <w:top w:val="nil"/>
              <w:left w:val="nil"/>
              <w:bottom w:val="nil"/>
              <w:right w:val="nil"/>
            </w:tcBorders>
          </w:tcPr>
          <w:p w14:paraId="5EE3DB57"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-0.4</w:t>
            </w:r>
            <w:r w:rsidR="00B52BF9">
              <w:rPr>
                <w:sz w:val="18"/>
                <w:szCs w:val="18"/>
                <w:lang w:val="it-IT"/>
              </w:rPr>
              <w:t>3</w:t>
            </w:r>
          </w:p>
        </w:tc>
      </w:tr>
      <w:tr w:rsidR="00CE045C" w:rsidRPr="00CE045C" w14:paraId="5EE3DB5D" w14:textId="77777777" w:rsidTr="00797760">
        <w:trPr>
          <w:jc w:val="center"/>
        </w:trPr>
        <w:tc>
          <w:tcPr>
            <w:tcW w:w="1947" w:type="dxa"/>
            <w:tcBorders>
              <w:top w:val="nil"/>
              <w:left w:val="nil"/>
              <w:bottom w:val="nil"/>
              <w:right w:val="nil"/>
            </w:tcBorders>
          </w:tcPr>
          <w:p w14:paraId="5EE3DB59"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5A"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(1.69)</w:t>
            </w:r>
          </w:p>
        </w:tc>
        <w:tc>
          <w:tcPr>
            <w:tcW w:w="2448" w:type="dxa"/>
            <w:tcBorders>
              <w:top w:val="nil"/>
              <w:left w:val="nil"/>
              <w:bottom w:val="nil"/>
              <w:right w:val="nil"/>
            </w:tcBorders>
          </w:tcPr>
          <w:p w14:paraId="5EE3DB5B"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(1.69)</w:t>
            </w:r>
          </w:p>
        </w:tc>
        <w:tc>
          <w:tcPr>
            <w:tcW w:w="2448" w:type="dxa"/>
            <w:tcBorders>
              <w:top w:val="nil"/>
              <w:left w:val="nil"/>
              <w:bottom w:val="nil"/>
              <w:right w:val="nil"/>
            </w:tcBorders>
          </w:tcPr>
          <w:p w14:paraId="5EE3DB5C"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(1.59)</w:t>
            </w:r>
          </w:p>
        </w:tc>
      </w:tr>
      <w:tr w:rsidR="00CE045C" w:rsidRPr="00CE045C" w14:paraId="5EE3DB62" w14:textId="77777777" w:rsidTr="00797760">
        <w:trPr>
          <w:jc w:val="center"/>
        </w:trPr>
        <w:tc>
          <w:tcPr>
            <w:tcW w:w="1947" w:type="dxa"/>
            <w:tcBorders>
              <w:top w:val="nil"/>
              <w:left w:val="nil"/>
              <w:bottom w:val="nil"/>
              <w:right w:val="nil"/>
            </w:tcBorders>
          </w:tcPr>
          <w:p w14:paraId="5EE3DB5E" w14:textId="77777777" w:rsidR="00CE045C" w:rsidRPr="00FD2E37" w:rsidRDefault="00CE045C" w:rsidP="00797760">
            <w:pPr>
              <w:widowControl w:val="0"/>
              <w:autoSpaceDE w:val="0"/>
              <w:autoSpaceDN w:val="0"/>
              <w:adjustRightInd w:val="0"/>
              <w:ind w:firstLine="184"/>
              <w:rPr>
                <w:sz w:val="18"/>
                <w:szCs w:val="18"/>
              </w:rPr>
            </w:pPr>
            <w:r w:rsidRPr="00FD2E37">
              <w:rPr>
                <w:sz w:val="18"/>
                <w:szCs w:val="18"/>
              </w:rPr>
              <w:t>NACE 22</w:t>
            </w:r>
          </w:p>
        </w:tc>
        <w:tc>
          <w:tcPr>
            <w:tcW w:w="2448" w:type="dxa"/>
            <w:tcBorders>
              <w:top w:val="nil"/>
              <w:left w:val="nil"/>
              <w:bottom w:val="nil"/>
              <w:right w:val="nil"/>
            </w:tcBorders>
          </w:tcPr>
          <w:p w14:paraId="5EE3DB5F"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0.7</w:t>
            </w:r>
            <w:r w:rsidR="00B52BF9">
              <w:rPr>
                <w:sz w:val="18"/>
                <w:szCs w:val="18"/>
                <w:lang w:val="it-IT"/>
              </w:rPr>
              <w:t>3</w:t>
            </w:r>
          </w:p>
        </w:tc>
        <w:tc>
          <w:tcPr>
            <w:tcW w:w="2448" w:type="dxa"/>
            <w:tcBorders>
              <w:top w:val="nil"/>
              <w:left w:val="nil"/>
              <w:bottom w:val="nil"/>
              <w:right w:val="nil"/>
            </w:tcBorders>
          </w:tcPr>
          <w:p w14:paraId="5EE3DB60"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0.84</w:t>
            </w:r>
          </w:p>
        </w:tc>
        <w:tc>
          <w:tcPr>
            <w:tcW w:w="2448" w:type="dxa"/>
            <w:tcBorders>
              <w:top w:val="nil"/>
              <w:left w:val="nil"/>
              <w:bottom w:val="nil"/>
              <w:right w:val="nil"/>
            </w:tcBorders>
          </w:tcPr>
          <w:p w14:paraId="5EE3DB61"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0.77</w:t>
            </w:r>
          </w:p>
        </w:tc>
      </w:tr>
      <w:tr w:rsidR="00CE045C" w:rsidRPr="00CE045C" w14:paraId="5EE3DB67" w14:textId="77777777" w:rsidTr="00797760">
        <w:trPr>
          <w:jc w:val="center"/>
        </w:trPr>
        <w:tc>
          <w:tcPr>
            <w:tcW w:w="1947" w:type="dxa"/>
            <w:tcBorders>
              <w:top w:val="nil"/>
              <w:left w:val="nil"/>
              <w:bottom w:val="nil"/>
              <w:right w:val="nil"/>
            </w:tcBorders>
          </w:tcPr>
          <w:p w14:paraId="5EE3DB63" w14:textId="77777777" w:rsidR="00CE045C" w:rsidRPr="00CF1A52"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64"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(1.3</w:t>
            </w:r>
            <w:r w:rsidR="00B52BF9">
              <w:rPr>
                <w:sz w:val="18"/>
                <w:szCs w:val="18"/>
                <w:lang w:val="it-IT"/>
              </w:rPr>
              <w:t>3</w:t>
            </w:r>
            <w:r w:rsidRPr="00CE045C">
              <w:rPr>
                <w:sz w:val="18"/>
                <w:szCs w:val="18"/>
                <w:lang w:val="it-IT"/>
              </w:rPr>
              <w:t>)</w:t>
            </w:r>
          </w:p>
        </w:tc>
        <w:tc>
          <w:tcPr>
            <w:tcW w:w="2448" w:type="dxa"/>
            <w:tcBorders>
              <w:top w:val="nil"/>
              <w:left w:val="nil"/>
              <w:bottom w:val="nil"/>
              <w:right w:val="nil"/>
            </w:tcBorders>
          </w:tcPr>
          <w:p w14:paraId="5EE3DB65"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(1.21)</w:t>
            </w:r>
          </w:p>
        </w:tc>
        <w:tc>
          <w:tcPr>
            <w:tcW w:w="2448" w:type="dxa"/>
            <w:tcBorders>
              <w:top w:val="nil"/>
              <w:left w:val="nil"/>
              <w:bottom w:val="nil"/>
              <w:right w:val="nil"/>
            </w:tcBorders>
          </w:tcPr>
          <w:p w14:paraId="5EE3DB66"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(1.1</w:t>
            </w:r>
            <w:r w:rsidR="00B52BF9">
              <w:rPr>
                <w:sz w:val="18"/>
                <w:szCs w:val="18"/>
                <w:lang w:val="it-IT"/>
              </w:rPr>
              <w:t>7</w:t>
            </w:r>
            <w:r w:rsidRPr="00CE045C">
              <w:rPr>
                <w:sz w:val="18"/>
                <w:szCs w:val="18"/>
                <w:lang w:val="it-IT"/>
              </w:rPr>
              <w:t>)</w:t>
            </w:r>
          </w:p>
        </w:tc>
      </w:tr>
      <w:tr w:rsidR="00CE045C" w:rsidRPr="00CE045C" w14:paraId="5EE3DB6C" w14:textId="77777777" w:rsidTr="00797760">
        <w:trPr>
          <w:jc w:val="center"/>
        </w:trPr>
        <w:tc>
          <w:tcPr>
            <w:tcW w:w="1947" w:type="dxa"/>
            <w:tcBorders>
              <w:top w:val="nil"/>
              <w:left w:val="nil"/>
              <w:bottom w:val="nil"/>
              <w:right w:val="nil"/>
            </w:tcBorders>
          </w:tcPr>
          <w:p w14:paraId="5EE3DB68" w14:textId="77777777" w:rsidR="00CE045C" w:rsidRPr="00FD2E37" w:rsidRDefault="00CE045C" w:rsidP="00CE045C">
            <w:pPr>
              <w:widowControl w:val="0"/>
              <w:autoSpaceDE w:val="0"/>
              <w:autoSpaceDN w:val="0"/>
              <w:adjustRightInd w:val="0"/>
              <w:ind w:firstLine="184"/>
              <w:rPr>
                <w:sz w:val="18"/>
                <w:szCs w:val="18"/>
              </w:rPr>
            </w:pPr>
            <w:r w:rsidRPr="00FD2E37">
              <w:rPr>
                <w:sz w:val="18"/>
                <w:szCs w:val="18"/>
              </w:rPr>
              <w:t>Asset specificity</w:t>
            </w:r>
            <w:r>
              <w:rPr>
                <w:sz w:val="18"/>
                <w:szCs w:val="18"/>
              </w:rPr>
              <w:t xml:space="preserve"> </w:t>
            </w:r>
          </w:p>
        </w:tc>
        <w:tc>
          <w:tcPr>
            <w:tcW w:w="2448" w:type="dxa"/>
            <w:tcBorders>
              <w:top w:val="nil"/>
              <w:left w:val="nil"/>
              <w:bottom w:val="nil"/>
              <w:right w:val="nil"/>
            </w:tcBorders>
          </w:tcPr>
          <w:p w14:paraId="5EE3DB69"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2</w:t>
            </w:r>
          </w:p>
        </w:tc>
        <w:tc>
          <w:tcPr>
            <w:tcW w:w="2448" w:type="dxa"/>
            <w:tcBorders>
              <w:top w:val="nil"/>
              <w:left w:val="nil"/>
              <w:bottom w:val="nil"/>
              <w:right w:val="nil"/>
            </w:tcBorders>
          </w:tcPr>
          <w:p w14:paraId="5EE3DB6A"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2</w:t>
            </w:r>
          </w:p>
        </w:tc>
        <w:tc>
          <w:tcPr>
            <w:tcW w:w="2448" w:type="dxa"/>
            <w:tcBorders>
              <w:top w:val="nil"/>
              <w:left w:val="nil"/>
              <w:bottom w:val="nil"/>
              <w:right w:val="nil"/>
            </w:tcBorders>
          </w:tcPr>
          <w:p w14:paraId="5EE3DB6B"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0.01</w:t>
            </w:r>
          </w:p>
        </w:tc>
      </w:tr>
      <w:tr w:rsidR="00CE045C" w:rsidRPr="00CE045C" w14:paraId="5EE3DB71" w14:textId="77777777" w:rsidTr="00797760">
        <w:trPr>
          <w:jc w:val="center"/>
        </w:trPr>
        <w:tc>
          <w:tcPr>
            <w:tcW w:w="1947" w:type="dxa"/>
            <w:tcBorders>
              <w:top w:val="nil"/>
              <w:left w:val="nil"/>
              <w:bottom w:val="nil"/>
              <w:right w:val="nil"/>
            </w:tcBorders>
          </w:tcPr>
          <w:p w14:paraId="5EE3DB6D" w14:textId="77777777" w:rsidR="00CE045C" w:rsidRPr="00FD2E37" w:rsidRDefault="00CE045C" w:rsidP="00797760">
            <w:pPr>
              <w:widowControl w:val="0"/>
              <w:autoSpaceDE w:val="0"/>
              <w:autoSpaceDN w:val="0"/>
              <w:adjustRightInd w:val="0"/>
              <w:ind w:firstLine="184"/>
              <w:rPr>
                <w:sz w:val="18"/>
                <w:szCs w:val="18"/>
              </w:rPr>
            </w:pPr>
            <w:r>
              <w:rPr>
                <w:sz w:val="18"/>
                <w:szCs w:val="18"/>
              </w:rPr>
              <w:t>(R&amp;D)</w:t>
            </w:r>
          </w:p>
        </w:tc>
        <w:tc>
          <w:tcPr>
            <w:tcW w:w="2448" w:type="dxa"/>
            <w:tcBorders>
              <w:top w:val="nil"/>
              <w:left w:val="nil"/>
              <w:bottom w:val="nil"/>
              <w:right w:val="nil"/>
            </w:tcBorders>
          </w:tcPr>
          <w:p w14:paraId="5EE3DB6E"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(0.02)</w:t>
            </w:r>
          </w:p>
        </w:tc>
        <w:tc>
          <w:tcPr>
            <w:tcW w:w="2448" w:type="dxa"/>
            <w:tcBorders>
              <w:top w:val="nil"/>
              <w:left w:val="nil"/>
              <w:bottom w:val="nil"/>
              <w:right w:val="nil"/>
            </w:tcBorders>
          </w:tcPr>
          <w:p w14:paraId="5EE3DB6F"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(0.02)</w:t>
            </w:r>
          </w:p>
        </w:tc>
        <w:tc>
          <w:tcPr>
            <w:tcW w:w="2448" w:type="dxa"/>
            <w:tcBorders>
              <w:top w:val="nil"/>
              <w:left w:val="nil"/>
              <w:bottom w:val="nil"/>
              <w:right w:val="nil"/>
            </w:tcBorders>
          </w:tcPr>
          <w:p w14:paraId="5EE3DB70"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(0.02)</w:t>
            </w:r>
          </w:p>
        </w:tc>
      </w:tr>
      <w:tr w:rsidR="00CE045C" w:rsidRPr="00CE045C" w14:paraId="5EE3DB76" w14:textId="77777777" w:rsidTr="00797760">
        <w:trPr>
          <w:jc w:val="center"/>
        </w:trPr>
        <w:tc>
          <w:tcPr>
            <w:tcW w:w="1947" w:type="dxa"/>
            <w:tcBorders>
              <w:top w:val="nil"/>
              <w:left w:val="nil"/>
              <w:bottom w:val="nil"/>
              <w:right w:val="nil"/>
            </w:tcBorders>
          </w:tcPr>
          <w:p w14:paraId="5EE3DB72" w14:textId="77777777" w:rsidR="00CE045C" w:rsidRPr="00FD2E37" w:rsidRDefault="00CE045C" w:rsidP="00797760">
            <w:pPr>
              <w:widowControl w:val="0"/>
              <w:autoSpaceDE w:val="0"/>
              <w:autoSpaceDN w:val="0"/>
              <w:adjustRightInd w:val="0"/>
              <w:ind w:firstLine="184"/>
              <w:rPr>
                <w:sz w:val="18"/>
                <w:szCs w:val="18"/>
              </w:rPr>
            </w:pPr>
            <w:r w:rsidRPr="00FD2E37">
              <w:rPr>
                <w:sz w:val="18"/>
                <w:szCs w:val="18"/>
              </w:rPr>
              <w:t>External uncertainty</w:t>
            </w:r>
          </w:p>
        </w:tc>
        <w:tc>
          <w:tcPr>
            <w:tcW w:w="2448" w:type="dxa"/>
            <w:tcBorders>
              <w:top w:val="nil"/>
              <w:left w:val="nil"/>
              <w:bottom w:val="nil"/>
              <w:right w:val="nil"/>
            </w:tcBorders>
          </w:tcPr>
          <w:p w14:paraId="5EE3DB73"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-0.2</w:t>
            </w:r>
            <w:r w:rsidR="00B52BF9">
              <w:rPr>
                <w:sz w:val="18"/>
                <w:szCs w:val="18"/>
                <w:lang w:val="it-IT"/>
              </w:rPr>
              <w:t>3</w:t>
            </w:r>
            <w:r w:rsidRPr="00CE045C">
              <w:rPr>
                <w:sz w:val="18"/>
                <w:szCs w:val="18"/>
                <w:lang w:val="it-IT"/>
              </w:rPr>
              <w:t>***</w:t>
            </w:r>
          </w:p>
        </w:tc>
        <w:tc>
          <w:tcPr>
            <w:tcW w:w="2448" w:type="dxa"/>
            <w:tcBorders>
              <w:top w:val="nil"/>
              <w:left w:val="nil"/>
              <w:bottom w:val="nil"/>
              <w:right w:val="nil"/>
            </w:tcBorders>
          </w:tcPr>
          <w:p w14:paraId="5EE3DB74"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-0.23***</w:t>
            </w:r>
          </w:p>
        </w:tc>
        <w:tc>
          <w:tcPr>
            <w:tcW w:w="2448" w:type="dxa"/>
            <w:tcBorders>
              <w:top w:val="nil"/>
              <w:left w:val="nil"/>
              <w:bottom w:val="nil"/>
              <w:right w:val="nil"/>
            </w:tcBorders>
          </w:tcPr>
          <w:p w14:paraId="5EE3DB75"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-0.2</w:t>
            </w:r>
            <w:r w:rsidR="00B52BF9">
              <w:rPr>
                <w:sz w:val="18"/>
                <w:szCs w:val="18"/>
                <w:lang w:val="it-IT"/>
              </w:rPr>
              <w:t>3</w:t>
            </w:r>
            <w:r w:rsidRPr="00CE045C">
              <w:rPr>
                <w:sz w:val="18"/>
                <w:szCs w:val="18"/>
                <w:lang w:val="it-IT"/>
              </w:rPr>
              <w:t>***</w:t>
            </w:r>
          </w:p>
        </w:tc>
      </w:tr>
      <w:tr w:rsidR="00CE045C" w:rsidRPr="00CE045C" w14:paraId="5EE3DB7B" w14:textId="77777777" w:rsidTr="00797760">
        <w:trPr>
          <w:jc w:val="center"/>
        </w:trPr>
        <w:tc>
          <w:tcPr>
            <w:tcW w:w="1947" w:type="dxa"/>
            <w:tcBorders>
              <w:top w:val="nil"/>
              <w:left w:val="nil"/>
              <w:bottom w:val="nil"/>
              <w:right w:val="nil"/>
            </w:tcBorders>
          </w:tcPr>
          <w:p w14:paraId="5EE3DB77"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78"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(0.06)</w:t>
            </w:r>
          </w:p>
        </w:tc>
        <w:tc>
          <w:tcPr>
            <w:tcW w:w="2448" w:type="dxa"/>
            <w:tcBorders>
              <w:top w:val="nil"/>
              <w:left w:val="nil"/>
              <w:bottom w:val="nil"/>
              <w:right w:val="nil"/>
            </w:tcBorders>
          </w:tcPr>
          <w:p w14:paraId="5EE3DB79"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(0.06)</w:t>
            </w:r>
          </w:p>
        </w:tc>
        <w:tc>
          <w:tcPr>
            <w:tcW w:w="2448" w:type="dxa"/>
            <w:tcBorders>
              <w:top w:val="nil"/>
              <w:left w:val="nil"/>
              <w:bottom w:val="nil"/>
              <w:right w:val="nil"/>
            </w:tcBorders>
          </w:tcPr>
          <w:p w14:paraId="5EE3DB7A"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w:t>
            </w:r>
            <w:r w:rsidR="00B52BF9">
              <w:rPr>
                <w:sz w:val="18"/>
                <w:szCs w:val="18"/>
                <w:lang w:val="it-IT"/>
              </w:rPr>
              <w:t>6</w:t>
            </w:r>
            <w:r w:rsidRPr="00CE045C">
              <w:rPr>
                <w:sz w:val="18"/>
                <w:szCs w:val="18"/>
                <w:lang w:val="it-IT"/>
              </w:rPr>
              <w:t>)</w:t>
            </w:r>
          </w:p>
        </w:tc>
      </w:tr>
      <w:tr w:rsidR="00CE045C" w:rsidRPr="00CE045C" w14:paraId="5EE3DB80" w14:textId="77777777" w:rsidTr="00797760">
        <w:trPr>
          <w:jc w:val="center"/>
        </w:trPr>
        <w:tc>
          <w:tcPr>
            <w:tcW w:w="1947" w:type="dxa"/>
            <w:tcBorders>
              <w:top w:val="nil"/>
              <w:left w:val="nil"/>
              <w:bottom w:val="nil"/>
              <w:right w:val="nil"/>
            </w:tcBorders>
          </w:tcPr>
          <w:p w14:paraId="5EE3DB7C" w14:textId="77777777" w:rsidR="00CE045C" w:rsidRPr="00FD2E37" w:rsidRDefault="00CE045C" w:rsidP="00797760">
            <w:pPr>
              <w:widowControl w:val="0"/>
              <w:autoSpaceDE w:val="0"/>
              <w:autoSpaceDN w:val="0"/>
              <w:adjustRightInd w:val="0"/>
              <w:ind w:firstLine="184"/>
              <w:rPr>
                <w:sz w:val="18"/>
                <w:szCs w:val="18"/>
              </w:rPr>
            </w:pPr>
            <w:r w:rsidRPr="00635135">
              <w:rPr>
                <w:sz w:val="18"/>
                <w:szCs w:val="18"/>
              </w:rPr>
              <w:t>Freq</w:t>
            </w:r>
            <w:r>
              <w:rPr>
                <w:sz w:val="18"/>
                <w:szCs w:val="18"/>
              </w:rPr>
              <w:t>uency</w:t>
            </w:r>
          </w:p>
        </w:tc>
        <w:tc>
          <w:tcPr>
            <w:tcW w:w="2448" w:type="dxa"/>
            <w:tcBorders>
              <w:top w:val="nil"/>
              <w:left w:val="nil"/>
              <w:bottom w:val="nil"/>
              <w:right w:val="nil"/>
            </w:tcBorders>
          </w:tcPr>
          <w:p w14:paraId="5EE3DB7D"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0.03**</w:t>
            </w:r>
          </w:p>
        </w:tc>
        <w:tc>
          <w:tcPr>
            <w:tcW w:w="2448" w:type="dxa"/>
            <w:tcBorders>
              <w:top w:val="nil"/>
              <w:left w:val="nil"/>
              <w:bottom w:val="nil"/>
              <w:right w:val="nil"/>
            </w:tcBorders>
          </w:tcPr>
          <w:p w14:paraId="5EE3DB7E"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0.03**</w:t>
            </w:r>
          </w:p>
        </w:tc>
        <w:tc>
          <w:tcPr>
            <w:tcW w:w="2448" w:type="dxa"/>
            <w:tcBorders>
              <w:top w:val="nil"/>
              <w:left w:val="nil"/>
              <w:bottom w:val="nil"/>
              <w:right w:val="nil"/>
            </w:tcBorders>
          </w:tcPr>
          <w:p w14:paraId="5EE3DB7F"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0.03***</w:t>
            </w:r>
          </w:p>
        </w:tc>
      </w:tr>
      <w:tr w:rsidR="00CE045C" w:rsidRPr="00CE045C" w14:paraId="5EE3DB85" w14:textId="77777777" w:rsidTr="00797760">
        <w:trPr>
          <w:jc w:val="center"/>
        </w:trPr>
        <w:tc>
          <w:tcPr>
            <w:tcW w:w="1947" w:type="dxa"/>
            <w:tcBorders>
              <w:top w:val="nil"/>
              <w:left w:val="nil"/>
              <w:bottom w:val="nil"/>
              <w:right w:val="nil"/>
            </w:tcBorders>
          </w:tcPr>
          <w:p w14:paraId="5EE3DB81" w14:textId="77777777" w:rsidR="00CE045C" w:rsidRPr="00CF1A52"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82"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(0.01)</w:t>
            </w:r>
          </w:p>
        </w:tc>
        <w:tc>
          <w:tcPr>
            <w:tcW w:w="2448" w:type="dxa"/>
            <w:tcBorders>
              <w:top w:val="nil"/>
              <w:left w:val="nil"/>
              <w:bottom w:val="nil"/>
              <w:right w:val="nil"/>
            </w:tcBorders>
          </w:tcPr>
          <w:p w14:paraId="5EE3DB83"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(0.01)</w:t>
            </w:r>
          </w:p>
        </w:tc>
        <w:tc>
          <w:tcPr>
            <w:tcW w:w="2448" w:type="dxa"/>
            <w:tcBorders>
              <w:top w:val="nil"/>
              <w:left w:val="nil"/>
              <w:bottom w:val="nil"/>
              <w:right w:val="nil"/>
            </w:tcBorders>
          </w:tcPr>
          <w:p w14:paraId="5EE3DB84"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(0.01)</w:t>
            </w:r>
          </w:p>
        </w:tc>
      </w:tr>
      <w:tr w:rsidR="00CE045C" w:rsidRPr="00CE045C" w14:paraId="5EE3DB8C" w14:textId="77777777" w:rsidTr="00797760">
        <w:trPr>
          <w:jc w:val="center"/>
        </w:trPr>
        <w:tc>
          <w:tcPr>
            <w:tcW w:w="1947" w:type="dxa"/>
            <w:tcBorders>
              <w:top w:val="nil"/>
              <w:left w:val="nil"/>
              <w:bottom w:val="nil"/>
              <w:right w:val="nil"/>
            </w:tcBorders>
          </w:tcPr>
          <w:p w14:paraId="5EE3DB86" w14:textId="77777777" w:rsidR="00CE045C" w:rsidRDefault="00CE045C" w:rsidP="00797760">
            <w:pPr>
              <w:widowControl w:val="0"/>
              <w:autoSpaceDE w:val="0"/>
              <w:autoSpaceDN w:val="0"/>
              <w:adjustRightInd w:val="0"/>
              <w:ind w:firstLine="184"/>
              <w:rPr>
                <w:sz w:val="18"/>
                <w:szCs w:val="18"/>
              </w:rPr>
            </w:pPr>
            <w:r w:rsidRPr="000C65ED">
              <w:rPr>
                <w:b/>
                <w:i/>
                <w:sz w:val="18"/>
                <w:szCs w:val="18"/>
              </w:rPr>
              <w:t>Predicted fit</w:t>
            </w:r>
          </w:p>
          <w:p w14:paraId="5EE3DB87" w14:textId="77777777" w:rsidR="00CE045C" w:rsidRPr="00FD2E37" w:rsidRDefault="00CE045C" w:rsidP="00797760">
            <w:pPr>
              <w:widowControl w:val="0"/>
              <w:autoSpaceDE w:val="0"/>
              <w:autoSpaceDN w:val="0"/>
              <w:adjustRightInd w:val="0"/>
              <w:ind w:firstLine="184"/>
              <w:rPr>
                <w:sz w:val="18"/>
                <w:szCs w:val="18"/>
              </w:rPr>
            </w:pPr>
            <w:r>
              <w:rPr>
                <w:sz w:val="18"/>
                <w:szCs w:val="18"/>
              </w:rPr>
              <w:t>Inverse Mills ratio</w:t>
            </w:r>
            <w:r w:rsidR="00CB6C9E">
              <w:rPr>
                <w:sz w:val="18"/>
                <w:szCs w:val="18"/>
              </w:rPr>
              <w:t xml:space="preserve"> - 1</w:t>
            </w:r>
          </w:p>
        </w:tc>
        <w:tc>
          <w:tcPr>
            <w:tcW w:w="2448" w:type="dxa"/>
            <w:tcBorders>
              <w:top w:val="nil"/>
              <w:left w:val="nil"/>
              <w:bottom w:val="nil"/>
              <w:right w:val="nil"/>
            </w:tcBorders>
          </w:tcPr>
          <w:p w14:paraId="5EE3DB88" w14:textId="77777777" w:rsidR="00CE045C" w:rsidRPr="002F4EC3" w:rsidRDefault="00CE045C" w:rsidP="00CE045C">
            <w:pPr>
              <w:widowControl w:val="0"/>
              <w:autoSpaceDE w:val="0"/>
              <w:autoSpaceDN w:val="0"/>
              <w:adjustRightInd w:val="0"/>
              <w:jc w:val="center"/>
              <w:rPr>
                <w:sz w:val="18"/>
                <w:szCs w:val="18"/>
                <w:lang w:val="en-GB"/>
              </w:rPr>
            </w:pPr>
          </w:p>
          <w:p w14:paraId="5EE3DB89"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-4.3</w:t>
            </w:r>
            <w:r w:rsidR="00B52BF9">
              <w:rPr>
                <w:sz w:val="18"/>
                <w:szCs w:val="18"/>
                <w:lang w:val="it-IT"/>
              </w:rPr>
              <w:t>5</w:t>
            </w:r>
          </w:p>
        </w:tc>
        <w:tc>
          <w:tcPr>
            <w:tcW w:w="2448" w:type="dxa"/>
            <w:tcBorders>
              <w:top w:val="nil"/>
              <w:left w:val="nil"/>
              <w:bottom w:val="nil"/>
              <w:right w:val="nil"/>
            </w:tcBorders>
          </w:tcPr>
          <w:p w14:paraId="5EE3DB8A"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8B"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91" w14:textId="77777777" w:rsidTr="00797760">
        <w:trPr>
          <w:jc w:val="center"/>
        </w:trPr>
        <w:tc>
          <w:tcPr>
            <w:tcW w:w="1947" w:type="dxa"/>
            <w:tcBorders>
              <w:top w:val="nil"/>
              <w:left w:val="nil"/>
              <w:bottom w:val="nil"/>
              <w:right w:val="nil"/>
            </w:tcBorders>
          </w:tcPr>
          <w:p w14:paraId="5EE3DB8D" w14:textId="77777777" w:rsidR="00CE045C" w:rsidRPr="00CF1A52"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8E"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(5.46)</w:t>
            </w:r>
          </w:p>
        </w:tc>
        <w:tc>
          <w:tcPr>
            <w:tcW w:w="2448" w:type="dxa"/>
            <w:tcBorders>
              <w:top w:val="nil"/>
              <w:left w:val="nil"/>
              <w:bottom w:val="nil"/>
              <w:right w:val="nil"/>
            </w:tcBorders>
          </w:tcPr>
          <w:p w14:paraId="5EE3DB8F"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90"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96" w14:textId="77777777" w:rsidTr="00797760">
        <w:trPr>
          <w:jc w:val="center"/>
        </w:trPr>
        <w:tc>
          <w:tcPr>
            <w:tcW w:w="1947" w:type="dxa"/>
            <w:tcBorders>
              <w:top w:val="nil"/>
              <w:left w:val="nil"/>
              <w:bottom w:val="nil"/>
              <w:right w:val="nil"/>
            </w:tcBorders>
          </w:tcPr>
          <w:p w14:paraId="5EE3DB92" w14:textId="77777777" w:rsidR="00CE045C" w:rsidRPr="00CE045C" w:rsidRDefault="00CE045C" w:rsidP="00797760">
            <w:pPr>
              <w:widowControl w:val="0"/>
              <w:autoSpaceDE w:val="0"/>
              <w:autoSpaceDN w:val="0"/>
              <w:adjustRightInd w:val="0"/>
              <w:rPr>
                <w:sz w:val="18"/>
                <w:szCs w:val="18"/>
              </w:rPr>
            </w:pPr>
            <w:r>
              <w:rPr>
                <w:sz w:val="18"/>
                <w:szCs w:val="18"/>
              </w:rPr>
              <w:t xml:space="preserve">    Fit-controls</w:t>
            </w:r>
          </w:p>
        </w:tc>
        <w:tc>
          <w:tcPr>
            <w:tcW w:w="2448" w:type="dxa"/>
            <w:tcBorders>
              <w:top w:val="nil"/>
              <w:left w:val="nil"/>
              <w:bottom w:val="nil"/>
              <w:right w:val="nil"/>
            </w:tcBorders>
          </w:tcPr>
          <w:p w14:paraId="5EE3DB93"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0.6</w:t>
            </w:r>
            <w:r w:rsidR="00B52BF9">
              <w:rPr>
                <w:sz w:val="18"/>
                <w:szCs w:val="18"/>
                <w:lang w:val="it-IT"/>
              </w:rPr>
              <w:t>2</w:t>
            </w:r>
          </w:p>
        </w:tc>
        <w:tc>
          <w:tcPr>
            <w:tcW w:w="2448" w:type="dxa"/>
            <w:tcBorders>
              <w:top w:val="nil"/>
              <w:left w:val="nil"/>
              <w:bottom w:val="nil"/>
              <w:right w:val="nil"/>
            </w:tcBorders>
          </w:tcPr>
          <w:p w14:paraId="5EE3DB94"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95"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9B" w14:textId="77777777" w:rsidTr="00797760">
        <w:trPr>
          <w:jc w:val="center"/>
        </w:trPr>
        <w:tc>
          <w:tcPr>
            <w:tcW w:w="1947" w:type="dxa"/>
            <w:tcBorders>
              <w:top w:val="nil"/>
              <w:left w:val="nil"/>
              <w:bottom w:val="nil"/>
              <w:right w:val="nil"/>
            </w:tcBorders>
          </w:tcPr>
          <w:p w14:paraId="5EE3DB97"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98"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(0.57)</w:t>
            </w:r>
          </w:p>
        </w:tc>
        <w:tc>
          <w:tcPr>
            <w:tcW w:w="2448" w:type="dxa"/>
            <w:tcBorders>
              <w:top w:val="nil"/>
              <w:left w:val="nil"/>
              <w:bottom w:val="nil"/>
              <w:right w:val="nil"/>
            </w:tcBorders>
          </w:tcPr>
          <w:p w14:paraId="5EE3DB99"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9A"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A0" w14:textId="77777777" w:rsidTr="00797760">
        <w:trPr>
          <w:jc w:val="center"/>
        </w:trPr>
        <w:tc>
          <w:tcPr>
            <w:tcW w:w="1947" w:type="dxa"/>
            <w:tcBorders>
              <w:top w:val="nil"/>
              <w:left w:val="nil"/>
              <w:bottom w:val="nil"/>
              <w:right w:val="nil"/>
            </w:tcBorders>
          </w:tcPr>
          <w:p w14:paraId="5EE3DB9C" w14:textId="77777777" w:rsidR="00CE045C" w:rsidRPr="00FD2E37" w:rsidRDefault="00CE045C" w:rsidP="00797760">
            <w:pPr>
              <w:widowControl w:val="0"/>
              <w:autoSpaceDE w:val="0"/>
              <w:autoSpaceDN w:val="0"/>
              <w:adjustRightInd w:val="0"/>
              <w:ind w:firstLine="184"/>
              <w:rPr>
                <w:sz w:val="18"/>
                <w:szCs w:val="18"/>
              </w:rPr>
            </w:pPr>
            <w:r>
              <w:rPr>
                <w:sz w:val="18"/>
                <w:szCs w:val="18"/>
              </w:rPr>
              <w:t>Inverse Mills ratio</w:t>
            </w:r>
            <w:r w:rsidR="00CB6C9E">
              <w:rPr>
                <w:sz w:val="18"/>
                <w:szCs w:val="18"/>
              </w:rPr>
              <w:t xml:space="preserve"> - 2</w:t>
            </w:r>
          </w:p>
        </w:tc>
        <w:tc>
          <w:tcPr>
            <w:tcW w:w="2448" w:type="dxa"/>
            <w:tcBorders>
              <w:top w:val="nil"/>
              <w:left w:val="nil"/>
              <w:bottom w:val="nil"/>
              <w:right w:val="nil"/>
            </w:tcBorders>
          </w:tcPr>
          <w:p w14:paraId="5EE3DB9D"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9E"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-4.8</w:t>
            </w:r>
            <w:r w:rsidR="00B52BF9">
              <w:rPr>
                <w:sz w:val="18"/>
                <w:szCs w:val="18"/>
                <w:lang w:val="it-IT"/>
              </w:rPr>
              <w:t>4</w:t>
            </w:r>
          </w:p>
        </w:tc>
        <w:tc>
          <w:tcPr>
            <w:tcW w:w="2448" w:type="dxa"/>
            <w:tcBorders>
              <w:top w:val="nil"/>
              <w:left w:val="nil"/>
              <w:bottom w:val="nil"/>
              <w:right w:val="nil"/>
            </w:tcBorders>
          </w:tcPr>
          <w:p w14:paraId="5EE3DB9F"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A5" w14:textId="77777777" w:rsidTr="00797760">
        <w:trPr>
          <w:jc w:val="center"/>
        </w:trPr>
        <w:tc>
          <w:tcPr>
            <w:tcW w:w="1947" w:type="dxa"/>
            <w:tcBorders>
              <w:top w:val="nil"/>
              <w:left w:val="nil"/>
              <w:bottom w:val="nil"/>
              <w:right w:val="nil"/>
            </w:tcBorders>
          </w:tcPr>
          <w:p w14:paraId="5EE3DBA1"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A2"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A3"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(4.6</w:t>
            </w:r>
            <w:r w:rsidR="00B52BF9">
              <w:rPr>
                <w:sz w:val="18"/>
                <w:szCs w:val="18"/>
                <w:lang w:val="it-IT"/>
              </w:rPr>
              <w:t>8</w:t>
            </w:r>
            <w:r w:rsidRPr="00CE045C">
              <w:rPr>
                <w:sz w:val="18"/>
                <w:szCs w:val="18"/>
                <w:lang w:val="it-IT"/>
              </w:rPr>
              <w:t>)</w:t>
            </w:r>
          </w:p>
        </w:tc>
        <w:tc>
          <w:tcPr>
            <w:tcW w:w="2448" w:type="dxa"/>
            <w:tcBorders>
              <w:top w:val="nil"/>
              <w:left w:val="nil"/>
              <w:bottom w:val="nil"/>
              <w:right w:val="nil"/>
            </w:tcBorders>
          </w:tcPr>
          <w:p w14:paraId="5EE3DBA4"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AA" w14:textId="77777777" w:rsidTr="00797760">
        <w:trPr>
          <w:jc w:val="center"/>
        </w:trPr>
        <w:tc>
          <w:tcPr>
            <w:tcW w:w="1947" w:type="dxa"/>
            <w:tcBorders>
              <w:top w:val="nil"/>
              <w:left w:val="nil"/>
              <w:bottom w:val="nil"/>
              <w:right w:val="nil"/>
            </w:tcBorders>
          </w:tcPr>
          <w:p w14:paraId="5EE3DBA6" w14:textId="77777777" w:rsidR="00CE045C" w:rsidRPr="00FD2E37" w:rsidRDefault="00CE045C" w:rsidP="00797760">
            <w:pPr>
              <w:widowControl w:val="0"/>
              <w:autoSpaceDE w:val="0"/>
              <w:autoSpaceDN w:val="0"/>
              <w:adjustRightInd w:val="0"/>
              <w:ind w:firstLine="184"/>
              <w:rPr>
                <w:sz w:val="18"/>
                <w:szCs w:val="18"/>
              </w:rPr>
            </w:pPr>
            <w:r>
              <w:rPr>
                <w:sz w:val="18"/>
                <w:szCs w:val="18"/>
              </w:rPr>
              <w:t>Fit-EO</w:t>
            </w:r>
          </w:p>
        </w:tc>
        <w:tc>
          <w:tcPr>
            <w:tcW w:w="2448" w:type="dxa"/>
            <w:tcBorders>
              <w:top w:val="nil"/>
              <w:left w:val="nil"/>
              <w:bottom w:val="nil"/>
              <w:right w:val="nil"/>
            </w:tcBorders>
          </w:tcPr>
          <w:p w14:paraId="5EE3DBA7"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A8"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0.2</w:t>
            </w:r>
            <w:r w:rsidR="00B52BF9">
              <w:rPr>
                <w:sz w:val="18"/>
                <w:szCs w:val="18"/>
                <w:lang w:val="it-IT"/>
              </w:rPr>
              <w:t>1</w:t>
            </w:r>
          </w:p>
        </w:tc>
        <w:tc>
          <w:tcPr>
            <w:tcW w:w="2448" w:type="dxa"/>
            <w:tcBorders>
              <w:top w:val="nil"/>
              <w:left w:val="nil"/>
              <w:bottom w:val="nil"/>
              <w:right w:val="nil"/>
            </w:tcBorders>
          </w:tcPr>
          <w:p w14:paraId="5EE3DBA9"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AF" w14:textId="77777777" w:rsidTr="00797760">
        <w:trPr>
          <w:jc w:val="center"/>
        </w:trPr>
        <w:tc>
          <w:tcPr>
            <w:tcW w:w="1947" w:type="dxa"/>
            <w:tcBorders>
              <w:top w:val="nil"/>
              <w:left w:val="nil"/>
              <w:bottom w:val="nil"/>
              <w:right w:val="nil"/>
            </w:tcBorders>
          </w:tcPr>
          <w:p w14:paraId="5EE3DBAB" w14:textId="77777777" w:rsidR="00CE045C" w:rsidRPr="00FD2E37" w:rsidRDefault="00CE045C" w:rsidP="00797760">
            <w:pPr>
              <w:widowControl w:val="0"/>
              <w:autoSpaceDE w:val="0"/>
              <w:autoSpaceDN w:val="0"/>
              <w:adjustRightInd w:val="0"/>
              <w:ind w:firstLine="184"/>
              <w:rPr>
                <w:sz w:val="18"/>
                <w:szCs w:val="18"/>
              </w:rPr>
            </w:pPr>
          </w:p>
        </w:tc>
        <w:tc>
          <w:tcPr>
            <w:tcW w:w="2448" w:type="dxa"/>
            <w:tcBorders>
              <w:top w:val="nil"/>
              <w:left w:val="nil"/>
              <w:bottom w:val="nil"/>
              <w:right w:val="nil"/>
            </w:tcBorders>
          </w:tcPr>
          <w:p w14:paraId="5EE3DBAC"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AD"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(0.57)</w:t>
            </w:r>
          </w:p>
        </w:tc>
        <w:tc>
          <w:tcPr>
            <w:tcW w:w="2448" w:type="dxa"/>
            <w:tcBorders>
              <w:top w:val="nil"/>
              <w:left w:val="nil"/>
              <w:bottom w:val="nil"/>
              <w:right w:val="nil"/>
            </w:tcBorders>
          </w:tcPr>
          <w:p w14:paraId="5EE3DBAE"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B4" w14:textId="77777777" w:rsidTr="00797760">
        <w:trPr>
          <w:jc w:val="center"/>
        </w:trPr>
        <w:tc>
          <w:tcPr>
            <w:tcW w:w="1947" w:type="dxa"/>
            <w:tcBorders>
              <w:top w:val="nil"/>
              <w:left w:val="nil"/>
              <w:bottom w:val="nil"/>
              <w:right w:val="nil"/>
            </w:tcBorders>
          </w:tcPr>
          <w:p w14:paraId="5EE3DBB0" w14:textId="77777777" w:rsidR="00CE045C" w:rsidRPr="00CE045C" w:rsidRDefault="00B0685D" w:rsidP="00CE045C">
            <w:pPr>
              <w:widowControl w:val="0"/>
              <w:autoSpaceDE w:val="0"/>
              <w:autoSpaceDN w:val="0"/>
              <w:adjustRightInd w:val="0"/>
              <w:rPr>
                <w:sz w:val="18"/>
                <w:szCs w:val="18"/>
                <w:lang w:val="it-IT"/>
              </w:rPr>
            </w:pPr>
            <w:r>
              <w:rPr>
                <w:sz w:val="18"/>
                <w:szCs w:val="18"/>
                <w:lang w:val="it-IT"/>
              </w:rPr>
              <w:t xml:space="preserve">    Inverse Mills ratio</w:t>
            </w:r>
            <w:r w:rsidR="00CB6C9E">
              <w:rPr>
                <w:sz w:val="18"/>
                <w:szCs w:val="18"/>
                <w:lang w:val="it-IT"/>
              </w:rPr>
              <w:t xml:space="preserve"> - 3</w:t>
            </w:r>
          </w:p>
        </w:tc>
        <w:tc>
          <w:tcPr>
            <w:tcW w:w="2448" w:type="dxa"/>
            <w:tcBorders>
              <w:top w:val="nil"/>
              <w:left w:val="nil"/>
              <w:bottom w:val="nil"/>
              <w:right w:val="nil"/>
            </w:tcBorders>
          </w:tcPr>
          <w:p w14:paraId="5EE3DBB1"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B2"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B3"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-5.69</w:t>
            </w:r>
          </w:p>
        </w:tc>
      </w:tr>
      <w:tr w:rsidR="00CE045C" w:rsidRPr="00CE045C" w14:paraId="5EE3DBB9" w14:textId="77777777" w:rsidTr="00797760">
        <w:trPr>
          <w:jc w:val="center"/>
        </w:trPr>
        <w:tc>
          <w:tcPr>
            <w:tcW w:w="1947" w:type="dxa"/>
            <w:tcBorders>
              <w:top w:val="nil"/>
              <w:left w:val="nil"/>
              <w:bottom w:val="nil"/>
              <w:right w:val="nil"/>
            </w:tcBorders>
          </w:tcPr>
          <w:p w14:paraId="5EE3DBB5" w14:textId="77777777" w:rsidR="00CE045C" w:rsidRPr="00CE045C" w:rsidRDefault="00CE045C" w:rsidP="00CE045C">
            <w:pPr>
              <w:widowControl w:val="0"/>
              <w:autoSpaceDE w:val="0"/>
              <w:autoSpaceDN w:val="0"/>
              <w:adjustRightInd w:val="0"/>
              <w:rPr>
                <w:sz w:val="18"/>
                <w:szCs w:val="18"/>
                <w:lang w:val="it-IT"/>
              </w:rPr>
            </w:pPr>
          </w:p>
        </w:tc>
        <w:tc>
          <w:tcPr>
            <w:tcW w:w="2448" w:type="dxa"/>
            <w:tcBorders>
              <w:top w:val="nil"/>
              <w:left w:val="nil"/>
              <w:bottom w:val="nil"/>
              <w:right w:val="nil"/>
            </w:tcBorders>
          </w:tcPr>
          <w:p w14:paraId="5EE3DBB6"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B7"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B8"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(3.54)</w:t>
            </w:r>
          </w:p>
        </w:tc>
      </w:tr>
      <w:tr w:rsidR="00CE045C" w:rsidRPr="00CE045C" w14:paraId="5EE3DBBE" w14:textId="77777777" w:rsidTr="00797760">
        <w:trPr>
          <w:jc w:val="center"/>
        </w:trPr>
        <w:tc>
          <w:tcPr>
            <w:tcW w:w="1947" w:type="dxa"/>
            <w:tcBorders>
              <w:top w:val="nil"/>
              <w:left w:val="nil"/>
              <w:bottom w:val="nil"/>
              <w:right w:val="nil"/>
            </w:tcBorders>
          </w:tcPr>
          <w:p w14:paraId="5EE3DBBA" w14:textId="77777777" w:rsidR="00CE045C" w:rsidRPr="00CE045C" w:rsidRDefault="00B0685D" w:rsidP="00B0685D">
            <w:pPr>
              <w:widowControl w:val="0"/>
              <w:autoSpaceDE w:val="0"/>
              <w:autoSpaceDN w:val="0"/>
              <w:adjustRightInd w:val="0"/>
              <w:rPr>
                <w:sz w:val="18"/>
                <w:szCs w:val="18"/>
                <w:lang w:val="it-IT"/>
              </w:rPr>
            </w:pPr>
            <w:r>
              <w:rPr>
                <w:sz w:val="18"/>
                <w:szCs w:val="18"/>
                <w:lang w:val="it-IT"/>
              </w:rPr>
              <w:t xml:space="preserve">    Fit-EO/Instit. distance</w:t>
            </w:r>
          </w:p>
        </w:tc>
        <w:tc>
          <w:tcPr>
            <w:tcW w:w="2448" w:type="dxa"/>
            <w:tcBorders>
              <w:top w:val="nil"/>
              <w:left w:val="nil"/>
              <w:bottom w:val="nil"/>
              <w:right w:val="nil"/>
            </w:tcBorders>
          </w:tcPr>
          <w:p w14:paraId="5EE3DBBB"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BC"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BD"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1.1</w:t>
            </w:r>
            <w:r w:rsidR="00B52BF9">
              <w:rPr>
                <w:sz w:val="18"/>
                <w:szCs w:val="18"/>
                <w:lang w:val="it-IT"/>
              </w:rPr>
              <w:t>8</w:t>
            </w:r>
            <w:r w:rsidRPr="00CE045C">
              <w:rPr>
                <w:sz w:val="18"/>
                <w:szCs w:val="18"/>
                <w:lang w:val="it-IT"/>
              </w:rPr>
              <w:t>**</w:t>
            </w:r>
          </w:p>
        </w:tc>
      </w:tr>
      <w:tr w:rsidR="00CE045C" w:rsidRPr="00CE045C" w14:paraId="5EE3DBC3" w14:textId="77777777" w:rsidTr="00797760">
        <w:trPr>
          <w:jc w:val="center"/>
        </w:trPr>
        <w:tc>
          <w:tcPr>
            <w:tcW w:w="1947" w:type="dxa"/>
            <w:tcBorders>
              <w:top w:val="nil"/>
              <w:left w:val="nil"/>
              <w:bottom w:val="nil"/>
              <w:right w:val="nil"/>
            </w:tcBorders>
          </w:tcPr>
          <w:p w14:paraId="5EE3DBBF" w14:textId="77777777" w:rsidR="00CE045C" w:rsidRPr="00CE045C" w:rsidRDefault="00CE045C" w:rsidP="00CE045C">
            <w:pPr>
              <w:widowControl w:val="0"/>
              <w:autoSpaceDE w:val="0"/>
              <w:autoSpaceDN w:val="0"/>
              <w:adjustRightInd w:val="0"/>
              <w:rPr>
                <w:sz w:val="18"/>
                <w:szCs w:val="18"/>
                <w:lang w:val="it-IT"/>
              </w:rPr>
            </w:pPr>
          </w:p>
        </w:tc>
        <w:tc>
          <w:tcPr>
            <w:tcW w:w="2448" w:type="dxa"/>
            <w:tcBorders>
              <w:top w:val="nil"/>
              <w:left w:val="nil"/>
              <w:bottom w:val="nil"/>
              <w:right w:val="nil"/>
            </w:tcBorders>
          </w:tcPr>
          <w:p w14:paraId="5EE3DBC0"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C1"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C2"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(0.56)</w:t>
            </w:r>
          </w:p>
        </w:tc>
      </w:tr>
      <w:tr w:rsidR="00CE045C" w:rsidRPr="00CE045C" w14:paraId="5EE3DBCC" w14:textId="77777777" w:rsidTr="00797760">
        <w:trPr>
          <w:jc w:val="center"/>
        </w:trPr>
        <w:tc>
          <w:tcPr>
            <w:tcW w:w="1947" w:type="dxa"/>
            <w:tcBorders>
              <w:top w:val="nil"/>
              <w:left w:val="nil"/>
              <w:bottom w:val="nil"/>
              <w:right w:val="nil"/>
            </w:tcBorders>
          </w:tcPr>
          <w:p w14:paraId="5EE3DBC4" w14:textId="77777777" w:rsidR="00B0685D" w:rsidRDefault="00B0685D" w:rsidP="00CE045C">
            <w:pPr>
              <w:widowControl w:val="0"/>
              <w:autoSpaceDE w:val="0"/>
              <w:autoSpaceDN w:val="0"/>
              <w:adjustRightInd w:val="0"/>
              <w:rPr>
                <w:sz w:val="18"/>
                <w:szCs w:val="18"/>
                <w:lang w:val="it-IT"/>
              </w:rPr>
            </w:pPr>
          </w:p>
          <w:p w14:paraId="5EE3DBC5" w14:textId="77777777" w:rsidR="00CE045C" w:rsidRPr="00CE045C" w:rsidRDefault="00CE045C" w:rsidP="00CE045C">
            <w:pPr>
              <w:widowControl w:val="0"/>
              <w:autoSpaceDE w:val="0"/>
              <w:autoSpaceDN w:val="0"/>
              <w:adjustRightInd w:val="0"/>
              <w:rPr>
                <w:sz w:val="18"/>
                <w:szCs w:val="18"/>
                <w:lang w:val="it-IT"/>
              </w:rPr>
            </w:pPr>
            <w:r w:rsidRPr="00CE045C">
              <w:rPr>
                <w:sz w:val="18"/>
                <w:szCs w:val="18"/>
                <w:lang w:val="it-IT"/>
              </w:rPr>
              <w:t>Constant</w:t>
            </w:r>
          </w:p>
        </w:tc>
        <w:tc>
          <w:tcPr>
            <w:tcW w:w="2448" w:type="dxa"/>
            <w:tcBorders>
              <w:top w:val="nil"/>
              <w:left w:val="nil"/>
              <w:bottom w:val="nil"/>
              <w:right w:val="nil"/>
            </w:tcBorders>
          </w:tcPr>
          <w:p w14:paraId="5EE3DBC6" w14:textId="77777777" w:rsidR="00B0685D" w:rsidRDefault="00B0685D" w:rsidP="00CE045C">
            <w:pPr>
              <w:widowControl w:val="0"/>
              <w:autoSpaceDE w:val="0"/>
              <w:autoSpaceDN w:val="0"/>
              <w:adjustRightInd w:val="0"/>
              <w:jc w:val="center"/>
              <w:rPr>
                <w:sz w:val="18"/>
                <w:szCs w:val="18"/>
                <w:lang w:val="it-IT"/>
              </w:rPr>
            </w:pPr>
          </w:p>
          <w:p w14:paraId="5EE3DBC7"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14.32***</w:t>
            </w:r>
          </w:p>
        </w:tc>
        <w:tc>
          <w:tcPr>
            <w:tcW w:w="2448" w:type="dxa"/>
            <w:tcBorders>
              <w:top w:val="nil"/>
              <w:left w:val="nil"/>
              <w:bottom w:val="nil"/>
              <w:right w:val="nil"/>
            </w:tcBorders>
          </w:tcPr>
          <w:p w14:paraId="5EE3DBC8" w14:textId="77777777" w:rsidR="00B0685D" w:rsidRDefault="00B0685D" w:rsidP="00CE045C">
            <w:pPr>
              <w:widowControl w:val="0"/>
              <w:autoSpaceDE w:val="0"/>
              <w:autoSpaceDN w:val="0"/>
              <w:adjustRightInd w:val="0"/>
              <w:jc w:val="center"/>
              <w:rPr>
                <w:sz w:val="18"/>
                <w:szCs w:val="18"/>
                <w:lang w:val="it-IT"/>
              </w:rPr>
            </w:pPr>
          </w:p>
          <w:p w14:paraId="5EE3DBC9"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14.85***</w:t>
            </w:r>
          </w:p>
        </w:tc>
        <w:tc>
          <w:tcPr>
            <w:tcW w:w="2448" w:type="dxa"/>
            <w:tcBorders>
              <w:top w:val="nil"/>
              <w:left w:val="nil"/>
              <w:bottom w:val="nil"/>
              <w:right w:val="nil"/>
            </w:tcBorders>
          </w:tcPr>
          <w:p w14:paraId="5EE3DBCA" w14:textId="77777777" w:rsidR="00B0685D" w:rsidRDefault="00B0685D" w:rsidP="00CE045C">
            <w:pPr>
              <w:widowControl w:val="0"/>
              <w:autoSpaceDE w:val="0"/>
              <w:autoSpaceDN w:val="0"/>
              <w:adjustRightInd w:val="0"/>
              <w:jc w:val="center"/>
              <w:rPr>
                <w:sz w:val="18"/>
                <w:szCs w:val="18"/>
                <w:lang w:val="it-IT"/>
              </w:rPr>
            </w:pPr>
          </w:p>
          <w:p w14:paraId="5EE3DBCB"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14.72***</w:t>
            </w:r>
          </w:p>
        </w:tc>
      </w:tr>
      <w:tr w:rsidR="00CE045C" w:rsidRPr="00CE045C" w14:paraId="5EE3DBD1" w14:textId="77777777" w:rsidTr="00797760">
        <w:trPr>
          <w:jc w:val="center"/>
        </w:trPr>
        <w:tc>
          <w:tcPr>
            <w:tcW w:w="1947" w:type="dxa"/>
            <w:tcBorders>
              <w:top w:val="nil"/>
              <w:left w:val="nil"/>
              <w:bottom w:val="nil"/>
              <w:right w:val="nil"/>
            </w:tcBorders>
          </w:tcPr>
          <w:p w14:paraId="5EE3DBCD" w14:textId="77777777" w:rsidR="00CE045C" w:rsidRPr="00CE045C" w:rsidRDefault="00CE045C" w:rsidP="00CE045C">
            <w:pPr>
              <w:widowControl w:val="0"/>
              <w:autoSpaceDE w:val="0"/>
              <w:autoSpaceDN w:val="0"/>
              <w:adjustRightInd w:val="0"/>
              <w:rPr>
                <w:sz w:val="18"/>
                <w:szCs w:val="18"/>
                <w:lang w:val="it-IT"/>
              </w:rPr>
            </w:pPr>
          </w:p>
        </w:tc>
        <w:tc>
          <w:tcPr>
            <w:tcW w:w="2448" w:type="dxa"/>
            <w:tcBorders>
              <w:top w:val="nil"/>
              <w:left w:val="nil"/>
              <w:bottom w:val="nil"/>
              <w:right w:val="nil"/>
            </w:tcBorders>
          </w:tcPr>
          <w:p w14:paraId="5EE3DBCE"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(3.0</w:t>
            </w:r>
            <w:r w:rsidR="00B52BF9">
              <w:rPr>
                <w:sz w:val="18"/>
                <w:szCs w:val="18"/>
                <w:lang w:val="it-IT"/>
              </w:rPr>
              <w:t>6</w:t>
            </w:r>
            <w:r w:rsidRPr="00CE045C">
              <w:rPr>
                <w:sz w:val="18"/>
                <w:szCs w:val="18"/>
                <w:lang w:val="it-IT"/>
              </w:rPr>
              <w:t>)</w:t>
            </w:r>
          </w:p>
        </w:tc>
        <w:tc>
          <w:tcPr>
            <w:tcW w:w="2448" w:type="dxa"/>
            <w:tcBorders>
              <w:top w:val="nil"/>
              <w:left w:val="nil"/>
              <w:bottom w:val="nil"/>
              <w:right w:val="nil"/>
            </w:tcBorders>
          </w:tcPr>
          <w:p w14:paraId="5EE3DBCF"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(2.7</w:t>
            </w:r>
            <w:r w:rsidR="00B52BF9">
              <w:rPr>
                <w:sz w:val="18"/>
                <w:szCs w:val="18"/>
                <w:lang w:val="it-IT"/>
              </w:rPr>
              <w:t>1</w:t>
            </w:r>
            <w:r w:rsidRPr="00CE045C">
              <w:rPr>
                <w:sz w:val="18"/>
                <w:szCs w:val="18"/>
                <w:lang w:val="it-IT"/>
              </w:rPr>
              <w:t>)</w:t>
            </w:r>
          </w:p>
        </w:tc>
        <w:tc>
          <w:tcPr>
            <w:tcW w:w="2448" w:type="dxa"/>
            <w:tcBorders>
              <w:top w:val="nil"/>
              <w:left w:val="nil"/>
              <w:bottom w:val="nil"/>
              <w:right w:val="nil"/>
            </w:tcBorders>
          </w:tcPr>
          <w:p w14:paraId="5EE3DBD0" w14:textId="77777777" w:rsidR="00CE045C" w:rsidRPr="00CE045C" w:rsidRDefault="00CE045C" w:rsidP="00B52BF9">
            <w:pPr>
              <w:widowControl w:val="0"/>
              <w:autoSpaceDE w:val="0"/>
              <w:autoSpaceDN w:val="0"/>
              <w:adjustRightInd w:val="0"/>
              <w:jc w:val="center"/>
              <w:rPr>
                <w:sz w:val="18"/>
                <w:szCs w:val="18"/>
                <w:lang w:val="it-IT"/>
              </w:rPr>
            </w:pPr>
            <w:r w:rsidRPr="00CE045C">
              <w:rPr>
                <w:sz w:val="18"/>
                <w:szCs w:val="18"/>
                <w:lang w:val="it-IT"/>
              </w:rPr>
              <w:t>(2.0</w:t>
            </w:r>
            <w:r w:rsidR="00B52BF9">
              <w:rPr>
                <w:sz w:val="18"/>
                <w:szCs w:val="18"/>
                <w:lang w:val="it-IT"/>
              </w:rPr>
              <w:t>4</w:t>
            </w:r>
            <w:r w:rsidRPr="00CE045C">
              <w:rPr>
                <w:sz w:val="18"/>
                <w:szCs w:val="18"/>
                <w:lang w:val="it-IT"/>
              </w:rPr>
              <w:t>)</w:t>
            </w:r>
          </w:p>
        </w:tc>
      </w:tr>
      <w:tr w:rsidR="00CE045C" w:rsidRPr="00CE045C" w14:paraId="5EE3DBD6" w14:textId="77777777" w:rsidTr="00797760">
        <w:trPr>
          <w:jc w:val="center"/>
        </w:trPr>
        <w:tc>
          <w:tcPr>
            <w:tcW w:w="1947" w:type="dxa"/>
            <w:tcBorders>
              <w:top w:val="nil"/>
              <w:left w:val="nil"/>
              <w:bottom w:val="nil"/>
              <w:right w:val="nil"/>
            </w:tcBorders>
          </w:tcPr>
          <w:p w14:paraId="5EE3DBD2" w14:textId="77777777" w:rsidR="00CE045C" w:rsidRPr="00CE045C" w:rsidRDefault="00CE045C" w:rsidP="00CE045C">
            <w:pPr>
              <w:widowControl w:val="0"/>
              <w:autoSpaceDE w:val="0"/>
              <w:autoSpaceDN w:val="0"/>
              <w:adjustRightInd w:val="0"/>
              <w:rPr>
                <w:sz w:val="18"/>
                <w:szCs w:val="18"/>
                <w:lang w:val="it-IT"/>
              </w:rPr>
            </w:pPr>
          </w:p>
        </w:tc>
        <w:tc>
          <w:tcPr>
            <w:tcW w:w="2448" w:type="dxa"/>
            <w:tcBorders>
              <w:top w:val="nil"/>
              <w:left w:val="nil"/>
              <w:bottom w:val="nil"/>
              <w:right w:val="nil"/>
            </w:tcBorders>
          </w:tcPr>
          <w:p w14:paraId="5EE3DBD3"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D4"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D5"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DB" w14:textId="77777777" w:rsidTr="00797760">
        <w:trPr>
          <w:jc w:val="center"/>
        </w:trPr>
        <w:tc>
          <w:tcPr>
            <w:tcW w:w="1947" w:type="dxa"/>
            <w:tcBorders>
              <w:top w:val="nil"/>
              <w:left w:val="nil"/>
              <w:right w:val="nil"/>
            </w:tcBorders>
          </w:tcPr>
          <w:p w14:paraId="5EE3DBD7" w14:textId="77777777" w:rsidR="00CE045C" w:rsidRPr="00CE045C" w:rsidRDefault="00CE045C" w:rsidP="00CE045C">
            <w:pPr>
              <w:widowControl w:val="0"/>
              <w:autoSpaceDE w:val="0"/>
              <w:autoSpaceDN w:val="0"/>
              <w:adjustRightInd w:val="0"/>
              <w:rPr>
                <w:sz w:val="18"/>
                <w:szCs w:val="18"/>
                <w:lang w:val="it-IT"/>
              </w:rPr>
            </w:pPr>
            <w:r w:rsidRPr="00CE045C">
              <w:rPr>
                <w:sz w:val="18"/>
                <w:szCs w:val="18"/>
                <w:lang w:val="it-IT"/>
              </w:rPr>
              <w:t>Observations</w:t>
            </w:r>
          </w:p>
        </w:tc>
        <w:tc>
          <w:tcPr>
            <w:tcW w:w="2448" w:type="dxa"/>
            <w:tcBorders>
              <w:top w:val="nil"/>
              <w:left w:val="nil"/>
              <w:right w:val="nil"/>
            </w:tcBorders>
          </w:tcPr>
          <w:p w14:paraId="5EE3DBD8"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264</w:t>
            </w:r>
          </w:p>
        </w:tc>
        <w:tc>
          <w:tcPr>
            <w:tcW w:w="2448" w:type="dxa"/>
            <w:tcBorders>
              <w:top w:val="nil"/>
              <w:left w:val="nil"/>
              <w:right w:val="nil"/>
            </w:tcBorders>
          </w:tcPr>
          <w:p w14:paraId="5EE3DBD9"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264</w:t>
            </w:r>
          </w:p>
        </w:tc>
        <w:tc>
          <w:tcPr>
            <w:tcW w:w="2448" w:type="dxa"/>
            <w:tcBorders>
              <w:top w:val="nil"/>
              <w:left w:val="nil"/>
              <w:right w:val="nil"/>
            </w:tcBorders>
          </w:tcPr>
          <w:p w14:paraId="5EE3DBDA"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264</w:t>
            </w:r>
          </w:p>
        </w:tc>
      </w:tr>
      <w:tr w:rsidR="00CE045C" w:rsidRPr="00CE045C" w14:paraId="5EE3DBE0" w14:textId="77777777" w:rsidTr="00797760">
        <w:tblPrEx>
          <w:tblBorders>
            <w:bottom w:val="single" w:sz="6" w:space="0" w:color="auto"/>
          </w:tblBorders>
        </w:tblPrEx>
        <w:trPr>
          <w:jc w:val="center"/>
        </w:trPr>
        <w:tc>
          <w:tcPr>
            <w:tcW w:w="1947" w:type="dxa"/>
            <w:tcBorders>
              <w:top w:val="nil"/>
              <w:left w:val="nil"/>
              <w:bottom w:val="nil"/>
              <w:right w:val="nil"/>
            </w:tcBorders>
          </w:tcPr>
          <w:p w14:paraId="5EE3DBDC" w14:textId="77777777" w:rsidR="00CE045C" w:rsidRPr="00CE045C" w:rsidRDefault="00CE045C" w:rsidP="00CE045C">
            <w:pPr>
              <w:widowControl w:val="0"/>
              <w:autoSpaceDE w:val="0"/>
              <w:autoSpaceDN w:val="0"/>
              <w:adjustRightInd w:val="0"/>
              <w:rPr>
                <w:sz w:val="18"/>
                <w:szCs w:val="18"/>
                <w:lang w:val="it-IT"/>
              </w:rPr>
            </w:pPr>
          </w:p>
        </w:tc>
        <w:tc>
          <w:tcPr>
            <w:tcW w:w="2448" w:type="dxa"/>
            <w:tcBorders>
              <w:top w:val="nil"/>
              <w:left w:val="nil"/>
              <w:bottom w:val="nil"/>
              <w:right w:val="nil"/>
            </w:tcBorders>
          </w:tcPr>
          <w:p w14:paraId="5EE3DBDD"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DE"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DF"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E5" w14:textId="77777777" w:rsidTr="00797760">
        <w:tblPrEx>
          <w:tblBorders>
            <w:bottom w:val="single" w:sz="6" w:space="0" w:color="auto"/>
          </w:tblBorders>
        </w:tblPrEx>
        <w:trPr>
          <w:jc w:val="center"/>
        </w:trPr>
        <w:tc>
          <w:tcPr>
            <w:tcW w:w="1947" w:type="dxa"/>
            <w:tcBorders>
              <w:top w:val="nil"/>
              <w:left w:val="nil"/>
              <w:bottom w:val="nil"/>
              <w:right w:val="nil"/>
            </w:tcBorders>
          </w:tcPr>
          <w:p w14:paraId="5EE3DBE1" w14:textId="77777777" w:rsidR="00CE045C" w:rsidRPr="00CE045C" w:rsidRDefault="00CE045C" w:rsidP="00CE045C">
            <w:pPr>
              <w:widowControl w:val="0"/>
              <w:autoSpaceDE w:val="0"/>
              <w:autoSpaceDN w:val="0"/>
              <w:adjustRightInd w:val="0"/>
              <w:rPr>
                <w:sz w:val="18"/>
                <w:szCs w:val="18"/>
                <w:lang w:val="it-IT"/>
              </w:rPr>
            </w:pPr>
            <w:r w:rsidRPr="00CE045C">
              <w:rPr>
                <w:sz w:val="18"/>
                <w:szCs w:val="18"/>
                <w:lang w:val="it-IT"/>
              </w:rPr>
              <w:t xml:space="preserve">Wals chi2 </w:t>
            </w:r>
          </w:p>
        </w:tc>
        <w:tc>
          <w:tcPr>
            <w:tcW w:w="2448" w:type="dxa"/>
            <w:tcBorders>
              <w:top w:val="nil"/>
              <w:left w:val="nil"/>
              <w:bottom w:val="nil"/>
              <w:right w:val="nil"/>
            </w:tcBorders>
          </w:tcPr>
          <w:p w14:paraId="5EE3DBE2"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51.79***</w:t>
            </w:r>
          </w:p>
        </w:tc>
        <w:tc>
          <w:tcPr>
            <w:tcW w:w="2448" w:type="dxa"/>
            <w:tcBorders>
              <w:top w:val="nil"/>
              <w:left w:val="nil"/>
              <w:bottom w:val="nil"/>
              <w:right w:val="nil"/>
            </w:tcBorders>
          </w:tcPr>
          <w:p w14:paraId="5EE3DBE3"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51.58***</w:t>
            </w:r>
          </w:p>
        </w:tc>
        <w:tc>
          <w:tcPr>
            <w:tcW w:w="2448" w:type="dxa"/>
            <w:tcBorders>
              <w:top w:val="nil"/>
              <w:left w:val="nil"/>
              <w:bottom w:val="nil"/>
              <w:right w:val="nil"/>
            </w:tcBorders>
          </w:tcPr>
          <w:p w14:paraId="5EE3DBE4"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60.19***</w:t>
            </w:r>
          </w:p>
        </w:tc>
      </w:tr>
      <w:tr w:rsidR="00CE045C" w:rsidRPr="00CE045C" w14:paraId="5EE3DBEA" w14:textId="77777777" w:rsidTr="00797760">
        <w:tblPrEx>
          <w:tblBorders>
            <w:bottom w:val="single" w:sz="6" w:space="0" w:color="auto"/>
          </w:tblBorders>
        </w:tblPrEx>
        <w:trPr>
          <w:jc w:val="center"/>
        </w:trPr>
        <w:tc>
          <w:tcPr>
            <w:tcW w:w="1947" w:type="dxa"/>
            <w:tcBorders>
              <w:top w:val="nil"/>
              <w:left w:val="nil"/>
              <w:bottom w:val="nil"/>
              <w:right w:val="nil"/>
            </w:tcBorders>
          </w:tcPr>
          <w:p w14:paraId="5EE3DBE6" w14:textId="77777777" w:rsidR="00CE045C" w:rsidRPr="00CE045C" w:rsidRDefault="00CE045C" w:rsidP="00CE045C">
            <w:pPr>
              <w:widowControl w:val="0"/>
              <w:autoSpaceDE w:val="0"/>
              <w:autoSpaceDN w:val="0"/>
              <w:adjustRightInd w:val="0"/>
              <w:rPr>
                <w:sz w:val="18"/>
                <w:szCs w:val="18"/>
                <w:lang w:val="it-IT"/>
              </w:rPr>
            </w:pPr>
          </w:p>
        </w:tc>
        <w:tc>
          <w:tcPr>
            <w:tcW w:w="2448" w:type="dxa"/>
            <w:tcBorders>
              <w:top w:val="nil"/>
              <w:left w:val="nil"/>
              <w:bottom w:val="nil"/>
              <w:right w:val="nil"/>
            </w:tcBorders>
          </w:tcPr>
          <w:p w14:paraId="5EE3DBE7"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E8" w14:textId="77777777" w:rsidR="00CE045C" w:rsidRPr="00CE045C" w:rsidRDefault="00CE045C" w:rsidP="00CE045C">
            <w:pPr>
              <w:widowControl w:val="0"/>
              <w:autoSpaceDE w:val="0"/>
              <w:autoSpaceDN w:val="0"/>
              <w:adjustRightInd w:val="0"/>
              <w:jc w:val="center"/>
              <w:rPr>
                <w:sz w:val="18"/>
                <w:szCs w:val="18"/>
                <w:lang w:val="it-IT"/>
              </w:rPr>
            </w:pPr>
          </w:p>
        </w:tc>
        <w:tc>
          <w:tcPr>
            <w:tcW w:w="2448" w:type="dxa"/>
            <w:tcBorders>
              <w:top w:val="nil"/>
              <w:left w:val="nil"/>
              <w:bottom w:val="nil"/>
              <w:right w:val="nil"/>
            </w:tcBorders>
          </w:tcPr>
          <w:p w14:paraId="5EE3DBE9" w14:textId="77777777" w:rsidR="00CE045C" w:rsidRPr="00CE045C" w:rsidRDefault="00CE045C" w:rsidP="00CE045C">
            <w:pPr>
              <w:widowControl w:val="0"/>
              <w:autoSpaceDE w:val="0"/>
              <w:autoSpaceDN w:val="0"/>
              <w:adjustRightInd w:val="0"/>
              <w:jc w:val="center"/>
              <w:rPr>
                <w:sz w:val="18"/>
                <w:szCs w:val="18"/>
                <w:lang w:val="it-IT"/>
              </w:rPr>
            </w:pPr>
          </w:p>
        </w:tc>
      </w:tr>
      <w:tr w:rsidR="00CE045C" w:rsidRPr="00CE045C" w14:paraId="5EE3DBEF" w14:textId="77777777" w:rsidTr="00797760">
        <w:tblPrEx>
          <w:tblBorders>
            <w:bottom w:val="single" w:sz="6" w:space="0" w:color="auto"/>
          </w:tblBorders>
        </w:tblPrEx>
        <w:trPr>
          <w:jc w:val="center"/>
        </w:trPr>
        <w:tc>
          <w:tcPr>
            <w:tcW w:w="1947" w:type="dxa"/>
            <w:tcBorders>
              <w:top w:val="nil"/>
              <w:left w:val="nil"/>
              <w:bottom w:val="single" w:sz="6" w:space="0" w:color="auto"/>
              <w:right w:val="nil"/>
            </w:tcBorders>
          </w:tcPr>
          <w:p w14:paraId="5EE3DBEB" w14:textId="77777777" w:rsidR="00CE045C" w:rsidRPr="00CE045C" w:rsidRDefault="00CE045C" w:rsidP="00CE045C">
            <w:pPr>
              <w:widowControl w:val="0"/>
              <w:autoSpaceDE w:val="0"/>
              <w:autoSpaceDN w:val="0"/>
              <w:adjustRightInd w:val="0"/>
              <w:rPr>
                <w:sz w:val="18"/>
                <w:szCs w:val="18"/>
                <w:lang w:val="it-IT"/>
              </w:rPr>
            </w:pPr>
            <w:r w:rsidRPr="00CE045C">
              <w:rPr>
                <w:sz w:val="18"/>
                <w:szCs w:val="18"/>
                <w:lang w:val="it-IT"/>
              </w:rPr>
              <w:t>R-squared</w:t>
            </w:r>
          </w:p>
        </w:tc>
        <w:tc>
          <w:tcPr>
            <w:tcW w:w="2448" w:type="dxa"/>
            <w:tcBorders>
              <w:top w:val="nil"/>
              <w:left w:val="nil"/>
              <w:bottom w:val="single" w:sz="6" w:space="0" w:color="auto"/>
              <w:right w:val="nil"/>
            </w:tcBorders>
          </w:tcPr>
          <w:p w14:paraId="5EE3DBEC"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0.171</w:t>
            </w:r>
          </w:p>
        </w:tc>
        <w:tc>
          <w:tcPr>
            <w:tcW w:w="2448" w:type="dxa"/>
            <w:tcBorders>
              <w:top w:val="nil"/>
              <w:left w:val="nil"/>
              <w:bottom w:val="single" w:sz="6" w:space="0" w:color="auto"/>
              <w:right w:val="nil"/>
            </w:tcBorders>
          </w:tcPr>
          <w:p w14:paraId="5EE3DBED"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0.171</w:t>
            </w:r>
          </w:p>
        </w:tc>
        <w:tc>
          <w:tcPr>
            <w:tcW w:w="2448" w:type="dxa"/>
            <w:tcBorders>
              <w:top w:val="nil"/>
              <w:left w:val="nil"/>
              <w:bottom w:val="single" w:sz="6" w:space="0" w:color="auto"/>
              <w:right w:val="nil"/>
            </w:tcBorders>
          </w:tcPr>
          <w:p w14:paraId="5EE3DBEE" w14:textId="77777777" w:rsidR="00CE045C" w:rsidRPr="00CE045C" w:rsidRDefault="00CE045C" w:rsidP="00CE045C">
            <w:pPr>
              <w:widowControl w:val="0"/>
              <w:autoSpaceDE w:val="0"/>
              <w:autoSpaceDN w:val="0"/>
              <w:adjustRightInd w:val="0"/>
              <w:jc w:val="center"/>
              <w:rPr>
                <w:sz w:val="18"/>
                <w:szCs w:val="18"/>
                <w:lang w:val="it-IT"/>
              </w:rPr>
            </w:pPr>
            <w:r w:rsidRPr="00CE045C">
              <w:rPr>
                <w:sz w:val="18"/>
                <w:szCs w:val="18"/>
                <w:lang w:val="it-IT"/>
              </w:rPr>
              <w:t>0.188</w:t>
            </w:r>
          </w:p>
        </w:tc>
      </w:tr>
    </w:tbl>
    <w:p w14:paraId="5EE3DBF0" w14:textId="77777777" w:rsidR="00CE045C" w:rsidRPr="00CE045C" w:rsidRDefault="00CE045C" w:rsidP="00CE045C">
      <w:pPr>
        <w:widowControl w:val="0"/>
        <w:autoSpaceDE w:val="0"/>
        <w:autoSpaceDN w:val="0"/>
        <w:adjustRightInd w:val="0"/>
        <w:ind w:left="462" w:firstLine="258"/>
        <w:rPr>
          <w:sz w:val="18"/>
          <w:szCs w:val="18"/>
        </w:rPr>
      </w:pPr>
      <w:r w:rsidRPr="00CE045C">
        <w:rPr>
          <w:i/>
          <w:sz w:val="18"/>
          <w:szCs w:val="18"/>
        </w:rPr>
        <w:t>Note</w:t>
      </w:r>
      <w:r w:rsidRPr="00CE045C">
        <w:rPr>
          <w:sz w:val="18"/>
          <w:szCs w:val="18"/>
        </w:rPr>
        <w:t xml:space="preserve">: </w:t>
      </w:r>
      <w:r w:rsidRPr="00CE045C">
        <w:rPr>
          <w:sz w:val="18"/>
          <w:szCs w:val="18"/>
          <w:lang w:eastAsia="en-US"/>
        </w:rPr>
        <w:t xml:space="preserve"> ** p&lt;0.05, *** p&lt;0.01 Standard errors in parentheses</w:t>
      </w:r>
    </w:p>
    <w:p w14:paraId="5EE3DBF1" w14:textId="77777777" w:rsidR="00CE045C" w:rsidRPr="00CE045C" w:rsidRDefault="00CE045C" w:rsidP="00CE045C">
      <w:pPr>
        <w:ind w:left="851" w:right="849"/>
        <w:jc w:val="both"/>
        <w:rPr>
          <w:rFonts w:eastAsiaTheme="minorHAnsi"/>
          <w:b/>
          <w:lang w:eastAsia="en-US"/>
        </w:rPr>
      </w:pPr>
    </w:p>
    <w:p w14:paraId="5EE3DBF2" w14:textId="77777777" w:rsidR="005230CC" w:rsidRDefault="005230CC"/>
    <w:p w14:paraId="5EE3DBF3" w14:textId="77777777" w:rsidR="005230CC" w:rsidRDefault="005230CC"/>
    <w:p w14:paraId="5EE3DBF4" w14:textId="77777777" w:rsidR="00E03C2E" w:rsidRDefault="00E03C2E" w:rsidP="00531D90">
      <w:pPr>
        <w:rPr>
          <w:noProof/>
          <w:lang w:eastAsia="en-US"/>
        </w:rPr>
      </w:pPr>
    </w:p>
    <w:p w14:paraId="5EE3DBF5" w14:textId="5292D73F" w:rsidR="00CF7FA3" w:rsidRDefault="00CF7FA3">
      <w:pPr>
        <w:rPr>
          <w:noProof/>
          <w:lang w:eastAsia="en-US"/>
        </w:rPr>
      </w:pPr>
      <w:r>
        <w:rPr>
          <w:noProof/>
          <w:lang w:eastAsia="en-US"/>
        </w:rPr>
        <w:br w:type="page"/>
      </w:r>
    </w:p>
    <w:p w14:paraId="66586460" w14:textId="2BA9BAE4" w:rsidR="00CF7FA3" w:rsidRPr="002D189F" w:rsidRDefault="00CF7FA3">
      <w:pPr>
        <w:rPr>
          <w:b/>
          <w:bCs/>
          <w:noProof/>
          <w:lang w:eastAsia="en-US"/>
        </w:rPr>
      </w:pPr>
      <w:r w:rsidRPr="009D479C">
        <w:rPr>
          <w:b/>
          <w:bCs/>
          <w:noProof/>
          <w:lang w:eastAsia="en-US"/>
        </w:rPr>
        <w:lastRenderedPageBreak/>
        <w:t>Figure 1 Theoretical Framework</w:t>
      </w:r>
    </w:p>
    <w:p w14:paraId="297391F3" w14:textId="51B2D7F1" w:rsidR="00CF7FA3" w:rsidRDefault="00CF7FA3">
      <w:pPr>
        <w:rPr>
          <w:noProof/>
          <w:lang w:eastAsia="en-US"/>
        </w:rPr>
      </w:pPr>
    </w:p>
    <w:p w14:paraId="55130906" w14:textId="77777777" w:rsidR="00CF7FA3" w:rsidRDefault="00CF7FA3">
      <w:pPr>
        <w:rPr>
          <w:noProof/>
          <w:lang w:eastAsia="en-US"/>
        </w:rPr>
      </w:pPr>
    </w:p>
    <w:p w14:paraId="598ECD79" w14:textId="60693F04" w:rsidR="005230CC" w:rsidRDefault="005D5AA1">
      <w:pPr>
        <w:rPr>
          <w:noProof/>
          <w:lang w:eastAsia="en-US"/>
        </w:rPr>
      </w:pPr>
      <w:r>
        <w:rPr>
          <w:rFonts w:eastAsiaTheme="minorHAnsi"/>
          <w:b/>
          <w:noProof/>
          <w:lang w:val="en-GB" w:eastAsia="en-GB"/>
        </w:rPr>
        <mc:AlternateContent>
          <mc:Choice Requires="wps">
            <w:drawing>
              <wp:anchor distT="0" distB="0" distL="114300" distR="114300" simplePos="0" relativeHeight="251668480" behindDoc="0" locked="0" layoutInCell="1" allowOverlap="1" wp14:anchorId="492A4849" wp14:editId="7FBBBDB1">
                <wp:simplePos x="0" y="0"/>
                <wp:positionH relativeFrom="column">
                  <wp:posOffset>1505585</wp:posOffset>
                </wp:positionH>
                <wp:positionV relativeFrom="paragraph">
                  <wp:posOffset>131445</wp:posOffset>
                </wp:positionV>
                <wp:extent cx="1170305" cy="493395"/>
                <wp:effectExtent l="12065" t="11430" r="8255" b="952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493395"/>
                        </a:xfrm>
                        <a:prstGeom prst="rect">
                          <a:avLst/>
                        </a:prstGeom>
                        <a:solidFill>
                          <a:srgbClr val="FFFFFF"/>
                        </a:solidFill>
                        <a:ln w="9525">
                          <a:solidFill>
                            <a:srgbClr val="000000"/>
                          </a:solidFill>
                          <a:miter lim="800000"/>
                          <a:headEnd/>
                          <a:tailEnd/>
                        </a:ln>
                      </wps:spPr>
                      <wps:txbx>
                        <w:txbxContent>
                          <w:p w14:paraId="5E76E9AD" w14:textId="3E658792" w:rsidR="00F67E12" w:rsidRDefault="00F67E12">
                            <w:r>
                              <w:t>Institutional</w:t>
                            </w:r>
                          </w:p>
                          <w:p w14:paraId="580EC2BB" w14:textId="51493B4A" w:rsidR="00F67E12" w:rsidRDefault="00F67E12">
                            <w:r>
                              <w:t>Distance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A4849" id="_x0000_t202" coordsize="21600,21600" o:spt="202" path="m,l,21600r21600,l21600,xe">
                <v:stroke joinstyle="miter"/>
                <v:path gradientshapeok="t" o:connecttype="rect"/>
              </v:shapetype>
              <v:shape id="Text Box 12" o:spid="_x0000_s1026" type="#_x0000_t202" style="position:absolute;margin-left:118.55pt;margin-top:10.35pt;width:92.15pt;height:3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">
                <v:textbox>
                  <w:txbxContent>
                    <w:p w14:paraId="5E76E9AD" w14:textId="3E658792" w:rsidR="00F67E12" w:rsidRDefault="00F67E12">
                      <w:r>
                        <w:t>Institutional</w:t>
                      </w:r>
                    </w:p>
                    <w:p w14:paraId="580EC2BB" w14:textId="51493B4A" w:rsidR="00F67E12" w:rsidRDefault="00F67E12">
                      <w:r>
                        <w:t>Distance</w:t>
                      </w:r>
                    </w:p>
                  </w:txbxContent>
                </v:textbox>
              </v:shape>
            </w:pict>
          </mc:Fallback>
        </mc:AlternateContent>
      </w:r>
    </w:p>
    <w:p w14:paraId="5A485004" w14:textId="3EF93C2A" w:rsidR="00CF7FA3" w:rsidRDefault="005D5AA1">
      <w:pPr>
        <w:rPr>
          <w:rFonts w:eastAsiaTheme="minorHAnsi"/>
          <w:b/>
          <w:highlight w:val="yellow"/>
          <w:lang w:val="en-GB" w:eastAsia="en-US"/>
        </w:rPr>
      </w:pPr>
      <w:r>
        <w:rPr>
          <w:rFonts w:eastAsiaTheme="minorHAnsi"/>
          <w:b/>
          <w:noProof/>
          <w:lang w:val="en-GB" w:eastAsia="en-GB"/>
        </w:rPr>
        <mc:AlternateContent>
          <mc:Choice Requires="wps">
            <w:drawing>
              <wp:anchor distT="0" distB="0" distL="114300" distR="114300" simplePos="0" relativeHeight="251671552" behindDoc="0" locked="0" layoutInCell="1" allowOverlap="1" wp14:anchorId="6CE0F69D" wp14:editId="7FE994AA">
                <wp:simplePos x="0" y="0"/>
                <wp:positionH relativeFrom="column">
                  <wp:posOffset>5046345</wp:posOffset>
                </wp:positionH>
                <wp:positionV relativeFrom="paragraph">
                  <wp:posOffset>737870</wp:posOffset>
                </wp:positionV>
                <wp:extent cx="1316355" cy="827405"/>
                <wp:effectExtent l="9525" t="12065" r="7620" b="825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827405"/>
                        </a:xfrm>
                        <a:prstGeom prst="rect">
                          <a:avLst/>
                        </a:prstGeom>
                        <a:solidFill>
                          <a:srgbClr val="FFFFFF"/>
                        </a:solidFill>
                        <a:ln w="9525">
                          <a:solidFill>
                            <a:srgbClr val="000000"/>
                          </a:solidFill>
                          <a:miter lim="800000"/>
                          <a:headEnd/>
                          <a:tailEnd/>
                        </a:ln>
                      </wps:spPr>
                      <wps:txbx>
                        <w:txbxContent>
                          <w:p w14:paraId="7B76D703" w14:textId="0AA6EF28" w:rsidR="00F67E12" w:rsidRDefault="00F67E12">
                            <w:r>
                              <w:t xml:space="preserve">Market-specific export performance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0F69D" id="Text Box 15" o:spid="_x0000_s1027" type="#_x0000_t202" style="position:absolute;margin-left:397.35pt;margin-top:58.1pt;width:103.65pt;height:6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">
                <v:textbox>
                  <w:txbxContent>
                    <w:p w14:paraId="7B76D703" w14:textId="0AA6EF28" w:rsidR="00F67E12" w:rsidRDefault="00F67E12">
                      <w:r>
                        <w:t xml:space="preserve">Market-specific export performance </w:t>
                      </w:r>
                    </w:p>
                  </w:txbxContent>
                </v:textbox>
              </v:shape>
            </w:pict>
          </mc:Fallback>
        </mc:AlternateContent>
      </w:r>
      <w:r>
        <w:rPr>
          <w:rFonts w:eastAsiaTheme="minorHAnsi"/>
          <w:b/>
          <w:noProof/>
          <w:lang w:val="en-GB" w:eastAsia="en-GB"/>
        </w:rPr>
        <mc:AlternateContent>
          <mc:Choice Requires="wps">
            <w:drawing>
              <wp:anchor distT="0" distB="0" distL="114300" distR="114300" simplePos="0" relativeHeight="251670528" behindDoc="0" locked="0" layoutInCell="1" allowOverlap="1" wp14:anchorId="1CAE3BA2" wp14:editId="335DE6DC">
                <wp:simplePos x="0" y="0"/>
                <wp:positionH relativeFrom="column">
                  <wp:posOffset>2753360</wp:posOffset>
                </wp:positionH>
                <wp:positionV relativeFrom="paragraph">
                  <wp:posOffset>2190115</wp:posOffset>
                </wp:positionV>
                <wp:extent cx="1290320" cy="530860"/>
                <wp:effectExtent l="12065" t="6985" r="12065" b="508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530860"/>
                        </a:xfrm>
                        <a:prstGeom prst="rect">
                          <a:avLst/>
                        </a:prstGeom>
                        <a:solidFill>
                          <a:srgbClr val="FFFFFF"/>
                        </a:solidFill>
                        <a:ln w="9525">
                          <a:solidFill>
                            <a:srgbClr val="000000"/>
                          </a:solidFill>
                          <a:miter lim="800000"/>
                          <a:headEnd/>
                          <a:tailEnd/>
                        </a:ln>
                      </wps:spPr>
                      <wps:txbx>
                        <w:txbxContent>
                          <w:p w14:paraId="202D8B1F" w14:textId="19423995" w:rsidR="00F67E12" w:rsidRDefault="00F67E12">
                            <w:r>
                              <w:t>TCE and other control 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E3BA2" id="Text Box 14" o:spid="_x0000_s1028" type="#_x0000_t202" style="position:absolute;margin-left:216.8pt;margin-top:172.45pt;width:101.6pt;height:4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">
                <v:textbox>
                  <w:txbxContent>
                    <w:p w14:paraId="202D8B1F" w14:textId="19423995" w:rsidR="00F67E12" w:rsidRDefault="00F67E12">
                      <w:r>
                        <w:t>TCE and other control variables</w:t>
                      </w:r>
                    </w:p>
                  </w:txbxContent>
                </v:textbox>
              </v:shape>
            </w:pict>
          </mc:Fallback>
        </mc:AlternateContent>
      </w:r>
      <w:r>
        <w:rPr>
          <w:rFonts w:eastAsiaTheme="minorHAnsi"/>
          <w:b/>
          <w:noProof/>
          <w:lang w:val="en-GB" w:eastAsia="en-GB"/>
        </w:rPr>
        <mc:AlternateContent>
          <mc:Choice Requires="wps">
            <w:drawing>
              <wp:anchor distT="0" distB="0" distL="114300" distR="114300" simplePos="0" relativeHeight="251669504" behindDoc="0" locked="0" layoutInCell="1" allowOverlap="1" wp14:anchorId="1B84E691" wp14:editId="258F8606">
                <wp:simplePos x="0" y="0"/>
                <wp:positionH relativeFrom="column">
                  <wp:posOffset>2745105</wp:posOffset>
                </wp:positionH>
                <wp:positionV relativeFrom="paragraph">
                  <wp:posOffset>859155</wp:posOffset>
                </wp:positionV>
                <wp:extent cx="1265555" cy="626110"/>
                <wp:effectExtent l="13335" t="9525" r="6985" b="1206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626110"/>
                        </a:xfrm>
                        <a:prstGeom prst="rect">
                          <a:avLst/>
                        </a:prstGeom>
                        <a:solidFill>
                          <a:srgbClr val="FFFFFF"/>
                        </a:solidFill>
                        <a:ln w="9525">
                          <a:solidFill>
                            <a:srgbClr val="000000"/>
                          </a:solidFill>
                          <a:miter lim="800000"/>
                          <a:headEnd/>
                          <a:tailEnd/>
                        </a:ln>
                      </wps:spPr>
                      <wps:txbx>
                        <w:txbxContent>
                          <w:p w14:paraId="67F7DFDA" w14:textId="6ED09211" w:rsidR="00F67E12" w:rsidRDefault="00F67E12">
                            <w:r>
                              <w:t>Export Channel</w:t>
                            </w:r>
                          </w:p>
                          <w:p w14:paraId="52807D6D" w14:textId="17C41A1A" w:rsidR="00F67E12" w:rsidRDefault="00F67E12">
                            <w:r>
                              <w:t>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E691" id="Text Box 13" o:spid="_x0000_s1029" type="#_x0000_t202" style="position:absolute;margin-left:216.15pt;margin-top:67.65pt;width:99.65pt;height:4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">
                <v:textbox>
                  <w:txbxContent>
                    <w:p w14:paraId="67F7DFDA" w14:textId="6ED09211" w:rsidR="00F67E12" w:rsidRDefault="00F67E12">
                      <w:r>
                        <w:t>Export Channel</w:t>
                      </w:r>
                    </w:p>
                    <w:p w14:paraId="52807D6D" w14:textId="17C41A1A" w:rsidR="00F67E12" w:rsidRDefault="00F67E12">
                      <w:r>
                        <w:t>Choice</w:t>
                      </w:r>
                    </w:p>
                  </w:txbxContent>
                </v:textbox>
              </v:shape>
            </w:pict>
          </mc:Fallback>
        </mc:AlternateContent>
      </w:r>
      <w:r>
        <w:rPr>
          <w:rFonts w:eastAsiaTheme="minorHAnsi"/>
          <w:b/>
          <w:noProof/>
          <w:lang w:val="en-GB" w:eastAsia="en-GB"/>
        </w:rPr>
        <mc:AlternateContent>
          <mc:Choice Requires="wps">
            <w:drawing>
              <wp:anchor distT="0" distB="0" distL="114300" distR="114300" simplePos="0" relativeHeight="251667456" behindDoc="0" locked="0" layoutInCell="1" allowOverlap="1" wp14:anchorId="412F41B8" wp14:editId="7BACFF9E">
                <wp:simplePos x="0" y="0"/>
                <wp:positionH relativeFrom="column">
                  <wp:posOffset>144780</wp:posOffset>
                </wp:positionH>
                <wp:positionV relativeFrom="paragraph">
                  <wp:posOffset>833755</wp:posOffset>
                </wp:positionV>
                <wp:extent cx="1251585" cy="581660"/>
                <wp:effectExtent l="13335" t="12700" r="11430" b="571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581660"/>
                        </a:xfrm>
                        <a:prstGeom prst="rect">
                          <a:avLst/>
                        </a:prstGeom>
                        <a:solidFill>
                          <a:srgbClr val="FFFFFF"/>
                        </a:solidFill>
                        <a:ln w="9525">
                          <a:solidFill>
                            <a:srgbClr val="000000"/>
                          </a:solidFill>
                          <a:miter lim="800000"/>
                          <a:headEnd/>
                          <a:tailEnd/>
                        </a:ln>
                      </wps:spPr>
                      <wps:txbx>
                        <w:txbxContent>
                          <w:p w14:paraId="6BCBC1E1" w14:textId="26B877B3" w:rsidR="00F67E12" w:rsidRDefault="00F67E12">
                            <w:r>
                              <w:t>Entrepreneurial</w:t>
                            </w:r>
                          </w:p>
                          <w:p w14:paraId="0DD4C51A" w14:textId="2AAC2D22" w:rsidR="00F67E12" w:rsidRDefault="00F67E12">
                            <w:r>
                              <w:t>Orientation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F41B8" id="Text Box 11" o:spid="_x0000_s1030" type="#_x0000_t202" style="position:absolute;margin-left:11.4pt;margin-top:65.65pt;width:98.55pt;height:4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">
                <v:textbox>
                  <w:txbxContent>
                    <w:p w14:paraId="6BCBC1E1" w14:textId="26B877B3" w:rsidR="00F67E12" w:rsidRDefault="00F67E12">
                      <w:r>
                        <w:t>Entrepreneurial</w:t>
                      </w:r>
                    </w:p>
                    <w:p w14:paraId="0DD4C51A" w14:textId="2AAC2D22" w:rsidR="00F67E12" w:rsidRDefault="00F67E12">
                      <w:r>
                        <w:t>Orientation</w:t>
                      </w:r>
                    </w:p>
                  </w:txbxContent>
                </v:textbox>
              </v:shape>
            </w:pict>
          </mc:Fallback>
        </mc:AlternateContent>
      </w:r>
      <w:r>
        <w:rPr>
          <w:rFonts w:eastAsiaTheme="minorHAnsi"/>
          <w:b/>
          <w:noProof/>
          <w:lang w:val="en-GB" w:eastAsia="en-GB"/>
        </w:rPr>
        <mc:AlternateContent>
          <mc:Choice Requires="wps">
            <w:drawing>
              <wp:anchor distT="0" distB="0" distL="114300" distR="114300" simplePos="0" relativeHeight="251666432" behindDoc="0" locked="0" layoutInCell="1" allowOverlap="1" wp14:anchorId="3CD6A067" wp14:editId="00481A9D">
                <wp:simplePos x="0" y="0"/>
                <wp:positionH relativeFrom="column">
                  <wp:posOffset>3385185</wp:posOffset>
                </wp:positionH>
                <wp:positionV relativeFrom="paragraph">
                  <wp:posOffset>1440815</wp:posOffset>
                </wp:positionV>
                <wp:extent cx="15240" cy="742315"/>
                <wp:effectExtent l="43815" t="19685" r="5524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 cy="742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D6390" id="_x0000_t32" coordsize="21600,21600" o:spt="32" o:oned="t" path="m,l21600,21600e" filled="f">
                <v:path arrowok="t" fillok="f" o:connecttype="none"/>
                <o:lock v:ext="edit" shapetype="t"/>
              </v:shapetype>
              <v:shape id="AutoShape 10" o:spid="_x0000_s1026" type="#_x0000_t32" style="position:absolute;margin-left:266.55pt;margin-top:113.45pt;width:1.2pt;height:58.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">
                <v:stroke endarrow="block"/>
              </v:shape>
            </w:pict>
          </mc:Fallback>
        </mc:AlternateContent>
      </w:r>
      <w:r>
        <w:rPr>
          <w:rFonts w:eastAsiaTheme="minorHAnsi"/>
          <w:b/>
          <w:noProof/>
          <w:lang w:val="en-GB" w:eastAsia="en-GB"/>
        </w:rPr>
        <mc:AlternateContent>
          <mc:Choice Requires="wps">
            <w:drawing>
              <wp:anchor distT="0" distB="0" distL="114300" distR="114300" simplePos="0" relativeHeight="251665408" behindDoc="0" locked="0" layoutInCell="1" allowOverlap="1" wp14:anchorId="2E960BE8" wp14:editId="6F48860F">
                <wp:simplePos x="0" y="0"/>
                <wp:positionH relativeFrom="column">
                  <wp:posOffset>2075815</wp:posOffset>
                </wp:positionH>
                <wp:positionV relativeFrom="paragraph">
                  <wp:posOffset>445770</wp:posOffset>
                </wp:positionV>
                <wp:extent cx="3810" cy="706120"/>
                <wp:effectExtent l="48895" t="5715" r="61595" b="2159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706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AA999" id="AutoShape 9" o:spid="_x0000_s1026" type="#_x0000_t32" style="position:absolute;margin-left:163.45pt;margin-top:35.1pt;width:.3pt;height:5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">
                <v:stroke endarrow="block"/>
              </v:shape>
            </w:pict>
          </mc:Fallback>
        </mc:AlternateContent>
      </w:r>
      <w:r>
        <w:rPr>
          <w:rFonts w:eastAsiaTheme="minorHAnsi"/>
          <w:b/>
          <w:noProof/>
          <w:lang w:val="en-GB" w:eastAsia="en-GB"/>
        </w:rPr>
        <mc:AlternateContent>
          <mc:Choice Requires="wps">
            <w:drawing>
              <wp:anchor distT="0" distB="0" distL="114300" distR="114300" simplePos="0" relativeHeight="251664384" behindDoc="0" locked="0" layoutInCell="1" allowOverlap="1" wp14:anchorId="76F4FC75" wp14:editId="48761D68">
                <wp:simplePos x="0" y="0"/>
                <wp:positionH relativeFrom="column">
                  <wp:posOffset>4022090</wp:posOffset>
                </wp:positionH>
                <wp:positionV relativeFrom="paragraph">
                  <wp:posOffset>1148080</wp:posOffset>
                </wp:positionV>
                <wp:extent cx="1016635" cy="3810"/>
                <wp:effectExtent l="13970" t="60325" r="17145" b="501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63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D9F2F" id="AutoShape 8" o:spid="_x0000_s1026" type="#_x0000_t32" style="position:absolute;margin-left:316.7pt;margin-top:90.4pt;width:80.05pt;height:.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">
                <v:stroke endarrow="block"/>
              </v:shape>
            </w:pict>
          </mc:Fallback>
        </mc:AlternateContent>
      </w:r>
      <w:r>
        <w:rPr>
          <w:rFonts w:eastAsiaTheme="minorHAnsi"/>
          <w:b/>
          <w:noProof/>
          <w:lang w:val="en-GB" w:eastAsia="en-GB"/>
        </w:rPr>
        <mc:AlternateContent>
          <mc:Choice Requires="wps">
            <w:drawing>
              <wp:anchor distT="0" distB="0" distL="114300" distR="114300" simplePos="0" relativeHeight="251663360" behindDoc="0" locked="0" layoutInCell="1" allowOverlap="1" wp14:anchorId="636C503A" wp14:editId="4B290F07">
                <wp:simplePos x="0" y="0"/>
                <wp:positionH relativeFrom="column">
                  <wp:posOffset>1417955</wp:posOffset>
                </wp:positionH>
                <wp:positionV relativeFrom="paragraph">
                  <wp:posOffset>1151890</wp:posOffset>
                </wp:positionV>
                <wp:extent cx="1327150" cy="7620"/>
                <wp:effectExtent l="10160" t="45085" r="15240" b="615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66168" id="AutoShape 7" o:spid="_x0000_s1026" type="#_x0000_t32" style="position:absolute;margin-left:111.65pt;margin-top:90.7pt;width:104.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">
                <v:stroke endarrow="block"/>
              </v:shape>
            </w:pict>
          </mc:Fallback>
        </mc:AlternateContent>
      </w:r>
      <w:r w:rsidR="00CF7FA3">
        <w:rPr>
          <w:rFonts w:eastAsiaTheme="minorHAnsi"/>
          <w:b/>
          <w:highlight w:val="yellow"/>
          <w:lang w:val="en-GB" w:eastAsia="en-US"/>
        </w:rPr>
        <w:br w:type="page"/>
      </w:r>
    </w:p>
    <w:p w14:paraId="5EE3DBF6" w14:textId="32B80FF1" w:rsidR="005230CC" w:rsidRPr="005230CC" w:rsidRDefault="005230CC" w:rsidP="005230CC">
      <w:pPr>
        <w:ind w:right="849"/>
        <w:jc w:val="both"/>
        <w:rPr>
          <w:rFonts w:eastAsiaTheme="minorHAnsi"/>
          <w:b/>
          <w:lang w:val="en-GB" w:eastAsia="en-US"/>
        </w:rPr>
      </w:pPr>
      <w:r w:rsidRPr="000179D6">
        <w:rPr>
          <w:rFonts w:eastAsiaTheme="minorHAnsi"/>
          <w:b/>
          <w:lang w:val="en-GB" w:eastAsia="en-US"/>
        </w:rPr>
        <w:lastRenderedPageBreak/>
        <w:t xml:space="preserve">Figure </w:t>
      </w:r>
      <w:r w:rsidR="00CF7FA3" w:rsidRPr="000179D6">
        <w:rPr>
          <w:rFonts w:eastAsiaTheme="minorHAnsi"/>
          <w:b/>
          <w:lang w:val="en-GB" w:eastAsia="en-US"/>
        </w:rPr>
        <w:t>2</w:t>
      </w:r>
      <w:r w:rsidRPr="005230CC">
        <w:rPr>
          <w:rFonts w:eastAsiaTheme="minorHAnsi"/>
          <w:b/>
          <w:lang w:val="en-GB" w:eastAsia="en-US"/>
        </w:rPr>
        <w:t>: Interaction effect between EO and regulative distance</w:t>
      </w:r>
    </w:p>
    <w:p w14:paraId="5EE3DBF7" w14:textId="77777777" w:rsidR="005230CC" w:rsidRPr="005230CC" w:rsidRDefault="005230CC" w:rsidP="005230CC">
      <w:pPr>
        <w:ind w:right="849"/>
        <w:jc w:val="both"/>
        <w:rPr>
          <w:rFonts w:eastAsiaTheme="minorHAnsi"/>
          <w:b/>
          <w:lang w:val="en-GB" w:eastAsia="en-US"/>
        </w:rPr>
      </w:pPr>
    </w:p>
    <w:p w14:paraId="5EE3DBF8" w14:textId="77777777" w:rsidR="005230CC" w:rsidRPr="005230CC" w:rsidRDefault="005230CC" w:rsidP="005230CC">
      <w:pPr>
        <w:ind w:right="849"/>
        <w:jc w:val="both"/>
        <w:rPr>
          <w:rFonts w:eastAsiaTheme="minorHAnsi"/>
          <w:b/>
          <w:lang w:val="en-GB" w:eastAsia="en-US"/>
        </w:rPr>
      </w:pPr>
      <w:r w:rsidRPr="005230CC">
        <w:rPr>
          <w:rFonts w:eastAsiaTheme="minorHAnsi"/>
          <w:b/>
          <w:noProof/>
          <w:lang w:val="en-GB" w:eastAsia="en-GB"/>
        </w:rPr>
        <w:drawing>
          <wp:inline distT="0" distB="0" distL="0" distR="0" wp14:anchorId="5EE3DC02" wp14:editId="5EE3DC03">
            <wp:extent cx="4991182" cy="3493827"/>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1328" t="12905" r="60361" b="39551"/>
                    <a:stretch>
                      <a:fillRect/>
                    </a:stretch>
                  </pic:blipFill>
                  <pic:spPr bwMode="auto">
                    <a:xfrm>
                      <a:off x="0" y="0"/>
                      <a:ext cx="4994002" cy="3495801"/>
                    </a:xfrm>
                    <a:prstGeom prst="rect">
                      <a:avLst/>
                    </a:prstGeom>
                    <a:noFill/>
                    <a:ln w="9525">
                      <a:noFill/>
                      <a:miter lim="800000"/>
                      <a:headEnd/>
                      <a:tailEnd/>
                    </a:ln>
                  </pic:spPr>
                </pic:pic>
              </a:graphicData>
            </a:graphic>
          </wp:inline>
        </w:drawing>
      </w:r>
    </w:p>
    <w:p w14:paraId="5EE3DBF9" w14:textId="77777777" w:rsidR="005230CC" w:rsidRPr="005230CC" w:rsidRDefault="005230CC" w:rsidP="005230CC">
      <w:pPr>
        <w:tabs>
          <w:tab w:val="left" w:pos="0"/>
        </w:tabs>
        <w:ind w:right="849"/>
        <w:jc w:val="both"/>
        <w:rPr>
          <w:rFonts w:eastAsiaTheme="minorHAnsi"/>
          <w:b/>
          <w:sz w:val="20"/>
          <w:szCs w:val="20"/>
          <w:lang w:val="en-GB" w:eastAsia="en-US"/>
        </w:rPr>
      </w:pPr>
    </w:p>
    <w:p w14:paraId="5EE3DBFA" w14:textId="77777777" w:rsidR="005230CC" w:rsidRPr="005230CC" w:rsidRDefault="005230CC" w:rsidP="005230CC">
      <w:pPr>
        <w:tabs>
          <w:tab w:val="left" w:pos="0"/>
        </w:tabs>
        <w:ind w:right="849"/>
        <w:jc w:val="both"/>
        <w:rPr>
          <w:rFonts w:eastAsiaTheme="minorHAnsi"/>
          <w:b/>
          <w:sz w:val="20"/>
          <w:szCs w:val="20"/>
          <w:lang w:val="en-GB" w:eastAsia="en-US"/>
        </w:rPr>
      </w:pPr>
    </w:p>
    <w:p w14:paraId="5EE3DBFB" w14:textId="77777777" w:rsidR="005230CC" w:rsidRPr="005230CC" w:rsidRDefault="005230CC" w:rsidP="005230CC">
      <w:pPr>
        <w:tabs>
          <w:tab w:val="left" w:pos="0"/>
        </w:tabs>
        <w:ind w:right="849"/>
        <w:jc w:val="both"/>
        <w:rPr>
          <w:rFonts w:eastAsiaTheme="minorHAnsi"/>
          <w:b/>
          <w:sz w:val="20"/>
          <w:szCs w:val="20"/>
          <w:lang w:val="en-GB" w:eastAsia="en-US"/>
        </w:rPr>
      </w:pPr>
    </w:p>
    <w:p w14:paraId="5EE3DBFC" w14:textId="77777777" w:rsidR="005230CC" w:rsidRPr="005230CC" w:rsidRDefault="005230CC" w:rsidP="005230CC">
      <w:pPr>
        <w:ind w:right="849"/>
        <w:jc w:val="both"/>
        <w:rPr>
          <w:rFonts w:eastAsiaTheme="minorHAnsi"/>
          <w:b/>
          <w:sz w:val="20"/>
          <w:szCs w:val="20"/>
          <w:lang w:val="en-GB" w:eastAsia="en-US"/>
        </w:rPr>
      </w:pPr>
    </w:p>
    <w:p w14:paraId="5EE3DBFD" w14:textId="7111D854" w:rsidR="005230CC" w:rsidRPr="005230CC" w:rsidRDefault="005230CC" w:rsidP="005230CC">
      <w:pPr>
        <w:ind w:right="849"/>
        <w:jc w:val="both"/>
        <w:rPr>
          <w:rFonts w:eastAsiaTheme="minorHAnsi"/>
          <w:b/>
          <w:lang w:val="en-GB" w:eastAsia="en-US"/>
        </w:rPr>
      </w:pPr>
      <w:r w:rsidRPr="000179D6">
        <w:rPr>
          <w:rFonts w:eastAsiaTheme="minorHAnsi"/>
          <w:b/>
          <w:lang w:val="en-GB" w:eastAsia="en-US"/>
        </w:rPr>
        <w:t xml:space="preserve">Figure </w:t>
      </w:r>
      <w:r w:rsidR="00CF7FA3" w:rsidRPr="000179D6">
        <w:rPr>
          <w:rFonts w:eastAsiaTheme="minorHAnsi"/>
          <w:b/>
          <w:lang w:val="en-GB" w:eastAsia="en-US"/>
        </w:rPr>
        <w:t>3</w:t>
      </w:r>
      <w:r w:rsidRPr="000179D6">
        <w:rPr>
          <w:rFonts w:eastAsiaTheme="minorHAnsi"/>
          <w:b/>
          <w:lang w:val="en-GB" w:eastAsia="en-US"/>
        </w:rPr>
        <w:t>:</w:t>
      </w:r>
      <w:r w:rsidRPr="005230CC">
        <w:rPr>
          <w:rFonts w:eastAsiaTheme="minorHAnsi"/>
          <w:b/>
          <w:lang w:val="en-GB" w:eastAsia="en-US"/>
        </w:rPr>
        <w:t xml:space="preserve"> Interaction effect between EO and normative distance </w:t>
      </w:r>
    </w:p>
    <w:p w14:paraId="5EE3DBFE" w14:textId="77777777" w:rsidR="005230CC" w:rsidRPr="005230CC" w:rsidRDefault="005230CC" w:rsidP="005230CC">
      <w:pPr>
        <w:ind w:right="849"/>
        <w:jc w:val="both"/>
        <w:rPr>
          <w:rFonts w:eastAsiaTheme="minorHAnsi"/>
          <w:b/>
          <w:lang w:val="en-GB" w:eastAsia="en-US"/>
        </w:rPr>
      </w:pPr>
    </w:p>
    <w:p w14:paraId="5EE3DBFF" w14:textId="77777777" w:rsidR="005230CC" w:rsidRPr="005230CC" w:rsidRDefault="005230CC" w:rsidP="005230CC">
      <w:pPr>
        <w:ind w:right="849"/>
        <w:jc w:val="both"/>
        <w:rPr>
          <w:rFonts w:eastAsiaTheme="minorHAnsi"/>
          <w:b/>
          <w:lang w:val="en-GB" w:eastAsia="en-US"/>
        </w:rPr>
      </w:pPr>
      <w:r w:rsidRPr="005230CC">
        <w:rPr>
          <w:rFonts w:eastAsiaTheme="minorHAnsi"/>
          <w:b/>
          <w:noProof/>
          <w:lang w:val="en-GB" w:eastAsia="en-GB"/>
        </w:rPr>
        <w:drawing>
          <wp:inline distT="0" distB="0" distL="0" distR="0" wp14:anchorId="5EE3DC04" wp14:editId="5EE3DC05">
            <wp:extent cx="4978977" cy="3442115"/>
            <wp:effectExtent l="19050" t="0" r="0" b="0"/>
            <wp:docPr id="4"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1043" t="13266" r="61051" b="40002"/>
                    <a:stretch>
                      <a:fillRect/>
                    </a:stretch>
                  </pic:blipFill>
                  <pic:spPr bwMode="auto">
                    <a:xfrm>
                      <a:off x="0" y="0"/>
                      <a:ext cx="4979843" cy="3442713"/>
                    </a:xfrm>
                    <a:prstGeom prst="rect">
                      <a:avLst/>
                    </a:prstGeom>
                    <a:noFill/>
                    <a:ln w="9525">
                      <a:noFill/>
                      <a:miter lim="800000"/>
                      <a:headEnd/>
                      <a:tailEnd/>
                    </a:ln>
                  </pic:spPr>
                </pic:pic>
              </a:graphicData>
            </a:graphic>
          </wp:inline>
        </w:drawing>
      </w:r>
    </w:p>
    <w:p w14:paraId="5EE3DC00" w14:textId="77777777" w:rsidR="005230CC" w:rsidRPr="005230CC" w:rsidRDefault="005230CC" w:rsidP="005230CC">
      <w:pPr>
        <w:ind w:left="851" w:right="849"/>
        <w:jc w:val="both"/>
        <w:rPr>
          <w:rFonts w:ascii="Arial" w:eastAsiaTheme="minorHAnsi" w:hAnsi="Arial" w:cs="Arial"/>
          <w:b/>
          <w:lang w:val="en-GB" w:eastAsia="en-US"/>
        </w:rPr>
      </w:pPr>
    </w:p>
    <w:p w14:paraId="5EE3DC01" w14:textId="77777777" w:rsidR="005230CC" w:rsidRPr="00EA7D9E" w:rsidRDefault="005230CC" w:rsidP="00531D90"/>
    <w:sectPr w:rsidR="005230CC" w:rsidRPr="00EA7D9E" w:rsidSect="00F345D0">
      <w:pgSz w:w="12240" w:h="15840" w:code="1"/>
      <w:pgMar w:top="993" w:right="993"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8C94" w14:textId="77777777" w:rsidR="00F13D50" w:rsidRDefault="00F13D50" w:rsidP="009F057F">
      <w:r>
        <w:separator/>
      </w:r>
    </w:p>
  </w:endnote>
  <w:endnote w:type="continuationSeparator" w:id="0">
    <w:p w14:paraId="5395AF78" w14:textId="77777777" w:rsidR="00F13D50" w:rsidRDefault="00F13D50" w:rsidP="009F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C0B" w14:textId="3A0C9F57" w:rsidR="00F67E12" w:rsidRDefault="00F67E12">
    <w:pPr>
      <w:pStyle w:val="Footer"/>
      <w:jc w:val="center"/>
    </w:pPr>
    <w:r>
      <w:fldChar w:fldCharType="begin"/>
    </w:r>
    <w:r>
      <w:instrText xml:space="preserve"> PAGE   \* MERGEFORMAT </w:instrText>
    </w:r>
    <w:r>
      <w:fldChar w:fldCharType="separate"/>
    </w:r>
    <w:r w:rsidR="005B65CF">
      <w:rPr>
        <w:noProof/>
      </w:rPr>
      <w:t>55</w:t>
    </w:r>
    <w:r>
      <w:rPr>
        <w:noProof/>
      </w:rPr>
      <w:fldChar w:fldCharType="end"/>
    </w:r>
  </w:p>
  <w:p w14:paraId="5EE3DC0C" w14:textId="77777777" w:rsidR="00F67E12" w:rsidRDefault="00F67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02F4" w14:textId="77777777" w:rsidR="00F13D50" w:rsidRDefault="00F13D50" w:rsidP="009F057F">
      <w:r>
        <w:separator/>
      </w:r>
    </w:p>
  </w:footnote>
  <w:footnote w:type="continuationSeparator" w:id="0">
    <w:p w14:paraId="183F5BCA" w14:textId="77777777" w:rsidR="00F13D50" w:rsidRDefault="00F13D50" w:rsidP="009F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C0A" w14:textId="77777777" w:rsidR="00F67E12" w:rsidRDefault="00F67E12" w:rsidP="009F057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15F4"/>
    <w:multiLevelType w:val="multilevel"/>
    <w:tmpl w:val="C560AB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82145AC"/>
    <w:multiLevelType w:val="hybridMultilevel"/>
    <w:tmpl w:val="DB70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it-IT" w:vendorID="64" w:dllVersion="6" w:nlCheck="1" w:checkStyle="0"/>
  <w:activeWritingStyle w:appName="MSWord" w:lang="en-US" w:vendorID="64" w:dllVersion="6" w:nlCheck="1" w:checkStyle="1"/>
  <w:activeWritingStyle w:appName="MSWord" w:lang="fr-MC" w:vendorID="64" w:dllVersion="6" w:nlCheck="1" w:checkStyle="0"/>
  <w:activeWritingStyle w:appName="MSWord" w:lang="en-GB" w:vendorID="64" w:dllVersion="6" w:nlCheck="1" w:checkStyle="1"/>
  <w:activeWritingStyle w:appName="MSWord" w:lang="fr-MC"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proofState w:spelling="clean"/>
  <w:defaultTabStop w:val="720"/>
  <w:hyphenationZone w:val="283"/>
  <w:doNotHyphenateCaps/>
  <w:drawingGridHorizontalSpacing w:val="120"/>
  <w:displayHorizontalDrawingGridEvery w:val="2"/>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96"/>
    <w:rsid w:val="00000C46"/>
    <w:rsid w:val="00001A41"/>
    <w:rsid w:val="00001FA1"/>
    <w:rsid w:val="00001FC5"/>
    <w:rsid w:val="00002899"/>
    <w:rsid w:val="00002963"/>
    <w:rsid w:val="00002B4A"/>
    <w:rsid w:val="00002D52"/>
    <w:rsid w:val="00004BAD"/>
    <w:rsid w:val="0000617B"/>
    <w:rsid w:val="000071B1"/>
    <w:rsid w:val="00007214"/>
    <w:rsid w:val="00007432"/>
    <w:rsid w:val="000114D4"/>
    <w:rsid w:val="00011673"/>
    <w:rsid w:val="00011783"/>
    <w:rsid w:val="00011CC2"/>
    <w:rsid w:val="00012E83"/>
    <w:rsid w:val="0001360C"/>
    <w:rsid w:val="00014160"/>
    <w:rsid w:val="000142DD"/>
    <w:rsid w:val="00014352"/>
    <w:rsid w:val="00014950"/>
    <w:rsid w:val="00015EA7"/>
    <w:rsid w:val="00016591"/>
    <w:rsid w:val="000168F9"/>
    <w:rsid w:val="000171AC"/>
    <w:rsid w:val="00017272"/>
    <w:rsid w:val="000179D6"/>
    <w:rsid w:val="00017BA8"/>
    <w:rsid w:val="00017DD1"/>
    <w:rsid w:val="00020B99"/>
    <w:rsid w:val="00020FC3"/>
    <w:rsid w:val="00021347"/>
    <w:rsid w:val="000213D8"/>
    <w:rsid w:val="00022E09"/>
    <w:rsid w:val="00022FC8"/>
    <w:rsid w:val="000232D5"/>
    <w:rsid w:val="000234AC"/>
    <w:rsid w:val="00023961"/>
    <w:rsid w:val="00026442"/>
    <w:rsid w:val="00026763"/>
    <w:rsid w:val="00030F5C"/>
    <w:rsid w:val="00031162"/>
    <w:rsid w:val="00031208"/>
    <w:rsid w:val="00032813"/>
    <w:rsid w:val="00032E27"/>
    <w:rsid w:val="0003335F"/>
    <w:rsid w:val="00033A74"/>
    <w:rsid w:val="0003591E"/>
    <w:rsid w:val="00035B09"/>
    <w:rsid w:val="00036AA0"/>
    <w:rsid w:val="000371F9"/>
    <w:rsid w:val="00037A8E"/>
    <w:rsid w:val="000400F3"/>
    <w:rsid w:val="00040241"/>
    <w:rsid w:val="00042E3B"/>
    <w:rsid w:val="00042F60"/>
    <w:rsid w:val="00043983"/>
    <w:rsid w:val="00043AFD"/>
    <w:rsid w:val="000443CE"/>
    <w:rsid w:val="000449AE"/>
    <w:rsid w:val="00045541"/>
    <w:rsid w:val="00046313"/>
    <w:rsid w:val="0005259E"/>
    <w:rsid w:val="00052CFF"/>
    <w:rsid w:val="00052D78"/>
    <w:rsid w:val="00053C6B"/>
    <w:rsid w:val="00054285"/>
    <w:rsid w:val="00055321"/>
    <w:rsid w:val="00056189"/>
    <w:rsid w:val="00056DF5"/>
    <w:rsid w:val="000578CD"/>
    <w:rsid w:val="000601ED"/>
    <w:rsid w:val="000607D2"/>
    <w:rsid w:val="000609C4"/>
    <w:rsid w:val="00060C93"/>
    <w:rsid w:val="00061070"/>
    <w:rsid w:val="00061127"/>
    <w:rsid w:val="00061275"/>
    <w:rsid w:val="00061B7D"/>
    <w:rsid w:val="00063F09"/>
    <w:rsid w:val="000642BB"/>
    <w:rsid w:val="000647E2"/>
    <w:rsid w:val="000648C6"/>
    <w:rsid w:val="000661EF"/>
    <w:rsid w:val="000662F6"/>
    <w:rsid w:val="00066323"/>
    <w:rsid w:val="000666E0"/>
    <w:rsid w:val="0006795F"/>
    <w:rsid w:val="00067A72"/>
    <w:rsid w:val="00070062"/>
    <w:rsid w:val="000701FD"/>
    <w:rsid w:val="00070776"/>
    <w:rsid w:val="000711BD"/>
    <w:rsid w:val="00072A25"/>
    <w:rsid w:val="00073570"/>
    <w:rsid w:val="000736DB"/>
    <w:rsid w:val="00073D04"/>
    <w:rsid w:val="000744B6"/>
    <w:rsid w:val="00074D52"/>
    <w:rsid w:val="00076D2D"/>
    <w:rsid w:val="0007784D"/>
    <w:rsid w:val="00077C0B"/>
    <w:rsid w:val="00077CC5"/>
    <w:rsid w:val="00080551"/>
    <w:rsid w:val="00081031"/>
    <w:rsid w:val="00081072"/>
    <w:rsid w:val="0008207C"/>
    <w:rsid w:val="00082B49"/>
    <w:rsid w:val="00082B78"/>
    <w:rsid w:val="0008329B"/>
    <w:rsid w:val="000837EF"/>
    <w:rsid w:val="00084C44"/>
    <w:rsid w:val="00084CB8"/>
    <w:rsid w:val="000852C7"/>
    <w:rsid w:val="00086235"/>
    <w:rsid w:val="00086BC2"/>
    <w:rsid w:val="00086F92"/>
    <w:rsid w:val="0009068E"/>
    <w:rsid w:val="00090A2D"/>
    <w:rsid w:val="00090FEC"/>
    <w:rsid w:val="00092632"/>
    <w:rsid w:val="00094D32"/>
    <w:rsid w:val="00095F3C"/>
    <w:rsid w:val="00096506"/>
    <w:rsid w:val="0009668F"/>
    <w:rsid w:val="00096A64"/>
    <w:rsid w:val="00096CC7"/>
    <w:rsid w:val="000A14B7"/>
    <w:rsid w:val="000A1A71"/>
    <w:rsid w:val="000A1DCD"/>
    <w:rsid w:val="000A2172"/>
    <w:rsid w:val="000A338C"/>
    <w:rsid w:val="000A3BF5"/>
    <w:rsid w:val="000A3DFC"/>
    <w:rsid w:val="000A412E"/>
    <w:rsid w:val="000A4B76"/>
    <w:rsid w:val="000A67A7"/>
    <w:rsid w:val="000B03A5"/>
    <w:rsid w:val="000B086F"/>
    <w:rsid w:val="000B09FB"/>
    <w:rsid w:val="000B1511"/>
    <w:rsid w:val="000B1E3F"/>
    <w:rsid w:val="000B28B1"/>
    <w:rsid w:val="000B39FB"/>
    <w:rsid w:val="000B3A2F"/>
    <w:rsid w:val="000B5231"/>
    <w:rsid w:val="000B5A32"/>
    <w:rsid w:val="000B6FE0"/>
    <w:rsid w:val="000C018E"/>
    <w:rsid w:val="000C035F"/>
    <w:rsid w:val="000C1397"/>
    <w:rsid w:val="000C1B67"/>
    <w:rsid w:val="000C45C2"/>
    <w:rsid w:val="000C491B"/>
    <w:rsid w:val="000C4F81"/>
    <w:rsid w:val="000C505B"/>
    <w:rsid w:val="000C54F9"/>
    <w:rsid w:val="000C56A3"/>
    <w:rsid w:val="000C65D6"/>
    <w:rsid w:val="000C65ED"/>
    <w:rsid w:val="000C6F3F"/>
    <w:rsid w:val="000C70FB"/>
    <w:rsid w:val="000C746C"/>
    <w:rsid w:val="000D0DA1"/>
    <w:rsid w:val="000D14C4"/>
    <w:rsid w:val="000D193B"/>
    <w:rsid w:val="000D23B2"/>
    <w:rsid w:val="000D2642"/>
    <w:rsid w:val="000D3187"/>
    <w:rsid w:val="000D3486"/>
    <w:rsid w:val="000D3C78"/>
    <w:rsid w:val="000D3D03"/>
    <w:rsid w:val="000D5E35"/>
    <w:rsid w:val="000D7122"/>
    <w:rsid w:val="000D7232"/>
    <w:rsid w:val="000D72D9"/>
    <w:rsid w:val="000D7593"/>
    <w:rsid w:val="000D7793"/>
    <w:rsid w:val="000D7E18"/>
    <w:rsid w:val="000D7E54"/>
    <w:rsid w:val="000E259C"/>
    <w:rsid w:val="000E2B0F"/>
    <w:rsid w:val="000E3C47"/>
    <w:rsid w:val="000E48EF"/>
    <w:rsid w:val="000E4998"/>
    <w:rsid w:val="000E4B00"/>
    <w:rsid w:val="000E5F7C"/>
    <w:rsid w:val="000E5FC8"/>
    <w:rsid w:val="000E6F58"/>
    <w:rsid w:val="000E6F7A"/>
    <w:rsid w:val="000F149F"/>
    <w:rsid w:val="000F1544"/>
    <w:rsid w:val="000F2293"/>
    <w:rsid w:val="000F22C7"/>
    <w:rsid w:val="000F4180"/>
    <w:rsid w:val="000F4BFC"/>
    <w:rsid w:val="000F50E6"/>
    <w:rsid w:val="000F53CE"/>
    <w:rsid w:val="000F5FCF"/>
    <w:rsid w:val="000F603B"/>
    <w:rsid w:val="000F772C"/>
    <w:rsid w:val="000F78C6"/>
    <w:rsid w:val="001003AA"/>
    <w:rsid w:val="001005BD"/>
    <w:rsid w:val="0010064F"/>
    <w:rsid w:val="00100681"/>
    <w:rsid w:val="00101030"/>
    <w:rsid w:val="00103192"/>
    <w:rsid w:val="001031EC"/>
    <w:rsid w:val="00104166"/>
    <w:rsid w:val="0010472F"/>
    <w:rsid w:val="0010490B"/>
    <w:rsid w:val="00105832"/>
    <w:rsid w:val="00105B89"/>
    <w:rsid w:val="00106532"/>
    <w:rsid w:val="00106A82"/>
    <w:rsid w:val="00106E40"/>
    <w:rsid w:val="00106E59"/>
    <w:rsid w:val="0011023C"/>
    <w:rsid w:val="0011029E"/>
    <w:rsid w:val="001105BB"/>
    <w:rsid w:val="00110DE6"/>
    <w:rsid w:val="0011227E"/>
    <w:rsid w:val="00112AEC"/>
    <w:rsid w:val="001145F5"/>
    <w:rsid w:val="0011509D"/>
    <w:rsid w:val="00116E0B"/>
    <w:rsid w:val="00117C0B"/>
    <w:rsid w:val="00117D10"/>
    <w:rsid w:val="00120FD2"/>
    <w:rsid w:val="00121D46"/>
    <w:rsid w:val="0012235C"/>
    <w:rsid w:val="001224DB"/>
    <w:rsid w:val="00122536"/>
    <w:rsid w:val="001229D9"/>
    <w:rsid w:val="00123C9E"/>
    <w:rsid w:val="0012532F"/>
    <w:rsid w:val="001255D7"/>
    <w:rsid w:val="00125D8A"/>
    <w:rsid w:val="001265F1"/>
    <w:rsid w:val="00126645"/>
    <w:rsid w:val="00127BF3"/>
    <w:rsid w:val="00130F93"/>
    <w:rsid w:val="001313DC"/>
    <w:rsid w:val="001316CE"/>
    <w:rsid w:val="001320F1"/>
    <w:rsid w:val="00132585"/>
    <w:rsid w:val="00132DAC"/>
    <w:rsid w:val="00133BDF"/>
    <w:rsid w:val="00134CE8"/>
    <w:rsid w:val="001355BD"/>
    <w:rsid w:val="00135C69"/>
    <w:rsid w:val="001366C6"/>
    <w:rsid w:val="00136DF7"/>
    <w:rsid w:val="001378CB"/>
    <w:rsid w:val="001429C1"/>
    <w:rsid w:val="001438D6"/>
    <w:rsid w:val="001442A3"/>
    <w:rsid w:val="00144AED"/>
    <w:rsid w:val="0014504F"/>
    <w:rsid w:val="001456FE"/>
    <w:rsid w:val="00145790"/>
    <w:rsid w:val="00145F6C"/>
    <w:rsid w:val="00146A7D"/>
    <w:rsid w:val="00147169"/>
    <w:rsid w:val="00147F26"/>
    <w:rsid w:val="00152017"/>
    <w:rsid w:val="00152388"/>
    <w:rsid w:val="001528C7"/>
    <w:rsid w:val="00153D63"/>
    <w:rsid w:val="00154329"/>
    <w:rsid w:val="0015517A"/>
    <w:rsid w:val="00155DFA"/>
    <w:rsid w:val="00155F38"/>
    <w:rsid w:val="00157ADD"/>
    <w:rsid w:val="00164515"/>
    <w:rsid w:val="001656A8"/>
    <w:rsid w:val="0016573B"/>
    <w:rsid w:val="00165C1F"/>
    <w:rsid w:val="00166D77"/>
    <w:rsid w:val="0016703F"/>
    <w:rsid w:val="00167475"/>
    <w:rsid w:val="00167821"/>
    <w:rsid w:val="0016783B"/>
    <w:rsid w:val="001724EB"/>
    <w:rsid w:val="00173229"/>
    <w:rsid w:val="00173375"/>
    <w:rsid w:val="001752A7"/>
    <w:rsid w:val="0017567B"/>
    <w:rsid w:val="0017612B"/>
    <w:rsid w:val="001763CB"/>
    <w:rsid w:val="0018026B"/>
    <w:rsid w:val="0018107D"/>
    <w:rsid w:val="00181413"/>
    <w:rsid w:val="001814C2"/>
    <w:rsid w:val="00181964"/>
    <w:rsid w:val="00183D51"/>
    <w:rsid w:val="001842C0"/>
    <w:rsid w:val="00184595"/>
    <w:rsid w:val="00184ECE"/>
    <w:rsid w:val="00185994"/>
    <w:rsid w:val="001860B2"/>
    <w:rsid w:val="00186DCD"/>
    <w:rsid w:val="0018714B"/>
    <w:rsid w:val="001871B0"/>
    <w:rsid w:val="00190868"/>
    <w:rsid w:val="00190B4E"/>
    <w:rsid w:val="001911CA"/>
    <w:rsid w:val="00191C02"/>
    <w:rsid w:val="0019369F"/>
    <w:rsid w:val="00193AAE"/>
    <w:rsid w:val="00196956"/>
    <w:rsid w:val="001A0C15"/>
    <w:rsid w:val="001A0C58"/>
    <w:rsid w:val="001A19EB"/>
    <w:rsid w:val="001A2710"/>
    <w:rsid w:val="001A3C52"/>
    <w:rsid w:val="001A41F1"/>
    <w:rsid w:val="001A4293"/>
    <w:rsid w:val="001A4E64"/>
    <w:rsid w:val="001A4FC9"/>
    <w:rsid w:val="001A5353"/>
    <w:rsid w:val="001A7935"/>
    <w:rsid w:val="001B01F0"/>
    <w:rsid w:val="001B061E"/>
    <w:rsid w:val="001B0F9C"/>
    <w:rsid w:val="001B1201"/>
    <w:rsid w:val="001B1D0A"/>
    <w:rsid w:val="001B1E9F"/>
    <w:rsid w:val="001B2BE0"/>
    <w:rsid w:val="001B31D8"/>
    <w:rsid w:val="001B34A5"/>
    <w:rsid w:val="001B37F4"/>
    <w:rsid w:val="001B4002"/>
    <w:rsid w:val="001B4209"/>
    <w:rsid w:val="001B4C6F"/>
    <w:rsid w:val="001B57B9"/>
    <w:rsid w:val="001B57EE"/>
    <w:rsid w:val="001B5B33"/>
    <w:rsid w:val="001B6354"/>
    <w:rsid w:val="001B664C"/>
    <w:rsid w:val="001B6AC6"/>
    <w:rsid w:val="001B7F26"/>
    <w:rsid w:val="001C0183"/>
    <w:rsid w:val="001C0807"/>
    <w:rsid w:val="001C13F1"/>
    <w:rsid w:val="001C31D6"/>
    <w:rsid w:val="001C5354"/>
    <w:rsid w:val="001C57A7"/>
    <w:rsid w:val="001C7832"/>
    <w:rsid w:val="001D02C6"/>
    <w:rsid w:val="001D073D"/>
    <w:rsid w:val="001D1779"/>
    <w:rsid w:val="001D3C04"/>
    <w:rsid w:val="001D3D47"/>
    <w:rsid w:val="001D417E"/>
    <w:rsid w:val="001D50BF"/>
    <w:rsid w:val="001D5CFE"/>
    <w:rsid w:val="001D6484"/>
    <w:rsid w:val="001D6B07"/>
    <w:rsid w:val="001D71AD"/>
    <w:rsid w:val="001D7CDD"/>
    <w:rsid w:val="001E0D36"/>
    <w:rsid w:val="001E0F3B"/>
    <w:rsid w:val="001E1639"/>
    <w:rsid w:val="001E2F86"/>
    <w:rsid w:val="001E62CB"/>
    <w:rsid w:val="001E65A7"/>
    <w:rsid w:val="001E6CBF"/>
    <w:rsid w:val="001E7103"/>
    <w:rsid w:val="001E71BE"/>
    <w:rsid w:val="001F0F1E"/>
    <w:rsid w:val="001F1403"/>
    <w:rsid w:val="001F163F"/>
    <w:rsid w:val="001F16E9"/>
    <w:rsid w:val="001F201C"/>
    <w:rsid w:val="001F241B"/>
    <w:rsid w:val="001F2B2D"/>
    <w:rsid w:val="001F2FFA"/>
    <w:rsid w:val="001F43E1"/>
    <w:rsid w:val="001F513C"/>
    <w:rsid w:val="001F5382"/>
    <w:rsid w:val="001F5788"/>
    <w:rsid w:val="001F5DE0"/>
    <w:rsid w:val="001F6146"/>
    <w:rsid w:val="001F68D9"/>
    <w:rsid w:val="001F6CBF"/>
    <w:rsid w:val="001F772F"/>
    <w:rsid w:val="001F7DAE"/>
    <w:rsid w:val="0020023E"/>
    <w:rsid w:val="0020083F"/>
    <w:rsid w:val="00201678"/>
    <w:rsid w:val="002022A1"/>
    <w:rsid w:val="00202AB1"/>
    <w:rsid w:val="0020400D"/>
    <w:rsid w:val="002046A8"/>
    <w:rsid w:val="00205362"/>
    <w:rsid w:val="00205C3D"/>
    <w:rsid w:val="002060D2"/>
    <w:rsid w:val="00206CEA"/>
    <w:rsid w:val="00207D03"/>
    <w:rsid w:val="00207EDF"/>
    <w:rsid w:val="002104B6"/>
    <w:rsid w:val="002108B8"/>
    <w:rsid w:val="002111FF"/>
    <w:rsid w:val="00211DAC"/>
    <w:rsid w:val="002132E1"/>
    <w:rsid w:val="00214357"/>
    <w:rsid w:val="00214F2A"/>
    <w:rsid w:val="0021569A"/>
    <w:rsid w:val="00215DA3"/>
    <w:rsid w:val="00216281"/>
    <w:rsid w:val="00216F9C"/>
    <w:rsid w:val="00217DDF"/>
    <w:rsid w:val="00221098"/>
    <w:rsid w:val="00222DC9"/>
    <w:rsid w:val="002235AF"/>
    <w:rsid w:val="00223C1C"/>
    <w:rsid w:val="00223F96"/>
    <w:rsid w:val="00223FFF"/>
    <w:rsid w:val="002243D6"/>
    <w:rsid w:val="002245C3"/>
    <w:rsid w:val="00224A19"/>
    <w:rsid w:val="00224E6E"/>
    <w:rsid w:val="00230427"/>
    <w:rsid w:val="0023048D"/>
    <w:rsid w:val="00230BE7"/>
    <w:rsid w:val="002311EC"/>
    <w:rsid w:val="002312C5"/>
    <w:rsid w:val="0023264B"/>
    <w:rsid w:val="0023334D"/>
    <w:rsid w:val="00233789"/>
    <w:rsid w:val="00233CFF"/>
    <w:rsid w:val="00235520"/>
    <w:rsid w:val="0023679E"/>
    <w:rsid w:val="00236F42"/>
    <w:rsid w:val="0023773C"/>
    <w:rsid w:val="002401B9"/>
    <w:rsid w:val="00240325"/>
    <w:rsid w:val="002403BA"/>
    <w:rsid w:val="002403EE"/>
    <w:rsid w:val="0024079E"/>
    <w:rsid w:val="0024136D"/>
    <w:rsid w:val="002425EE"/>
    <w:rsid w:val="0024268F"/>
    <w:rsid w:val="0024340C"/>
    <w:rsid w:val="00244514"/>
    <w:rsid w:val="002459A8"/>
    <w:rsid w:val="0024672A"/>
    <w:rsid w:val="0024681B"/>
    <w:rsid w:val="00246861"/>
    <w:rsid w:val="0024782A"/>
    <w:rsid w:val="00250E89"/>
    <w:rsid w:val="00251827"/>
    <w:rsid w:val="00251A9C"/>
    <w:rsid w:val="00252378"/>
    <w:rsid w:val="00254406"/>
    <w:rsid w:val="002549B1"/>
    <w:rsid w:val="00254E4A"/>
    <w:rsid w:val="00255338"/>
    <w:rsid w:val="0025623C"/>
    <w:rsid w:val="0025689D"/>
    <w:rsid w:val="00256977"/>
    <w:rsid w:val="00260EA8"/>
    <w:rsid w:val="0026149D"/>
    <w:rsid w:val="00263DA3"/>
    <w:rsid w:val="00264511"/>
    <w:rsid w:val="0026497F"/>
    <w:rsid w:val="00264B9F"/>
    <w:rsid w:val="002671A0"/>
    <w:rsid w:val="00267DBB"/>
    <w:rsid w:val="002709AA"/>
    <w:rsid w:val="00270DB9"/>
    <w:rsid w:val="0027170C"/>
    <w:rsid w:val="002720CA"/>
    <w:rsid w:val="002726C4"/>
    <w:rsid w:val="00273ED1"/>
    <w:rsid w:val="0027458B"/>
    <w:rsid w:val="00275480"/>
    <w:rsid w:val="00275D02"/>
    <w:rsid w:val="00275E63"/>
    <w:rsid w:val="002770E1"/>
    <w:rsid w:val="00281828"/>
    <w:rsid w:val="00281913"/>
    <w:rsid w:val="00281B01"/>
    <w:rsid w:val="00281BB6"/>
    <w:rsid w:val="00281E81"/>
    <w:rsid w:val="002835CA"/>
    <w:rsid w:val="002844F1"/>
    <w:rsid w:val="00284CF6"/>
    <w:rsid w:val="0028500E"/>
    <w:rsid w:val="0028619C"/>
    <w:rsid w:val="00286DA2"/>
    <w:rsid w:val="002907D6"/>
    <w:rsid w:val="002916D9"/>
    <w:rsid w:val="002917DD"/>
    <w:rsid w:val="0029354D"/>
    <w:rsid w:val="002937E1"/>
    <w:rsid w:val="00293EEF"/>
    <w:rsid w:val="002948BB"/>
    <w:rsid w:val="00295F10"/>
    <w:rsid w:val="0029610B"/>
    <w:rsid w:val="00296586"/>
    <w:rsid w:val="002A0DF2"/>
    <w:rsid w:val="002A10D2"/>
    <w:rsid w:val="002A3761"/>
    <w:rsid w:val="002A4C52"/>
    <w:rsid w:val="002A5136"/>
    <w:rsid w:val="002A5A1C"/>
    <w:rsid w:val="002A63F9"/>
    <w:rsid w:val="002A74AD"/>
    <w:rsid w:val="002B07F8"/>
    <w:rsid w:val="002B0E54"/>
    <w:rsid w:val="002B2623"/>
    <w:rsid w:val="002B2892"/>
    <w:rsid w:val="002B2C6E"/>
    <w:rsid w:val="002B3074"/>
    <w:rsid w:val="002B3575"/>
    <w:rsid w:val="002B3BE5"/>
    <w:rsid w:val="002B414F"/>
    <w:rsid w:val="002B5CAC"/>
    <w:rsid w:val="002B678B"/>
    <w:rsid w:val="002B6A84"/>
    <w:rsid w:val="002C2DB2"/>
    <w:rsid w:val="002C359D"/>
    <w:rsid w:val="002C6681"/>
    <w:rsid w:val="002C70D0"/>
    <w:rsid w:val="002C7B82"/>
    <w:rsid w:val="002D05B1"/>
    <w:rsid w:val="002D135F"/>
    <w:rsid w:val="002D189F"/>
    <w:rsid w:val="002D1A9A"/>
    <w:rsid w:val="002D1D0A"/>
    <w:rsid w:val="002D2724"/>
    <w:rsid w:val="002D3487"/>
    <w:rsid w:val="002D550B"/>
    <w:rsid w:val="002D55C6"/>
    <w:rsid w:val="002D614B"/>
    <w:rsid w:val="002D74C3"/>
    <w:rsid w:val="002D7652"/>
    <w:rsid w:val="002D79A9"/>
    <w:rsid w:val="002E01EC"/>
    <w:rsid w:val="002E1100"/>
    <w:rsid w:val="002E16E2"/>
    <w:rsid w:val="002E17D2"/>
    <w:rsid w:val="002E1F5D"/>
    <w:rsid w:val="002E2988"/>
    <w:rsid w:val="002E3F5C"/>
    <w:rsid w:val="002E4DF0"/>
    <w:rsid w:val="002E783F"/>
    <w:rsid w:val="002F1263"/>
    <w:rsid w:val="002F2731"/>
    <w:rsid w:val="002F2D55"/>
    <w:rsid w:val="002F3EF1"/>
    <w:rsid w:val="002F4451"/>
    <w:rsid w:val="002F46F7"/>
    <w:rsid w:val="002F4CC8"/>
    <w:rsid w:val="002F4EC3"/>
    <w:rsid w:val="002F55B4"/>
    <w:rsid w:val="002F5AA9"/>
    <w:rsid w:val="002F5F11"/>
    <w:rsid w:val="002F63CD"/>
    <w:rsid w:val="002F67BE"/>
    <w:rsid w:val="002F6FC7"/>
    <w:rsid w:val="002F72FA"/>
    <w:rsid w:val="00300382"/>
    <w:rsid w:val="0030063B"/>
    <w:rsid w:val="003008D4"/>
    <w:rsid w:val="00300B73"/>
    <w:rsid w:val="0030111A"/>
    <w:rsid w:val="00301881"/>
    <w:rsid w:val="003019C4"/>
    <w:rsid w:val="0030222B"/>
    <w:rsid w:val="003022BB"/>
    <w:rsid w:val="00304A7D"/>
    <w:rsid w:val="003058CE"/>
    <w:rsid w:val="00305BD7"/>
    <w:rsid w:val="00305D39"/>
    <w:rsid w:val="0030791D"/>
    <w:rsid w:val="0031068A"/>
    <w:rsid w:val="00310AF5"/>
    <w:rsid w:val="00311416"/>
    <w:rsid w:val="00312E22"/>
    <w:rsid w:val="00313B22"/>
    <w:rsid w:val="00314210"/>
    <w:rsid w:val="00314564"/>
    <w:rsid w:val="0031580A"/>
    <w:rsid w:val="00315DFD"/>
    <w:rsid w:val="0031622F"/>
    <w:rsid w:val="00316FB9"/>
    <w:rsid w:val="003172AE"/>
    <w:rsid w:val="00317456"/>
    <w:rsid w:val="0031756D"/>
    <w:rsid w:val="003176D9"/>
    <w:rsid w:val="003179F0"/>
    <w:rsid w:val="00320251"/>
    <w:rsid w:val="003208D3"/>
    <w:rsid w:val="00321311"/>
    <w:rsid w:val="003215B5"/>
    <w:rsid w:val="00323136"/>
    <w:rsid w:val="00323304"/>
    <w:rsid w:val="00323467"/>
    <w:rsid w:val="00323957"/>
    <w:rsid w:val="003239D7"/>
    <w:rsid w:val="00323C49"/>
    <w:rsid w:val="00323D2C"/>
    <w:rsid w:val="00324809"/>
    <w:rsid w:val="00325194"/>
    <w:rsid w:val="0032544C"/>
    <w:rsid w:val="00325889"/>
    <w:rsid w:val="00325ED5"/>
    <w:rsid w:val="003269E6"/>
    <w:rsid w:val="00327425"/>
    <w:rsid w:val="003277E9"/>
    <w:rsid w:val="0032786A"/>
    <w:rsid w:val="00327A45"/>
    <w:rsid w:val="00327CC0"/>
    <w:rsid w:val="00330F7F"/>
    <w:rsid w:val="0033146B"/>
    <w:rsid w:val="003321B2"/>
    <w:rsid w:val="00334154"/>
    <w:rsid w:val="003342B5"/>
    <w:rsid w:val="00334E57"/>
    <w:rsid w:val="00335891"/>
    <w:rsid w:val="003360E9"/>
    <w:rsid w:val="003368C9"/>
    <w:rsid w:val="00336F7C"/>
    <w:rsid w:val="00337105"/>
    <w:rsid w:val="003375B5"/>
    <w:rsid w:val="003375F1"/>
    <w:rsid w:val="00337A11"/>
    <w:rsid w:val="003400D8"/>
    <w:rsid w:val="003408F0"/>
    <w:rsid w:val="00342351"/>
    <w:rsid w:val="0034250C"/>
    <w:rsid w:val="00343FCE"/>
    <w:rsid w:val="00347671"/>
    <w:rsid w:val="00351097"/>
    <w:rsid w:val="00351807"/>
    <w:rsid w:val="003539CA"/>
    <w:rsid w:val="00356A7D"/>
    <w:rsid w:val="003573D1"/>
    <w:rsid w:val="00357514"/>
    <w:rsid w:val="0036017A"/>
    <w:rsid w:val="00360392"/>
    <w:rsid w:val="0036050C"/>
    <w:rsid w:val="00360E66"/>
    <w:rsid w:val="00361AA2"/>
    <w:rsid w:val="00361B3F"/>
    <w:rsid w:val="003630BE"/>
    <w:rsid w:val="00370336"/>
    <w:rsid w:val="003706D3"/>
    <w:rsid w:val="00371036"/>
    <w:rsid w:val="0037139C"/>
    <w:rsid w:val="00372938"/>
    <w:rsid w:val="00372984"/>
    <w:rsid w:val="00372D5B"/>
    <w:rsid w:val="00372F66"/>
    <w:rsid w:val="0037354D"/>
    <w:rsid w:val="003755F1"/>
    <w:rsid w:val="003757CE"/>
    <w:rsid w:val="0037598E"/>
    <w:rsid w:val="003776E5"/>
    <w:rsid w:val="0037798F"/>
    <w:rsid w:val="00380EBF"/>
    <w:rsid w:val="0038141F"/>
    <w:rsid w:val="00381800"/>
    <w:rsid w:val="00381833"/>
    <w:rsid w:val="00381DB5"/>
    <w:rsid w:val="0038288F"/>
    <w:rsid w:val="0038300D"/>
    <w:rsid w:val="0038341F"/>
    <w:rsid w:val="00384574"/>
    <w:rsid w:val="00384972"/>
    <w:rsid w:val="00384D9A"/>
    <w:rsid w:val="00385EF8"/>
    <w:rsid w:val="00387CD7"/>
    <w:rsid w:val="00390DB4"/>
    <w:rsid w:val="00390F3D"/>
    <w:rsid w:val="00392333"/>
    <w:rsid w:val="003940FE"/>
    <w:rsid w:val="00394D4A"/>
    <w:rsid w:val="0039588F"/>
    <w:rsid w:val="00395A71"/>
    <w:rsid w:val="0039603A"/>
    <w:rsid w:val="00396BD2"/>
    <w:rsid w:val="003974E7"/>
    <w:rsid w:val="003A179C"/>
    <w:rsid w:val="003A1CBA"/>
    <w:rsid w:val="003A2409"/>
    <w:rsid w:val="003A2B1C"/>
    <w:rsid w:val="003A462C"/>
    <w:rsid w:val="003A5123"/>
    <w:rsid w:val="003A6362"/>
    <w:rsid w:val="003A6BAB"/>
    <w:rsid w:val="003A6F56"/>
    <w:rsid w:val="003A7C69"/>
    <w:rsid w:val="003A7F1F"/>
    <w:rsid w:val="003B1110"/>
    <w:rsid w:val="003B14A3"/>
    <w:rsid w:val="003B3D51"/>
    <w:rsid w:val="003B3D7E"/>
    <w:rsid w:val="003B5781"/>
    <w:rsid w:val="003B59FF"/>
    <w:rsid w:val="003B6933"/>
    <w:rsid w:val="003B79A1"/>
    <w:rsid w:val="003C0377"/>
    <w:rsid w:val="003C0E1D"/>
    <w:rsid w:val="003C1CC7"/>
    <w:rsid w:val="003C1E81"/>
    <w:rsid w:val="003C3403"/>
    <w:rsid w:val="003C3CB3"/>
    <w:rsid w:val="003C4329"/>
    <w:rsid w:val="003C4553"/>
    <w:rsid w:val="003C46F2"/>
    <w:rsid w:val="003C5CA1"/>
    <w:rsid w:val="003C5D10"/>
    <w:rsid w:val="003C61CB"/>
    <w:rsid w:val="003C6767"/>
    <w:rsid w:val="003C74E0"/>
    <w:rsid w:val="003C7F07"/>
    <w:rsid w:val="003D05C1"/>
    <w:rsid w:val="003D0BA1"/>
    <w:rsid w:val="003D18CC"/>
    <w:rsid w:val="003D280A"/>
    <w:rsid w:val="003D304F"/>
    <w:rsid w:val="003D32C1"/>
    <w:rsid w:val="003D39E8"/>
    <w:rsid w:val="003D3A31"/>
    <w:rsid w:val="003D3EBF"/>
    <w:rsid w:val="003D52E4"/>
    <w:rsid w:val="003D57A6"/>
    <w:rsid w:val="003D5F94"/>
    <w:rsid w:val="003D7206"/>
    <w:rsid w:val="003D7756"/>
    <w:rsid w:val="003E0119"/>
    <w:rsid w:val="003E03E9"/>
    <w:rsid w:val="003E04E9"/>
    <w:rsid w:val="003E1267"/>
    <w:rsid w:val="003E174B"/>
    <w:rsid w:val="003E1C05"/>
    <w:rsid w:val="003E3054"/>
    <w:rsid w:val="003E32AE"/>
    <w:rsid w:val="003E368F"/>
    <w:rsid w:val="003E44D4"/>
    <w:rsid w:val="003E4D22"/>
    <w:rsid w:val="003E5AD2"/>
    <w:rsid w:val="003E5CEA"/>
    <w:rsid w:val="003E7DF6"/>
    <w:rsid w:val="003F1CE5"/>
    <w:rsid w:val="003F1EF2"/>
    <w:rsid w:val="003F24FC"/>
    <w:rsid w:val="003F2802"/>
    <w:rsid w:val="003F2A1B"/>
    <w:rsid w:val="003F3E9B"/>
    <w:rsid w:val="003F48ED"/>
    <w:rsid w:val="003F49B4"/>
    <w:rsid w:val="003F5074"/>
    <w:rsid w:val="003F5269"/>
    <w:rsid w:val="003F5B33"/>
    <w:rsid w:val="003F5FCC"/>
    <w:rsid w:val="003F6892"/>
    <w:rsid w:val="003F6E5D"/>
    <w:rsid w:val="003F7A27"/>
    <w:rsid w:val="00400138"/>
    <w:rsid w:val="00402B16"/>
    <w:rsid w:val="00403E24"/>
    <w:rsid w:val="00404BE7"/>
    <w:rsid w:val="00404F2F"/>
    <w:rsid w:val="004066F1"/>
    <w:rsid w:val="004068D3"/>
    <w:rsid w:val="004072DA"/>
    <w:rsid w:val="00407C0B"/>
    <w:rsid w:val="0041064A"/>
    <w:rsid w:val="0041095E"/>
    <w:rsid w:val="00411422"/>
    <w:rsid w:val="0041196F"/>
    <w:rsid w:val="00411B3D"/>
    <w:rsid w:val="00412C22"/>
    <w:rsid w:val="00413945"/>
    <w:rsid w:val="00413FBA"/>
    <w:rsid w:val="00414992"/>
    <w:rsid w:val="0041511B"/>
    <w:rsid w:val="004156D4"/>
    <w:rsid w:val="004162A3"/>
    <w:rsid w:val="004167C3"/>
    <w:rsid w:val="004203FA"/>
    <w:rsid w:val="004209A4"/>
    <w:rsid w:val="00420A86"/>
    <w:rsid w:val="00421D09"/>
    <w:rsid w:val="00421F3A"/>
    <w:rsid w:val="004248DD"/>
    <w:rsid w:val="00424994"/>
    <w:rsid w:val="00424BA9"/>
    <w:rsid w:val="00426037"/>
    <w:rsid w:val="00430DA0"/>
    <w:rsid w:val="00430E9D"/>
    <w:rsid w:val="00432990"/>
    <w:rsid w:val="00433496"/>
    <w:rsid w:val="004335DB"/>
    <w:rsid w:val="0043364F"/>
    <w:rsid w:val="00433C2C"/>
    <w:rsid w:val="0043576D"/>
    <w:rsid w:val="00435924"/>
    <w:rsid w:val="00441779"/>
    <w:rsid w:val="00441BDB"/>
    <w:rsid w:val="00441EE1"/>
    <w:rsid w:val="00442E54"/>
    <w:rsid w:val="004449BA"/>
    <w:rsid w:val="00444A39"/>
    <w:rsid w:val="004453BB"/>
    <w:rsid w:val="00445CC3"/>
    <w:rsid w:val="00447091"/>
    <w:rsid w:val="0044750B"/>
    <w:rsid w:val="00447654"/>
    <w:rsid w:val="0045045F"/>
    <w:rsid w:val="0045073E"/>
    <w:rsid w:val="0045086B"/>
    <w:rsid w:val="00450944"/>
    <w:rsid w:val="00450FA2"/>
    <w:rsid w:val="004515EA"/>
    <w:rsid w:val="004531B4"/>
    <w:rsid w:val="00453D6E"/>
    <w:rsid w:val="00454C7F"/>
    <w:rsid w:val="00456F8D"/>
    <w:rsid w:val="00461955"/>
    <w:rsid w:val="00462DA8"/>
    <w:rsid w:val="00463F28"/>
    <w:rsid w:val="0046495C"/>
    <w:rsid w:val="00465813"/>
    <w:rsid w:val="004677CD"/>
    <w:rsid w:val="00467D2F"/>
    <w:rsid w:val="004702F7"/>
    <w:rsid w:val="00470316"/>
    <w:rsid w:val="00471480"/>
    <w:rsid w:val="004717A8"/>
    <w:rsid w:val="00471D07"/>
    <w:rsid w:val="00472829"/>
    <w:rsid w:val="00473489"/>
    <w:rsid w:val="0047365E"/>
    <w:rsid w:val="0047407B"/>
    <w:rsid w:val="004759B1"/>
    <w:rsid w:val="00476888"/>
    <w:rsid w:val="004777EA"/>
    <w:rsid w:val="0047783D"/>
    <w:rsid w:val="0048049E"/>
    <w:rsid w:val="00480A5A"/>
    <w:rsid w:val="004828BD"/>
    <w:rsid w:val="00484412"/>
    <w:rsid w:val="00484AAC"/>
    <w:rsid w:val="0048575F"/>
    <w:rsid w:val="004860BC"/>
    <w:rsid w:val="00486638"/>
    <w:rsid w:val="00486825"/>
    <w:rsid w:val="00486A29"/>
    <w:rsid w:val="00486DDF"/>
    <w:rsid w:val="00486F90"/>
    <w:rsid w:val="004874A0"/>
    <w:rsid w:val="004903E0"/>
    <w:rsid w:val="00491695"/>
    <w:rsid w:val="00492260"/>
    <w:rsid w:val="00492D7D"/>
    <w:rsid w:val="00492FEC"/>
    <w:rsid w:val="0049349A"/>
    <w:rsid w:val="00493675"/>
    <w:rsid w:val="004948D8"/>
    <w:rsid w:val="00495872"/>
    <w:rsid w:val="00495F8E"/>
    <w:rsid w:val="004972E7"/>
    <w:rsid w:val="004A0683"/>
    <w:rsid w:val="004A15E7"/>
    <w:rsid w:val="004A1E68"/>
    <w:rsid w:val="004A24A8"/>
    <w:rsid w:val="004A2527"/>
    <w:rsid w:val="004A2610"/>
    <w:rsid w:val="004A2696"/>
    <w:rsid w:val="004A3B9B"/>
    <w:rsid w:val="004A479D"/>
    <w:rsid w:val="004A4BA1"/>
    <w:rsid w:val="004A4C96"/>
    <w:rsid w:val="004A5824"/>
    <w:rsid w:val="004A65BC"/>
    <w:rsid w:val="004A7C49"/>
    <w:rsid w:val="004B06B2"/>
    <w:rsid w:val="004B0B5E"/>
    <w:rsid w:val="004B0DC2"/>
    <w:rsid w:val="004B1BA4"/>
    <w:rsid w:val="004B2240"/>
    <w:rsid w:val="004B282A"/>
    <w:rsid w:val="004B2A31"/>
    <w:rsid w:val="004B527F"/>
    <w:rsid w:val="004B5DE2"/>
    <w:rsid w:val="004B65E6"/>
    <w:rsid w:val="004B66E9"/>
    <w:rsid w:val="004B6F67"/>
    <w:rsid w:val="004B7A46"/>
    <w:rsid w:val="004C08BD"/>
    <w:rsid w:val="004C1671"/>
    <w:rsid w:val="004C170E"/>
    <w:rsid w:val="004C1929"/>
    <w:rsid w:val="004C2431"/>
    <w:rsid w:val="004C37DD"/>
    <w:rsid w:val="004C39CB"/>
    <w:rsid w:val="004C3B73"/>
    <w:rsid w:val="004C3CCE"/>
    <w:rsid w:val="004C46A4"/>
    <w:rsid w:val="004C4943"/>
    <w:rsid w:val="004C49DE"/>
    <w:rsid w:val="004C4CC2"/>
    <w:rsid w:val="004C5F58"/>
    <w:rsid w:val="004C6666"/>
    <w:rsid w:val="004D0307"/>
    <w:rsid w:val="004D0D1F"/>
    <w:rsid w:val="004D1198"/>
    <w:rsid w:val="004D1BA6"/>
    <w:rsid w:val="004D2C2E"/>
    <w:rsid w:val="004D36ED"/>
    <w:rsid w:val="004D3836"/>
    <w:rsid w:val="004D3CC4"/>
    <w:rsid w:val="004D419F"/>
    <w:rsid w:val="004D4CB0"/>
    <w:rsid w:val="004D5C9A"/>
    <w:rsid w:val="004D69D8"/>
    <w:rsid w:val="004D727A"/>
    <w:rsid w:val="004D742C"/>
    <w:rsid w:val="004D7A22"/>
    <w:rsid w:val="004E0133"/>
    <w:rsid w:val="004E14B9"/>
    <w:rsid w:val="004E16A9"/>
    <w:rsid w:val="004E1A4F"/>
    <w:rsid w:val="004E2BAD"/>
    <w:rsid w:val="004E3547"/>
    <w:rsid w:val="004E369B"/>
    <w:rsid w:val="004E3DAD"/>
    <w:rsid w:val="004E3DEF"/>
    <w:rsid w:val="004E3E44"/>
    <w:rsid w:val="004E4221"/>
    <w:rsid w:val="004E4B2B"/>
    <w:rsid w:val="004E5A42"/>
    <w:rsid w:val="004E5E88"/>
    <w:rsid w:val="004E62B8"/>
    <w:rsid w:val="004E6FB3"/>
    <w:rsid w:val="004E71FC"/>
    <w:rsid w:val="004E7504"/>
    <w:rsid w:val="004F00EE"/>
    <w:rsid w:val="004F06B5"/>
    <w:rsid w:val="004F3889"/>
    <w:rsid w:val="004F4037"/>
    <w:rsid w:val="004F45B4"/>
    <w:rsid w:val="004F4899"/>
    <w:rsid w:val="004F48A7"/>
    <w:rsid w:val="004F52AD"/>
    <w:rsid w:val="004F5B8D"/>
    <w:rsid w:val="004F5D9B"/>
    <w:rsid w:val="004F5FEC"/>
    <w:rsid w:val="004F60E1"/>
    <w:rsid w:val="004F7118"/>
    <w:rsid w:val="00500821"/>
    <w:rsid w:val="005010CA"/>
    <w:rsid w:val="00501976"/>
    <w:rsid w:val="0050258F"/>
    <w:rsid w:val="005026FA"/>
    <w:rsid w:val="00502B83"/>
    <w:rsid w:val="00504551"/>
    <w:rsid w:val="00505943"/>
    <w:rsid w:val="00505A7B"/>
    <w:rsid w:val="00506203"/>
    <w:rsid w:val="00507EF5"/>
    <w:rsid w:val="0051065F"/>
    <w:rsid w:val="00510825"/>
    <w:rsid w:val="00510C23"/>
    <w:rsid w:val="00510E7B"/>
    <w:rsid w:val="0051161C"/>
    <w:rsid w:val="005153FD"/>
    <w:rsid w:val="00515E87"/>
    <w:rsid w:val="0051681C"/>
    <w:rsid w:val="00516C0A"/>
    <w:rsid w:val="005175EC"/>
    <w:rsid w:val="00517FC7"/>
    <w:rsid w:val="005204B2"/>
    <w:rsid w:val="00520A16"/>
    <w:rsid w:val="005230CC"/>
    <w:rsid w:val="005237E1"/>
    <w:rsid w:val="00524443"/>
    <w:rsid w:val="00524A38"/>
    <w:rsid w:val="00524E14"/>
    <w:rsid w:val="005259E8"/>
    <w:rsid w:val="00525B7A"/>
    <w:rsid w:val="00525BD5"/>
    <w:rsid w:val="005265CC"/>
    <w:rsid w:val="00526984"/>
    <w:rsid w:val="00527126"/>
    <w:rsid w:val="00527797"/>
    <w:rsid w:val="00527C9D"/>
    <w:rsid w:val="00530871"/>
    <w:rsid w:val="00530894"/>
    <w:rsid w:val="00530D17"/>
    <w:rsid w:val="00530FA3"/>
    <w:rsid w:val="00531000"/>
    <w:rsid w:val="00531799"/>
    <w:rsid w:val="00531D90"/>
    <w:rsid w:val="0053233B"/>
    <w:rsid w:val="0053290D"/>
    <w:rsid w:val="00533A32"/>
    <w:rsid w:val="00533E7D"/>
    <w:rsid w:val="00533FD2"/>
    <w:rsid w:val="005341B1"/>
    <w:rsid w:val="00534223"/>
    <w:rsid w:val="00534A3C"/>
    <w:rsid w:val="00534F68"/>
    <w:rsid w:val="00535565"/>
    <w:rsid w:val="005372FD"/>
    <w:rsid w:val="00537792"/>
    <w:rsid w:val="005378D5"/>
    <w:rsid w:val="00537C3E"/>
    <w:rsid w:val="00537F70"/>
    <w:rsid w:val="00541469"/>
    <w:rsid w:val="0054484E"/>
    <w:rsid w:val="00544B4A"/>
    <w:rsid w:val="00545023"/>
    <w:rsid w:val="005451B9"/>
    <w:rsid w:val="00545588"/>
    <w:rsid w:val="0054561C"/>
    <w:rsid w:val="00545D1D"/>
    <w:rsid w:val="00545DA4"/>
    <w:rsid w:val="00546526"/>
    <w:rsid w:val="00546B86"/>
    <w:rsid w:val="00547631"/>
    <w:rsid w:val="00547729"/>
    <w:rsid w:val="00547981"/>
    <w:rsid w:val="00547CF0"/>
    <w:rsid w:val="00550A50"/>
    <w:rsid w:val="00551CD0"/>
    <w:rsid w:val="005524D3"/>
    <w:rsid w:val="005529AD"/>
    <w:rsid w:val="00553AC4"/>
    <w:rsid w:val="00553DD7"/>
    <w:rsid w:val="0055439D"/>
    <w:rsid w:val="00554623"/>
    <w:rsid w:val="00554EB2"/>
    <w:rsid w:val="00555184"/>
    <w:rsid w:val="005555BB"/>
    <w:rsid w:val="005556FF"/>
    <w:rsid w:val="00556783"/>
    <w:rsid w:val="00556B65"/>
    <w:rsid w:val="0056246E"/>
    <w:rsid w:val="00563FDA"/>
    <w:rsid w:val="00564EE1"/>
    <w:rsid w:val="0056560E"/>
    <w:rsid w:val="005656C4"/>
    <w:rsid w:val="0056607C"/>
    <w:rsid w:val="00566D67"/>
    <w:rsid w:val="0056783D"/>
    <w:rsid w:val="005678BE"/>
    <w:rsid w:val="005705DF"/>
    <w:rsid w:val="0057073D"/>
    <w:rsid w:val="00570FAA"/>
    <w:rsid w:val="00570FCF"/>
    <w:rsid w:val="0057172B"/>
    <w:rsid w:val="005723DB"/>
    <w:rsid w:val="0057266E"/>
    <w:rsid w:val="00573680"/>
    <w:rsid w:val="00573DA6"/>
    <w:rsid w:val="005756F2"/>
    <w:rsid w:val="00575C7A"/>
    <w:rsid w:val="00576994"/>
    <w:rsid w:val="005772E9"/>
    <w:rsid w:val="00577AF0"/>
    <w:rsid w:val="00580BEB"/>
    <w:rsid w:val="005822FE"/>
    <w:rsid w:val="00582470"/>
    <w:rsid w:val="00583F02"/>
    <w:rsid w:val="00583F26"/>
    <w:rsid w:val="005840CE"/>
    <w:rsid w:val="00590F4E"/>
    <w:rsid w:val="00591781"/>
    <w:rsid w:val="005920E2"/>
    <w:rsid w:val="00592E65"/>
    <w:rsid w:val="005936F3"/>
    <w:rsid w:val="005938B3"/>
    <w:rsid w:val="00593AF5"/>
    <w:rsid w:val="00593E37"/>
    <w:rsid w:val="00594E00"/>
    <w:rsid w:val="005955C5"/>
    <w:rsid w:val="00595B7D"/>
    <w:rsid w:val="00595C73"/>
    <w:rsid w:val="005961DA"/>
    <w:rsid w:val="005966A7"/>
    <w:rsid w:val="0059675A"/>
    <w:rsid w:val="0059694D"/>
    <w:rsid w:val="00596A4C"/>
    <w:rsid w:val="00596AF3"/>
    <w:rsid w:val="00596D74"/>
    <w:rsid w:val="005A0614"/>
    <w:rsid w:val="005A11D0"/>
    <w:rsid w:val="005A164D"/>
    <w:rsid w:val="005A1E2C"/>
    <w:rsid w:val="005A1F03"/>
    <w:rsid w:val="005A2213"/>
    <w:rsid w:val="005A3547"/>
    <w:rsid w:val="005A3696"/>
    <w:rsid w:val="005A36B8"/>
    <w:rsid w:val="005A46A6"/>
    <w:rsid w:val="005A545C"/>
    <w:rsid w:val="005A571B"/>
    <w:rsid w:val="005A58B4"/>
    <w:rsid w:val="005A5CE4"/>
    <w:rsid w:val="005A637C"/>
    <w:rsid w:val="005A7A87"/>
    <w:rsid w:val="005A7E37"/>
    <w:rsid w:val="005B0CA9"/>
    <w:rsid w:val="005B1DD8"/>
    <w:rsid w:val="005B25A5"/>
    <w:rsid w:val="005B25FE"/>
    <w:rsid w:val="005B265C"/>
    <w:rsid w:val="005B29DC"/>
    <w:rsid w:val="005B337F"/>
    <w:rsid w:val="005B65CF"/>
    <w:rsid w:val="005B6E0D"/>
    <w:rsid w:val="005B7975"/>
    <w:rsid w:val="005C089F"/>
    <w:rsid w:val="005C0BD4"/>
    <w:rsid w:val="005C0CEC"/>
    <w:rsid w:val="005C3BFE"/>
    <w:rsid w:val="005C4165"/>
    <w:rsid w:val="005C42C6"/>
    <w:rsid w:val="005C4641"/>
    <w:rsid w:val="005C49FC"/>
    <w:rsid w:val="005C6ADE"/>
    <w:rsid w:val="005D0254"/>
    <w:rsid w:val="005D09AF"/>
    <w:rsid w:val="005D2404"/>
    <w:rsid w:val="005D2FC8"/>
    <w:rsid w:val="005D3A62"/>
    <w:rsid w:val="005D4182"/>
    <w:rsid w:val="005D4C80"/>
    <w:rsid w:val="005D5957"/>
    <w:rsid w:val="005D5AA1"/>
    <w:rsid w:val="005D5EE3"/>
    <w:rsid w:val="005D614F"/>
    <w:rsid w:val="005D66EE"/>
    <w:rsid w:val="005D6F14"/>
    <w:rsid w:val="005D7116"/>
    <w:rsid w:val="005D7F85"/>
    <w:rsid w:val="005E0B8F"/>
    <w:rsid w:val="005E0FBA"/>
    <w:rsid w:val="005E108F"/>
    <w:rsid w:val="005E1709"/>
    <w:rsid w:val="005E2A09"/>
    <w:rsid w:val="005E37A8"/>
    <w:rsid w:val="005E3FD0"/>
    <w:rsid w:val="005E5FC2"/>
    <w:rsid w:val="005E6197"/>
    <w:rsid w:val="005E74C0"/>
    <w:rsid w:val="005F008A"/>
    <w:rsid w:val="005F00B2"/>
    <w:rsid w:val="005F25EB"/>
    <w:rsid w:val="005F3E9E"/>
    <w:rsid w:val="005F4298"/>
    <w:rsid w:val="005F4380"/>
    <w:rsid w:val="005F4A79"/>
    <w:rsid w:val="005F6103"/>
    <w:rsid w:val="005F639E"/>
    <w:rsid w:val="005F6535"/>
    <w:rsid w:val="005F6B76"/>
    <w:rsid w:val="005F749D"/>
    <w:rsid w:val="005F773B"/>
    <w:rsid w:val="00600046"/>
    <w:rsid w:val="006002FE"/>
    <w:rsid w:val="00601FE0"/>
    <w:rsid w:val="00602184"/>
    <w:rsid w:val="0060247C"/>
    <w:rsid w:val="00602902"/>
    <w:rsid w:val="00603011"/>
    <w:rsid w:val="006046BA"/>
    <w:rsid w:val="0060489A"/>
    <w:rsid w:val="006056B3"/>
    <w:rsid w:val="0060575D"/>
    <w:rsid w:val="00606FF4"/>
    <w:rsid w:val="00610DA7"/>
    <w:rsid w:val="00610E70"/>
    <w:rsid w:val="00611414"/>
    <w:rsid w:val="006121E5"/>
    <w:rsid w:val="00612271"/>
    <w:rsid w:val="00612B8D"/>
    <w:rsid w:val="00612BA4"/>
    <w:rsid w:val="00612FCF"/>
    <w:rsid w:val="006137BA"/>
    <w:rsid w:val="00613ACC"/>
    <w:rsid w:val="00613D9D"/>
    <w:rsid w:val="00614D27"/>
    <w:rsid w:val="00615C5A"/>
    <w:rsid w:val="00615FDF"/>
    <w:rsid w:val="00616285"/>
    <w:rsid w:val="00621CB5"/>
    <w:rsid w:val="00621F89"/>
    <w:rsid w:val="006228B2"/>
    <w:rsid w:val="00622BB4"/>
    <w:rsid w:val="00623544"/>
    <w:rsid w:val="006237C7"/>
    <w:rsid w:val="00623837"/>
    <w:rsid w:val="00623F0C"/>
    <w:rsid w:val="0062415C"/>
    <w:rsid w:val="00624337"/>
    <w:rsid w:val="00624E1A"/>
    <w:rsid w:val="00625806"/>
    <w:rsid w:val="006271D7"/>
    <w:rsid w:val="006277FB"/>
    <w:rsid w:val="0063027A"/>
    <w:rsid w:val="006304B4"/>
    <w:rsid w:val="00631288"/>
    <w:rsid w:val="00631458"/>
    <w:rsid w:val="006314BF"/>
    <w:rsid w:val="00631C16"/>
    <w:rsid w:val="0063247F"/>
    <w:rsid w:val="00632CAB"/>
    <w:rsid w:val="00633DEB"/>
    <w:rsid w:val="00633EBC"/>
    <w:rsid w:val="006346D1"/>
    <w:rsid w:val="00634A0A"/>
    <w:rsid w:val="00634D05"/>
    <w:rsid w:val="00635135"/>
    <w:rsid w:val="0063594F"/>
    <w:rsid w:val="00637109"/>
    <w:rsid w:val="00637209"/>
    <w:rsid w:val="00637AD7"/>
    <w:rsid w:val="006401CF"/>
    <w:rsid w:val="0064052F"/>
    <w:rsid w:val="00641B13"/>
    <w:rsid w:val="00641C91"/>
    <w:rsid w:val="00641D67"/>
    <w:rsid w:val="00641F33"/>
    <w:rsid w:val="00641FD9"/>
    <w:rsid w:val="0064249B"/>
    <w:rsid w:val="00642A7D"/>
    <w:rsid w:val="006432FC"/>
    <w:rsid w:val="00643446"/>
    <w:rsid w:val="00643B8F"/>
    <w:rsid w:val="00644056"/>
    <w:rsid w:val="0064453E"/>
    <w:rsid w:val="0064456B"/>
    <w:rsid w:val="00645951"/>
    <w:rsid w:val="0064623F"/>
    <w:rsid w:val="00646E17"/>
    <w:rsid w:val="0064751F"/>
    <w:rsid w:val="0064788B"/>
    <w:rsid w:val="006479C0"/>
    <w:rsid w:val="00647D10"/>
    <w:rsid w:val="00650B4C"/>
    <w:rsid w:val="00650C98"/>
    <w:rsid w:val="00650F34"/>
    <w:rsid w:val="006515AE"/>
    <w:rsid w:val="006518C4"/>
    <w:rsid w:val="00651B32"/>
    <w:rsid w:val="006520D3"/>
    <w:rsid w:val="006522D8"/>
    <w:rsid w:val="006524AD"/>
    <w:rsid w:val="006526B6"/>
    <w:rsid w:val="00652A92"/>
    <w:rsid w:val="00653676"/>
    <w:rsid w:val="00653DFB"/>
    <w:rsid w:val="0065532C"/>
    <w:rsid w:val="0065552E"/>
    <w:rsid w:val="00655AB0"/>
    <w:rsid w:val="006565E9"/>
    <w:rsid w:val="0065669F"/>
    <w:rsid w:val="0066013D"/>
    <w:rsid w:val="0066046F"/>
    <w:rsid w:val="00660D92"/>
    <w:rsid w:val="00661C20"/>
    <w:rsid w:val="00663494"/>
    <w:rsid w:val="00664188"/>
    <w:rsid w:val="006646F0"/>
    <w:rsid w:val="00665479"/>
    <w:rsid w:val="00665DB7"/>
    <w:rsid w:val="00667CFD"/>
    <w:rsid w:val="00667D8F"/>
    <w:rsid w:val="00671D02"/>
    <w:rsid w:val="006724D2"/>
    <w:rsid w:val="00672B49"/>
    <w:rsid w:val="00672E9E"/>
    <w:rsid w:val="00672F3A"/>
    <w:rsid w:val="00673D2A"/>
    <w:rsid w:val="006744D0"/>
    <w:rsid w:val="00674C87"/>
    <w:rsid w:val="00674F9A"/>
    <w:rsid w:val="006764A8"/>
    <w:rsid w:val="0067711E"/>
    <w:rsid w:val="00677BEF"/>
    <w:rsid w:val="00677DEB"/>
    <w:rsid w:val="006807E6"/>
    <w:rsid w:val="006811E5"/>
    <w:rsid w:val="00681D51"/>
    <w:rsid w:val="00682100"/>
    <w:rsid w:val="0068230A"/>
    <w:rsid w:val="00682F6D"/>
    <w:rsid w:val="00683AE6"/>
    <w:rsid w:val="00683BF8"/>
    <w:rsid w:val="00683DAF"/>
    <w:rsid w:val="006852F7"/>
    <w:rsid w:val="0068675D"/>
    <w:rsid w:val="006870F2"/>
    <w:rsid w:val="00687923"/>
    <w:rsid w:val="00687B59"/>
    <w:rsid w:val="00691859"/>
    <w:rsid w:val="006920DF"/>
    <w:rsid w:val="006927D7"/>
    <w:rsid w:val="0069314C"/>
    <w:rsid w:val="006943F0"/>
    <w:rsid w:val="00695F00"/>
    <w:rsid w:val="00696293"/>
    <w:rsid w:val="00696487"/>
    <w:rsid w:val="00696839"/>
    <w:rsid w:val="006974E8"/>
    <w:rsid w:val="0069775F"/>
    <w:rsid w:val="00697CB0"/>
    <w:rsid w:val="006A0326"/>
    <w:rsid w:val="006A03B9"/>
    <w:rsid w:val="006A0D43"/>
    <w:rsid w:val="006A1273"/>
    <w:rsid w:val="006A3B13"/>
    <w:rsid w:val="006A3F95"/>
    <w:rsid w:val="006A401F"/>
    <w:rsid w:val="006A46B4"/>
    <w:rsid w:val="006A471E"/>
    <w:rsid w:val="006A56D1"/>
    <w:rsid w:val="006A612C"/>
    <w:rsid w:val="006A760C"/>
    <w:rsid w:val="006A78DB"/>
    <w:rsid w:val="006A7D96"/>
    <w:rsid w:val="006B055A"/>
    <w:rsid w:val="006B141A"/>
    <w:rsid w:val="006B17B1"/>
    <w:rsid w:val="006B1B2C"/>
    <w:rsid w:val="006B1C53"/>
    <w:rsid w:val="006B22DF"/>
    <w:rsid w:val="006B23A7"/>
    <w:rsid w:val="006B27D2"/>
    <w:rsid w:val="006B2805"/>
    <w:rsid w:val="006B2D1B"/>
    <w:rsid w:val="006B33FE"/>
    <w:rsid w:val="006B38BF"/>
    <w:rsid w:val="006B3B77"/>
    <w:rsid w:val="006B44BB"/>
    <w:rsid w:val="006B4806"/>
    <w:rsid w:val="006B54D8"/>
    <w:rsid w:val="006B60B3"/>
    <w:rsid w:val="006B65D1"/>
    <w:rsid w:val="006B7B42"/>
    <w:rsid w:val="006C098E"/>
    <w:rsid w:val="006C0D64"/>
    <w:rsid w:val="006C1EB2"/>
    <w:rsid w:val="006C258C"/>
    <w:rsid w:val="006C326E"/>
    <w:rsid w:val="006C4D14"/>
    <w:rsid w:val="006C4D5A"/>
    <w:rsid w:val="006C5BBC"/>
    <w:rsid w:val="006C5E0B"/>
    <w:rsid w:val="006D1A92"/>
    <w:rsid w:val="006D24BA"/>
    <w:rsid w:val="006D28FA"/>
    <w:rsid w:val="006D5CF1"/>
    <w:rsid w:val="006D609B"/>
    <w:rsid w:val="006D7776"/>
    <w:rsid w:val="006D7A77"/>
    <w:rsid w:val="006E0379"/>
    <w:rsid w:val="006E0C38"/>
    <w:rsid w:val="006E39F0"/>
    <w:rsid w:val="006E3A14"/>
    <w:rsid w:val="006E4271"/>
    <w:rsid w:val="006E53FC"/>
    <w:rsid w:val="006E5781"/>
    <w:rsid w:val="006E61FE"/>
    <w:rsid w:val="006E7A76"/>
    <w:rsid w:val="006E7C01"/>
    <w:rsid w:val="006F0DA5"/>
    <w:rsid w:val="006F1587"/>
    <w:rsid w:val="006F232B"/>
    <w:rsid w:val="006F2936"/>
    <w:rsid w:val="006F2F91"/>
    <w:rsid w:val="006F3871"/>
    <w:rsid w:val="006F3C09"/>
    <w:rsid w:val="006F4302"/>
    <w:rsid w:val="006F430A"/>
    <w:rsid w:val="006F4599"/>
    <w:rsid w:val="006F5055"/>
    <w:rsid w:val="006F6A8F"/>
    <w:rsid w:val="006F72C4"/>
    <w:rsid w:val="006F755F"/>
    <w:rsid w:val="007005E7"/>
    <w:rsid w:val="00700DBE"/>
    <w:rsid w:val="007012A9"/>
    <w:rsid w:val="00701A9B"/>
    <w:rsid w:val="007023A6"/>
    <w:rsid w:val="00702723"/>
    <w:rsid w:val="00702943"/>
    <w:rsid w:val="00702F33"/>
    <w:rsid w:val="007043A8"/>
    <w:rsid w:val="007045FD"/>
    <w:rsid w:val="0070621E"/>
    <w:rsid w:val="00706576"/>
    <w:rsid w:val="00706ACE"/>
    <w:rsid w:val="00706B69"/>
    <w:rsid w:val="007072EB"/>
    <w:rsid w:val="00707566"/>
    <w:rsid w:val="00707D78"/>
    <w:rsid w:val="007106F7"/>
    <w:rsid w:val="00710922"/>
    <w:rsid w:val="00710C86"/>
    <w:rsid w:val="007114F8"/>
    <w:rsid w:val="0071203E"/>
    <w:rsid w:val="00712953"/>
    <w:rsid w:val="00712BF7"/>
    <w:rsid w:val="00712F1D"/>
    <w:rsid w:val="0071399A"/>
    <w:rsid w:val="00717041"/>
    <w:rsid w:val="007177DF"/>
    <w:rsid w:val="007204AE"/>
    <w:rsid w:val="00720878"/>
    <w:rsid w:val="00721953"/>
    <w:rsid w:val="00721ACE"/>
    <w:rsid w:val="00721F5D"/>
    <w:rsid w:val="00723702"/>
    <w:rsid w:val="0072473C"/>
    <w:rsid w:val="0072518A"/>
    <w:rsid w:val="00725C94"/>
    <w:rsid w:val="0073189C"/>
    <w:rsid w:val="0073205D"/>
    <w:rsid w:val="00732E5B"/>
    <w:rsid w:val="0073423C"/>
    <w:rsid w:val="00734E01"/>
    <w:rsid w:val="00735997"/>
    <w:rsid w:val="007364FF"/>
    <w:rsid w:val="0073663E"/>
    <w:rsid w:val="00736A01"/>
    <w:rsid w:val="00737FCA"/>
    <w:rsid w:val="00740B01"/>
    <w:rsid w:val="00740F34"/>
    <w:rsid w:val="00741665"/>
    <w:rsid w:val="007418E8"/>
    <w:rsid w:val="00741D07"/>
    <w:rsid w:val="00741E4D"/>
    <w:rsid w:val="00742ED6"/>
    <w:rsid w:val="00743189"/>
    <w:rsid w:val="007436B7"/>
    <w:rsid w:val="007452DC"/>
    <w:rsid w:val="007458FE"/>
    <w:rsid w:val="0074629E"/>
    <w:rsid w:val="00746742"/>
    <w:rsid w:val="00750855"/>
    <w:rsid w:val="00750B81"/>
    <w:rsid w:val="00751A9B"/>
    <w:rsid w:val="00753B78"/>
    <w:rsid w:val="0075530D"/>
    <w:rsid w:val="0075555F"/>
    <w:rsid w:val="007559D9"/>
    <w:rsid w:val="007561E0"/>
    <w:rsid w:val="007565B4"/>
    <w:rsid w:val="0075691B"/>
    <w:rsid w:val="00756C65"/>
    <w:rsid w:val="00756E3E"/>
    <w:rsid w:val="00760FB4"/>
    <w:rsid w:val="007627C8"/>
    <w:rsid w:val="00762A95"/>
    <w:rsid w:val="00762D13"/>
    <w:rsid w:val="007638AA"/>
    <w:rsid w:val="007643BC"/>
    <w:rsid w:val="00764433"/>
    <w:rsid w:val="00766090"/>
    <w:rsid w:val="00766EF5"/>
    <w:rsid w:val="00767025"/>
    <w:rsid w:val="0077070F"/>
    <w:rsid w:val="00770F8D"/>
    <w:rsid w:val="0077207C"/>
    <w:rsid w:val="0077283E"/>
    <w:rsid w:val="007728BA"/>
    <w:rsid w:val="00772FA5"/>
    <w:rsid w:val="00773B24"/>
    <w:rsid w:val="0077420D"/>
    <w:rsid w:val="00775FC5"/>
    <w:rsid w:val="0077754C"/>
    <w:rsid w:val="007777A5"/>
    <w:rsid w:val="00777C66"/>
    <w:rsid w:val="00777F11"/>
    <w:rsid w:val="007802EE"/>
    <w:rsid w:val="007807AF"/>
    <w:rsid w:val="00780BAC"/>
    <w:rsid w:val="00780F15"/>
    <w:rsid w:val="00782701"/>
    <w:rsid w:val="00783411"/>
    <w:rsid w:val="00784122"/>
    <w:rsid w:val="007847E1"/>
    <w:rsid w:val="00785C48"/>
    <w:rsid w:val="00790026"/>
    <w:rsid w:val="0079164F"/>
    <w:rsid w:val="00791CED"/>
    <w:rsid w:val="00792AA7"/>
    <w:rsid w:val="007930DA"/>
    <w:rsid w:val="00794E40"/>
    <w:rsid w:val="0079520E"/>
    <w:rsid w:val="00795A28"/>
    <w:rsid w:val="00796D27"/>
    <w:rsid w:val="00797760"/>
    <w:rsid w:val="00797E6D"/>
    <w:rsid w:val="00797F43"/>
    <w:rsid w:val="007A10F9"/>
    <w:rsid w:val="007A24CE"/>
    <w:rsid w:val="007A4244"/>
    <w:rsid w:val="007A4A6B"/>
    <w:rsid w:val="007A5778"/>
    <w:rsid w:val="007A5DF9"/>
    <w:rsid w:val="007A6416"/>
    <w:rsid w:val="007A65C0"/>
    <w:rsid w:val="007A73E0"/>
    <w:rsid w:val="007A7603"/>
    <w:rsid w:val="007B01CA"/>
    <w:rsid w:val="007B0311"/>
    <w:rsid w:val="007B092E"/>
    <w:rsid w:val="007B173F"/>
    <w:rsid w:val="007B182F"/>
    <w:rsid w:val="007B1A24"/>
    <w:rsid w:val="007B2EFD"/>
    <w:rsid w:val="007B38E0"/>
    <w:rsid w:val="007B3B0E"/>
    <w:rsid w:val="007B3CD5"/>
    <w:rsid w:val="007B49DC"/>
    <w:rsid w:val="007B4FBA"/>
    <w:rsid w:val="007B5864"/>
    <w:rsid w:val="007B61C7"/>
    <w:rsid w:val="007B6573"/>
    <w:rsid w:val="007C05B9"/>
    <w:rsid w:val="007C0FCE"/>
    <w:rsid w:val="007C28C2"/>
    <w:rsid w:val="007C2CC4"/>
    <w:rsid w:val="007C4643"/>
    <w:rsid w:val="007C4644"/>
    <w:rsid w:val="007C4A2D"/>
    <w:rsid w:val="007C50B0"/>
    <w:rsid w:val="007C5BE8"/>
    <w:rsid w:val="007C6500"/>
    <w:rsid w:val="007C68EE"/>
    <w:rsid w:val="007C6E6B"/>
    <w:rsid w:val="007D004A"/>
    <w:rsid w:val="007D0577"/>
    <w:rsid w:val="007D0D49"/>
    <w:rsid w:val="007D11E7"/>
    <w:rsid w:val="007D197E"/>
    <w:rsid w:val="007D2612"/>
    <w:rsid w:val="007D2E0C"/>
    <w:rsid w:val="007D31C1"/>
    <w:rsid w:val="007D4075"/>
    <w:rsid w:val="007D4601"/>
    <w:rsid w:val="007D4D31"/>
    <w:rsid w:val="007D5D94"/>
    <w:rsid w:val="007D602B"/>
    <w:rsid w:val="007E0FF0"/>
    <w:rsid w:val="007E1006"/>
    <w:rsid w:val="007E366B"/>
    <w:rsid w:val="007E3747"/>
    <w:rsid w:val="007E3E71"/>
    <w:rsid w:val="007E3F87"/>
    <w:rsid w:val="007E48AD"/>
    <w:rsid w:val="007E4BB3"/>
    <w:rsid w:val="007E4C42"/>
    <w:rsid w:val="007E5E54"/>
    <w:rsid w:val="007E5EB2"/>
    <w:rsid w:val="007E5FF9"/>
    <w:rsid w:val="007E61CD"/>
    <w:rsid w:val="007E6AA1"/>
    <w:rsid w:val="007F0D4F"/>
    <w:rsid w:val="007F0ECC"/>
    <w:rsid w:val="007F2529"/>
    <w:rsid w:val="007F25A0"/>
    <w:rsid w:val="007F29B8"/>
    <w:rsid w:val="007F2D01"/>
    <w:rsid w:val="007F310D"/>
    <w:rsid w:val="007F331E"/>
    <w:rsid w:val="007F3382"/>
    <w:rsid w:val="007F377C"/>
    <w:rsid w:val="007F3F2F"/>
    <w:rsid w:val="007F506F"/>
    <w:rsid w:val="007F5B9C"/>
    <w:rsid w:val="007F5DB7"/>
    <w:rsid w:val="007F5E49"/>
    <w:rsid w:val="00800208"/>
    <w:rsid w:val="00801BFD"/>
    <w:rsid w:val="00801D4E"/>
    <w:rsid w:val="0080279F"/>
    <w:rsid w:val="00803B77"/>
    <w:rsid w:val="008040CE"/>
    <w:rsid w:val="00805393"/>
    <w:rsid w:val="008069F8"/>
    <w:rsid w:val="00807077"/>
    <w:rsid w:val="008076AF"/>
    <w:rsid w:val="00807EFD"/>
    <w:rsid w:val="00810B07"/>
    <w:rsid w:val="008114BF"/>
    <w:rsid w:val="00811E7C"/>
    <w:rsid w:val="00811EAE"/>
    <w:rsid w:val="0081230B"/>
    <w:rsid w:val="00812896"/>
    <w:rsid w:val="00812A6C"/>
    <w:rsid w:val="00813A6D"/>
    <w:rsid w:val="008143F9"/>
    <w:rsid w:val="008146D2"/>
    <w:rsid w:val="008146D8"/>
    <w:rsid w:val="00814737"/>
    <w:rsid w:val="00815C7C"/>
    <w:rsid w:val="00815D99"/>
    <w:rsid w:val="00816F80"/>
    <w:rsid w:val="0081725A"/>
    <w:rsid w:val="008177B2"/>
    <w:rsid w:val="00820BC6"/>
    <w:rsid w:val="00821905"/>
    <w:rsid w:val="00821A63"/>
    <w:rsid w:val="00823239"/>
    <w:rsid w:val="008239E6"/>
    <w:rsid w:val="00823F39"/>
    <w:rsid w:val="00824157"/>
    <w:rsid w:val="008249C8"/>
    <w:rsid w:val="00824B18"/>
    <w:rsid w:val="00824D2A"/>
    <w:rsid w:val="008250D7"/>
    <w:rsid w:val="008257B9"/>
    <w:rsid w:val="00830A1E"/>
    <w:rsid w:val="0083102F"/>
    <w:rsid w:val="008319B5"/>
    <w:rsid w:val="00831B8F"/>
    <w:rsid w:val="008326A3"/>
    <w:rsid w:val="00832ACB"/>
    <w:rsid w:val="008331CE"/>
    <w:rsid w:val="00833213"/>
    <w:rsid w:val="008339E2"/>
    <w:rsid w:val="00833C5A"/>
    <w:rsid w:val="00833D8F"/>
    <w:rsid w:val="00836102"/>
    <w:rsid w:val="008367BF"/>
    <w:rsid w:val="00836A62"/>
    <w:rsid w:val="00836BD2"/>
    <w:rsid w:val="0083796D"/>
    <w:rsid w:val="00841138"/>
    <w:rsid w:val="0084138D"/>
    <w:rsid w:val="00842083"/>
    <w:rsid w:val="00842512"/>
    <w:rsid w:val="00842AF0"/>
    <w:rsid w:val="00842E5A"/>
    <w:rsid w:val="00843056"/>
    <w:rsid w:val="008449BB"/>
    <w:rsid w:val="00844AD1"/>
    <w:rsid w:val="00844CF2"/>
    <w:rsid w:val="008457DA"/>
    <w:rsid w:val="00846636"/>
    <w:rsid w:val="00846702"/>
    <w:rsid w:val="00846F68"/>
    <w:rsid w:val="008473B8"/>
    <w:rsid w:val="00847537"/>
    <w:rsid w:val="0085099B"/>
    <w:rsid w:val="00851107"/>
    <w:rsid w:val="00851A89"/>
    <w:rsid w:val="00853626"/>
    <w:rsid w:val="008538BD"/>
    <w:rsid w:val="00854465"/>
    <w:rsid w:val="00856139"/>
    <w:rsid w:val="008565F0"/>
    <w:rsid w:val="00856745"/>
    <w:rsid w:val="00861660"/>
    <w:rsid w:val="00862147"/>
    <w:rsid w:val="008622E1"/>
    <w:rsid w:val="00862432"/>
    <w:rsid w:val="00863544"/>
    <w:rsid w:val="0086424E"/>
    <w:rsid w:val="00864779"/>
    <w:rsid w:val="00865227"/>
    <w:rsid w:val="00865BC3"/>
    <w:rsid w:val="00865CCF"/>
    <w:rsid w:val="008661ED"/>
    <w:rsid w:val="00866488"/>
    <w:rsid w:val="008666F3"/>
    <w:rsid w:val="00866A25"/>
    <w:rsid w:val="00866A96"/>
    <w:rsid w:val="008674AA"/>
    <w:rsid w:val="00867EC2"/>
    <w:rsid w:val="0087071D"/>
    <w:rsid w:val="00872FB6"/>
    <w:rsid w:val="0087345F"/>
    <w:rsid w:val="00873CE9"/>
    <w:rsid w:val="00874B0D"/>
    <w:rsid w:val="00874CB0"/>
    <w:rsid w:val="008753E6"/>
    <w:rsid w:val="0087559A"/>
    <w:rsid w:val="0088085D"/>
    <w:rsid w:val="008811C8"/>
    <w:rsid w:val="00881228"/>
    <w:rsid w:val="0088175C"/>
    <w:rsid w:val="00881820"/>
    <w:rsid w:val="008822B2"/>
    <w:rsid w:val="008838BF"/>
    <w:rsid w:val="00883D86"/>
    <w:rsid w:val="00883EF6"/>
    <w:rsid w:val="008844ED"/>
    <w:rsid w:val="0088485A"/>
    <w:rsid w:val="0088690E"/>
    <w:rsid w:val="00887263"/>
    <w:rsid w:val="00887C15"/>
    <w:rsid w:val="0089003C"/>
    <w:rsid w:val="008901CD"/>
    <w:rsid w:val="008901E3"/>
    <w:rsid w:val="00890923"/>
    <w:rsid w:val="00890E13"/>
    <w:rsid w:val="0089243A"/>
    <w:rsid w:val="00892587"/>
    <w:rsid w:val="00892589"/>
    <w:rsid w:val="00892D8E"/>
    <w:rsid w:val="00894BEE"/>
    <w:rsid w:val="00895308"/>
    <w:rsid w:val="00896B83"/>
    <w:rsid w:val="00896C2F"/>
    <w:rsid w:val="008A1AC2"/>
    <w:rsid w:val="008A3ED5"/>
    <w:rsid w:val="008A3F0C"/>
    <w:rsid w:val="008A4449"/>
    <w:rsid w:val="008A45C3"/>
    <w:rsid w:val="008A4D8C"/>
    <w:rsid w:val="008A5D18"/>
    <w:rsid w:val="008A6F34"/>
    <w:rsid w:val="008A778A"/>
    <w:rsid w:val="008B03A4"/>
    <w:rsid w:val="008B0D07"/>
    <w:rsid w:val="008B0F75"/>
    <w:rsid w:val="008B133D"/>
    <w:rsid w:val="008B2F8A"/>
    <w:rsid w:val="008B3E8E"/>
    <w:rsid w:val="008B565A"/>
    <w:rsid w:val="008B6724"/>
    <w:rsid w:val="008B78E7"/>
    <w:rsid w:val="008B7C25"/>
    <w:rsid w:val="008B7D2F"/>
    <w:rsid w:val="008B7F09"/>
    <w:rsid w:val="008C00D1"/>
    <w:rsid w:val="008C0BEA"/>
    <w:rsid w:val="008C22AB"/>
    <w:rsid w:val="008C2691"/>
    <w:rsid w:val="008C30CF"/>
    <w:rsid w:val="008C4A39"/>
    <w:rsid w:val="008C7378"/>
    <w:rsid w:val="008C75BB"/>
    <w:rsid w:val="008C7953"/>
    <w:rsid w:val="008C7CA3"/>
    <w:rsid w:val="008D0912"/>
    <w:rsid w:val="008D1156"/>
    <w:rsid w:val="008D165B"/>
    <w:rsid w:val="008D2C78"/>
    <w:rsid w:val="008D3628"/>
    <w:rsid w:val="008D3C9E"/>
    <w:rsid w:val="008D4A62"/>
    <w:rsid w:val="008E01F2"/>
    <w:rsid w:val="008E0975"/>
    <w:rsid w:val="008E11B9"/>
    <w:rsid w:val="008E1331"/>
    <w:rsid w:val="008E20B9"/>
    <w:rsid w:val="008E25FE"/>
    <w:rsid w:val="008E2BC0"/>
    <w:rsid w:val="008E2BD2"/>
    <w:rsid w:val="008E363F"/>
    <w:rsid w:val="008E3954"/>
    <w:rsid w:val="008E4392"/>
    <w:rsid w:val="008E46DD"/>
    <w:rsid w:val="008E57C4"/>
    <w:rsid w:val="008E5A07"/>
    <w:rsid w:val="008E6830"/>
    <w:rsid w:val="008E6B0B"/>
    <w:rsid w:val="008E6D64"/>
    <w:rsid w:val="008E711F"/>
    <w:rsid w:val="008F0A01"/>
    <w:rsid w:val="008F24E3"/>
    <w:rsid w:val="008F270F"/>
    <w:rsid w:val="008F2855"/>
    <w:rsid w:val="008F2B75"/>
    <w:rsid w:val="008F2C24"/>
    <w:rsid w:val="008F3A3A"/>
    <w:rsid w:val="008F54CE"/>
    <w:rsid w:val="008F68F4"/>
    <w:rsid w:val="008F6A47"/>
    <w:rsid w:val="008F6EA7"/>
    <w:rsid w:val="008F71CD"/>
    <w:rsid w:val="008F7452"/>
    <w:rsid w:val="008F7BA4"/>
    <w:rsid w:val="00900614"/>
    <w:rsid w:val="00900E85"/>
    <w:rsid w:val="009012DD"/>
    <w:rsid w:val="009012EF"/>
    <w:rsid w:val="009014F3"/>
    <w:rsid w:val="00902BF5"/>
    <w:rsid w:val="00903033"/>
    <w:rsid w:val="00903DB0"/>
    <w:rsid w:val="00903DF2"/>
    <w:rsid w:val="00904A07"/>
    <w:rsid w:val="009055D3"/>
    <w:rsid w:val="0090581C"/>
    <w:rsid w:val="00905C6C"/>
    <w:rsid w:val="00907C28"/>
    <w:rsid w:val="0091064E"/>
    <w:rsid w:val="00910B37"/>
    <w:rsid w:val="00910C41"/>
    <w:rsid w:val="00910CEC"/>
    <w:rsid w:val="0091153C"/>
    <w:rsid w:val="00912800"/>
    <w:rsid w:val="009128BA"/>
    <w:rsid w:val="00912CA1"/>
    <w:rsid w:val="00914F8A"/>
    <w:rsid w:val="00915AEE"/>
    <w:rsid w:val="00916989"/>
    <w:rsid w:val="009173B5"/>
    <w:rsid w:val="009179CA"/>
    <w:rsid w:val="00921F18"/>
    <w:rsid w:val="00922C9D"/>
    <w:rsid w:val="009245A8"/>
    <w:rsid w:val="00924B35"/>
    <w:rsid w:val="009251E3"/>
    <w:rsid w:val="00925C74"/>
    <w:rsid w:val="00925DE0"/>
    <w:rsid w:val="009265B6"/>
    <w:rsid w:val="009271D7"/>
    <w:rsid w:val="00927B04"/>
    <w:rsid w:val="00927C83"/>
    <w:rsid w:val="00930421"/>
    <w:rsid w:val="0093078F"/>
    <w:rsid w:val="009307E3"/>
    <w:rsid w:val="00931801"/>
    <w:rsid w:val="009324A6"/>
    <w:rsid w:val="009327E0"/>
    <w:rsid w:val="00932F61"/>
    <w:rsid w:val="00933C1F"/>
    <w:rsid w:val="00933DAB"/>
    <w:rsid w:val="00934212"/>
    <w:rsid w:val="0093478C"/>
    <w:rsid w:val="00935A59"/>
    <w:rsid w:val="00935CF5"/>
    <w:rsid w:val="00940586"/>
    <w:rsid w:val="0094077B"/>
    <w:rsid w:val="00942181"/>
    <w:rsid w:val="00942F87"/>
    <w:rsid w:val="00943A00"/>
    <w:rsid w:val="00943A90"/>
    <w:rsid w:val="00944DEB"/>
    <w:rsid w:val="00944EDE"/>
    <w:rsid w:val="009462B4"/>
    <w:rsid w:val="00946553"/>
    <w:rsid w:val="009469AE"/>
    <w:rsid w:val="00947C63"/>
    <w:rsid w:val="00950761"/>
    <w:rsid w:val="00950B1C"/>
    <w:rsid w:val="0095317C"/>
    <w:rsid w:val="009539EA"/>
    <w:rsid w:val="009549A4"/>
    <w:rsid w:val="00954CD3"/>
    <w:rsid w:val="00955B68"/>
    <w:rsid w:val="00956904"/>
    <w:rsid w:val="00956B11"/>
    <w:rsid w:val="00957408"/>
    <w:rsid w:val="009574DB"/>
    <w:rsid w:val="00957E0F"/>
    <w:rsid w:val="00960396"/>
    <w:rsid w:val="00960521"/>
    <w:rsid w:val="00960526"/>
    <w:rsid w:val="00962154"/>
    <w:rsid w:val="009625FA"/>
    <w:rsid w:val="00962959"/>
    <w:rsid w:val="00962FD1"/>
    <w:rsid w:val="009634FA"/>
    <w:rsid w:val="00963D99"/>
    <w:rsid w:val="0096459A"/>
    <w:rsid w:val="009652CC"/>
    <w:rsid w:val="0096635D"/>
    <w:rsid w:val="00966A79"/>
    <w:rsid w:val="00966DD0"/>
    <w:rsid w:val="00967019"/>
    <w:rsid w:val="00967033"/>
    <w:rsid w:val="009674ED"/>
    <w:rsid w:val="00967C40"/>
    <w:rsid w:val="00970D93"/>
    <w:rsid w:val="00971D97"/>
    <w:rsid w:val="00973F26"/>
    <w:rsid w:val="009744E3"/>
    <w:rsid w:val="0097469B"/>
    <w:rsid w:val="0097515E"/>
    <w:rsid w:val="0098003A"/>
    <w:rsid w:val="00981C79"/>
    <w:rsid w:val="00982245"/>
    <w:rsid w:val="009824DA"/>
    <w:rsid w:val="0098298D"/>
    <w:rsid w:val="00982CFE"/>
    <w:rsid w:val="00982D71"/>
    <w:rsid w:val="009833AE"/>
    <w:rsid w:val="0098455D"/>
    <w:rsid w:val="00984E03"/>
    <w:rsid w:val="00985B82"/>
    <w:rsid w:val="00986334"/>
    <w:rsid w:val="00986A7B"/>
    <w:rsid w:val="00986DDD"/>
    <w:rsid w:val="00986E8D"/>
    <w:rsid w:val="0099019F"/>
    <w:rsid w:val="00991744"/>
    <w:rsid w:val="00994521"/>
    <w:rsid w:val="00994B2D"/>
    <w:rsid w:val="00995407"/>
    <w:rsid w:val="00995930"/>
    <w:rsid w:val="00996881"/>
    <w:rsid w:val="00996B00"/>
    <w:rsid w:val="00997B8E"/>
    <w:rsid w:val="009A0167"/>
    <w:rsid w:val="009A0762"/>
    <w:rsid w:val="009A0784"/>
    <w:rsid w:val="009A180B"/>
    <w:rsid w:val="009A19F5"/>
    <w:rsid w:val="009A2F94"/>
    <w:rsid w:val="009A40E7"/>
    <w:rsid w:val="009A476A"/>
    <w:rsid w:val="009A4A91"/>
    <w:rsid w:val="009A50D4"/>
    <w:rsid w:val="009A521A"/>
    <w:rsid w:val="009A5BED"/>
    <w:rsid w:val="009A5E9D"/>
    <w:rsid w:val="009A6D99"/>
    <w:rsid w:val="009B089E"/>
    <w:rsid w:val="009B439E"/>
    <w:rsid w:val="009B487A"/>
    <w:rsid w:val="009B4DE9"/>
    <w:rsid w:val="009B543D"/>
    <w:rsid w:val="009B5A11"/>
    <w:rsid w:val="009B60C8"/>
    <w:rsid w:val="009B6A3B"/>
    <w:rsid w:val="009B6DB9"/>
    <w:rsid w:val="009B7466"/>
    <w:rsid w:val="009C0A94"/>
    <w:rsid w:val="009C145E"/>
    <w:rsid w:val="009C1A2F"/>
    <w:rsid w:val="009C21C3"/>
    <w:rsid w:val="009C2296"/>
    <w:rsid w:val="009C234C"/>
    <w:rsid w:val="009C2B06"/>
    <w:rsid w:val="009C344E"/>
    <w:rsid w:val="009C37C2"/>
    <w:rsid w:val="009C38B0"/>
    <w:rsid w:val="009C5367"/>
    <w:rsid w:val="009C548E"/>
    <w:rsid w:val="009C6B12"/>
    <w:rsid w:val="009C6CC5"/>
    <w:rsid w:val="009C7E03"/>
    <w:rsid w:val="009D0942"/>
    <w:rsid w:val="009D0F93"/>
    <w:rsid w:val="009D1579"/>
    <w:rsid w:val="009D15CB"/>
    <w:rsid w:val="009D1BD7"/>
    <w:rsid w:val="009D20FE"/>
    <w:rsid w:val="009D339C"/>
    <w:rsid w:val="009D3492"/>
    <w:rsid w:val="009D3B20"/>
    <w:rsid w:val="009D3CD4"/>
    <w:rsid w:val="009D479C"/>
    <w:rsid w:val="009D51AF"/>
    <w:rsid w:val="009D5340"/>
    <w:rsid w:val="009D545E"/>
    <w:rsid w:val="009D58CF"/>
    <w:rsid w:val="009D5A18"/>
    <w:rsid w:val="009D7FA0"/>
    <w:rsid w:val="009E0020"/>
    <w:rsid w:val="009E0D4B"/>
    <w:rsid w:val="009E27A3"/>
    <w:rsid w:val="009E2BCF"/>
    <w:rsid w:val="009E4409"/>
    <w:rsid w:val="009E5101"/>
    <w:rsid w:val="009E5A5E"/>
    <w:rsid w:val="009E6595"/>
    <w:rsid w:val="009E74F2"/>
    <w:rsid w:val="009E7842"/>
    <w:rsid w:val="009F057F"/>
    <w:rsid w:val="009F0809"/>
    <w:rsid w:val="009F096E"/>
    <w:rsid w:val="009F2304"/>
    <w:rsid w:val="009F2818"/>
    <w:rsid w:val="009F28A8"/>
    <w:rsid w:val="009F44D1"/>
    <w:rsid w:val="009F467D"/>
    <w:rsid w:val="009F4B52"/>
    <w:rsid w:val="009F4F32"/>
    <w:rsid w:val="009F503D"/>
    <w:rsid w:val="009F7896"/>
    <w:rsid w:val="00A00296"/>
    <w:rsid w:val="00A00A97"/>
    <w:rsid w:val="00A017BA"/>
    <w:rsid w:val="00A024AE"/>
    <w:rsid w:val="00A03A3D"/>
    <w:rsid w:val="00A03CB0"/>
    <w:rsid w:val="00A04FEB"/>
    <w:rsid w:val="00A06910"/>
    <w:rsid w:val="00A07AD5"/>
    <w:rsid w:val="00A10867"/>
    <w:rsid w:val="00A11392"/>
    <w:rsid w:val="00A11B3A"/>
    <w:rsid w:val="00A12B05"/>
    <w:rsid w:val="00A12E86"/>
    <w:rsid w:val="00A141F6"/>
    <w:rsid w:val="00A14CE7"/>
    <w:rsid w:val="00A162CC"/>
    <w:rsid w:val="00A168D8"/>
    <w:rsid w:val="00A17F7D"/>
    <w:rsid w:val="00A2021D"/>
    <w:rsid w:val="00A20C95"/>
    <w:rsid w:val="00A20D9F"/>
    <w:rsid w:val="00A20E71"/>
    <w:rsid w:val="00A20ECB"/>
    <w:rsid w:val="00A21CA7"/>
    <w:rsid w:val="00A21E1E"/>
    <w:rsid w:val="00A2431E"/>
    <w:rsid w:val="00A2444C"/>
    <w:rsid w:val="00A24548"/>
    <w:rsid w:val="00A24A67"/>
    <w:rsid w:val="00A24C3A"/>
    <w:rsid w:val="00A24E1C"/>
    <w:rsid w:val="00A256AB"/>
    <w:rsid w:val="00A25EB8"/>
    <w:rsid w:val="00A2637D"/>
    <w:rsid w:val="00A26976"/>
    <w:rsid w:val="00A26A6F"/>
    <w:rsid w:val="00A2716A"/>
    <w:rsid w:val="00A271C9"/>
    <w:rsid w:val="00A309E3"/>
    <w:rsid w:val="00A30B8D"/>
    <w:rsid w:val="00A31900"/>
    <w:rsid w:val="00A31B35"/>
    <w:rsid w:val="00A32651"/>
    <w:rsid w:val="00A329FA"/>
    <w:rsid w:val="00A32B37"/>
    <w:rsid w:val="00A32EEA"/>
    <w:rsid w:val="00A333E7"/>
    <w:rsid w:val="00A33BED"/>
    <w:rsid w:val="00A34D53"/>
    <w:rsid w:val="00A350F8"/>
    <w:rsid w:val="00A35A8B"/>
    <w:rsid w:val="00A35A93"/>
    <w:rsid w:val="00A361BF"/>
    <w:rsid w:val="00A3638E"/>
    <w:rsid w:val="00A36F67"/>
    <w:rsid w:val="00A379B1"/>
    <w:rsid w:val="00A41E8E"/>
    <w:rsid w:val="00A4266E"/>
    <w:rsid w:val="00A429C1"/>
    <w:rsid w:val="00A42E44"/>
    <w:rsid w:val="00A42FC5"/>
    <w:rsid w:val="00A43BA5"/>
    <w:rsid w:val="00A44718"/>
    <w:rsid w:val="00A44E1E"/>
    <w:rsid w:val="00A44E8A"/>
    <w:rsid w:val="00A44FE0"/>
    <w:rsid w:val="00A45C1F"/>
    <w:rsid w:val="00A4706D"/>
    <w:rsid w:val="00A475BB"/>
    <w:rsid w:val="00A47930"/>
    <w:rsid w:val="00A50402"/>
    <w:rsid w:val="00A50FC9"/>
    <w:rsid w:val="00A51B95"/>
    <w:rsid w:val="00A51D6B"/>
    <w:rsid w:val="00A52545"/>
    <w:rsid w:val="00A526E6"/>
    <w:rsid w:val="00A5330F"/>
    <w:rsid w:val="00A54274"/>
    <w:rsid w:val="00A5549D"/>
    <w:rsid w:val="00A60918"/>
    <w:rsid w:val="00A626AC"/>
    <w:rsid w:val="00A628B7"/>
    <w:rsid w:val="00A62FC4"/>
    <w:rsid w:val="00A648FB"/>
    <w:rsid w:val="00A64D3F"/>
    <w:rsid w:val="00A6684F"/>
    <w:rsid w:val="00A67491"/>
    <w:rsid w:val="00A677E0"/>
    <w:rsid w:val="00A67900"/>
    <w:rsid w:val="00A67A7E"/>
    <w:rsid w:val="00A67CFA"/>
    <w:rsid w:val="00A67DF5"/>
    <w:rsid w:val="00A721BD"/>
    <w:rsid w:val="00A727FC"/>
    <w:rsid w:val="00A73099"/>
    <w:rsid w:val="00A739D7"/>
    <w:rsid w:val="00A74A37"/>
    <w:rsid w:val="00A763B9"/>
    <w:rsid w:val="00A764A2"/>
    <w:rsid w:val="00A76EDC"/>
    <w:rsid w:val="00A7713E"/>
    <w:rsid w:val="00A7762B"/>
    <w:rsid w:val="00A77CB7"/>
    <w:rsid w:val="00A8190C"/>
    <w:rsid w:val="00A81EDA"/>
    <w:rsid w:val="00A82CA2"/>
    <w:rsid w:val="00A8317B"/>
    <w:rsid w:val="00A837F3"/>
    <w:rsid w:val="00A87E9F"/>
    <w:rsid w:val="00A903A4"/>
    <w:rsid w:val="00A90AD3"/>
    <w:rsid w:val="00A9117D"/>
    <w:rsid w:val="00A91CF4"/>
    <w:rsid w:val="00A92C1E"/>
    <w:rsid w:val="00A9328A"/>
    <w:rsid w:val="00A94908"/>
    <w:rsid w:val="00A959AA"/>
    <w:rsid w:val="00A95B7D"/>
    <w:rsid w:val="00A96BC6"/>
    <w:rsid w:val="00A96C5F"/>
    <w:rsid w:val="00AA0281"/>
    <w:rsid w:val="00AA07D6"/>
    <w:rsid w:val="00AA0B13"/>
    <w:rsid w:val="00AA16BE"/>
    <w:rsid w:val="00AA1E9E"/>
    <w:rsid w:val="00AA2039"/>
    <w:rsid w:val="00AA26A8"/>
    <w:rsid w:val="00AA32F5"/>
    <w:rsid w:val="00AA3A3C"/>
    <w:rsid w:val="00AA4947"/>
    <w:rsid w:val="00AA4948"/>
    <w:rsid w:val="00AA4C26"/>
    <w:rsid w:val="00AA4F61"/>
    <w:rsid w:val="00AA5778"/>
    <w:rsid w:val="00AA5AA8"/>
    <w:rsid w:val="00AA62D6"/>
    <w:rsid w:val="00AA6A0B"/>
    <w:rsid w:val="00AA7987"/>
    <w:rsid w:val="00AA7C2A"/>
    <w:rsid w:val="00AB02CE"/>
    <w:rsid w:val="00AB06CC"/>
    <w:rsid w:val="00AB0E61"/>
    <w:rsid w:val="00AB0E94"/>
    <w:rsid w:val="00AB13D1"/>
    <w:rsid w:val="00AB2177"/>
    <w:rsid w:val="00AB266F"/>
    <w:rsid w:val="00AB2F5C"/>
    <w:rsid w:val="00AB301E"/>
    <w:rsid w:val="00AB33F3"/>
    <w:rsid w:val="00AB37CE"/>
    <w:rsid w:val="00AB3E12"/>
    <w:rsid w:val="00AB4323"/>
    <w:rsid w:val="00AB5780"/>
    <w:rsid w:val="00AB5A46"/>
    <w:rsid w:val="00AB693B"/>
    <w:rsid w:val="00AC013D"/>
    <w:rsid w:val="00AC025F"/>
    <w:rsid w:val="00AC0539"/>
    <w:rsid w:val="00AC0C6B"/>
    <w:rsid w:val="00AC1906"/>
    <w:rsid w:val="00AC2028"/>
    <w:rsid w:val="00AC26D3"/>
    <w:rsid w:val="00AC286F"/>
    <w:rsid w:val="00AC3365"/>
    <w:rsid w:val="00AC49FD"/>
    <w:rsid w:val="00AC5902"/>
    <w:rsid w:val="00AC61B2"/>
    <w:rsid w:val="00AC6EF4"/>
    <w:rsid w:val="00AC7082"/>
    <w:rsid w:val="00AC7C7C"/>
    <w:rsid w:val="00AD0920"/>
    <w:rsid w:val="00AD1065"/>
    <w:rsid w:val="00AD27EE"/>
    <w:rsid w:val="00AD47C0"/>
    <w:rsid w:val="00AD68A3"/>
    <w:rsid w:val="00AD7836"/>
    <w:rsid w:val="00AE10DE"/>
    <w:rsid w:val="00AE12BB"/>
    <w:rsid w:val="00AE37A6"/>
    <w:rsid w:val="00AE573C"/>
    <w:rsid w:val="00AE589D"/>
    <w:rsid w:val="00AF1385"/>
    <w:rsid w:val="00AF372A"/>
    <w:rsid w:val="00AF3FDF"/>
    <w:rsid w:val="00AF53B8"/>
    <w:rsid w:val="00AF59D5"/>
    <w:rsid w:val="00AF5A22"/>
    <w:rsid w:val="00AF768B"/>
    <w:rsid w:val="00AF782B"/>
    <w:rsid w:val="00B00204"/>
    <w:rsid w:val="00B0026B"/>
    <w:rsid w:val="00B00B0D"/>
    <w:rsid w:val="00B02133"/>
    <w:rsid w:val="00B02163"/>
    <w:rsid w:val="00B02634"/>
    <w:rsid w:val="00B031A7"/>
    <w:rsid w:val="00B0389E"/>
    <w:rsid w:val="00B042F2"/>
    <w:rsid w:val="00B04E0A"/>
    <w:rsid w:val="00B055B2"/>
    <w:rsid w:val="00B05803"/>
    <w:rsid w:val="00B05CB8"/>
    <w:rsid w:val="00B05F08"/>
    <w:rsid w:val="00B0685D"/>
    <w:rsid w:val="00B06DEF"/>
    <w:rsid w:val="00B07527"/>
    <w:rsid w:val="00B107F5"/>
    <w:rsid w:val="00B11556"/>
    <w:rsid w:val="00B12378"/>
    <w:rsid w:val="00B125AC"/>
    <w:rsid w:val="00B13092"/>
    <w:rsid w:val="00B133C3"/>
    <w:rsid w:val="00B15896"/>
    <w:rsid w:val="00B165C7"/>
    <w:rsid w:val="00B16AC8"/>
    <w:rsid w:val="00B16E0B"/>
    <w:rsid w:val="00B17B02"/>
    <w:rsid w:val="00B20412"/>
    <w:rsid w:val="00B20A05"/>
    <w:rsid w:val="00B2104A"/>
    <w:rsid w:val="00B21528"/>
    <w:rsid w:val="00B2172D"/>
    <w:rsid w:val="00B220A0"/>
    <w:rsid w:val="00B221EA"/>
    <w:rsid w:val="00B22CD4"/>
    <w:rsid w:val="00B2333F"/>
    <w:rsid w:val="00B237E1"/>
    <w:rsid w:val="00B249E3"/>
    <w:rsid w:val="00B24C3F"/>
    <w:rsid w:val="00B24F59"/>
    <w:rsid w:val="00B259C5"/>
    <w:rsid w:val="00B26881"/>
    <w:rsid w:val="00B26D6B"/>
    <w:rsid w:val="00B27DB9"/>
    <w:rsid w:val="00B307D5"/>
    <w:rsid w:val="00B30D54"/>
    <w:rsid w:val="00B31DF6"/>
    <w:rsid w:val="00B3227C"/>
    <w:rsid w:val="00B33136"/>
    <w:rsid w:val="00B33320"/>
    <w:rsid w:val="00B33A8A"/>
    <w:rsid w:val="00B33DCD"/>
    <w:rsid w:val="00B34315"/>
    <w:rsid w:val="00B35B00"/>
    <w:rsid w:val="00B3625A"/>
    <w:rsid w:val="00B363BD"/>
    <w:rsid w:val="00B36904"/>
    <w:rsid w:val="00B379BA"/>
    <w:rsid w:val="00B37F6D"/>
    <w:rsid w:val="00B40280"/>
    <w:rsid w:val="00B403AC"/>
    <w:rsid w:val="00B41009"/>
    <w:rsid w:val="00B41326"/>
    <w:rsid w:val="00B4216B"/>
    <w:rsid w:val="00B4233F"/>
    <w:rsid w:val="00B42B84"/>
    <w:rsid w:val="00B42DF1"/>
    <w:rsid w:val="00B43EAF"/>
    <w:rsid w:val="00B43ED4"/>
    <w:rsid w:val="00B455E7"/>
    <w:rsid w:val="00B47829"/>
    <w:rsid w:val="00B5074D"/>
    <w:rsid w:val="00B50F62"/>
    <w:rsid w:val="00B511F7"/>
    <w:rsid w:val="00B52BF9"/>
    <w:rsid w:val="00B52EB7"/>
    <w:rsid w:val="00B5430A"/>
    <w:rsid w:val="00B551A5"/>
    <w:rsid w:val="00B55F3B"/>
    <w:rsid w:val="00B5637E"/>
    <w:rsid w:val="00B572BB"/>
    <w:rsid w:val="00B57798"/>
    <w:rsid w:val="00B61206"/>
    <w:rsid w:val="00B61679"/>
    <w:rsid w:val="00B6215A"/>
    <w:rsid w:val="00B63C5F"/>
    <w:rsid w:val="00B63E1C"/>
    <w:rsid w:val="00B6447D"/>
    <w:rsid w:val="00B6469C"/>
    <w:rsid w:val="00B662DD"/>
    <w:rsid w:val="00B66A85"/>
    <w:rsid w:val="00B70B1E"/>
    <w:rsid w:val="00B70FF3"/>
    <w:rsid w:val="00B73561"/>
    <w:rsid w:val="00B7385E"/>
    <w:rsid w:val="00B74C16"/>
    <w:rsid w:val="00B754A4"/>
    <w:rsid w:val="00B775CA"/>
    <w:rsid w:val="00B77FE5"/>
    <w:rsid w:val="00B80D19"/>
    <w:rsid w:val="00B81043"/>
    <w:rsid w:val="00B81519"/>
    <w:rsid w:val="00B81CFF"/>
    <w:rsid w:val="00B82059"/>
    <w:rsid w:val="00B821EC"/>
    <w:rsid w:val="00B823D5"/>
    <w:rsid w:val="00B82B4B"/>
    <w:rsid w:val="00B838BF"/>
    <w:rsid w:val="00B8421F"/>
    <w:rsid w:val="00B84699"/>
    <w:rsid w:val="00B84CCA"/>
    <w:rsid w:val="00B86354"/>
    <w:rsid w:val="00B90E60"/>
    <w:rsid w:val="00B90F8F"/>
    <w:rsid w:val="00B916CF"/>
    <w:rsid w:val="00B91826"/>
    <w:rsid w:val="00B9314D"/>
    <w:rsid w:val="00B932DC"/>
    <w:rsid w:val="00B935FF"/>
    <w:rsid w:val="00B93806"/>
    <w:rsid w:val="00B93BE8"/>
    <w:rsid w:val="00B945B9"/>
    <w:rsid w:val="00B94B65"/>
    <w:rsid w:val="00B9509E"/>
    <w:rsid w:val="00B95475"/>
    <w:rsid w:val="00B96397"/>
    <w:rsid w:val="00B96A4F"/>
    <w:rsid w:val="00B96D2E"/>
    <w:rsid w:val="00BA0111"/>
    <w:rsid w:val="00BA0257"/>
    <w:rsid w:val="00BA06CD"/>
    <w:rsid w:val="00BA0EC3"/>
    <w:rsid w:val="00BA2ECD"/>
    <w:rsid w:val="00BA32B9"/>
    <w:rsid w:val="00BA3593"/>
    <w:rsid w:val="00BA3D17"/>
    <w:rsid w:val="00BA4034"/>
    <w:rsid w:val="00BA647D"/>
    <w:rsid w:val="00BA6682"/>
    <w:rsid w:val="00BB0343"/>
    <w:rsid w:val="00BB058E"/>
    <w:rsid w:val="00BB09C2"/>
    <w:rsid w:val="00BB10B9"/>
    <w:rsid w:val="00BB1CD3"/>
    <w:rsid w:val="00BB1E2F"/>
    <w:rsid w:val="00BB2AF4"/>
    <w:rsid w:val="00BB32EF"/>
    <w:rsid w:val="00BB3AFD"/>
    <w:rsid w:val="00BB4842"/>
    <w:rsid w:val="00BB4C48"/>
    <w:rsid w:val="00BB4F45"/>
    <w:rsid w:val="00BB5F60"/>
    <w:rsid w:val="00BB71B1"/>
    <w:rsid w:val="00BB7669"/>
    <w:rsid w:val="00BB7705"/>
    <w:rsid w:val="00BB7905"/>
    <w:rsid w:val="00BC06D9"/>
    <w:rsid w:val="00BC14CB"/>
    <w:rsid w:val="00BC2384"/>
    <w:rsid w:val="00BC30AE"/>
    <w:rsid w:val="00BC3500"/>
    <w:rsid w:val="00BC5173"/>
    <w:rsid w:val="00BC559F"/>
    <w:rsid w:val="00BC646F"/>
    <w:rsid w:val="00BC6FCF"/>
    <w:rsid w:val="00BC7203"/>
    <w:rsid w:val="00BC73B1"/>
    <w:rsid w:val="00BC7C60"/>
    <w:rsid w:val="00BD001C"/>
    <w:rsid w:val="00BD17E0"/>
    <w:rsid w:val="00BD3191"/>
    <w:rsid w:val="00BD3B43"/>
    <w:rsid w:val="00BD4F5B"/>
    <w:rsid w:val="00BD5C0C"/>
    <w:rsid w:val="00BD5C55"/>
    <w:rsid w:val="00BD6195"/>
    <w:rsid w:val="00BD6B85"/>
    <w:rsid w:val="00BD7C40"/>
    <w:rsid w:val="00BE0531"/>
    <w:rsid w:val="00BE12E2"/>
    <w:rsid w:val="00BE1436"/>
    <w:rsid w:val="00BE1CFF"/>
    <w:rsid w:val="00BE2B78"/>
    <w:rsid w:val="00BE2D2A"/>
    <w:rsid w:val="00BE2FA1"/>
    <w:rsid w:val="00BE3508"/>
    <w:rsid w:val="00BE5338"/>
    <w:rsid w:val="00BE599B"/>
    <w:rsid w:val="00BE5A69"/>
    <w:rsid w:val="00BE6683"/>
    <w:rsid w:val="00BE7703"/>
    <w:rsid w:val="00BE7C7E"/>
    <w:rsid w:val="00BE7DB5"/>
    <w:rsid w:val="00BF0106"/>
    <w:rsid w:val="00BF157D"/>
    <w:rsid w:val="00BF4816"/>
    <w:rsid w:val="00BF57AD"/>
    <w:rsid w:val="00BF5C9C"/>
    <w:rsid w:val="00BF5DDA"/>
    <w:rsid w:val="00BF6617"/>
    <w:rsid w:val="00BF6F64"/>
    <w:rsid w:val="00C038C2"/>
    <w:rsid w:val="00C038DA"/>
    <w:rsid w:val="00C03C20"/>
    <w:rsid w:val="00C03E11"/>
    <w:rsid w:val="00C0418A"/>
    <w:rsid w:val="00C04DA9"/>
    <w:rsid w:val="00C067A8"/>
    <w:rsid w:val="00C06A01"/>
    <w:rsid w:val="00C07B72"/>
    <w:rsid w:val="00C10A68"/>
    <w:rsid w:val="00C10DA1"/>
    <w:rsid w:val="00C12D89"/>
    <w:rsid w:val="00C12F48"/>
    <w:rsid w:val="00C13099"/>
    <w:rsid w:val="00C14921"/>
    <w:rsid w:val="00C155C3"/>
    <w:rsid w:val="00C15D76"/>
    <w:rsid w:val="00C16162"/>
    <w:rsid w:val="00C163B9"/>
    <w:rsid w:val="00C16600"/>
    <w:rsid w:val="00C16B32"/>
    <w:rsid w:val="00C1778F"/>
    <w:rsid w:val="00C2001C"/>
    <w:rsid w:val="00C2040D"/>
    <w:rsid w:val="00C204D8"/>
    <w:rsid w:val="00C2086C"/>
    <w:rsid w:val="00C22A1A"/>
    <w:rsid w:val="00C23106"/>
    <w:rsid w:val="00C23290"/>
    <w:rsid w:val="00C23E16"/>
    <w:rsid w:val="00C247AE"/>
    <w:rsid w:val="00C24930"/>
    <w:rsid w:val="00C24A0D"/>
    <w:rsid w:val="00C24AB6"/>
    <w:rsid w:val="00C25BD5"/>
    <w:rsid w:val="00C2670F"/>
    <w:rsid w:val="00C2704B"/>
    <w:rsid w:val="00C2710E"/>
    <w:rsid w:val="00C27E9E"/>
    <w:rsid w:val="00C30BD4"/>
    <w:rsid w:val="00C318AA"/>
    <w:rsid w:val="00C31BE5"/>
    <w:rsid w:val="00C32C52"/>
    <w:rsid w:val="00C33996"/>
    <w:rsid w:val="00C33C35"/>
    <w:rsid w:val="00C343AA"/>
    <w:rsid w:val="00C345D9"/>
    <w:rsid w:val="00C34DA1"/>
    <w:rsid w:val="00C35152"/>
    <w:rsid w:val="00C35533"/>
    <w:rsid w:val="00C404C2"/>
    <w:rsid w:val="00C409C2"/>
    <w:rsid w:val="00C41347"/>
    <w:rsid w:val="00C41672"/>
    <w:rsid w:val="00C41815"/>
    <w:rsid w:val="00C426E0"/>
    <w:rsid w:val="00C42F54"/>
    <w:rsid w:val="00C44381"/>
    <w:rsid w:val="00C44C8F"/>
    <w:rsid w:val="00C44DFA"/>
    <w:rsid w:val="00C4673E"/>
    <w:rsid w:val="00C4685C"/>
    <w:rsid w:val="00C46B6C"/>
    <w:rsid w:val="00C5095C"/>
    <w:rsid w:val="00C50E91"/>
    <w:rsid w:val="00C51269"/>
    <w:rsid w:val="00C515AF"/>
    <w:rsid w:val="00C518F7"/>
    <w:rsid w:val="00C5206B"/>
    <w:rsid w:val="00C527B3"/>
    <w:rsid w:val="00C5427F"/>
    <w:rsid w:val="00C545D0"/>
    <w:rsid w:val="00C55683"/>
    <w:rsid w:val="00C55CA5"/>
    <w:rsid w:val="00C5706D"/>
    <w:rsid w:val="00C60655"/>
    <w:rsid w:val="00C6069F"/>
    <w:rsid w:val="00C61389"/>
    <w:rsid w:val="00C615DE"/>
    <w:rsid w:val="00C61A52"/>
    <w:rsid w:val="00C62456"/>
    <w:rsid w:val="00C62578"/>
    <w:rsid w:val="00C62DA9"/>
    <w:rsid w:val="00C62F18"/>
    <w:rsid w:val="00C63D0A"/>
    <w:rsid w:val="00C64E60"/>
    <w:rsid w:val="00C65165"/>
    <w:rsid w:val="00C657A1"/>
    <w:rsid w:val="00C65A82"/>
    <w:rsid w:val="00C65A95"/>
    <w:rsid w:val="00C667BE"/>
    <w:rsid w:val="00C668CF"/>
    <w:rsid w:val="00C679D9"/>
    <w:rsid w:val="00C67B53"/>
    <w:rsid w:val="00C67C15"/>
    <w:rsid w:val="00C71EAE"/>
    <w:rsid w:val="00C728E5"/>
    <w:rsid w:val="00C7295D"/>
    <w:rsid w:val="00C73E11"/>
    <w:rsid w:val="00C73F30"/>
    <w:rsid w:val="00C75BB9"/>
    <w:rsid w:val="00C75CA2"/>
    <w:rsid w:val="00C75DF9"/>
    <w:rsid w:val="00C762BF"/>
    <w:rsid w:val="00C763C3"/>
    <w:rsid w:val="00C777C7"/>
    <w:rsid w:val="00C77DC4"/>
    <w:rsid w:val="00C80AC9"/>
    <w:rsid w:val="00C80E6D"/>
    <w:rsid w:val="00C81039"/>
    <w:rsid w:val="00C81AD7"/>
    <w:rsid w:val="00C81F25"/>
    <w:rsid w:val="00C828C5"/>
    <w:rsid w:val="00C82D5E"/>
    <w:rsid w:val="00C8388F"/>
    <w:rsid w:val="00C838A8"/>
    <w:rsid w:val="00C83A91"/>
    <w:rsid w:val="00C84D55"/>
    <w:rsid w:val="00C8666B"/>
    <w:rsid w:val="00C86D52"/>
    <w:rsid w:val="00C87DE2"/>
    <w:rsid w:val="00C90088"/>
    <w:rsid w:val="00C9142F"/>
    <w:rsid w:val="00C91C9D"/>
    <w:rsid w:val="00C9244F"/>
    <w:rsid w:val="00C92859"/>
    <w:rsid w:val="00C931FD"/>
    <w:rsid w:val="00C95F44"/>
    <w:rsid w:val="00C97473"/>
    <w:rsid w:val="00C975FC"/>
    <w:rsid w:val="00C97714"/>
    <w:rsid w:val="00CA0109"/>
    <w:rsid w:val="00CA02A4"/>
    <w:rsid w:val="00CA0D3C"/>
    <w:rsid w:val="00CA169B"/>
    <w:rsid w:val="00CA18D7"/>
    <w:rsid w:val="00CA20CB"/>
    <w:rsid w:val="00CA2C51"/>
    <w:rsid w:val="00CA387E"/>
    <w:rsid w:val="00CA590B"/>
    <w:rsid w:val="00CA6062"/>
    <w:rsid w:val="00CA6093"/>
    <w:rsid w:val="00CA63E1"/>
    <w:rsid w:val="00CA674E"/>
    <w:rsid w:val="00CA67C8"/>
    <w:rsid w:val="00CA76CD"/>
    <w:rsid w:val="00CA78F0"/>
    <w:rsid w:val="00CA79AE"/>
    <w:rsid w:val="00CA7CE2"/>
    <w:rsid w:val="00CA7DC5"/>
    <w:rsid w:val="00CB05D0"/>
    <w:rsid w:val="00CB091C"/>
    <w:rsid w:val="00CB0EED"/>
    <w:rsid w:val="00CB134F"/>
    <w:rsid w:val="00CB45E3"/>
    <w:rsid w:val="00CB6B98"/>
    <w:rsid w:val="00CB6C9E"/>
    <w:rsid w:val="00CB7459"/>
    <w:rsid w:val="00CB762A"/>
    <w:rsid w:val="00CC0118"/>
    <w:rsid w:val="00CC0120"/>
    <w:rsid w:val="00CC078B"/>
    <w:rsid w:val="00CC0967"/>
    <w:rsid w:val="00CC0B3F"/>
    <w:rsid w:val="00CC0C99"/>
    <w:rsid w:val="00CC1745"/>
    <w:rsid w:val="00CC1793"/>
    <w:rsid w:val="00CC1933"/>
    <w:rsid w:val="00CC2159"/>
    <w:rsid w:val="00CC23CF"/>
    <w:rsid w:val="00CC2713"/>
    <w:rsid w:val="00CC3B2A"/>
    <w:rsid w:val="00CC48D8"/>
    <w:rsid w:val="00CC4B7C"/>
    <w:rsid w:val="00CC6048"/>
    <w:rsid w:val="00CC64BE"/>
    <w:rsid w:val="00CC6AA0"/>
    <w:rsid w:val="00CC7717"/>
    <w:rsid w:val="00CC7E5F"/>
    <w:rsid w:val="00CD11DB"/>
    <w:rsid w:val="00CD13B1"/>
    <w:rsid w:val="00CD1520"/>
    <w:rsid w:val="00CD176B"/>
    <w:rsid w:val="00CD1A75"/>
    <w:rsid w:val="00CD2D84"/>
    <w:rsid w:val="00CD429B"/>
    <w:rsid w:val="00CD4CFD"/>
    <w:rsid w:val="00CD4E62"/>
    <w:rsid w:val="00CD5A2E"/>
    <w:rsid w:val="00CD5DF8"/>
    <w:rsid w:val="00CD63A5"/>
    <w:rsid w:val="00CD691F"/>
    <w:rsid w:val="00CD6A97"/>
    <w:rsid w:val="00CD7A31"/>
    <w:rsid w:val="00CE00AB"/>
    <w:rsid w:val="00CE025D"/>
    <w:rsid w:val="00CE045C"/>
    <w:rsid w:val="00CE2229"/>
    <w:rsid w:val="00CE2F87"/>
    <w:rsid w:val="00CE3376"/>
    <w:rsid w:val="00CE3428"/>
    <w:rsid w:val="00CE3FF2"/>
    <w:rsid w:val="00CE55C0"/>
    <w:rsid w:val="00CE5C3E"/>
    <w:rsid w:val="00CE60B1"/>
    <w:rsid w:val="00CE6DA1"/>
    <w:rsid w:val="00CE7FFC"/>
    <w:rsid w:val="00CF1A52"/>
    <w:rsid w:val="00CF26A1"/>
    <w:rsid w:val="00CF2A0C"/>
    <w:rsid w:val="00CF32EA"/>
    <w:rsid w:val="00CF3351"/>
    <w:rsid w:val="00CF3783"/>
    <w:rsid w:val="00CF3B1E"/>
    <w:rsid w:val="00CF3BDA"/>
    <w:rsid w:val="00CF3C77"/>
    <w:rsid w:val="00CF5B63"/>
    <w:rsid w:val="00CF612F"/>
    <w:rsid w:val="00CF7FA3"/>
    <w:rsid w:val="00D006FA"/>
    <w:rsid w:val="00D00977"/>
    <w:rsid w:val="00D00F15"/>
    <w:rsid w:val="00D01685"/>
    <w:rsid w:val="00D01A8B"/>
    <w:rsid w:val="00D01BF0"/>
    <w:rsid w:val="00D02365"/>
    <w:rsid w:val="00D024E5"/>
    <w:rsid w:val="00D030B1"/>
    <w:rsid w:val="00D044D1"/>
    <w:rsid w:val="00D04592"/>
    <w:rsid w:val="00D05CAF"/>
    <w:rsid w:val="00D106DB"/>
    <w:rsid w:val="00D10D4A"/>
    <w:rsid w:val="00D11644"/>
    <w:rsid w:val="00D13B84"/>
    <w:rsid w:val="00D13BE3"/>
    <w:rsid w:val="00D13F0E"/>
    <w:rsid w:val="00D1467C"/>
    <w:rsid w:val="00D14927"/>
    <w:rsid w:val="00D14C1C"/>
    <w:rsid w:val="00D151F3"/>
    <w:rsid w:val="00D15494"/>
    <w:rsid w:val="00D1699C"/>
    <w:rsid w:val="00D169BE"/>
    <w:rsid w:val="00D174B4"/>
    <w:rsid w:val="00D17DB1"/>
    <w:rsid w:val="00D20752"/>
    <w:rsid w:val="00D20D9D"/>
    <w:rsid w:val="00D20FD3"/>
    <w:rsid w:val="00D21AB2"/>
    <w:rsid w:val="00D22C9C"/>
    <w:rsid w:val="00D23B6F"/>
    <w:rsid w:val="00D2444F"/>
    <w:rsid w:val="00D2479F"/>
    <w:rsid w:val="00D253DF"/>
    <w:rsid w:val="00D255BC"/>
    <w:rsid w:val="00D26190"/>
    <w:rsid w:val="00D267B4"/>
    <w:rsid w:val="00D26A53"/>
    <w:rsid w:val="00D278C0"/>
    <w:rsid w:val="00D27F34"/>
    <w:rsid w:val="00D321B9"/>
    <w:rsid w:val="00D321F7"/>
    <w:rsid w:val="00D32CAB"/>
    <w:rsid w:val="00D33724"/>
    <w:rsid w:val="00D34A48"/>
    <w:rsid w:val="00D36A04"/>
    <w:rsid w:val="00D36C0F"/>
    <w:rsid w:val="00D373C4"/>
    <w:rsid w:val="00D37B17"/>
    <w:rsid w:val="00D4022A"/>
    <w:rsid w:val="00D42047"/>
    <w:rsid w:val="00D420F4"/>
    <w:rsid w:val="00D4273A"/>
    <w:rsid w:val="00D4281B"/>
    <w:rsid w:val="00D43137"/>
    <w:rsid w:val="00D444CB"/>
    <w:rsid w:val="00D45235"/>
    <w:rsid w:val="00D45D00"/>
    <w:rsid w:val="00D46117"/>
    <w:rsid w:val="00D46F4F"/>
    <w:rsid w:val="00D479EA"/>
    <w:rsid w:val="00D47D0E"/>
    <w:rsid w:val="00D50780"/>
    <w:rsid w:val="00D51BD8"/>
    <w:rsid w:val="00D51C78"/>
    <w:rsid w:val="00D5252F"/>
    <w:rsid w:val="00D52E04"/>
    <w:rsid w:val="00D5315F"/>
    <w:rsid w:val="00D53638"/>
    <w:rsid w:val="00D53AF4"/>
    <w:rsid w:val="00D559B2"/>
    <w:rsid w:val="00D56219"/>
    <w:rsid w:val="00D5779F"/>
    <w:rsid w:val="00D608F2"/>
    <w:rsid w:val="00D620A7"/>
    <w:rsid w:val="00D62326"/>
    <w:rsid w:val="00D62668"/>
    <w:rsid w:val="00D63127"/>
    <w:rsid w:val="00D6456C"/>
    <w:rsid w:val="00D64955"/>
    <w:rsid w:val="00D64C25"/>
    <w:rsid w:val="00D657DF"/>
    <w:rsid w:val="00D661AA"/>
    <w:rsid w:val="00D674B2"/>
    <w:rsid w:val="00D67EBD"/>
    <w:rsid w:val="00D7089C"/>
    <w:rsid w:val="00D722A8"/>
    <w:rsid w:val="00D72709"/>
    <w:rsid w:val="00D72B3E"/>
    <w:rsid w:val="00D730EF"/>
    <w:rsid w:val="00D74236"/>
    <w:rsid w:val="00D742BF"/>
    <w:rsid w:val="00D75E45"/>
    <w:rsid w:val="00D766C0"/>
    <w:rsid w:val="00D76D35"/>
    <w:rsid w:val="00D779E6"/>
    <w:rsid w:val="00D77B2D"/>
    <w:rsid w:val="00D80A53"/>
    <w:rsid w:val="00D81C37"/>
    <w:rsid w:val="00D8300E"/>
    <w:rsid w:val="00D831BE"/>
    <w:rsid w:val="00D8563E"/>
    <w:rsid w:val="00D856D4"/>
    <w:rsid w:val="00D8585E"/>
    <w:rsid w:val="00D85D32"/>
    <w:rsid w:val="00D86AB8"/>
    <w:rsid w:val="00D87DC5"/>
    <w:rsid w:val="00D90527"/>
    <w:rsid w:val="00D90859"/>
    <w:rsid w:val="00D91256"/>
    <w:rsid w:val="00D91D40"/>
    <w:rsid w:val="00D920B0"/>
    <w:rsid w:val="00D9220A"/>
    <w:rsid w:val="00D92E9E"/>
    <w:rsid w:val="00D957DE"/>
    <w:rsid w:val="00D961B3"/>
    <w:rsid w:val="00D968A1"/>
    <w:rsid w:val="00D97337"/>
    <w:rsid w:val="00D97599"/>
    <w:rsid w:val="00D9791B"/>
    <w:rsid w:val="00DA1CDE"/>
    <w:rsid w:val="00DA228C"/>
    <w:rsid w:val="00DA2744"/>
    <w:rsid w:val="00DA2B96"/>
    <w:rsid w:val="00DA2F24"/>
    <w:rsid w:val="00DA3307"/>
    <w:rsid w:val="00DA3891"/>
    <w:rsid w:val="00DA3B3B"/>
    <w:rsid w:val="00DA4B73"/>
    <w:rsid w:val="00DA4F86"/>
    <w:rsid w:val="00DA50F2"/>
    <w:rsid w:val="00DA536B"/>
    <w:rsid w:val="00DA6055"/>
    <w:rsid w:val="00DA6E6D"/>
    <w:rsid w:val="00DA70EE"/>
    <w:rsid w:val="00DA787C"/>
    <w:rsid w:val="00DA7F22"/>
    <w:rsid w:val="00DB03E2"/>
    <w:rsid w:val="00DB093A"/>
    <w:rsid w:val="00DB0C9C"/>
    <w:rsid w:val="00DB100F"/>
    <w:rsid w:val="00DB1820"/>
    <w:rsid w:val="00DB24E6"/>
    <w:rsid w:val="00DB2D42"/>
    <w:rsid w:val="00DB30DD"/>
    <w:rsid w:val="00DB398D"/>
    <w:rsid w:val="00DB3EA8"/>
    <w:rsid w:val="00DB57CF"/>
    <w:rsid w:val="00DB5AC2"/>
    <w:rsid w:val="00DB5DD8"/>
    <w:rsid w:val="00DC0FE0"/>
    <w:rsid w:val="00DC132E"/>
    <w:rsid w:val="00DC237E"/>
    <w:rsid w:val="00DC2565"/>
    <w:rsid w:val="00DC2A66"/>
    <w:rsid w:val="00DC3863"/>
    <w:rsid w:val="00DC4247"/>
    <w:rsid w:val="00DC4499"/>
    <w:rsid w:val="00DC4558"/>
    <w:rsid w:val="00DC50F7"/>
    <w:rsid w:val="00DC51C6"/>
    <w:rsid w:val="00DC545F"/>
    <w:rsid w:val="00DC63F9"/>
    <w:rsid w:val="00DC64CC"/>
    <w:rsid w:val="00DC693B"/>
    <w:rsid w:val="00DC7D12"/>
    <w:rsid w:val="00DD005A"/>
    <w:rsid w:val="00DD122A"/>
    <w:rsid w:val="00DD184A"/>
    <w:rsid w:val="00DD1B13"/>
    <w:rsid w:val="00DD2F2A"/>
    <w:rsid w:val="00DD3033"/>
    <w:rsid w:val="00DD3336"/>
    <w:rsid w:val="00DD376C"/>
    <w:rsid w:val="00DD3D35"/>
    <w:rsid w:val="00DD453A"/>
    <w:rsid w:val="00DD5434"/>
    <w:rsid w:val="00DD5748"/>
    <w:rsid w:val="00DD6729"/>
    <w:rsid w:val="00DD6D4B"/>
    <w:rsid w:val="00DE0401"/>
    <w:rsid w:val="00DE0446"/>
    <w:rsid w:val="00DE0766"/>
    <w:rsid w:val="00DE0B2D"/>
    <w:rsid w:val="00DE268C"/>
    <w:rsid w:val="00DE2E1C"/>
    <w:rsid w:val="00DE379E"/>
    <w:rsid w:val="00DE43C7"/>
    <w:rsid w:val="00DE5A86"/>
    <w:rsid w:val="00DE5C64"/>
    <w:rsid w:val="00DE5F05"/>
    <w:rsid w:val="00DE7118"/>
    <w:rsid w:val="00DE7B8E"/>
    <w:rsid w:val="00DF0C6A"/>
    <w:rsid w:val="00DF12AE"/>
    <w:rsid w:val="00DF155E"/>
    <w:rsid w:val="00DF1D5C"/>
    <w:rsid w:val="00DF2209"/>
    <w:rsid w:val="00DF2D59"/>
    <w:rsid w:val="00DF33E1"/>
    <w:rsid w:val="00DF4BA6"/>
    <w:rsid w:val="00DF536D"/>
    <w:rsid w:val="00DF568A"/>
    <w:rsid w:val="00DF5AAD"/>
    <w:rsid w:val="00DF5C93"/>
    <w:rsid w:val="00DF5F01"/>
    <w:rsid w:val="00DF6676"/>
    <w:rsid w:val="00DF6FF4"/>
    <w:rsid w:val="00DF72BA"/>
    <w:rsid w:val="00E00938"/>
    <w:rsid w:val="00E00AEA"/>
    <w:rsid w:val="00E00C59"/>
    <w:rsid w:val="00E01702"/>
    <w:rsid w:val="00E01A2E"/>
    <w:rsid w:val="00E02123"/>
    <w:rsid w:val="00E0217C"/>
    <w:rsid w:val="00E02288"/>
    <w:rsid w:val="00E03370"/>
    <w:rsid w:val="00E03627"/>
    <w:rsid w:val="00E03C2E"/>
    <w:rsid w:val="00E03DAE"/>
    <w:rsid w:val="00E0452F"/>
    <w:rsid w:val="00E04ACF"/>
    <w:rsid w:val="00E056A2"/>
    <w:rsid w:val="00E05C23"/>
    <w:rsid w:val="00E061BC"/>
    <w:rsid w:val="00E06822"/>
    <w:rsid w:val="00E10515"/>
    <w:rsid w:val="00E10CA7"/>
    <w:rsid w:val="00E1141D"/>
    <w:rsid w:val="00E12016"/>
    <w:rsid w:val="00E124E3"/>
    <w:rsid w:val="00E12661"/>
    <w:rsid w:val="00E12686"/>
    <w:rsid w:val="00E13E5F"/>
    <w:rsid w:val="00E1414B"/>
    <w:rsid w:val="00E147BC"/>
    <w:rsid w:val="00E14AB9"/>
    <w:rsid w:val="00E14DED"/>
    <w:rsid w:val="00E163AA"/>
    <w:rsid w:val="00E16A71"/>
    <w:rsid w:val="00E17535"/>
    <w:rsid w:val="00E17D10"/>
    <w:rsid w:val="00E204F6"/>
    <w:rsid w:val="00E210CA"/>
    <w:rsid w:val="00E22220"/>
    <w:rsid w:val="00E24526"/>
    <w:rsid w:val="00E24C0F"/>
    <w:rsid w:val="00E24DCE"/>
    <w:rsid w:val="00E24E28"/>
    <w:rsid w:val="00E260BF"/>
    <w:rsid w:val="00E2616A"/>
    <w:rsid w:val="00E27349"/>
    <w:rsid w:val="00E2784E"/>
    <w:rsid w:val="00E27941"/>
    <w:rsid w:val="00E27FBC"/>
    <w:rsid w:val="00E300BA"/>
    <w:rsid w:val="00E32DB2"/>
    <w:rsid w:val="00E34A5F"/>
    <w:rsid w:val="00E34C2F"/>
    <w:rsid w:val="00E35CB0"/>
    <w:rsid w:val="00E3688F"/>
    <w:rsid w:val="00E36C80"/>
    <w:rsid w:val="00E37373"/>
    <w:rsid w:val="00E375E3"/>
    <w:rsid w:val="00E378D3"/>
    <w:rsid w:val="00E4037D"/>
    <w:rsid w:val="00E4039F"/>
    <w:rsid w:val="00E40524"/>
    <w:rsid w:val="00E40985"/>
    <w:rsid w:val="00E40D5A"/>
    <w:rsid w:val="00E4116F"/>
    <w:rsid w:val="00E411FE"/>
    <w:rsid w:val="00E429B9"/>
    <w:rsid w:val="00E42FE9"/>
    <w:rsid w:val="00E4409A"/>
    <w:rsid w:val="00E46E83"/>
    <w:rsid w:val="00E47E7C"/>
    <w:rsid w:val="00E5127F"/>
    <w:rsid w:val="00E5326E"/>
    <w:rsid w:val="00E5444A"/>
    <w:rsid w:val="00E548E1"/>
    <w:rsid w:val="00E552F8"/>
    <w:rsid w:val="00E5606F"/>
    <w:rsid w:val="00E561F6"/>
    <w:rsid w:val="00E56268"/>
    <w:rsid w:val="00E56430"/>
    <w:rsid w:val="00E5653F"/>
    <w:rsid w:val="00E56BF2"/>
    <w:rsid w:val="00E60BB1"/>
    <w:rsid w:val="00E60DB7"/>
    <w:rsid w:val="00E61DFE"/>
    <w:rsid w:val="00E64017"/>
    <w:rsid w:val="00E64F54"/>
    <w:rsid w:val="00E65D75"/>
    <w:rsid w:val="00E65F0D"/>
    <w:rsid w:val="00E66438"/>
    <w:rsid w:val="00E66878"/>
    <w:rsid w:val="00E66A04"/>
    <w:rsid w:val="00E66C1B"/>
    <w:rsid w:val="00E67BDF"/>
    <w:rsid w:val="00E7041A"/>
    <w:rsid w:val="00E704D2"/>
    <w:rsid w:val="00E7196B"/>
    <w:rsid w:val="00E719F5"/>
    <w:rsid w:val="00E724A6"/>
    <w:rsid w:val="00E72823"/>
    <w:rsid w:val="00E748CB"/>
    <w:rsid w:val="00E74DF0"/>
    <w:rsid w:val="00E74E91"/>
    <w:rsid w:val="00E7534E"/>
    <w:rsid w:val="00E75AA5"/>
    <w:rsid w:val="00E76391"/>
    <w:rsid w:val="00E76CD5"/>
    <w:rsid w:val="00E76E10"/>
    <w:rsid w:val="00E77C0D"/>
    <w:rsid w:val="00E77F54"/>
    <w:rsid w:val="00E808E8"/>
    <w:rsid w:val="00E80AAE"/>
    <w:rsid w:val="00E80BA7"/>
    <w:rsid w:val="00E820D1"/>
    <w:rsid w:val="00E8294D"/>
    <w:rsid w:val="00E82E55"/>
    <w:rsid w:val="00E83794"/>
    <w:rsid w:val="00E83CB5"/>
    <w:rsid w:val="00E83D86"/>
    <w:rsid w:val="00E844BE"/>
    <w:rsid w:val="00E8560D"/>
    <w:rsid w:val="00E85F65"/>
    <w:rsid w:val="00E9088A"/>
    <w:rsid w:val="00E909DA"/>
    <w:rsid w:val="00E92566"/>
    <w:rsid w:val="00E92C17"/>
    <w:rsid w:val="00E932AF"/>
    <w:rsid w:val="00E93E91"/>
    <w:rsid w:val="00E940DE"/>
    <w:rsid w:val="00E94527"/>
    <w:rsid w:val="00E9482C"/>
    <w:rsid w:val="00E94A4F"/>
    <w:rsid w:val="00E94C36"/>
    <w:rsid w:val="00E9510C"/>
    <w:rsid w:val="00E966D3"/>
    <w:rsid w:val="00E9703C"/>
    <w:rsid w:val="00E97D2E"/>
    <w:rsid w:val="00EA05F8"/>
    <w:rsid w:val="00EA10C9"/>
    <w:rsid w:val="00EA21C2"/>
    <w:rsid w:val="00EA2E4C"/>
    <w:rsid w:val="00EA2FA6"/>
    <w:rsid w:val="00EA30C7"/>
    <w:rsid w:val="00EA3AF5"/>
    <w:rsid w:val="00EA3C14"/>
    <w:rsid w:val="00EA40F9"/>
    <w:rsid w:val="00EA65E4"/>
    <w:rsid w:val="00EA688F"/>
    <w:rsid w:val="00EA6903"/>
    <w:rsid w:val="00EA6D5D"/>
    <w:rsid w:val="00EA7D9E"/>
    <w:rsid w:val="00EB020C"/>
    <w:rsid w:val="00EB0354"/>
    <w:rsid w:val="00EB0F65"/>
    <w:rsid w:val="00EB1377"/>
    <w:rsid w:val="00EB13D5"/>
    <w:rsid w:val="00EB33C5"/>
    <w:rsid w:val="00EB3C6A"/>
    <w:rsid w:val="00EB3CE4"/>
    <w:rsid w:val="00EB5174"/>
    <w:rsid w:val="00EB53F6"/>
    <w:rsid w:val="00EB5AA3"/>
    <w:rsid w:val="00EB7512"/>
    <w:rsid w:val="00EC1272"/>
    <w:rsid w:val="00EC275C"/>
    <w:rsid w:val="00EC39C4"/>
    <w:rsid w:val="00EC3C94"/>
    <w:rsid w:val="00EC4916"/>
    <w:rsid w:val="00EC4AAA"/>
    <w:rsid w:val="00EC4E6C"/>
    <w:rsid w:val="00EC4E88"/>
    <w:rsid w:val="00EC5846"/>
    <w:rsid w:val="00EC5A19"/>
    <w:rsid w:val="00EC70CE"/>
    <w:rsid w:val="00EC7E25"/>
    <w:rsid w:val="00ED00DA"/>
    <w:rsid w:val="00ED05F3"/>
    <w:rsid w:val="00ED0D81"/>
    <w:rsid w:val="00ED2B7B"/>
    <w:rsid w:val="00ED2EDE"/>
    <w:rsid w:val="00ED3DEE"/>
    <w:rsid w:val="00ED4BFD"/>
    <w:rsid w:val="00ED58BA"/>
    <w:rsid w:val="00ED63E0"/>
    <w:rsid w:val="00EE035C"/>
    <w:rsid w:val="00EE0502"/>
    <w:rsid w:val="00EE1064"/>
    <w:rsid w:val="00EE12BB"/>
    <w:rsid w:val="00EE1FC9"/>
    <w:rsid w:val="00EE2E4C"/>
    <w:rsid w:val="00EE33F6"/>
    <w:rsid w:val="00EE3803"/>
    <w:rsid w:val="00EE3916"/>
    <w:rsid w:val="00EE4472"/>
    <w:rsid w:val="00EE4C42"/>
    <w:rsid w:val="00EE51D7"/>
    <w:rsid w:val="00EE6452"/>
    <w:rsid w:val="00EE6454"/>
    <w:rsid w:val="00EE6601"/>
    <w:rsid w:val="00EE72F4"/>
    <w:rsid w:val="00EE7886"/>
    <w:rsid w:val="00EF006C"/>
    <w:rsid w:val="00EF0B35"/>
    <w:rsid w:val="00EF1B32"/>
    <w:rsid w:val="00EF2DC4"/>
    <w:rsid w:val="00EF2F02"/>
    <w:rsid w:val="00EF3691"/>
    <w:rsid w:val="00EF46DB"/>
    <w:rsid w:val="00EF4FD3"/>
    <w:rsid w:val="00EF5B00"/>
    <w:rsid w:val="00EF6C20"/>
    <w:rsid w:val="00EF7699"/>
    <w:rsid w:val="00F0099E"/>
    <w:rsid w:val="00F01294"/>
    <w:rsid w:val="00F01802"/>
    <w:rsid w:val="00F01908"/>
    <w:rsid w:val="00F01BC4"/>
    <w:rsid w:val="00F01C58"/>
    <w:rsid w:val="00F02E1A"/>
    <w:rsid w:val="00F030E5"/>
    <w:rsid w:val="00F0324A"/>
    <w:rsid w:val="00F03412"/>
    <w:rsid w:val="00F03A05"/>
    <w:rsid w:val="00F0567E"/>
    <w:rsid w:val="00F05FEE"/>
    <w:rsid w:val="00F0726B"/>
    <w:rsid w:val="00F106B0"/>
    <w:rsid w:val="00F107F7"/>
    <w:rsid w:val="00F1192E"/>
    <w:rsid w:val="00F11AF9"/>
    <w:rsid w:val="00F123AC"/>
    <w:rsid w:val="00F1254F"/>
    <w:rsid w:val="00F128ED"/>
    <w:rsid w:val="00F13D50"/>
    <w:rsid w:val="00F1575D"/>
    <w:rsid w:val="00F16C3F"/>
    <w:rsid w:val="00F17277"/>
    <w:rsid w:val="00F17609"/>
    <w:rsid w:val="00F20189"/>
    <w:rsid w:val="00F20DD3"/>
    <w:rsid w:val="00F231B6"/>
    <w:rsid w:val="00F233BB"/>
    <w:rsid w:val="00F241FE"/>
    <w:rsid w:val="00F24404"/>
    <w:rsid w:val="00F255DB"/>
    <w:rsid w:val="00F2573D"/>
    <w:rsid w:val="00F26158"/>
    <w:rsid w:val="00F26DCD"/>
    <w:rsid w:val="00F303C0"/>
    <w:rsid w:val="00F324B3"/>
    <w:rsid w:val="00F33BFF"/>
    <w:rsid w:val="00F345D0"/>
    <w:rsid w:val="00F36EDB"/>
    <w:rsid w:val="00F371BA"/>
    <w:rsid w:val="00F37B38"/>
    <w:rsid w:val="00F41D03"/>
    <w:rsid w:val="00F42077"/>
    <w:rsid w:val="00F420E9"/>
    <w:rsid w:val="00F4257C"/>
    <w:rsid w:val="00F42B4E"/>
    <w:rsid w:val="00F42EA6"/>
    <w:rsid w:val="00F42F4C"/>
    <w:rsid w:val="00F44794"/>
    <w:rsid w:val="00F4496B"/>
    <w:rsid w:val="00F456C7"/>
    <w:rsid w:val="00F45F93"/>
    <w:rsid w:val="00F4603C"/>
    <w:rsid w:val="00F460C6"/>
    <w:rsid w:val="00F46A24"/>
    <w:rsid w:val="00F46EA7"/>
    <w:rsid w:val="00F51373"/>
    <w:rsid w:val="00F52738"/>
    <w:rsid w:val="00F52E32"/>
    <w:rsid w:val="00F54B7E"/>
    <w:rsid w:val="00F551BD"/>
    <w:rsid w:val="00F561EF"/>
    <w:rsid w:val="00F5784F"/>
    <w:rsid w:val="00F613A2"/>
    <w:rsid w:val="00F61A78"/>
    <w:rsid w:val="00F61D52"/>
    <w:rsid w:val="00F62A26"/>
    <w:rsid w:val="00F635C2"/>
    <w:rsid w:val="00F635F0"/>
    <w:rsid w:val="00F6384D"/>
    <w:rsid w:val="00F63967"/>
    <w:rsid w:val="00F6456A"/>
    <w:rsid w:val="00F6507A"/>
    <w:rsid w:val="00F65B44"/>
    <w:rsid w:val="00F660F0"/>
    <w:rsid w:val="00F6670E"/>
    <w:rsid w:val="00F6687D"/>
    <w:rsid w:val="00F66DD5"/>
    <w:rsid w:val="00F67E12"/>
    <w:rsid w:val="00F71EFB"/>
    <w:rsid w:val="00F73EED"/>
    <w:rsid w:val="00F743E8"/>
    <w:rsid w:val="00F74C48"/>
    <w:rsid w:val="00F74DB2"/>
    <w:rsid w:val="00F756AC"/>
    <w:rsid w:val="00F75D00"/>
    <w:rsid w:val="00F76432"/>
    <w:rsid w:val="00F7711C"/>
    <w:rsid w:val="00F77828"/>
    <w:rsid w:val="00F77BA0"/>
    <w:rsid w:val="00F807BB"/>
    <w:rsid w:val="00F82EC5"/>
    <w:rsid w:val="00F838CB"/>
    <w:rsid w:val="00F86B5A"/>
    <w:rsid w:val="00F87EA5"/>
    <w:rsid w:val="00F9124D"/>
    <w:rsid w:val="00F917D4"/>
    <w:rsid w:val="00F91E36"/>
    <w:rsid w:val="00F9277D"/>
    <w:rsid w:val="00F93FDA"/>
    <w:rsid w:val="00F95071"/>
    <w:rsid w:val="00F95278"/>
    <w:rsid w:val="00F9663A"/>
    <w:rsid w:val="00F96B2E"/>
    <w:rsid w:val="00F978F5"/>
    <w:rsid w:val="00F97D1A"/>
    <w:rsid w:val="00FA051A"/>
    <w:rsid w:val="00FA0BE9"/>
    <w:rsid w:val="00FA264E"/>
    <w:rsid w:val="00FA2828"/>
    <w:rsid w:val="00FA2B9F"/>
    <w:rsid w:val="00FA2E8E"/>
    <w:rsid w:val="00FA2F1B"/>
    <w:rsid w:val="00FA3039"/>
    <w:rsid w:val="00FA442A"/>
    <w:rsid w:val="00FA4571"/>
    <w:rsid w:val="00FA48AA"/>
    <w:rsid w:val="00FA53CC"/>
    <w:rsid w:val="00FA5574"/>
    <w:rsid w:val="00FA6D19"/>
    <w:rsid w:val="00FA71ED"/>
    <w:rsid w:val="00FA76FC"/>
    <w:rsid w:val="00FB05AC"/>
    <w:rsid w:val="00FB1AF2"/>
    <w:rsid w:val="00FB1FDF"/>
    <w:rsid w:val="00FB2140"/>
    <w:rsid w:val="00FB3055"/>
    <w:rsid w:val="00FB321B"/>
    <w:rsid w:val="00FB366E"/>
    <w:rsid w:val="00FB3F0E"/>
    <w:rsid w:val="00FB3F47"/>
    <w:rsid w:val="00FB4BE6"/>
    <w:rsid w:val="00FB5018"/>
    <w:rsid w:val="00FB5D60"/>
    <w:rsid w:val="00FB5FD4"/>
    <w:rsid w:val="00FB6058"/>
    <w:rsid w:val="00FB64AE"/>
    <w:rsid w:val="00FC0E64"/>
    <w:rsid w:val="00FC2E6A"/>
    <w:rsid w:val="00FC3689"/>
    <w:rsid w:val="00FC36A1"/>
    <w:rsid w:val="00FC3A37"/>
    <w:rsid w:val="00FC4062"/>
    <w:rsid w:val="00FC48B1"/>
    <w:rsid w:val="00FC4A9A"/>
    <w:rsid w:val="00FC4EF7"/>
    <w:rsid w:val="00FC5EE8"/>
    <w:rsid w:val="00FC6296"/>
    <w:rsid w:val="00FC7266"/>
    <w:rsid w:val="00FC73AE"/>
    <w:rsid w:val="00FC7E99"/>
    <w:rsid w:val="00FD090A"/>
    <w:rsid w:val="00FD10B4"/>
    <w:rsid w:val="00FD142D"/>
    <w:rsid w:val="00FD1A60"/>
    <w:rsid w:val="00FD219C"/>
    <w:rsid w:val="00FD2B15"/>
    <w:rsid w:val="00FD2C74"/>
    <w:rsid w:val="00FD2E37"/>
    <w:rsid w:val="00FD3675"/>
    <w:rsid w:val="00FD3EA8"/>
    <w:rsid w:val="00FD3F4F"/>
    <w:rsid w:val="00FD45F2"/>
    <w:rsid w:val="00FD46C5"/>
    <w:rsid w:val="00FD489A"/>
    <w:rsid w:val="00FD4F34"/>
    <w:rsid w:val="00FD57DB"/>
    <w:rsid w:val="00FD714E"/>
    <w:rsid w:val="00FE0295"/>
    <w:rsid w:val="00FE095E"/>
    <w:rsid w:val="00FE0CAE"/>
    <w:rsid w:val="00FE0E97"/>
    <w:rsid w:val="00FE4C7D"/>
    <w:rsid w:val="00FE4F6E"/>
    <w:rsid w:val="00FE54A1"/>
    <w:rsid w:val="00FE580A"/>
    <w:rsid w:val="00FE5A1B"/>
    <w:rsid w:val="00FE6275"/>
    <w:rsid w:val="00FE62DE"/>
    <w:rsid w:val="00FF0421"/>
    <w:rsid w:val="00FF1CE6"/>
    <w:rsid w:val="00FF2081"/>
    <w:rsid w:val="00FF2B08"/>
    <w:rsid w:val="00FF2D6E"/>
    <w:rsid w:val="00FF41B4"/>
    <w:rsid w:val="00FF4412"/>
    <w:rsid w:val="00FF45B1"/>
    <w:rsid w:val="00FF481E"/>
    <w:rsid w:val="00FF4947"/>
    <w:rsid w:val="00FF4A84"/>
    <w:rsid w:val="00FF5327"/>
    <w:rsid w:val="00FF6F35"/>
    <w:rsid w:val="00FF7EE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3D5B6"/>
  <w15:docId w15:val="{52F9F644-A8C4-42E9-927D-5B54F02E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96"/>
    <w:rPr>
      <w:rFonts w:ascii="Times New Roman" w:eastAsia="Times New Roman" w:hAnsi="Times New Roman"/>
      <w:sz w:val="24"/>
      <w:szCs w:val="24"/>
      <w:lang w:val="en-US"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C2296"/>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9C2296"/>
    <w:rPr>
      <w:rFonts w:ascii="Tahoma" w:hAnsi="Tahoma" w:cs="Times New Roman"/>
      <w:sz w:val="16"/>
      <w:lang w:val="en-GB" w:eastAsia="it-IT"/>
    </w:rPr>
  </w:style>
  <w:style w:type="paragraph" w:styleId="Header">
    <w:name w:val="header"/>
    <w:basedOn w:val="Normal"/>
    <w:link w:val="HeaderChar"/>
    <w:uiPriority w:val="99"/>
    <w:rsid w:val="009C2296"/>
    <w:pPr>
      <w:tabs>
        <w:tab w:val="center" w:pos="4819"/>
        <w:tab w:val="right" w:pos="9638"/>
      </w:tabs>
    </w:pPr>
    <w:rPr>
      <w:rFonts w:eastAsia="Calibri"/>
      <w:sz w:val="20"/>
      <w:szCs w:val="20"/>
    </w:rPr>
  </w:style>
  <w:style w:type="character" w:customStyle="1" w:styleId="HeaderChar">
    <w:name w:val="Header Char"/>
    <w:basedOn w:val="DefaultParagraphFont"/>
    <w:link w:val="Header"/>
    <w:uiPriority w:val="99"/>
    <w:locked/>
    <w:rsid w:val="009C2296"/>
    <w:rPr>
      <w:rFonts w:ascii="Times New Roman" w:hAnsi="Times New Roman" w:cs="Times New Roman"/>
      <w:sz w:val="20"/>
      <w:lang w:val="en-GB" w:eastAsia="it-IT"/>
    </w:rPr>
  </w:style>
  <w:style w:type="character" w:styleId="PageNumber">
    <w:name w:val="page number"/>
    <w:basedOn w:val="DefaultParagraphFont"/>
    <w:uiPriority w:val="99"/>
    <w:rsid w:val="009C2296"/>
    <w:rPr>
      <w:rFonts w:cs="Times New Roman"/>
    </w:rPr>
  </w:style>
  <w:style w:type="paragraph" w:styleId="Footer">
    <w:name w:val="footer"/>
    <w:basedOn w:val="Normal"/>
    <w:link w:val="FooterChar"/>
    <w:uiPriority w:val="99"/>
    <w:rsid w:val="009C2296"/>
    <w:pPr>
      <w:tabs>
        <w:tab w:val="center" w:pos="4819"/>
        <w:tab w:val="right" w:pos="9638"/>
      </w:tabs>
    </w:pPr>
    <w:rPr>
      <w:rFonts w:eastAsia="Calibri"/>
      <w:sz w:val="20"/>
      <w:szCs w:val="20"/>
    </w:rPr>
  </w:style>
  <w:style w:type="character" w:customStyle="1" w:styleId="FooterChar">
    <w:name w:val="Footer Char"/>
    <w:basedOn w:val="DefaultParagraphFont"/>
    <w:link w:val="Footer"/>
    <w:uiPriority w:val="99"/>
    <w:locked/>
    <w:rsid w:val="009C2296"/>
    <w:rPr>
      <w:rFonts w:ascii="Times New Roman" w:hAnsi="Times New Roman" w:cs="Times New Roman"/>
      <w:sz w:val="20"/>
      <w:lang w:val="en-GB" w:eastAsia="it-IT"/>
    </w:rPr>
  </w:style>
  <w:style w:type="character" w:styleId="FootnoteReference">
    <w:name w:val="footnote reference"/>
    <w:basedOn w:val="DefaultParagraphFont"/>
    <w:uiPriority w:val="99"/>
    <w:semiHidden/>
    <w:rsid w:val="00912800"/>
    <w:rPr>
      <w:rFonts w:cs="Times New Roman"/>
      <w:vertAlign w:val="superscript"/>
    </w:rPr>
  </w:style>
  <w:style w:type="paragraph" w:styleId="EndnoteText">
    <w:name w:val="endnote text"/>
    <w:basedOn w:val="Normal"/>
    <w:link w:val="EndnoteTextChar"/>
    <w:uiPriority w:val="99"/>
    <w:semiHidden/>
    <w:rsid w:val="00912800"/>
    <w:rPr>
      <w:rFonts w:eastAsia="Calibri"/>
      <w:sz w:val="20"/>
      <w:szCs w:val="20"/>
    </w:rPr>
  </w:style>
  <w:style w:type="character" w:customStyle="1" w:styleId="EndnoteTextChar">
    <w:name w:val="Endnote Text Char"/>
    <w:basedOn w:val="DefaultParagraphFont"/>
    <w:link w:val="EndnoteText"/>
    <w:uiPriority w:val="99"/>
    <w:locked/>
    <w:rsid w:val="00912800"/>
    <w:rPr>
      <w:rFonts w:ascii="Times New Roman" w:hAnsi="Times New Roman" w:cs="Times New Roman"/>
      <w:sz w:val="20"/>
      <w:lang w:val="en-GB" w:eastAsia="it-IT"/>
    </w:rPr>
  </w:style>
  <w:style w:type="character" w:styleId="EndnoteReference">
    <w:name w:val="endnote reference"/>
    <w:basedOn w:val="DefaultParagraphFont"/>
    <w:uiPriority w:val="99"/>
    <w:semiHidden/>
    <w:rsid w:val="00912800"/>
    <w:rPr>
      <w:rFonts w:cs="Times New Roman"/>
      <w:vertAlign w:val="superscript"/>
    </w:rPr>
  </w:style>
  <w:style w:type="paragraph" w:styleId="Caption">
    <w:name w:val="caption"/>
    <w:basedOn w:val="Normal"/>
    <w:next w:val="Normal"/>
    <w:uiPriority w:val="99"/>
    <w:qFormat/>
    <w:rsid w:val="00912800"/>
    <w:rPr>
      <w:b/>
      <w:bCs/>
      <w:sz w:val="20"/>
      <w:szCs w:val="20"/>
    </w:rPr>
  </w:style>
  <w:style w:type="character" w:styleId="CommentReference">
    <w:name w:val="annotation reference"/>
    <w:basedOn w:val="DefaultParagraphFont"/>
    <w:uiPriority w:val="99"/>
    <w:semiHidden/>
    <w:rsid w:val="00912800"/>
    <w:rPr>
      <w:rFonts w:cs="Times New Roman"/>
      <w:sz w:val="16"/>
    </w:rPr>
  </w:style>
  <w:style w:type="paragraph" w:styleId="CommentText">
    <w:name w:val="annotation text"/>
    <w:basedOn w:val="Normal"/>
    <w:link w:val="CommentTextChar"/>
    <w:uiPriority w:val="99"/>
    <w:semiHidden/>
    <w:rsid w:val="00912800"/>
    <w:rPr>
      <w:rFonts w:eastAsia="Calibri"/>
      <w:sz w:val="20"/>
      <w:szCs w:val="20"/>
    </w:rPr>
  </w:style>
  <w:style w:type="character" w:customStyle="1" w:styleId="CommentTextChar">
    <w:name w:val="Comment Text Char"/>
    <w:basedOn w:val="DefaultParagraphFont"/>
    <w:link w:val="CommentText"/>
    <w:uiPriority w:val="99"/>
    <w:semiHidden/>
    <w:locked/>
    <w:rsid w:val="00912800"/>
    <w:rPr>
      <w:rFonts w:ascii="Times New Roman" w:hAnsi="Times New Roman" w:cs="Times New Roman"/>
      <w:sz w:val="20"/>
      <w:lang w:val="en-GB"/>
    </w:rPr>
  </w:style>
  <w:style w:type="paragraph" w:styleId="CommentSubject">
    <w:name w:val="annotation subject"/>
    <w:basedOn w:val="CommentText"/>
    <w:next w:val="CommentText"/>
    <w:link w:val="CommentSubjectChar"/>
    <w:uiPriority w:val="99"/>
    <w:semiHidden/>
    <w:rsid w:val="00912800"/>
    <w:rPr>
      <w:b/>
      <w:bCs/>
    </w:rPr>
  </w:style>
  <w:style w:type="character" w:customStyle="1" w:styleId="CommentSubjectChar">
    <w:name w:val="Comment Subject Char"/>
    <w:basedOn w:val="CommentTextChar"/>
    <w:link w:val="CommentSubject"/>
    <w:uiPriority w:val="99"/>
    <w:semiHidden/>
    <w:locked/>
    <w:rsid w:val="00912800"/>
    <w:rPr>
      <w:rFonts w:ascii="Times New Roman" w:hAnsi="Times New Roman" w:cs="Times New Roman"/>
      <w:b/>
      <w:sz w:val="20"/>
      <w:lang w:val="en-GB"/>
    </w:rPr>
  </w:style>
  <w:style w:type="character" w:styleId="Hyperlink">
    <w:name w:val="Hyperlink"/>
    <w:basedOn w:val="DefaultParagraphFont"/>
    <w:uiPriority w:val="99"/>
    <w:rsid w:val="00912800"/>
    <w:rPr>
      <w:rFonts w:cs="Times New Roman"/>
      <w:color w:val="0000FF"/>
      <w:u w:val="single"/>
    </w:rPr>
  </w:style>
  <w:style w:type="paragraph" w:styleId="FootnoteText">
    <w:name w:val="footnote text"/>
    <w:basedOn w:val="Normal"/>
    <w:link w:val="FootnoteTextChar"/>
    <w:uiPriority w:val="99"/>
    <w:semiHidden/>
    <w:rsid w:val="00912800"/>
    <w:rPr>
      <w:rFonts w:eastAsia="Calibri"/>
      <w:sz w:val="20"/>
      <w:szCs w:val="20"/>
    </w:rPr>
  </w:style>
  <w:style w:type="character" w:customStyle="1" w:styleId="FootnoteTextChar">
    <w:name w:val="Footnote Text Char"/>
    <w:basedOn w:val="DefaultParagraphFont"/>
    <w:link w:val="FootnoteText"/>
    <w:uiPriority w:val="99"/>
    <w:semiHidden/>
    <w:locked/>
    <w:rsid w:val="00912800"/>
    <w:rPr>
      <w:rFonts w:ascii="Times New Roman" w:hAnsi="Times New Roman" w:cs="Times New Roman"/>
      <w:sz w:val="20"/>
      <w:lang w:val="en-GB"/>
    </w:rPr>
  </w:style>
  <w:style w:type="table" w:customStyle="1" w:styleId="TableGrid1">
    <w:name w:val="Table Grid1"/>
    <w:uiPriority w:val="99"/>
    <w:rsid w:val="00311416"/>
    <w:rPr>
      <w:rFonts w:ascii="Times New Roman" w:hAnsi="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locked/>
    <w:rsid w:val="003114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311416"/>
    <w:rPr>
      <w:rFonts w:ascii="Times New Roman" w:hAnsi="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aliases w:val="正文（首行缩进两字）"/>
    <w:basedOn w:val="Normal"/>
    <w:uiPriority w:val="99"/>
    <w:rsid w:val="00637109"/>
    <w:pPr>
      <w:widowControl w:val="0"/>
      <w:spacing w:after="120" w:line="480" w:lineRule="auto"/>
      <w:ind w:firstLineChars="100" w:firstLine="240"/>
      <w:jc w:val="both"/>
    </w:pPr>
    <w:rPr>
      <w:rFonts w:eastAsia="SimSun"/>
      <w:kern w:val="2"/>
      <w:lang w:eastAsia="zh-CN"/>
    </w:rPr>
  </w:style>
  <w:style w:type="paragraph" w:styleId="ListParagraph">
    <w:name w:val="List Paragraph"/>
    <w:basedOn w:val="Normal"/>
    <w:uiPriority w:val="34"/>
    <w:qFormat/>
    <w:rsid w:val="00D27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1327">
      <w:bodyDiv w:val="1"/>
      <w:marLeft w:val="0"/>
      <w:marRight w:val="0"/>
      <w:marTop w:val="0"/>
      <w:marBottom w:val="0"/>
      <w:divBdr>
        <w:top w:val="none" w:sz="0" w:space="0" w:color="auto"/>
        <w:left w:val="none" w:sz="0" w:space="0" w:color="auto"/>
        <w:bottom w:val="none" w:sz="0" w:space="0" w:color="auto"/>
        <w:right w:val="none" w:sz="0" w:space="0" w:color="auto"/>
      </w:divBdr>
      <w:divsChild>
        <w:div w:id="735130558">
          <w:marLeft w:val="0"/>
          <w:marRight w:val="0"/>
          <w:marTop w:val="0"/>
          <w:marBottom w:val="0"/>
          <w:divBdr>
            <w:top w:val="none" w:sz="0" w:space="0" w:color="auto"/>
            <w:left w:val="none" w:sz="0" w:space="0" w:color="auto"/>
            <w:bottom w:val="none" w:sz="0" w:space="0" w:color="auto"/>
            <w:right w:val="none" w:sz="0" w:space="0" w:color="auto"/>
          </w:divBdr>
        </w:div>
      </w:divsChild>
    </w:div>
    <w:div w:id="893588125">
      <w:marLeft w:val="0"/>
      <w:marRight w:val="0"/>
      <w:marTop w:val="0"/>
      <w:marBottom w:val="0"/>
      <w:divBdr>
        <w:top w:val="none" w:sz="0" w:space="0" w:color="auto"/>
        <w:left w:val="none" w:sz="0" w:space="0" w:color="auto"/>
        <w:bottom w:val="none" w:sz="0" w:space="0" w:color="auto"/>
        <w:right w:val="none" w:sz="0" w:space="0" w:color="auto"/>
      </w:divBdr>
      <w:divsChild>
        <w:div w:id="893588173">
          <w:marLeft w:val="0"/>
          <w:marRight w:val="0"/>
          <w:marTop w:val="0"/>
          <w:marBottom w:val="0"/>
          <w:divBdr>
            <w:top w:val="none" w:sz="0" w:space="0" w:color="auto"/>
            <w:left w:val="none" w:sz="0" w:space="0" w:color="auto"/>
            <w:bottom w:val="none" w:sz="0" w:space="0" w:color="auto"/>
            <w:right w:val="none" w:sz="0" w:space="0" w:color="auto"/>
          </w:divBdr>
          <w:divsChild>
            <w:div w:id="8935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8126">
      <w:marLeft w:val="0"/>
      <w:marRight w:val="0"/>
      <w:marTop w:val="0"/>
      <w:marBottom w:val="0"/>
      <w:divBdr>
        <w:top w:val="none" w:sz="0" w:space="0" w:color="auto"/>
        <w:left w:val="none" w:sz="0" w:space="0" w:color="auto"/>
        <w:bottom w:val="none" w:sz="0" w:space="0" w:color="auto"/>
        <w:right w:val="none" w:sz="0" w:space="0" w:color="auto"/>
      </w:divBdr>
      <w:divsChild>
        <w:div w:id="893588152">
          <w:marLeft w:val="240"/>
          <w:marRight w:val="240"/>
          <w:marTop w:val="240"/>
          <w:marBottom w:val="240"/>
          <w:divBdr>
            <w:top w:val="none" w:sz="0" w:space="0" w:color="auto"/>
            <w:left w:val="none" w:sz="0" w:space="0" w:color="auto"/>
            <w:bottom w:val="none" w:sz="0" w:space="0" w:color="auto"/>
            <w:right w:val="none" w:sz="0" w:space="0" w:color="auto"/>
          </w:divBdr>
          <w:divsChild>
            <w:div w:id="893588143">
              <w:marLeft w:val="0"/>
              <w:marRight w:val="0"/>
              <w:marTop w:val="0"/>
              <w:marBottom w:val="0"/>
              <w:divBdr>
                <w:top w:val="none" w:sz="0" w:space="0" w:color="auto"/>
                <w:left w:val="none" w:sz="0" w:space="0" w:color="auto"/>
                <w:bottom w:val="none" w:sz="0" w:space="0" w:color="auto"/>
                <w:right w:val="none" w:sz="0" w:space="0" w:color="auto"/>
              </w:divBdr>
              <w:divsChild>
                <w:div w:id="8935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8127">
      <w:marLeft w:val="0"/>
      <w:marRight w:val="0"/>
      <w:marTop w:val="0"/>
      <w:marBottom w:val="0"/>
      <w:divBdr>
        <w:top w:val="none" w:sz="0" w:space="0" w:color="auto"/>
        <w:left w:val="none" w:sz="0" w:space="0" w:color="auto"/>
        <w:bottom w:val="none" w:sz="0" w:space="0" w:color="auto"/>
        <w:right w:val="none" w:sz="0" w:space="0" w:color="auto"/>
      </w:divBdr>
      <w:divsChild>
        <w:div w:id="893588158">
          <w:marLeft w:val="0"/>
          <w:marRight w:val="0"/>
          <w:marTop w:val="0"/>
          <w:marBottom w:val="0"/>
          <w:divBdr>
            <w:top w:val="none" w:sz="0" w:space="0" w:color="auto"/>
            <w:left w:val="none" w:sz="0" w:space="0" w:color="auto"/>
            <w:bottom w:val="none" w:sz="0" w:space="0" w:color="auto"/>
            <w:right w:val="none" w:sz="0" w:space="0" w:color="auto"/>
          </w:divBdr>
          <w:divsChild>
            <w:div w:id="893588153">
              <w:marLeft w:val="0"/>
              <w:marRight w:val="0"/>
              <w:marTop w:val="0"/>
              <w:marBottom w:val="0"/>
              <w:divBdr>
                <w:top w:val="none" w:sz="0" w:space="0" w:color="auto"/>
                <w:left w:val="none" w:sz="0" w:space="0" w:color="auto"/>
                <w:bottom w:val="none" w:sz="0" w:space="0" w:color="auto"/>
                <w:right w:val="none" w:sz="0" w:space="0" w:color="auto"/>
              </w:divBdr>
              <w:divsChild>
                <w:div w:id="893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8134">
      <w:marLeft w:val="0"/>
      <w:marRight w:val="0"/>
      <w:marTop w:val="0"/>
      <w:marBottom w:val="0"/>
      <w:divBdr>
        <w:top w:val="none" w:sz="0" w:space="0" w:color="auto"/>
        <w:left w:val="none" w:sz="0" w:space="0" w:color="auto"/>
        <w:bottom w:val="none" w:sz="0" w:space="0" w:color="auto"/>
        <w:right w:val="none" w:sz="0" w:space="0" w:color="auto"/>
      </w:divBdr>
    </w:div>
    <w:div w:id="893588135">
      <w:marLeft w:val="0"/>
      <w:marRight w:val="0"/>
      <w:marTop w:val="0"/>
      <w:marBottom w:val="0"/>
      <w:divBdr>
        <w:top w:val="none" w:sz="0" w:space="0" w:color="auto"/>
        <w:left w:val="none" w:sz="0" w:space="0" w:color="auto"/>
        <w:bottom w:val="none" w:sz="0" w:space="0" w:color="auto"/>
        <w:right w:val="none" w:sz="0" w:space="0" w:color="auto"/>
      </w:divBdr>
    </w:div>
    <w:div w:id="893588136">
      <w:marLeft w:val="0"/>
      <w:marRight w:val="0"/>
      <w:marTop w:val="0"/>
      <w:marBottom w:val="0"/>
      <w:divBdr>
        <w:top w:val="none" w:sz="0" w:space="0" w:color="auto"/>
        <w:left w:val="none" w:sz="0" w:space="0" w:color="auto"/>
        <w:bottom w:val="none" w:sz="0" w:space="0" w:color="auto"/>
        <w:right w:val="none" w:sz="0" w:space="0" w:color="auto"/>
      </w:divBdr>
    </w:div>
    <w:div w:id="893588137">
      <w:marLeft w:val="0"/>
      <w:marRight w:val="0"/>
      <w:marTop w:val="0"/>
      <w:marBottom w:val="0"/>
      <w:divBdr>
        <w:top w:val="none" w:sz="0" w:space="0" w:color="auto"/>
        <w:left w:val="none" w:sz="0" w:space="0" w:color="auto"/>
        <w:bottom w:val="none" w:sz="0" w:space="0" w:color="auto"/>
        <w:right w:val="none" w:sz="0" w:space="0" w:color="auto"/>
      </w:divBdr>
    </w:div>
    <w:div w:id="893588138">
      <w:marLeft w:val="0"/>
      <w:marRight w:val="0"/>
      <w:marTop w:val="0"/>
      <w:marBottom w:val="0"/>
      <w:divBdr>
        <w:top w:val="none" w:sz="0" w:space="0" w:color="auto"/>
        <w:left w:val="none" w:sz="0" w:space="0" w:color="auto"/>
        <w:bottom w:val="none" w:sz="0" w:space="0" w:color="auto"/>
        <w:right w:val="none" w:sz="0" w:space="0" w:color="auto"/>
      </w:divBdr>
    </w:div>
    <w:div w:id="893588139">
      <w:marLeft w:val="0"/>
      <w:marRight w:val="0"/>
      <w:marTop w:val="0"/>
      <w:marBottom w:val="0"/>
      <w:divBdr>
        <w:top w:val="none" w:sz="0" w:space="0" w:color="auto"/>
        <w:left w:val="none" w:sz="0" w:space="0" w:color="auto"/>
        <w:bottom w:val="none" w:sz="0" w:space="0" w:color="auto"/>
        <w:right w:val="none" w:sz="0" w:space="0" w:color="auto"/>
      </w:divBdr>
    </w:div>
    <w:div w:id="893588140">
      <w:marLeft w:val="0"/>
      <w:marRight w:val="0"/>
      <w:marTop w:val="0"/>
      <w:marBottom w:val="0"/>
      <w:divBdr>
        <w:top w:val="none" w:sz="0" w:space="0" w:color="auto"/>
        <w:left w:val="none" w:sz="0" w:space="0" w:color="auto"/>
        <w:bottom w:val="none" w:sz="0" w:space="0" w:color="auto"/>
        <w:right w:val="none" w:sz="0" w:space="0" w:color="auto"/>
      </w:divBdr>
      <w:divsChild>
        <w:div w:id="893588150">
          <w:marLeft w:val="0"/>
          <w:marRight w:val="0"/>
          <w:marTop w:val="0"/>
          <w:marBottom w:val="0"/>
          <w:divBdr>
            <w:top w:val="none" w:sz="0" w:space="0" w:color="auto"/>
            <w:left w:val="none" w:sz="0" w:space="0" w:color="auto"/>
            <w:bottom w:val="none" w:sz="0" w:space="0" w:color="auto"/>
            <w:right w:val="none" w:sz="0" w:space="0" w:color="auto"/>
          </w:divBdr>
          <w:divsChild>
            <w:div w:id="893588159">
              <w:marLeft w:val="0"/>
              <w:marRight w:val="0"/>
              <w:marTop w:val="0"/>
              <w:marBottom w:val="0"/>
              <w:divBdr>
                <w:top w:val="none" w:sz="0" w:space="0" w:color="auto"/>
                <w:left w:val="none" w:sz="0" w:space="0" w:color="auto"/>
                <w:bottom w:val="none" w:sz="0" w:space="0" w:color="auto"/>
                <w:right w:val="none" w:sz="0" w:space="0" w:color="auto"/>
              </w:divBdr>
              <w:divsChild>
                <w:div w:id="8935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8145">
      <w:marLeft w:val="0"/>
      <w:marRight w:val="0"/>
      <w:marTop w:val="0"/>
      <w:marBottom w:val="0"/>
      <w:divBdr>
        <w:top w:val="none" w:sz="0" w:space="0" w:color="auto"/>
        <w:left w:val="none" w:sz="0" w:space="0" w:color="auto"/>
        <w:bottom w:val="none" w:sz="0" w:space="0" w:color="auto"/>
        <w:right w:val="none" w:sz="0" w:space="0" w:color="auto"/>
      </w:divBdr>
      <w:divsChild>
        <w:div w:id="893588128">
          <w:marLeft w:val="0"/>
          <w:marRight w:val="0"/>
          <w:marTop w:val="0"/>
          <w:marBottom w:val="0"/>
          <w:divBdr>
            <w:top w:val="none" w:sz="0" w:space="0" w:color="auto"/>
            <w:left w:val="none" w:sz="0" w:space="0" w:color="auto"/>
            <w:bottom w:val="none" w:sz="0" w:space="0" w:color="auto"/>
            <w:right w:val="none" w:sz="0" w:space="0" w:color="auto"/>
          </w:divBdr>
          <w:divsChild>
            <w:div w:id="893588166">
              <w:marLeft w:val="0"/>
              <w:marRight w:val="0"/>
              <w:marTop w:val="0"/>
              <w:marBottom w:val="0"/>
              <w:divBdr>
                <w:top w:val="none" w:sz="0" w:space="0" w:color="auto"/>
                <w:left w:val="none" w:sz="0" w:space="0" w:color="auto"/>
                <w:bottom w:val="none" w:sz="0" w:space="0" w:color="auto"/>
                <w:right w:val="none" w:sz="0" w:space="0" w:color="auto"/>
              </w:divBdr>
              <w:divsChild>
                <w:div w:id="8935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8146">
      <w:marLeft w:val="0"/>
      <w:marRight w:val="0"/>
      <w:marTop w:val="0"/>
      <w:marBottom w:val="0"/>
      <w:divBdr>
        <w:top w:val="none" w:sz="0" w:space="0" w:color="auto"/>
        <w:left w:val="none" w:sz="0" w:space="0" w:color="auto"/>
        <w:bottom w:val="none" w:sz="0" w:space="0" w:color="auto"/>
        <w:right w:val="none" w:sz="0" w:space="0" w:color="auto"/>
      </w:divBdr>
      <w:divsChild>
        <w:div w:id="893588141">
          <w:marLeft w:val="0"/>
          <w:marRight w:val="0"/>
          <w:marTop w:val="0"/>
          <w:marBottom w:val="0"/>
          <w:divBdr>
            <w:top w:val="none" w:sz="0" w:space="0" w:color="auto"/>
            <w:left w:val="none" w:sz="0" w:space="0" w:color="auto"/>
            <w:bottom w:val="none" w:sz="0" w:space="0" w:color="auto"/>
            <w:right w:val="none" w:sz="0" w:space="0" w:color="auto"/>
          </w:divBdr>
        </w:div>
        <w:div w:id="893588161">
          <w:marLeft w:val="0"/>
          <w:marRight w:val="0"/>
          <w:marTop w:val="0"/>
          <w:marBottom w:val="0"/>
          <w:divBdr>
            <w:top w:val="none" w:sz="0" w:space="0" w:color="auto"/>
            <w:left w:val="none" w:sz="0" w:space="0" w:color="auto"/>
            <w:bottom w:val="none" w:sz="0" w:space="0" w:color="auto"/>
            <w:right w:val="none" w:sz="0" w:space="0" w:color="auto"/>
          </w:divBdr>
        </w:div>
      </w:divsChild>
    </w:div>
    <w:div w:id="893588151">
      <w:marLeft w:val="0"/>
      <w:marRight w:val="0"/>
      <w:marTop w:val="0"/>
      <w:marBottom w:val="0"/>
      <w:divBdr>
        <w:top w:val="none" w:sz="0" w:space="0" w:color="auto"/>
        <w:left w:val="none" w:sz="0" w:space="0" w:color="auto"/>
        <w:bottom w:val="none" w:sz="0" w:space="0" w:color="auto"/>
        <w:right w:val="none" w:sz="0" w:space="0" w:color="auto"/>
      </w:divBdr>
      <w:divsChild>
        <w:div w:id="893588133">
          <w:marLeft w:val="0"/>
          <w:marRight w:val="0"/>
          <w:marTop w:val="0"/>
          <w:marBottom w:val="0"/>
          <w:divBdr>
            <w:top w:val="single" w:sz="2" w:space="0" w:color="DDDDDD"/>
            <w:left w:val="single" w:sz="2" w:space="0" w:color="DDDDDD"/>
            <w:bottom w:val="single" w:sz="2" w:space="0" w:color="DDDDDD"/>
            <w:right w:val="single" w:sz="2" w:space="0" w:color="DDDDDD"/>
          </w:divBdr>
          <w:divsChild>
            <w:div w:id="893588142">
              <w:marLeft w:val="435"/>
              <w:marRight w:val="360"/>
              <w:marTop w:val="375"/>
              <w:marBottom w:val="330"/>
              <w:divBdr>
                <w:top w:val="none" w:sz="0" w:space="0" w:color="auto"/>
                <w:left w:val="none" w:sz="0" w:space="0" w:color="auto"/>
                <w:bottom w:val="none" w:sz="0" w:space="0" w:color="auto"/>
                <w:right w:val="none" w:sz="0" w:space="0" w:color="auto"/>
              </w:divBdr>
              <w:divsChild>
                <w:div w:id="893588130">
                  <w:marLeft w:val="0"/>
                  <w:marRight w:val="0"/>
                  <w:marTop w:val="0"/>
                  <w:marBottom w:val="0"/>
                  <w:divBdr>
                    <w:top w:val="none" w:sz="0" w:space="0" w:color="auto"/>
                    <w:left w:val="none" w:sz="0" w:space="0" w:color="auto"/>
                    <w:bottom w:val="none" w:sz="0" w:space="0" w:color="auto"/>
                    <w:right w:val="none" w:sz="0" w:space="0" w:color="auto"/>
                  </w:divBdr>
                  <w:divsChild>
                    <w:div w:id="893588148">
                      <w:marLeft w:val="0"/>
                      <w:marRight w:val="0"/>
                      <w:marTop w:val="0"/>
                      <w:marBottom w:val="0"/>
                      <w:divBdr>
                        <w:top w:val="none" w:sz="0" w:space="0" w:color="auto"/>
                        <w:left w:val="none" w:sz="0" w:space="0" w:color="auto"/>
                        <w:bottom w:val="none" w:sz="0" w:space="0" w:color="auto"/>
                        <w:right w:val="none" w:sz="0" w:space="0" w:color="auto"/>
                      </w:divBdr>
                      <w:divsChild>
                        <w:div w:id="893588132">
                          <w:marLeft w:val="240"/>
                          <w:marRight w:val="240"/>
                          <w:marTop w:val="240"/>
                          <w:marBottom w:val="240"/>
                          <w:divBdr>
                            <w:top w:val="none" w:sz="0" w:space="0" w:color="auto"/>
                            <w:left w:val="none" w:sz="0" w:space="0" w:color="auto"/>
                            <w:bottom w:val="none" w:sz="0" w:space="0" w:color="auto"/>
                            <w:right w:val="none" w:sz="0" w:space="0" w:color="auto"/>
                          </w:divBdr>
                          <w:divsChild>
                            <w:div w:id="893588167">
                              <w:marLeft w:val="0"/>
                              <w:marRight w:val="0"/>
                              <w:marTop w:val="0"/>
                              <w:marBottom w:val="0"/>
                              <w:divBdr>
                                <w:top w:val="none" w:sz="0" w:space="0" w:color="auto"/>
                                <w:left w:val="none" w:sz="0" w:space="0" w:color="auto"/>
                                <w:bottom w:val="none" w:sz="0" w:space="0" w:color="auto"/>
                                <w:right w:val="none" w:sz="0" w:space="0" w:color="auto"/>
                              </w:divBdr>
                              <w:divsChild>
                                <w:div w:id="8935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8160">
                          <w:marLeft w:val="240"/>
                          <w:marRight w:val="240"/>
                          <w:marTop w:val="240"/>
                          <w:marBottom w:val="240"/>
                          <w:divBdr>
                            <w:top w:val="none" w:sz="0" w:space="0" w:color="auto"/>
                            <w:left w:val="none" w:sz="0" w:space="0" w:color="auto"/>
                            <w:bottom w:val="none" w:sz="0" w:space="0" w:color="auto"/>
                            <w:right w:val="none" w:sz="0" w:space="0" w:color="auto"/>
                          </w:divBdr>
                          <w:divsChild>
                            <w:div w:id="893588165">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88156">
      <w:marLeft w:val="0"/>
      <w:marRight w:val="0"/>
      <w:marTop w:val="0"/>
      <w:marBottom w:val="0"/>
      <w:divBdr>
        <w:top w:val="none" w:sz="0" w:space="0" w:color="auto"/>
        <w:left w:val="none" w:sz="0" w:space="0" w:color="auto"/>
        <w:bottom w:val="none" w:sz="0" w:space="0" w:color="auto"/>
        <w:right w:val="none" w:sz="0" w:space="0" w:color="auto"/>
      </w:divBdr>
    </w:div>
    <w:div w:id="893588162">
      <w:marLeft w:val="0"/>
      <w:marRight w:val="0"/>
      <w:marTop w:val="0"/>
      <w:marBottom w:val="0"/>
      <w:divBdr>
        <w:top w:val="none" w:sz="0" w:space="0" w:color="auto"/>
        <w:left w:val="none" w:sz="0" w:space="0" w:color="auto"/>
        <w:bottom w:val="none" w:sz="0" w:space="0" w:color="auto"/>
        <w:right w:val="none" w:sz="0" w:space="0" w:color="auto"/>
      </w:divBdr>
      <w:divsChild>
        <w:div w:id="893588131">
          <w:marLeft w:val="240"/>
          <w:marRight w:val="240"/>
          <w:marTop w:val="240"/>
          <w:marBottom w:val="240"/>
          <w:divBdr>
            <w:top w:val="none" w:sz="0" w:space="0" w:color="auto"/>
            <w:left w:val="none" w:sz="0" w:space="0" w:color="auto"/>
            <w:bottom w:val="none" w:sz="0" w:space="0" w:color="auto"/>
            <w:right w:val="none" w:sz="0" w:space="0" w:color="auto"/>
          </w:divBdr>
          <w:divsChild>
            <w:div w:id="893588147">
              <w:marLeft w:val="0"/>
              <w:marRight w:val="0"/>
              <w:marTop w:val="0"/>
              <w:marBottom w:val="0"/>
              <w:divBdr>
                <w:top w:val="none" w:sz="0" w:space="0" w:color="auto"/>
                <w:left w:val="none" w:sz="0" w:space="0" w:color="auto"/>
                <w:bottom w:val="none" w:sz="0" w:space="0" w:color="auto"/>
                <w:right w:val="none" w:sz="0" w:space="0" w:color="auto"/>
              </w:divBdr>
              <w:divsChild>
                <w:div w:id="8935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88163">
      <w:marLeft w:val="0"/>
      <w:marRight w:val="0"/>
      <w:marTop w:val="0"/>
      <w:marBottom w:val="0"/>
      <w:divBdr>
        <w:top w:val="none" w:sz="0" w:space="0" w:color="auto"/>
        <w:left w:val="none" w:sz="0" w:space="0" w:color="auto"/>
        <w:bottom w:val="none" w:sz="0" w:space="0" w:color="auto"/>
        <w:right w:val="none" w:sz="0" w:space="0" w:color="auto"/>
      </w:divBdr>
    </w:div>
    <w:div w:id="893588168">
      <w:marLeft w:val="0"/>
      <w:marRight w:val="0"/>
      <w:marTop w:val="0"/>
      <w:marBottom w:val="0"/>
      <w:divBdr>
        <w:top w:val="none" w:sz="0" w:space="0" w:color="auto"/>
        <w:left w:val="none" w:sz="0" w:space="0" w:color="auto"/>
        <w:bottom w:val="none" w:sz="0" w:space="0" w:color="auto"/>
        <w:right w:val="none" w:sz="0" w:space="0" w:color="auto"/>
      </w:divBdr>
    </w:div>
    <w:div w:id="893588169">
      <w:marLeft w:val="0"/>
      <w:marRight w:val="0"/>
      <w:marTop w:val="0"/>
      <w:marBottom w:val="0"/>
      <w:divBdr>
        <w:top w:val="none" w:sz="0" w:space="0" w:color="auto"/>
        <w:left w:val="none" w:sz="0" w:space="0" w:color="auto"/>
        <w:bottom w:val="none" w:sz="0" w:space="0" w:color="auto"/>
        <w:right w:val="none" w:sz="0" w:space="0" w:color="auto"/>
      </w:divBdr>
    </w:div>
    <w:div w:id="893588171">
      <w:marLeft w:val="0"/>
      <w:marRight w:val="0"/>
      <w:marTop w:val="0"/>
      <w:marBottom w:val="0"/>
      <w:divBdr>
        <w:top w:val="none" w:sz="0" w:space="0" w:color="auto"/>
        <w:left w:val="none" w:sz="0" w:space="0" w:color="auto"/>
        <w:bottom w:val="none" w:sz="0" w:space="0" w:color="auto"/>
        <w:right w:val="none" w:sz="0" w:space="0" w:color="auto"/>
      </w:divBdr>
    </w:div>
    <w:div w:id="893588172">
      <w:marLeft w:val="0"/>
      <w:marRight w:val="0"/>
      <w:marTop w:val="0"/>
      <w:marBottom w:val="0"/>
      <w:divBdr>
        <w:top w:val="none" w:sz="0" w:space="0" w:color="auto"/>
        <w:left w:val="none" w:sz="0" w:space="0" w:color="auto"/>
        <w:bottom w:val="none" w:sz="0" w:space="0" w:color="auto"/>
        <w:right w:val="none" w:sz="0" w:space="0" w:color="auto"/>
      </w:divBdr>
    </w:div>
    <w:div w:id="893588174">
      <w:marLeft w:val="0"/>
      <w:marRight w:val="0"/>
      <w:marTop w:val="0"/>
      <w:marBottom w:val="0"/>
      <w:divBdr>
        <w:top w:val="none" w:sz="0" w:space="0" w:color="auto"/>
        <w:left w:val="none" w:sz="0" w:space="0" w:color="auto"/>
        <w:bottom w:val="none" w:sz="0" w:space="0" w:color="auto"/>
        <w:right w:val="none" w:sz="0" w:space="0" w:color="auto"/>
      </w:divBdr>
    </w:div>
    <w:div w:id="1206211822">
      <w:bodyDiv w:val="1"/>
      <w:marLeft w:val="0"/>
      <w:marRight w:val="0"/>
      <w:marTop w:val="0"/>
      <w:marBottom w:val="0"/>
      <w:divBdr>
        <w:top w:val="none" w:sz="0" w:space="0" w:color="auto"/>
        <w:left w:val="none" w:sz="0" w:space="0" w:color="auto"/>
        <w:bottom w:val="none" w:sz="0" w:space="0" w:color="auto"/>
        <w:right w:val="none" w:sz="0" w:space="0" w:color="auto"/>
      </w:divBdr>
      <w:divsChild>
        <w:div w:id="21123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survey.or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ecdbookshop.org/oecd/display.asp?sf1=identifiers&amp;st1=852008021P1" TargetMode="External"/><Relationship Id="rId4" Type="http://schemas.openxmlformats.org/officeDocument/2006/relationships/settings" Target="settings.xml"/><Relationship Id="rId9" Type="http://schemas.openxmlformats.org/officeDocument/2006/relationships/hyperlink" Target="http://www.geert-hofstede.com/geert_hofstede_resources.s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992D-C89E-4208-AFDA-B76E0BB1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54</Pages>
  <Words>16626</Words>
  <Characters>94795</Characters>
  <Application>Microsoft Office Word</Application>
  <DocSecurity>0</DocSecurity>
  <Lines>789</Lines>
  <Paragraphs>222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ENTREPRENEURIAL ORIENTATION AND EXPORT CHANNEL SELECTION</vt:lpstr>
      <vt:lpstr>ENTREPRENEURIAL ORIENTATION AND EXPORT CHANNEL SELECTION</vt:lpstr>
    </vt:vector>
  </TitlesOfParts>
  <Company>University of Groningen</Company>
  <LinksUpToDate>false</LinksUpToDate>
  <CharactersWithSpaces>111199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ENTREPRENEURIAL ORIENTATION AND EXPORT CHANNEL SELECTION</dc:title>
  <dc:creator>I. Kalinic</dc:creator>
  <cp:lastModifiedBy>Brouthers, Keith</cp:lastModifiedBy>
  <cp:revision>10</cp:revision>
  <cp:lastPrinted>2016-02-19T09:03:00Z</cp:lastPrinted>
  <dcterms:created xsi:type="dcterms:W3CDTF">2021-07-14T10:40:00Z</dcterms:created>
  <dcterms:modified xsi:type="dcterms:W3CDTF">2021-07-15T07:35:00Z</dcterms:modified>
</cp:coreProperties>
</file>