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C20959" w:rsidRDefault="00FA1AA2">
      <w:pPr>
        <w:spacing w:line="360" w:lineRule="auto"/>
        <w:rPr>
          <w:b/>
          <w:sz w:val="24"/>
          <w:szCs w:val="24"/>
        </w:rPr>
      </w:pPr>
      <w:r>
        <w:rPr>
          <w:b/>
          <w:sz w:val="24"/>
          <w:szCs w:val="24"/>
        </w:rPr>
        <w:t>Title: Age and sex-related variability in the presentation of generalised anxiety and depression symptoms</w:t>
      </w:r>
    </w:p>
    <w:p w14:paraId="00000002" w14:textId="77777777" w:rsidR="00C20959" w:rsidRDefault="00FA1AA2">
      <w:pPr>
        <w:spacing w:line="360" w:lineRule="auto"/>
      </w:pPr>
      <w:r>
        <w:t>Short running title: Age and sex variability in GAD and MDD</w:t>
      </w:r>
    </w:p>
    <w:p w14:paraId="00000003" w14:textId="1864266E" w:rsidR="00C20959" w:rsidRDefault="00FA1AA2">
      <w:pPr>
        <w:spacing w:line="360" w:lineRule="auto"/>
      </w:pPr>
      <w:r>
        <w:t>Abstract: 1</w:t>
      </w:r>
      <w:r w:rsidR="000D5829">
        <w:t>82</w:t>
      </w:r>
      <w:r>
        <w:t xml:space="preserve"> words</w:t>
      </w:r>
    </w:p>
    <w:p w14:paraId="00000004" w14:textId="4C775239" w:rsidR="00C20959" w:rsidRDefault="00FA1AA2">
      <w:pPr>
        <w:spacing w:line="360" w:lineRule="auto"/>
      </w:pPr>
      <w:r>
        <w:t xml:space="preserve">Word count: </w:t>
      </w:r>
      <w:r w:rsidR="000D5829">
        <w:t>3741</w:t>
      </w:r>
    </w:p>
    <w:p w14:paraId="00000005" w14:textId="77777777" w:rsidR="00C20959" w:rsidRDefault="00FA1AA2">
      <w:pPr>
        <w:spacing w:line="360" w:lineRule="auto"/>
      </w:pPr>
      <w:r>
        <w:t>3 Tables, 2 Figures, 1 Supplementary material</w:t>
      </w:r>
    </w:p>
    <w:p w14:paraId="00000006" w14:textId="77777777" w:rsidR="00C20959" w:rsidRDefault="00FA1AA2">
      <w:pPr>
        <w:spacing w:line="360" w:lineRule="auto"/>
        <w:rPr>
          <w:vertAlign w:val="superscript"/>
        </w:rPr>
      </w:pPr>
      <w:r>
        <w:t>Katherine N. Thompson</w:t>
      </w:r>
      <w:r>
        <w:rPr>
          <w:vertAlign w:val="superscript"/>
        </w:rPr>
        <w:t>1(</w:t>
      </w:r>
      <w:r>
        <w:rPr>
          <w:highlight w:val="white"/>
          <w:vertAlign w:val="superscript"/>
        </w:rPr>
        <w:t>orcid.org/0000-0003-1818-0428)</w:t>
      </w:r>
      <w:r>
        <w:rPr>
          <w:vertAlign w:val="superscript"/>
        </w:rPr>
        <w:t>,</w:t>
      </w:r>
      <w:r>
        <w:t>, Christopher Hübel</w:t>
      </w:r>
      <w:r>
        <w:rPr>
          <w:vertAlign w:val="superscript"/>
        </w:rPr>
        <w:t>1-4(</w:t>
      </w:r>
      <w:hyperlink r:id="rId9">
        <w:r>
          <w:rPr>
            <w:highlight w:val="white"/>
            <w:vertAlign w:val="superscript"/>
          </w:rPr>
          <w:t>orcid.org/0000-0002-1267-8287</w:t>
        </w:r>
      </w:hyperlink>
      <w:r>
        <w:rPr>
          <w:vertAlign w:val="superscript"/>
        </w:rPr>
        <w:t>)</w:t>
      </w:r>
      <w:r>
        <w:t>, Rosa Cheesman</w:t>
      </w:r>
      <w:r>
        <w:rPr>
          <w:vertAlign w:val="superscript"/>
        </w:rPr>
        <w:t>1,9(orcid.org/0000-0002-6543-0402)</w:t>
      </w:r>
      <w:r>
        <w:t>, Brett N. Adey</w:t>
      </w:r>
      <w:r>
        <w:rPr>
          <w:vertAlign w:val="superscript"/>
        </w:rPr>
        <w:t>1(orcid.org/0000-0003-4356-4079)</w:t>
      </w:r>
      <w:r>
        <w:t xml:space="preserve">, </w:t>
      </w:r>
      <w:proofErr w:type="spellStart"/>
      <w:r>
        <w:t>Chérie</w:t>
      </w:r>
      <w:proofErr w:type="spellEnd"/>
      <w:r>
        <w:t xml:space="preserve"> Armour</w:t>
      </w:r>
      <w:r>
        <w:rPr>
          <w:vertAlign w:val="superscript"/>
        </w:rPr>
        <w:t xml:space="preserve">6(orcid.org/0000-0001-7649-3874) </w:t>
      </w:r>
      <w:r>
        <w:t>, Molly R. Davies</w:t>
      </w:r>
      <w:r>
        <w:rPr>
          <w:vertAlign w:val="superscript"/>
        </w:rPr>
        <w:t>1,2(</w:t>
      </w:r>
      <w:r>
        <w:rPr>
          <w:highlight w:val="white"/>
          <w:vertAlign w:val="superscript"/>
        </w:rPr>
        <w:t>orcid.org/0000-0003-3483-9907)</w:t>
      </w:r>
      <w:r>
        <w:t>, Matthew Hotopf</w:t>
      </w:r>
      <w:r>
        <w:rPr>
          <w:vertAlign w:val="superscript"/>
        </w:rPr>
        <w:t>1,2,5 (orcid.org/0000-0002-3980-4466)</w:t>
      </w:r>
      <w:r>
        <w:t>, Ian R. Jones</w:t>
      </w:r>
      <w:r>
        <w:rPr>
          <w:vertAlign w:val="superscript"/>
        </w:rPr>
        <w:t>7(orcid.org/0000-0001-5821-5889)</w:t>
      </w:r>
      <w:r>
        <w:t xml:space="preserve">, </w:t>
      </w:r>
      <w:proofErr w:type="spellStart"/>
      <w:r>
        <w:t>Gursharan</w:t>
      </w:r>
      <w:proofErr w:type="spellEnd"/>
      <w:r>
        <w:t xml:space="preserve"> Kalsi</w:t>
      </w:r>
      <w:r>
        <w:rPr>
          <w:vertAlign w:val="superscript"/>
        </w:rPr>
        <w:t>1,2(</w:t>
      </w:r>
      <w:r>
        <w:rPr>
          <w:highlight w:val="white"/>
          <w:vertAlign w:val="superscript"/>
        </w:rPr>
        <w:t>orcid.org/0000-0002-5156-7176</w:t>
      </w:r>
      <w:r>
        <w:rPr>
          <w:color w:val="494A4C"/>
          <w:highlight w:val="white"/>
          <w:vertAlign w:val="superscript"/>
        </w:rPr>
        <w:t>)</w:t>
      </w:r>
      <w:r>
        <w:t>, Andrew M. McIntosh</w:t>
      </w:r>
      <w:r>
        <w:rPr>
          <w:vertAlign w:val="superscript"/>
        </w:rPr>
        <w:t>8 (orcid.org/0000-0002-0198-4588)</w:t>
      </w:r>
      <w:r>
        <w:t>, Dina Monssen</w:t>
      </w:r>
      <w:r>
        <w:rPr>
          <w:vertAlign w:val="superscript"/>
        </w:rPr>
        <w:t>1,2(orcid.org/</w:t>
      </w:r>
      <w:r>
        <w:rPr>
          <w:highlight w:val="white"/>
          <w:vertAlign w:val="superscript"/>
        </w:rPr>
        <w:t>0000-0003-0080-0799</w:t>
      </w:r>
      <w:r>
        <w:rPr>
          <w:color w:val="494A4C"/>
          <w:highlight w:val="white"/>
          <w:vertAlign w:val="superscript"/>
        </w:rPr>
        <w:t>)</w:t>
      </w:r>
      <w:r>
        <w:t>, Alicia J. Peel</w:t>
      </w:r>
      <w:r>
        <w:rPr>
          <w:vertAlign w:val="superscript"/>
        </w:rPr>
        <w:t>1(orcid.org/0000-0002-6144-5412)</w:t>
      </w:r>
      <w:r>
        <w:t>, Henry C. Rogers</w:t>
      </w:r>
      <w:r>
        <w:rPr>
          <w:vertAlign w:val="superscript"/>
        </w:rPr>
        <w:t>1,2(</w:t>
      </w:r>
      <w:r>
        <w:rPr>
          <w:highlight w:val="white"/>
          <w:vertAlign w:val="superscript"/>
        </w:rPr>
        <w:t>orcid.org/0000-0003-2531-7496)</w:t>
      </w:r>
      <w:r>
        <w:t>, Megan Skelton</w:t>
      </w:r>
      <w:r>
        <w:rPr>
          <w:vertAlign w:val="superscript"/>
        </w:rPr>
        <w:t>1,2(orcid.org/0000-0002-7619-349X)</w:t>
      </w:r>
      <w:r>
        <w:t>, Daniel J. Smith</w:t>
      </w:r>
      <w:r>
        <w:rPr>
          <w:vertAlign w:val="superscript"/>
        </w:rPr>
        <w:t>10 (orcid.org/0000-0002-2267-1951)</w:t>
      </w:r>
      <w:r>
        <w:t>, James T. R. Walters</w:t>
      </w:r>
      <w:r>
        <w:rPr>
          <w:vertAlign w:val="superscript"/>
        </w:rPr>
        <w:t>7(orcid.org/0000-0002-6980-4053)</w:t>
      </w:r>
      <w:r>
        <w:t>, Gerome Breen</w:t>
      </w:r>
      <w:r>
        <w:rPr>
          <w:vertAlign w:val="superscript"/>
        </w:rPr>
        <w:t>1,2 (</w:t>
      </w:r>
      <w:hyperlink r:id="rId10">
        <w:r>
          <w:rPr>
            <w:color w:val="1155CC"/>
            <w:vertAlign w:val="superscript"/>
          </w:rPr>
          <w:t>orcid.org/0000-0003-2053-1792</w:t>
        </w:r>
      </w:hyperlink>
      <w:r>
        <w:rPr>
          <w:vertAlign w:val="superscript"/>
        </w:rPr>
        <w:t>)</w:t>
      </w:r>
      <w:r>
        <w:t>, Thalia C. Eley</w:t>
      </w:r>
      <w:r>
        <w:rPr>
          <w:vertAlign w:val="superscript"/>
        </w:rPr>
        <w:t>1,2 (</w:t>
      </w:r>
      <w:hyperlink r:id="rId11">
        <w:r>
          <w:rPr>
            <w:color w:val="1155CC"/>
            <w:vertAlign w:val="superscript"/>
          </w:rPr>
          <w:t>orcid.org/0000-0001-6458-0700</w:t>
        </w:r>
      </w:hyperlink>
      <w:r>
        <w:rPr>
          <w:vertAlign w:val="superscript"/>
        </w:rPr>
        <w:t>)</w:t>
      </w:r>
    </w:p>
    <w:p w14:paraId="00000007" w14:textId="77777777" w:rsidR="00C20959" w:rsidRDefault="00FA1AA2">
      <w:pPr>
        <w:spacing w:line="276" w:lineRule="auto"/>
        <w:rPr>
          <w:sz w:val="18"/>
          <w:szCs w:val="18"/>
        </w:rPr>
      </w:pPr>
      <w:r>
        <w:rPr>
          <w:sz w:val="18"/>
          <w:szCs w:val="18"/>
          <w:vertAlign w:val="superscript"/>
        </w:rPr>
        <w:t xml:space="preserve">1 </w:t>
      </w:r>
      <w:r>
        <w:rPr>
          <w:sz w:val="18"/>
          <w:szCs w:val="18"/>
        </w:rPr>
        <w:t>Institute of Psychiatry, Psychology and Neuroscience, King's College London, Denmark Hill, Camberwell, London, UK</w:t>
      </w:r>
    </w:p>
    <w:p w14:paraId="00000008" w14:textId="77777777" w:rsidR="00C20959" w:rsidRDefault="00FA1AA2">
      <w:pPr>
        <w:spacing w:line="276" w:lineRule="auto"/>
        <w:rPr>
          <w:sz w:val="18"/>
          <w:szCs w:val="18"/>
        </w:rPr>
      </w:pPr>
      <w:r>
        <w:rPr>
          <w:sz w:val="18"/>
          <w:szCs w:val="18"/>
          <w:vertAlign w:val="superscript"/>
        </w:rPr>
        <w:t xml:space="preserve">2 </w:t>
      </w:r>
      <w:r>
        <w:rPr>
          <w:sz w:val="18"/>
          <w:szCs w:val="18"/>
        </w:rPr>
        <w:t>UK National Institute for Health Research (NIHR) Biomedical Research Centre for Mental Health, South London and Maudsley Hospital, London, UK</w:t>
      </w:r>
    </w:p>
    <w:p w14:paraId="00000009" w14:textId="77777777" w:rsidR="00C20959" w:rsidRDefault="00FA1AA2">
      <w:pPr>
        <w:spacing w:line="276" w:lineRule="auto"/>
        <w:rPr>
          <w:sz w:val="18"/>
          <w:szCs w:val="18"/>
        </w:rPr>
      </w:pPr>
      <w:r>
        <w:rPr>
          <w:sz w:val="18"/>
          <w:szCs w:val="18"/>
          <w:vertAlign w:val="superscript"/>
        </w:rPr>
        <w:t xml:space="preserve">3 </w:t>
      </w:r>
      <w:r>
        <w:rPr>
          <w:sz w:val="18"/>
          <w:szCs w:val="18"/>
        </w:rPr>
        <w:t>National Centre for Register-based Research, Department of Economics and Business Economics, Aarhus University, Aarhus, Denmark</w:t>
      </w:r>
    </w:p>
    <w:p w14:paraId="0000000A" w14:textId="77777777" w:rsidR="00C20959" w:rsidRDefault="00FA1AA2">
      <w:pPr>
        <w:spacing w:line="276" w:lineRule="auto"/>
        <w:rPr>
          <w:sz w:val="18"/>
          <w:szCs w:val="18"/>
        </w:rPr>
      </w:pPr>
      <w:r>
        <w:rPr>
          <w:sz w:val="18"/>
          <w:szCs w:val="18"/>
          <w:vertAlign w:val="superscript"/>
        </w:rPr>
        <w:t xml:space="preserve">4 </w:t>
      </w:r>
      <w:r>
        <w:rPr>
          <w:sz w:val="18"/>
          <w:szCs w:val="18"/>
        </w:rPr>
        <w:t xml:space="preserve">Department of Medical Epidemiology and Biostatistics, Karolinska </w:t>
      </w:r>
      <w:proofErr w:type="spellStart"/>
      <w:r>
        <w:rPr>
          <w:sz w:val="18"/>
          <w:szCs w:val="18"/>
        </w:rPr>
        <w:t>Institutet</w:t>
      </w:r>
      <w:proofErr w:type="spellEnd"/>
      <w:r>
        <w:rPr>
          <w:sz w:val="18"/>
          <w:szCs w:val="18"/>
        </w:rPr>
        <w:t>, Stockholm, Sweden</w:t>
      </w:r>
    </w:p>
    <w:p w14:paraId="0000000B" w14:textId="77777777" w:rsidR="00C20959" w:rsidRDefault="00FA1AA2">
      <w:pPr>
        <w:spacing w:line="276" w:lineRule="auto"/>
        <w:rPr>
          <w:sz w:val="18"/>
          <w:szCs w:val="18"/>
        </w:rPr>
      </w:pPr>
      <w:r>
        <w:rPr>
          <w:sz w:val="18"/>
          <w:szCs w:val="18"/>
          <w:vertAlign w:val="superscript"/>
        </w:rPr>
        <w:t xml:space="preserve">5 </w:t>
      </w:r>
      <w:r>
        <w:rPr>
          <w:sz w:val="18"/>
          <w:szCs w:val="18"/>
        </w:rPr>
        <w:t>South London and Maudsley NHS Foundation Trust, Denmark Hill, Camberwell, London, UK</w:t>
      </w:r>
    </w:p>
    <w:p w14:paraId="0000000C" w14:textId="77777777" w:rsidR="00C20959" w:rsidRDefault="00FA1AA2">
      <w:pPr>
        <w:spacing w:line="276" w:lineRule="auto"/>
        <w:rPr>
          <w:sz w:val="18"/>
          <w:szCs w:val="18"/>
        </w:rPr>
      </w:pPr>
      <w:r>
        <w:rPr>
          <w:sz w:val="18"/>
          <w:szCs w:val="18"/>
          <w:vertAlign w:val="superscript"/>
        </w:rPr>
        <w:t xml:space="preserve">6 </w:t>
      </w:r>
      <w:r>
        <w:rPr>
          <w:sz w:val="18"/>
          <w:szCs w:val="18"/>
        </w:rPr>
        <w:t xml:space="preserve">Stress, Trauma &amp; Related Conditions (STARC) research lab, School of Psychology, Queen’s University Belfast, UK </w:t>
      </w:r>
    </w:p>
    <w:p w14:paraId="0000000D" w14:textId="77777777" w:rsidR="00C20959" w:rsidRDefault="00FA1AA2">
      <w:pPr>
        <w:spacing w:line="276" w:lineRule="auto"/>
        <w:rPr>
          <w:sz w:val="18"/>
          <w:szCs w:val="18"/>
        </w:rPr>
      </w:pPr>
      <w:r>
        <w:rPr>
          <w:sz w:val="18"/>
          <w:szCs w:val="18"/>
          <w:vertAlign w:val="superscript"/>
        </w:rPr>
        <w:t xml:space="preserve">7 </w:t>
      </w:r>
      <w:r>
        <w:rPr>
          <w:sz w:val="18"/>
          <w:szCs w:val="18"/>
        </w:rPr>
        <w:t>National Centre for Mental Health, Division of Psychiatry and Clinical Neuroscience, Cardiff University, Cardiff, UK</w:t>
      </w:r>
    </w:p>
    <w:p w14:paraId="0000000E" w14:textId="77777777" w:rsidR="00C20959" w:rsidRDefault="00FA1AA2">
      <w:pPr>
        <w:spacing w:line="276" w:lineRule="auto"/>
        <w:rPr>
          <w:sz w:val="18"/>
          <w:szCs w:val="18"/>
        </w:rPr>
      </w:pPr>
      <w:r>
        <w:rPr>
          <w:sz w:val="18"/>
          <w:szCs w:val="18"/>
          <w:vertAlign w:val="superscript"/>
        </w:rPr>
        <w:t xml:space="preserve">8 </w:t>
      </w:r>
      <w:r>
        <w:rPr>
          <w:sz w:val="18"/>
          <w:szCs w:val="18"/>
        </w:rPr>
        <w:t>Division of Psychiatry, Centre for Clinical Brain Sciences, University of Edinburgh, Edinburgh, UK</w:t>
      </w:r>
    </w:p>
    <w:p w14:paraId="0000000F" w14:textId="77777777" w:rsidR="00C20959" w:rsidRDefault="00FA1AA2">
      <w:pPr>
        <w:spacing w:line="276" w:lineRule="auto"/>
        <w:rPr>
          <w:sz w:val="18"/>
          <w:szCs w:val="18"/>
        </w:rPr>
      </w:pPr>
      <w:r>
        <w:rPr>
          <w:sz w:val="18"/>
          <w:szCs w:val="18"/>
          <w:vertAlign w:val="superscript"/>
        </w:rPr>
        <w:t xml:space="preserve">9 </w:t>
      </w:r>
      <w:r>
        <w:rPr>
          <w:sz w:val="18"/>
          <w:szCs w:val="18"/>
        </w:rPr>
        <w:t xml:space="preserve">PROMENTA Research </w:t>
      </w:r>
      <w:proofErr w:type="spellStart"/>
      <w:r>
        <w:rPr>
          <w:sz w:val="18"/>
          <w:szCs w:val="18"/>
        </w:rPr>
        <w:t>Center</w:t>
      </w:r>
      <w:proofErr w:type="spellEnd"/>
      <w:r>
        <w:rPr>
          <w:sz w:val="18"/>
          <w:szCs w:val="18"/>
        </w:rPr>
        <w:t>, Department of Psychology, University of Oslo, Oslo, Norway</w:t>
      </w:r>
    </w:p>
    <w:p w14:paraId="00000010" w14:textId="77777777" w:rsidR="00C20959" w:rsidRDefault="00FA1AA2">
      <w:pPr>
        <w:spacing w:line="276" w:lineRule="auto"/>
        <w:rPr>
          <w:rFonts w:ascii="Times New Roman" w:eastAsia="Times New Roman" w:hAnsi="Times New Roman" w:cs="Times New Roman"/>
          <w:sz w:val="18"/>
          <w:szCs w:val="18"/>
        </w:rPr>
      </w:pPr>
      <w:r>
        <w:rPr>
          <w:sz w:val="18"/>
          <w:szCs w:val="18"/>
          <w:vertAlign w:val="superscript"/>
        </w:rPr>
        <w:t xml:space="preserve">10 </w:t>
      </w:r>
      <w:r>
        <w:rPr>
          <w:sz w:val="18"/>
          <w:szCs w:val="18"/>
        </w:rPr>
        <w:t>Institute of Health and Wellbeing, University of Glasgow, Glasgow, UK</w:t>
      </w:r>
    </w:p>
    <w:p w14:paraId="00000011" w14:textId="77777777" w:rsidR="00C20959" w:rsidRDefault="00C20959">
      <w:pPr>
        <w:widowControl w:val="0"/>
        <w:rPr>
          <w:b/>
        </w:rPr>
      </w:pPr>
    </w:p>
    <w:p w14:paraId="00000012" w14:textId="77777777" w:rsidR="00C20959" w:rsidRDefault="00C20959">
      <w:pPr>
        <w:widowControl w:val="0"/>
        <w:rPr>
          <w:b/>
        </w:rPr>
      </w:pPr>
    </w:p>
    <w:p w14:paraId="00000013" w14:textId="77777777" w:rsidR="00C20959" w:rsidRDefault="00C20959">
      <w:pPr>
        <w:widowControl w:val="0"/>
        <w:rPr>
          <w:b/>
        </w:rPr>
      </w:pPr>
    </w:p>
    <w:p w14:paraId="00000014" w14:textId="77777777" w:rsidR="00C20959" w:rsidRDefault="00FA1AA2">
      <w:pPr>
        <w:widowControl w:val="0"/>
      </w:pPr>
      <w:r>
        <w:rPr>
          <w:b/>
        </w:rPr>
        <w:lastRenderedPageBreak/>
        <w:t>Corresponding author:</w:t>
      </w:r>
      <w:r>
        <w:t xml:space="preserve"> Prof. Thalia Eley (</w:t>
      </w:r>
      <w:r>
        <w:rPr>
          <w:color w:val="1155CC"/>
        </w:rPr>
        <w:t>thalia.eley@kcl.ac.uk</w:t>
      </w:r>
      <w:r>
        <w:t>, +442078480863), Social, Genetic and Developmental Psychiatry Centre, Institute of Psychiatry, Psychology &amp; Neuroscience, King’s College London, London, SE5 8AF, UK.</w:t>
      </w:r>
    </w:p>
    <w:p w14:paraId="00000015" w14:textId="77777777" w:rsidR="00C20959" w:rsidRDefault="00C20959">
      <w:pPr>
        <w:widowControl w:val="0"/>
        <w:rPr>
          <w:b/>
          <w:color w:val="000000"/>
        </w:rPr>
      </w:pPr>
    </w:p>
    <w:p w14:paraId="00000016" w14:textId="77777777" w:rsidR="00C20959" w:rsidRDefault="00FA1AA2">
      <w:pPr>
        <w:widowControl w:val="0"/>
        <w:rPr>
          <w:b/>
          <w:color w:val="000000"/>
        </w:rPr>
      </w:pPr>
      <w:r>
        <w:rPr>
          <w:b/>
          <w:color w:val="000000"/>
        </w:rPr>
        <w:t>Declaration of competing interest</w:t>
      </w:r>
    </w:p>
    <w:p w14:paraId="00000017" w14:textId="77777777" w:rsidR="00C20959" w:rsidRDefault="00FA1AA2">
      <w:pPr>
        <w:widowControl w:val="0"/>
      </w:pPr>
      <w:r>
        <w:t xml:space="preserve">Prof Breen has received honoraria, research or conference grants and consulting fees from Illumina, Otsuka, and COMPASS Pathfinder Ltd. Prof </w:t>
      </w:r>
      <w:proofErr w:type="spellStart"/>
      <w:r>
        <w:t>Hotopf</w:t>
      </w:r>
      <w:proofErr w:type="spellEnd"/>
      <w:r>
        <w:t xml:space="preserve"> is principal investigator of the RADAR-CNS consortium, an IMI public private partnership, and as such receives research funding from Janssen, UCB, Biogen, Lundbeck and MSD. Prof McIntosh has received research support from Eli Lilly, Janssen, and the Sackler Foundation, and has also received speaker fees from Illumina and Janssen. Prof Walters has received grant funding from Takeda for work unrelated to the GLAD Study. The remaining authors have nothing to disclose.</w:t>
      </w:r>
    </w:p>
    <w:p w14:paraId="00000018" w14:textId="77777777" w:rsidR="00C20959" w:rsidRDefault="00C20959">
      <w:pPr>
        <w:widowControl w:val="0"/>
      </w:pPr>
    </w:p>
    <w:p w14:paraId="00000019" w14:textId="77777777" w:rsidR="00C20959" w:rsidRDefault="00FA1AA2">
      <w:pPr>
        <w:widowControl w:val="0"/>
        <w:rPr>
          <w:b/>
        </w:rPr>
      </w:pPr>
      <w:r>
        <w:rPr>
          <w:b/>
        </w:rPr>
        <w:t>Acknowledgements</w:t>
      </w:r>
    </w:p>
    <w:p w14:paraId="0000001A" w14:textId="77777777" w:rsidR="00C20959" w:rsidRDefault="00FA1AA2">
      <w:pPr>
        <w:widowControl w:val="0"/>
      </w:pPr>
      <w:r>
        <w:t>We thank the GLAD Study and NIHR BioResource volunteers for their participation, and gratefully acknowledge the NIHR BioResource centres, NHS Trusts and staff for their contribution. We thank the National Institute for Health Research, NHS Blood and Transplant, and Health Data Research UK as part of the Digital Innovation Hub Programme. This study presents independent research funded by the NIHR Biomedical Research Centre at South London and Maudsley NHS Foundation Trust and King’s College London. Further information can be found at </w:t>
      </w:r>
      <w:hyperlink r:id="rId12">
        <w:r>
          <w:rPr>
            <w:color w:val="0000FF"/>
            <w:u w:val="single"/>
          </w:rPr>
          <w:t>http://brc.slam.nhs.uk/about/core-facilities/bioresource</w:t>
        </w:r>
      </w:hyperlink>
      <w:r>
        <w:t>. The views expressed are those of the authors and not necessarily those of the NHS, NIHR, HSC R&amp;D Division, Department of Health and Social Care.</w:t>
      </w:r>
    </w:p>
    <w:p w14:paraId="0000001B" w14:textId="77777777" w:rsidR="00C20959" w:rsidRDefault="00C20959">
      <w:pPr>
        <w:widowControl w:val="0"/>
        <w:rPr>
          <w:b/>
        </w:rPr>
      </w:pPr>
    </w:p>
    <w:p w14:paraId="0000001C" w14:textId="77777777" w:rsidR="00C20959" w:rsidRDefault="00FA1AA2">
      <w:pPr>
        <w:widowControl w:val="0"/>
        <w:rPr>
          <w:b/>
        </w:rPr>
      </w:pPr>
      <w:r>
        <w:rPr>
          <w:b/>
        </w:rPr>
        <w:t>Funding</w:t>
      </w:r>
    </w:p>
    <w:p w14:paraId="0000001D" w14:textId="77777777" w:rsidR="00C20959" w:rsidRDefault="00FA1AA2">
      <w:pPr>
        <w:widowControl w:val="0"/>
      </w:pPr>
      <w:r>
        <w:t>This work was supported by the National Institute of Health Research (NIHR) BioResource [RG94028, RG85445], NIHR Biomedical Research Centre [IS-BRC-1215-20018], HSC R&amp;D Division, Public Health Agency [COM/5516/18], MRC Mental Health Data Pathfinder Award (MC_PC_17,217), and the National Centre for Mental Health funding through Health and Care Research Wales. Prof Eley and Dr Breen are part-funded by a program grant from the UK Medical Research Council (</w:t>
      </w:r>
      <w:r>
        <w:rPr>
          <w:rFonts w:ascii="Calibri" w:eastAsia="Calibri" w:hAnsi="Calibri" w:cs="Calibri"/>
          <w:sz w:val="22"/>
          <w:szCs w:val="22"/>
        </w:rPr>
        <w:t>MR/V012878/1</w:t>
      </w:r>
      <w:r>
        <w:t xml:space="preserve">). Dr </w:t>
      </w:r>
      <w:proofErr w:type="spellStart"/>
      <w:r>
        <w:t>Hübel</w:t>
      </w:r>
      <w:proofErr w:type="spellEnd"/>
      <w:r>
        <w:t xml:space="preserve"> acknowledges funding from </w:t>
      </w:r>
      <w:proofErr w:type="spellStart"/>
      <w:r>
        <w:t>Lundbeckfonden</w:t>
      </w:r>
      <w:proofErr w:type="spellEnd"/>
      <w:r>
        <w:t xml:space="preserve"> (R276-2018-4581).</w:t>
      </w:r>
    </w:p>
    <w:p w14:paraId="0000001E" w14:textId="77777777" w:rsidR="00C20959" w:rsidRDefault="00C20959">
      <w:pPr>
        <w:widowControl w:val="0"/>
      </w:pPr>
    </w:p>
    <w:p w14:paraId="0000001F" w14:textId="1BF93F98" w:rsidR="00C20959" w:rsidRDefault="00C20959">
      <w:pPr>
        <w:widowControl w:val="0"/>
        <w:rPr>
          <w:b/>
        </w:rPr>
      </w:pPr>
    </w:p>
    <w:p w14:paraId="44095E85" w14:textId="367BE5EA" w:rsidR="003519EF" w:rsidRDefault="003519EF">
      <w:pPr>
        <w:widowControl w:val="0"/>
        <w:rPr>
          <w:b/>
        </w:rPr>
      </w:pPr>
    </w:p>
    <w:p w14:paraId="4A30146E" w14:textId="77777777" w:rsidR="003519EF" w:rsidRDefault="003519EF">
      <w:pPr>
        <w:widowControl w:val="0"/>
        <w:rPr>
          <w:b/>
        </w:rPr>
      </w:pPr>
    </w:p>
    <w:p w14:paraId="00000020" w14:textId="77777777" w:rsidR="00C20959" w:rsidRDefault="00FA1AA2">
      <w:pPr>
        <w:widowControl w:val="0"/>
        <w:rPr>
          <w:b/>
        </w:rPr>
      </w:pPr>
      <w:r>
        <w:rPr>
          <w:b/>
        </w:rPr>
        <w:lastRenderedPageBreak/>
        <w:t xml:space="preserve">Abstract </w:t>
      </w:r>
    </w:p>
    <w:p w14:paraId="00000021" w14:textId="77777777" w:rsidR="00C20959" w:rsidRDefault="00FA1AA2">
      <w:r>
        <w:rPr>
          <w:b/>
        </w:rPr>
        <w:t>Background.</w:t>
      </w:r>
      <w:r>
        <w:t xml:space="preserve">  Generalised anxiety and depression are extremely prevalent and debilitating. There is evidence for age and sex variability in symptoms of depression, but despite comorbidity it is unclear if this extends to anxiety symptomatology. Studies using questionnaire sum scores typically fail to address this phenotypic complexity. </w:t>
      </w:r>
    </w:p>
    <w:p w14:paraId="00000022" w14:textId="77777777" w:rsidR="00C20959" w:rsidRDefault="00FA1AA2">
      <w:pPr>
        <w:rPr>
          <w:b/>
        </w:rPr>
      </w:pPr>
      <w:r>
        <w:rPr>
          <w:b/>
        </w:rPr>
        <w:t xml:space="preserve">Method. </w:t>
      </w:r>
      <w:r>
        <w:t>We conducted</w:t>
      </w:r>
      <w:r>
        <w:rPr>
          <w:b/>
        </w:rPr>
        <w:t xml:space="preserve"> </w:t>
      </w:r>
      <w:r>
        <w:t>exploratory and confirmatory factor analyses on GAD-7 (generalised anxiety) and PHQ-9 (depression) items to identify latent factors of anxiety and depression in participants from the Genetic Links to Anxiety and Depression Study (N=35,637; 16-93 years). We assessed age- and sex-related variability in latent factors and individual symptoms using multiple logistic regression.</w:t>
      </w:r>
    </w:p>
    <w:p w14:paraId="00000023" w14:textId="77777777" w:rsidR="00C20959" w:rsidRDefault="00FA1AA2">
      <w:pPr>
        <w:rPr>
          <w:b/>
        </w:rPr>
      </w:pPr>
      <w:r>
        <w:rPr>
          <w:b/>
        </w:rPr>
        <w:t>Results.</w:t>
      </w:r>
      <w:r>
        <w:t xml:space="preserve"> Four factors of mood, worry, motor and somatic symptoms were identified (CFI=0.99, TLI=0.99, RMSEA=0.07, SRMR=0.04). Symptoms of irritability (OR=0.81) were most strongly associated with younger age, and sleep change (OR=1.14) with older age. Males were more likely to report mood and motor symptoms (</w:t>
      </w:r>
      <w:r>
        <w:rPr>
          <w:i/>
        </w:rPr>
        <w:t>p</w:t>
      </w:r>
      <w:r>
        <w:t>&lt;0.001) and females to report somatic symptoms (</w:t>
      </w:r>
      <w:r>
        <w:rPr>
          <w:i/>
        </w:rPr>
        <w:t>p</w:t>
      </w:r>
      <w:r>
        <w:t xml:space="preserve">&lt;0.001). </w:t>
      </w:r>
    </w:p>
    <w:p w14:paraId="00000024" w14:textId="77777777" w:rsidR="00C20959" w:rsidRDefault="00FA1AA2">
      <w:bookmarkStart w:id="0" w:name="_gjdgxs" w:colFirst="0" w:colLast="0"/>
      <w:bookmarkEnd w:id="0"/>
      <w:r>
        <w:rPr>
          <w:b/>
        </w:rPr>
        <w:t xml:space="preserve">Conclusion. </w:t>
      </w:r>
      <w:r>
        <w:t xml:space="preserve">Significant age and sex variability suggest that classic diagnostic criteria reflect the presentation most commonly seen in younger males. This study provides avenues for diagnostic adaptation and factor-specific interventions.  </w:t>
      </w:r>
    </w:p>
    <w:p w14:paraId="00000025" w14:textId="77777777" w:rsidR="00C20959" w:rsidRDefault="00C20959">
      <w:pPr>
        <w:rPr>
          <w:b/>
        </w:rPr>
      </w:pPr>
    </w:p>
    <w:p w14:paraId="00000026" w14:textId="77777777" w:rsidR="00C20959" w:rsidRDefault="00FA1AA2">
      <w:r>
        <w:rPr>
          <w:b/>
        </w:rPr>
        <w:t>Keywords</w:t>
      </w:r>
      <w:r>
        <w:t>: Heterogeneity, factor analysis, Genetic Links to Anxiety and Depression Study, factor scores, PHQ-9, GAD-7</w:t>
      </w:r>
    </w:p>
    <w:p w14:paraId="00000027" w14:textId="77777777" w:rsidR="00C20959" w:rsidRDefault="00C20959">
      <w:pPr>
        <w:rPr>
          <w:b/>
        </w:rPr>
      </w:pPr>
    </w:p>
    <w:p w14:paraId="00000028" w14:textId="77777777" w:rsidR="00C20959" w:rsidRDefault="00C20959">
      <w:pPr>
        <w:rPr>
          <w:b/>
        </w:rPr>
      </w:pPr>
    </w:p>
    <w:p w14:paraId="00000029" w14:textId="77777777" w:rsidR="00C20959" w:rsidRDefault="00C20959">
      <w:pPr>
        <w:rPr>
          <w:b/>
        </w:rPr>
      </w:pPr>
    </w:p>
    <w:p w14:paraId="0000002A" w14:textId="77777777" w:rsidR="00C20959" w:rsidRDefault="00C20959">
      <w:pPr>
        <w:rPr>
          <w:b/>
        </w:rPr>
      </w:pPr>
    </w:p>
    <w:p w14:paraId="0000002B" w14:textId="77777777" w:rsidR="00C20959" w:rsidRDefault="00C20959">
      <w:pPr>
        <w:rPr>
          <w:b/>
        </w:rPr>
      </w:pPr>
    </w:p>
    <w:p w14:paraId="0000002C" w14:textId="77777777" w:rsidR="00C20959" w:rsidRDefault="00C20959">
      <w:pPr>
        <w:rPr>
          <w:b/>
        </w:rPr>
      </w:pPr>
    </w:p>
    <w:p w14:paraId="0000002D" w14:textId="77777777" w:rsidR="00C20959" w:rsidRDefault="00C20959">
      <w:pPr>
        <w:rPr>
          <w:b/>
        </w:rPr>
      </w:pPr>
    </w:p>
    <w:p w14:paraId="0000002E" w14:textId="77777777" w:rsidR="00C20959" w:rsidRDefault="00C20959">
      <w:pPr>
        <w:rPr>
          <w:b/>
        </w:rPr>
      </w:pPr>
    </w:p>
    <w:p w14:paraId="0000002F" w14:textId="77777777" w:rsidR="00C20959" w:rsidRDefault="00C20959">
      <w:pPr>
        <w:rPr>
          <w:b/>
        </w:rPr>
      </w:pPr>
    </w:p>
    <w:p w14:paraId="00000030" w14:textId="77777777" w:rsidR="00C20959" w:rsidRDefault="00C20959">
      <w:pPr>
        <w:rPr>
          <w:b/>
        </w:rPr>
      </w:pPr>
    </w:p>
    <w:p w14:paraId="00000031" w14:textId="77777777" w:rsidR="00C20959" w:rsidRDefault="00C20959">
      <w:pPr>
        <w:rPr>
          <w:b/>
        </w:rPr>
      </w:pPr>
    </w:p>
    <w:p w14:paraId="00000032" w14:textId="77777777" w:rsidR="00C20959" w:rsidRDefault="00C20959">
      <w:pPr>
        <w:rPr>
          <w:b/>
        </w:rPr>
      </w:pPr>
    </w:p>
    <w:p w14:paraId="00000033" w14:textId="77777777" w:rsidR="00C20959" w:rsidRDefault="00FA1AA2">
      <w:pPr>
        <w:rPr>
          <w:b/>
        </w:rPr>
      </w:pPr>
      <w:r>
        <w:rPr>
          <w:b/>
        </w:rPr>
        <w:lastRenderedPageBreak/>
        <w:t>Introduction</w:t>
      </w:r>
    </w:p>
    <w:p w14:paraId="00000034" w14:textId="77777777" w:rsidR="00C20959" w:rsidRDefault="00FA1AA2">
      <w:pPr>
        <w:spacing w:line="360" w:lineRule="auto"/>
        <w:jc w:val="both"/>
      </w:pPr>
      <w:r>
        <w:t xml:space="preserve">Major depressive disorder (MDD) and generalised anxiety disorder (GAD) are the most common psychiatric disorders worldwide (Kessler et al., 2005; Lim et al., 2018). Around 11% of the world’s population experience clinically relevant symptoms within their lifetime (Lim et al., 2018) and they co-occur simultaneously or sequentially in 50-80% of cases (Brown et al., 2001; Jacobson &amp; Newman, 2017; Kroenke et al., 2007; Moffitt et al., 2007). MDD and GAD are heterogeneous conditions, meaning affected individuals can present with unique symptom combinations (Fried &amp; </w:t>
      </w:r>
      <w:proofErr w:type="spellStart"/>
      <w:r>
        <w:t>Nesse</w:t>
      </w:r>
      <w:proofErr w:type="spellEnd"/>
      <w:r>
        <w:t xml:space="preserve">, 2015a, 2015b). In research, questionnaire-derived sum scores are commonly used to identify cases or measure disorder severity (Fried &amp; </w:t>
      </w:r>
      <w:proofErr w:type="spellStart"/>
      <w:r>
        <w:t>Nesse</w:t>
      </w:r>
      <w:proofErr w:type="spellEnd"/>
      <w:r>
        <w:t xml:space="preserve">, 2015b; Jokela et al., 2019; </w:t>
      </w:r>
      <w:proofErr w:type="spellStart"/>
      <w:r>
        <w:t>Ohannessian</w:t>
      </w:r>
      <w:proofErr w:type="spellEnd"/>
      <w:r>
        <w:t xml:space="preserve"> et al., 2017). Sum scores are a symptom count, which assumes all symptoms equally and consistently contribute to a disorder (Fried &amp; </w:t>
      </w:r>
      <w:proofErr w:type="spellStart"/>
      <w:r>
        <w:t>Nesse</w:t>
      </w:r>
      <w:proofErr w:type="spellEnd"/>
      <w:r>
        <w:t>, 2015b). They also lack information on which symptoms are present for an individual and how those symptoms interact (Jokela et al., 2019). For instance, four underlying factors of generalised anxiety and depressive symptoms were identified in the UK Biobank: anxiety symptoms, psychomotor-cognitive impairment, neurovegetative states, and mood symptoms (</w:t>
      </w:r>
      <w:proofErr w:type="spellStart"/>
      <w:r>
        <w:t>Jermy</w:t>
      </w:r>
      <w:proofErr w:type="spellEnd"/>
      <w:r>
        <w:t xml:space="preserve"> et al., 2020). Exploring patterns of symptom co-occurrence instead of using sum scores may identify diagnostic subtypes of MDD, GAD, or their comorbid presentation, helping to refine diagnoses (</w:t>
      </w:r>
      <w:proofErr w:type="spellStart"/>
      <w:r>
        <w:t>Eeden</w:t>
      </w:r>
      <w:proofErr w:type="spellEnd"/>
      <w:r>
        <w:t xml:space="preserve"> et al., 2019). </w:t>
      </w:r>
    </w:p>
    <w:p w14:paraId="00000035" w14:textId="09C970D7" w:rsidR="00C20959" w:rsidRDefault="00FA1AA2">
      <w:pPr>
        <w:spacing w:line="360" w:lineRule="auto"/>
        <w:jc w:val="both"/>
      </w:pPr>
      <w:r>
        <w:t>The presentation of MDD symptoms varies across ages (</w:t>
      </w:r>
      <w:proofErr w:type="spellStart"/>
      <w:r>
        <w:t>Schaakxs</w:t>
      </w:r>
      <w:proofErr w:type="spellEnd"/>
      <w:r>
        <w:t xml:space="preserve"> et al., 2017). Older people have been shown to more often report somatic symptoms (</w:t>
      </w:r>
      <w:proofErr w:type="spellStart"/>
      <w:r>
        <w:t>Hegeman</w:t>
      </w:r>
      <w:proofErr w:type="spellEnd"/>
      <w:r>
        <w:t xml:space="preserve"> et al., 2012; </w:t>
      </w:r>
      <w:proofErr w:type="spellStart"/>
      <w:r>
        <w:t>Miloyan</w:t>
      </w:r>
      <w:proofErr w:type="spellEnd"/>
      <w:r>
        <w:t xml:space="preserve"> &amp; </w:t>
      </w:r>
      <w:proofErr w:type="spellStart"/>
      <w:r>
        <w:t>Pachana</w:t>
      </w:r>
      <w:proofErr w:type="spellEnd"/>
      <w:r>
        <w:t xml:space="preserve">, 2016; </w:t>
      </w:r>
      <w:proofErr w:type="spellStart"/>
      <w:r>
        <w:t>Schaakxs</w:t>
      </w:r>
      <w:proofErr w:type="spellEnd"/>
      <w:r>
        <w:t xml:space="preserve"> et al., 2017; Zhao et al., 2018). However, the age-dependent presentation of symptoms is difficult to detect using questionnaire-derived sum scores. Whilst depression sum scores remain consistent across adulthood, older people are more likely to report fatigue, psychomotor agitation, and sleep problems, whereas younger people are more likely to report irritability, concentration problems, and anxiety (</w:t>
      </w:r>
      <w:proofErr w:type="spellStart"/>
      <w:r>
        <w:t>Schaakxs</w:t>
      </w:r>
      <w:proofErr w:type="spellEnd"/>
      <w:r>
        <w:t xml:space="preserve"> et al., 2017). Similarly, endorsement of depression symptoms can vary by sex. Women are more likely to endorse somatic symptoms of fatigue, muscle tension, sleep problems and appetite problems, whereas men are more likely to endorse suicidal ideation (Fried et al., 2014; </w:t>
      </w:r>
      <w:proofErr w:type="spellStart"/>
      <w:r>
        <w:t>Vesga</w:t>
      </w:r>
      <w:proofErr w:type="spellEnd"/>
      <w:r>
        <w:t xml:space="preserve">-López et al., 2008). It is unclear whether symptom level age and sex variability extends to GAD symptomology. Given the use of brief measures of generalised anxiety and depression symptoms as the criteria for entry into the UK NHS Improving Access to Psychological Therapies (IAPT) service, it is important to understand how symptom presentations assessed by these measures might vary with age and sex. </w:t>
      </w:r>
    </w:p>
    <w:p w14:paraId="00000036" w14:textId="77777777" w:rsidR="00C20959" w:rsidRPr="00FA1AA2" w:rsidRDefault="00FA1AA2">
      <w:pPr>
        <w:spacing w:line="360" w:lineRule="auto"/>
        <w:jc w:val="both"/>
        <w:rPr>
          <w:b/>
          <w:bCs/>
        </w:rPr>
      </w:pPr>
      <w:r w:rsidRPr="00FA1AA2">
        <w:rPr>
          <w:b/>
          <w:bCs/>
        </w:rPr>
        <w:t>Aims</w:t>
      </w:r>
    </w:p>
    <w:p w14:paraId="00000037" w14:textId="77777777" w:rsidR="00C20959" w:rsidRDefault="00FA1AA2">
      <w:pPr>
        <w:spacing w:line="360" w:lineRule="auto"/>
        <w:jc w:val="both"/>
        <w:rPr>
          <w:b/>
        </w:rPr>
      </w:pPr>
      <w:r>
        <w:t xml:space="preserve">In the present study, we aim </w:t>
      </w:r>
      <w:proofErr w:type="gramStart"/>
      <w:r>
        <w:t>to:</w:t>
      </w:r>
      <w:proofErr w:type="gramEnd"/>
      <w:r>
        <w:t xml:space="preserve"> a) identify latent factors composed of MDD and GAD symptoms in participants from the Genetic Links to Anxiety and Depression (GLAD) Study and b) assess how individual MDD and GAD symptoms and our identified factors were associated with age and sex.</w:t>
      </w:r>
    </w:p>
    <w:p w14:paraId="00000038" w14:textId="77777777" w:rsidR="00C20959" w:rsidRDefault="00C20959">
      <w:pPr>
        <w:spacing w:line="360" w:lineRule="auto"/>
        <w:jc w:val="both"/>
        <w:rPr>
          <w:b/>
        </w:rPr>
      </w:pPr>
    </w:p>
    <w:p w14:paraId="3419270B" w14:textId="77777777" w:rsidR="00D73A17" w:rsidRDefault="00D73A17">
      <w:pPr>
        <w:spacing w:line="360" w:lineRule="auto"/>
        <w:jc w:val="both"/>
        <w:rPr>
          <w:b/>
        </w:rPr>
      </w:pPr>
    </w:p>
    <w:p w14:paraId="00000039" w14:textId="45A05CE9" w:rsidR="00C20959" w:rsidRDefault="00FA1AA2">
      <w:pPr>
        <w:spacing w:line="360" w:lineRule="auto"/>
        <w:jc w:val="both"/>
        <w:rPr>
          <w:b/>
        </w:rPr>
      </w:pPr>
      <w:r>
        <w:rPr>
          <w:b/>
        </w:rPr>
        <w:lastRenderedPageBreak/>
        <w:t xml:space="preserve">Materials and Methods </w:t>
      </w:r>
    </w:p>
    <w:p w14:paraId="0000003A" w14:textId="77777777" w:rsidR="00C20959" w:rsidRDefault="00FA1AA2">
      <w:pPr>
        <w:spacing w:line="360" w:lineRule="auto"/>
        <w:jc w:val="both"/>
        <w:rPr>
          <w:b/>
        </w:rPr>
      </w:pPr>
      <w:r>
        <w:rPr>
          <w:b/>
        </w:rPr>
        <w:t xml:space="preserve">Study design </w:t>
      </w:r>
    </w:p>
    <w:p w14:paraId="0000003B" w14:textId="77777777" w:rsidR="00C20959" w:rsidRDefault="00FA1AA2">
      <w:pPr>
        <w:spacing w:line="360" w:lineRule="auto"/>
        <w:jc w:val="both"/>
      </w:pPr>
      <w:r>
        <w:t xml:space="preserve">The GLAD Study is an ongoing study of anxiety and depression (Davies et al., 2019). Participants are recruited via an online platform from the general population and National Health Service organisations. Individuals above 16 years of age, living in the UK who have experienced depression or any anxiety disorder including GAD, social anxiety disorder, panic disorder, agoraphobia, social phobia and specific phobia are eligible. Participants complete the online questionnaire and donate a saliva sample. All participants provided full consent to take part and to the long-term storage of their data. Ethical approval was obtained from the London-Fulham Research Ethics Committee (REC reference: 18/LO/1218). </w:t>
      </w:r>
    </w:p>
    <w:p w14:paraId="0000003C" w14:textId="77777777" w:rsidR="00C20959" w:rsidRDefault="00FA1AA2">
      <w:pPr>
        <w:spacing w:line="360" w:lineRule="auto"/>
        <w:jc w:val="both"/>
        <w:rPr>
          <w:b/>
        </w:rPr>
      </w:pPr>
      <w:r>
        <w:rPr>
          <w:b/>
        </w:rPr>
        <w:t>Participants</w:t>
      </w:r>
    </w:p>
    <w:p w14:paraId="0000003D" w14:textId="77777777" w:rsidR="00C20959" w:rsidRDefault="00FA1AA2">
      <w:pPr>
        <w:spacing w:line="360" w:lineRule="auto"/>
        <w:jc w:val="both"/>
        <w:rPr>
          <w:b/>
        </w:rPr>
      </w:pPr>
      <w:r>
        <w:t xml:space="preserve">Our analyses included 35,637 individuals who completed the online questionnaire prior to 19th May 2020 and had no missing data on age, sex, Generalised Anxiety Disorder (GAD-7) or Patient Health Questionnaire (PHQ-9). Participants reported their biological sex, ethnicity, highest education level and mental health diagnoses. Age divided by 10 was used in analyses to aid odds ratio (OR) interpretation. Participants’ age ranged from 16-93 years, with a mean of 38.1 years (SD=14.4). The majority of the sample was female (79.6%), white (94.3%) and highly educated </w:t>
      </w:r>
      <w:r>
        <w:rPr>
          <w:b/>
        </w:rPr>
        <w:t>(Table 1)</w:t>
      </w:r>
      <w:r>
        <w:t xml:space="preserve">. Overall, 88.2% of participants self-reported an MDD diagnosis and 76.6% a GAD diagnosis. </w:t>
      </w:r>
    </w:p>
    <w:p w14:paraId="0000003E" w14:textId="77777777" w:rsidR="00C20959" w:rsidRDefault="00C20959">
      <w:pPr>
        <w:spacing w:line="360" w:lineRule="auto"/>
        <w:jc w:val="both"/>
        <w:rPr>
          <w:b/>
        </w:rPr>
      </w:pPr>
    </w:p>
    <w:p w14:paraId="0000003F" w14:textId="77777777" w:rsidR="00C20959" w:rsidRDefault="00C20959">
      <w:pPr>
        <w:spacing w:line="360" w:lineRule="auto"/>
        <w:jc w:val="both"/>
        <w:rPr>
          <w:b/>
        </w:rPr>
      </w:pPr>
    </w:p>
    <w:p w14:paraId="00000040" w14:textId="77777777" w:rsidR="00C20959" w:rsidRDefault="00C20959">
      <w:pPr>
        <w:spacing w:line="360" w:lineRule="auto"/>
        <w:jc w:val="both"/>
        <w:rPr>
          <w:b/>
        </w:rPr>
      </w:pPr>
    </w:p>
    <w:p w14:paraId="00000041" w14:textId="77777777" w:rsidR="00C20959" w:rsidRDefault="00C20959">
      <w:pPr>
        <w:spacing w:line="360" w:lineRule="auto"/>
        <w:jc w:val="both"/>
        <w:rPr>
          <w:b/>
        </w:rPr>
      </w:pPr>
    </w:p>
    <w:p w14:paraId="00000042" w14:textId="77777777" w:rsidR="00C20959" w:rsidRDefault="00C20959">
      <w:pPr>
        <w:spacing w:line="360" w:lineRule="auto"/>
        <w:jc w:val="both"/>
        <w:rPr>
          <w:b/>
        </w:rPr>
      </w:pPr>
    </w:p>
    <w:p w14:paraId="00000043" w14:textId="77777777" w:rsidR="00C20959" w:rsidRDefault="00C20959">
      <w:pPr>
        <w:spacing w:line="360" w:lineRule="auto"/>
        <w:jc w:val="both"/>
        <w:rPr>
          <w:b/>
        </w:rPr>
      </w:pPr>
    </w:p>
    <w:p w14:paraId="00000044" w14:textId="77777777" w:rsidR="00C20959" w:rsidRDefault="00C20959">
      <w:pPr>
        <w:spacing w:line="360" w:lineRule="auto"/>
        <w:jc w:val="both"/>
        <w:rPr>
          <w:b/>
        </w:rPr>
      </w:pPr>
    </w:p>
    <w:p w14:paraId="00000045" w14:textId="77777777" w:rsidR="00C20959" w:rsidRDefault="00C20959">
      <w:pPr>
        <w:spacing w:line="360" w:lineRule="auto"/>
        <w:jc w:val="both"/>
        <w:rPr>
          <w:b/>
        </w:rPr>
      </w:pPr>
    </w:p>
    <w:p w14:paraId="00000046" w14:textId="77777777" w:rsidR="00C20959" w:rsidRDefault="00C20959">
      <w:pPr>
        <w:spacing w:line="360" w:lineRule="auto"/>
        <w:jc w:val="both"/>
        <w:rPr>
          <w:b/>
        </w:rPr>
      </w:pPr>
    </w:p>
    <w:p w14:paraId="00000047" w14:textId="77777777" w:rsidR="00C20959" w:rsidRDefault="00C20959">
      <w:pPr>
        <w:spacing w:line="360" w:lineRule="auto"/>
        <w:jc w:val="both"/>
        <w:rPr>
          <w:b/>
        </w:rPr>
      </w:pPr>
    </w:p>
    <w:p w14:paraId="00000048" w14:textId="77777777" w:rsidR="00C20959" w:rsidRDefault="00C20959">
      <w:pPr>
        <w:spacing w:line="360" w:lineRule="auto"/>
        <w:jc w:val="both"/>
        <w:rPr>
          <w:b/>
        </w:rPr>
      </w:pPr>
    </w:p>
    <w:p w14:paraId="00000049" w14:textId="77777777" w:rsidR="00C20959" w:rsidRDefault="00C20959">
      <w:pPr>
        <w:spacing w:line="360" w:lineRule="auto"/>
        <w:jc w:val="both"/>
        <w:rPr>
          <w:b/>
        </w:rPr>
      </w:pPr>
    </w:p>
    <w:p w14:paraId="00000165" w14:textId="77777777" w:rsidR="00C20959" w:rsidRDefault="00FA1AA2">
      <w:pPr>
        <w:spacing w:line="360" w:lineRule="auto"/>
        <w:jc w:val="both"/>
        <w:rPr>
          <w:b/>
          <w:i/>
        </w:rPr>
      </w:pPr>
      <w:r>
        <w:rPr>
          <w:b/>
        </w:rPr>
        <w:lastRenderedPageBreak/>
        <w:t>Measures</w:t>
      </w:r>
    </w:p>
    <w:p w14:paraId="00000166" w14:textId="77777777" w:rsidR="00C20959" w:rsidRDefault="00FA1AA2">
      <w:pPr>
        <w:spacing w:line="360" w:lineRule="auto"/>
        <w:jc w:val="both"/>
        <w:rPr>
          <w:b/>
          <w:i/>
        </w:rPr>
      </w:pPr>
      <w:r>
        <w:rPr>
          <w:b/>
          <w:i/>
        </w:rPr>
        <w:t>Depression and generalised anxiety symptoms</w:t>
      </w:r>
    </w:p>
    <w:p w14:paraId="2F30947A" w14:textId="3C436F85" w:rsidR="00D73A17" w:rsidRPr="00D73A17" w:rsidRDefault="00FA1AA2">
      <w:pPr>
        <w:spacing w:line="360" w:lineRule="auto"/>
        <w:jc w:val="both"/>
      </w:pPr>
      <w:r>
        <w:t xml:space="preserve">We measured current MDD symptoms with the PHQ-9 (9 items; Kroenke et al., 2001, 2010) and current GAD symptoms with the GAD-7 (7 items; Spitzer et al., 2006). These are commonly used self-report scales based on the Diagnostic and Statistical Manual of Mental Disorders, 5th Edition (DSM-5) diagnostic criteria (American Psychiatric Association, 2013). For both scales, individuals rated the frequency of symptoms experienced over the past two weeks. Items were rated on a four-point Likert scale with scores ranging from 0 (not at all) to 3 (nearly every day). All item scores were summed to create a severity sum score, with values ranging from 0 to 27 for the PHQ-9 and 0 to 21 for the GAD-7. Both scales were psychometrically valid with high test-retest reliability (GAD: </w:t>
      </w:r>
      <w:r>
        <w:rPr>
          <w:i/>
        </w:rPr>
        <w:t>r</w:t>
      </w:r>
      <w:r>
        <w:t xml:space="preserve">=0.83; PHQ: </w:t>
      </w:r>
      <w:r>
        <w:rPr>
          <w:i/>
        </w:rPr>
        <w:t>r</w:t>
      </w:r>
      <w:r>
        <w:t xml:space="preserve">=0.84), and internal consistency (GAD: alpha=0.89; PHQ: alpha=0.83; </w:t>
      </w:r>
      <w:proofErr w:type="spellStart"/>
      <w:r>
        <w:t>Löwe</w:t>
      </w:r>
      <w:proofErr w:type="spellEnd"/>
      <w:r>
        <w:t xml:space="preserve"> et al., 2008; Spitzer et al., 2006; Thorp et al., 2019). </w:t>
      </w:r>
    </w:p>
    <w:p w14:paraId="00000169" w14:textId="77777777" w:rsidR="00C20959" w:rsidRDefault="00FA1AA2">
      <w:pPr>
        <w:spacing w:line="360" w:lineRule="auto"/>
        <w:jc w:val="both"/>
        <w:rPr>
          <w:b/>
        </w:rPr>
      </w:pPr>
      <w:r>
        <w:rPr>
          <w:b/>
        </w:rPr>
        <w:t>Statistical analyses</w:t>
      </w:r>
    </w:p>
    <w:p w14:paraId="0000016A" w14:textId="77777777" w:rsidR="00C20959" w:rsidRDefault="00FA1AA2">
      <w:pPr>
        <w:spacing w:line="360" w:lineRule="auto"/>
        <w:jc w:val="both"/>
        <w:rPr>
          <w:b/>
        </w:rPr>
      </w:pPr>
      <w:r>
        <w:rPr>
          <w:b/>
        </w:rPr>
        <w:t>Exploratory and confirmatory factor analyses</w:t>
      </w:r>
    </w:p>
    <w:p w14:paraId="0000016B" w14:textId="164DB032" w:rsidR="00C20959" w:rsidRDefault="00FA1AA2">
      <w:pPr>
        <w:spacing w:line="360" w:lineRule="auto"/>
        <w:jc w:val="both"/>
      </w:pPr>
      <w:r>
        <w:t>Polychoric correlation matrices were computed for all ordinal items (</w:t>
      </w:r>
      <w:proofErr w:type="spellStart"/>
      <w:r>
        <w:t>Holgado</w:t>
      </w:r>
      <w:proofErr w:type="spellEnd"/>
      <w:r>
        <w:t>–Tello et al., 2008). To check for singularity/multicollinearity of items, the matrix was examined for values &gt;0.30 and &lt;0.90. The matrix determinant, Bartlett’s Test of Sphericity (Bartlett, 1950), Ordinal alpha (</w:t>
      </w:r>
      <w:proofErr w:type="spellStart"/>
      <w:r>
        <w:t>Gadermann</w:t>
      </w:r>
      <w:proofErr w:type="spellEnd"/>
      <w:r>
        <w:t xml:space="preserve"> et al., 2012) and the Kaiser-Meyer-Olkin (KMO) statistic (Kaiser, 1974) were computed to assess if the data was fit for exploratory factor analysis (EFA). Parallel analysis (Horn, 1965), Very Simple Structure (VSS; </w:t>
      </w:r>
      <w:proofErr w:type="spellStart"/>
      <w:r>
        <w:t>Revelle</w:t>
      </w:r>
      <w:proofErr w:type="spellEnd"/>
      <w:r>
        <w:t xml:space="preserve"> &amp; Rocklin, 1979), and </w:t>
      </w:r>
      <w:proofErr w:type="spellStart"/>
      <w:r>
        <w:t>Velicer’s</w:t>
      </w:r>
      <w:proofErr w:type="spellEnd"/>
      <w:r>
        <w:t xml:space="preserve"> Minimum Average Partial (MAP) criterion (</w:t>
      </w:r>
      <w:proofErr w:type="spellStart"/>
      <w:r>
        <w:t>Velicer</w:t>
      </w:r>
      <w:proofErr w:type="spellEnd"/>
      <w:r>
        <w:t xml:space="preserve">, 1976) estimated the preliminary number of factors. See </w:t>
      </w:r>
      <w:r>
        <w:rPr>
          <w:b/>
        </w:rPr>
        <w:t>supplement A</w:t>
      </w:r>
      <w:r>
        <w:t xml:space="preserve"> and </w:t>
      </w:r>
      <w:r>
        <w:rPr>
          <w:b/>
        </w:rPr>
        <w:t>B</w:t>
      </w:r>
      <w:r>
        <w:t xml:space="preserve">. </w:t>
      </w:r>
    </w:p>
    <w:p w14:paraId="1E4EA6A6" w14:textId="77777777" w:rsidR="00D73A17" w:rsidRPr="00D73A17" w:rsidRDefault="00D73A17" w:rsidP="00D73A17">
      <w:pPr>
        <w:spacing w:line="360" w:lineRule="auto"/>
        <w:jc w:val="both"/>
      </w:pPr>
      <w:r w:rsidRPr="00D73A17">
        <w:t>EFA was performed in 70% of the sample using the weighted least squares method in the “psych” R package (</w:t>
      </w:r>
      <w:proofErr w:type="spellStart"/>
      <w:r w:rsidRPr="00D73A17">
        <w:t>Revelle</w:t>
      </w:r>
      <w:proofErr w:type="spellEnd"/>
      <w:r w:rsidRPr="00D73A17">
        <w:t>, 2017), which is preferred for ordinal data (</w:t>
      </w:r>
      <w:proofErr w:type="spellStart"/>
      <w:r w:rsidRPr="00D73A17">
        <w:t>Forero</w:t>
      </w:r>
      <w:proofErr w:type="spellEnd"/>
      <w:r w:rsidRPr="00D73A17">
        <w:t xml:space="preserve"> et al., 2009; Lee et al., 2012; Li, 2016). Factors were allowed to correlate using </w:t>
      </w:r>
      <w:proofErr w:type="spellStart"/>
      <w:r w:rsidRPr="00D73A17">
        <w:t>oblimin</w:t>
      </w:r>
      <w:proofErr w:type="spellEnd"/>
      <w:r w:rsidRPr="00D73A17">
        <w:t xml:space="preserve"> rotation. The following fit criteria indicated good fit: Root Mean Square Error of Approximation (RMSEA)≤0.05, Tucker Lewis Index (TLI)≥0.95, standardised root mean square residuals (SRMR)≤0.05, and a smaller Bayesian Information Criteria (BIC) relative to other models (Hu &amp; </w:t>
      </w:r>
      <w:proofErr w:type="spellStart"/>
      <w:r w:rsidRPr="00D73A17">
        <w:t>Bentler</w:t>
      </w:r>
      <w:proofErr w:type="spellEnd"/>
      <w:r w:rsidRPr="00D73A17">
        <w:t>, 1999). Items were retained in a factor for factor loadings of &gt;0.3 and greater than loadings on all other factors. Where multiple models showed adequate fit, the model with factors that encompass the greatest number of items was chosen. To validate the EFA-derived model, confirmatory factor analysis (CFA) was conducted in the remaining 30% of the sample using the “</w:t>
      </w:r>
      <w:proofErr w:type="spellStart"/>
      <w:r w:rsidRPr="00D73A17">
        <w:t>lavaan</w:t>
      </w:r>
      <w:proofErr w:type="spellEnd"/>
      <w:r w:rsidRPr="00D73A17">
        <w:t>” R package (</w:t>
      </w:r>
      <w:proofErr w:type="spellStart"/>
      <w:r w:rsidRPr="00D73A17">
        <w:t>Rosseel</w:t>
      </w:r>
      <w:proofErr w:type="spellEnd"/>
      <w:r w:rsidRPr="00D73A17">
        <w:t xml:space="preserve">, 2012). Standardised fit statistics were interpreted (Hu &amp; </w:t>
      </w:r>
      <w:proofErr w:type="spellStart"/>
      <w:r w:rsidRPr="00D73A17">
        <w:t>Bentler</w:t>
      </w:r>
      <w:proofErr w:type="spellEnd"/>
      <w:r w:rsidRPr="00D73A17">
        <w:t xml:space="preserve">, 1999; Schreiber et al., 2006) and the comparative fit index (CFI)≥0.95 was considered good fit. The CFA was computed in the full sample to provide overview fit statistics. </w:t>
      </w:r>
    </w:p>
    <w:p w14:paraId="3D6D1F18" w14:textId="77777777" w:rsidR="00D73A17" w:rsidRDefault="00D73A17">
      <w:pPr>
        <w:spacing w:line="360" w:lineRule="auto"/>
        <w:jc w:val="both"/>
      </w:pPr>
    </w:p>
    <w:p w14:paraId="0000016D" w14:textId="77777777" w:rsidR="00C20959" w:rsidRDefault="00FA1AA2">
      <w:pPr>
        <w:spacing w:line="360" w:lineRule="auto"/>
        <w:jc w:val="both"/>
        <w:rPr>
          <w:b/>
        </w:rPr>
      </w:pPr>
      <w:r>
        <w:lastRenderedPageBreak/>
        <w:t xml:space="preserve">Two sensitivity analyses were conducted. First, items with a low loading (~0.3) on all factors were sequentially removed. If item removal did not substantially improve model fit, the item was retained. Second, the final model was computed for males and females separately to assess sex differences in factor structure. </w:t>
      </w:r>
    </w:p>
    <w:p w14:paraId="0000016E" w14:textId="77777777" w:rsidR="00C20959" w:rsidRDefault="00FA1AA2">
      <w:pPr>
        <w:spacing w:line="360" w:lineRule="auto"/>
        <w:jc w:val="both"/>
        <w:rPr>
          <w:b/>
        </w:rPr>
      </w:pPr>
      <w:r>
        <w:rPr>
          <w:b/>
        </w:rPr>
        <w:t>Age and sex-related variability generalised anxiety and depression</w:t>
      </w:r>
    </w:p>
    <w:p w14:paraId="0000016F" w14:textId="77777777" w:rsidR="00C20959" w:rsidRDefault="00FA1AA2">
      <w:pPr>
        <w:spacing w:line="360" w:lineRule="auto"/>
        <w:jc w:val="both"/>
      </w:pPr>
      <w:r>
        <w:t>We conducted three sets of regression analyses with age and sex. First, we fitted linear regressions associating age/10 with PHQ-9 and GAD-7 sum scores whilst controlling for sex. Each item was transformed into a binary variable to indicate presence or absence of the symptom; 0 was coded as no symptom, and 1-3 were coded as symptom present. Second, we fitted logistic regressions associating dichotomised symptoms with age per 10 years and sex. Sum scores were also controlled for, to assess only the occurrence of the individual symptom and account for cumulative symptom disorder severity (</w:t>
      </w:r>
      <w:proofErr w:type="spellStart"/>
      <w:r>
        <w:t>Schaakxs</w:t>
      </w:r>
      <w:proofErr w:type="spellEnd"/>
      <w:r>
        <w:t xml:space="preserve"> et al., 2017). For age, an OR&gt;1 indicated an association with being 10 years older and OR&lt;1 indicated an association with being 10 years younger. For sex, OR&gt;1 indicated an association with being female while an OR&lt;1 indicated an association with being male. Third, we regressed the CFA-derived factor scores on age and sex controlling for disorder severity, to identify symptom groups that may vary across age and between the sexes.</w:t>
      </w:r>
    </w:p>
    <w:p w14:paraId="00000170" w14:textId="77777777" w:rsidR="00C20959" w:rsidRDefault="00FA1AA2">
      <w:pPr>
        <w:spacing w:line="360" w:lineRule="auto"/>
        <w:jc w:val="both"/>
        <w:rPr>
          <w:color w:val="FF0000"/>
        </w:rPr>
      </w:pPr>
      <w:r>
        <w:t xml:space="preserve">To investigate nonlinear relationships between age and generalised anxiety/depression symptoms, logistic regression models were computed using categorical age. Age was categorised into year groups of 16-23, 24-31, 32-39, 48-55, 56-63, and &gt;64 to avoid a reduction in power. The middle group of 40-47 years was used as the reference group. Two post hoc sensitivity analyses were conducted. First, individuals that participated during the COVID-19 pandemic were excluded at three intervals: 31st January 2020 (first UK case; N=2456), 1st March 2020 (higher awareness; N= 1222), and 23rd March 2020 (first UK lockdown; N=342). Second, regression analyses were replicated accounting for highest education level as a proxy for socioeconomic status in the model. </w:t>
      </w:r>
    </w:p>
    <w:p w14:paraId="00000171" w14:textId="77777777" w:rsidR="00C20959" w:rsidRDefault="00FA1AA2">
      <w:pPr>
        <w:spacing w:line="360" w:lineRule="auto"/>
        <w:jc w:val="both"/>
      </w:pPr>
      <w:r>
        <w:t>The false discovery rate (FDR) multiple testing correction was applied to all symptom and factor level analyses separately (</w:t>
      </w:r>
      <w:proofErr w:type="spellStart"/>
      <w:r>
        <w:t>Benjamini</w:t>
      </w:r>
      <w:proofErr w:type="spellEnd"/>
      <w:r>
        <w:t xml:space="preserve"> &amp; Hochberg, 1995; </w:t>
      </w:r>
      <w:r>
        <w:rPr>
          <w:b/>
        </w:rPr>
        <w:t>see supplement C</w:t>
      </w:r>
      <w:r>
        <w:t xml:space="preserve">). All analyses were conducted using R version 4.0.2. All R code can be found in </w:t>
      </w:r>
      <w:hyperlink r:id="rId13">
        <w:r>
          <w:rPr>
            <w:color w:val="1155CC"/>
            <w:u w:val="single"/>
          </w:rPr>
          <w:t>https://github.com/knthompson26/Age-sex-GAD7-PHQ9-GLAD</w:t>
        </w:r>
      </w:hyperlink>
      <w:r>
        <w:t xml:space="preserve">. </w:t>
      </w:r>
    </w:p>
    <w:p w14:paraId="00000172" w14:textId="77777777" w:rsidR="00C20959" w:rsidRDefault="00C20959">
      <w:pPr>
        <w:spacing w:line="360" w:lineRule="auto"/>
        <w:jc w:val="both"/>
        <w:rPr>
          <w:b/>
        </w:rPr>
      </w:pPr>
    </w:p>
    <w:p w14:paraId="00000173" w14:textId="77777777" w:rsidR="00C20959" w:rsidRDefault="00FA1AA2">
      <w:pPr>
        <w:spacing w:line="360" w:lineRule="auto"/>
        <w:jc w:val="both"/>
      </w:pPr>
      <w:r>
        <w:rPr>
          <w:b/>
        </w:rPr>
        <w:t xml:space="preserve">Results </w:t>
      </w:r>
    </w:p>
    <w:p w14:paraId="00000174" w14:textId="77777777" w:rsidR="00C20959" w:rsidRDefault="00FA1AA2">
      <w:pPr>
        <w:spacing w:line="360" w:lineRule="auto"/>
        <w:jc w:val="both"/>
        <w:rPr>
          <w:b/>
        </w:rPr>
      </w:pPr>
      <w:r>
        <w:rPr>
          <w:b/>
          <w:color w:val="000000"/>
        </w:rPr>
        <w:t>E</w:t>
      </w:r>
      <w:r>
        <w:rPr>
          <w:b/>
        </w:rPr>
        <w:t>xploratory factor analysis</w:t>
      </w:r>
    </w:p>
    <w:p w14:paraId="000001C7" w14:textId="083153D4" w:rsidR="00C20959" w:rsidRPr="00D73A17" w:rsidRDefault="00FA1AA2">
      <w:pPr>
        <w:spacing w:line="360" w:lineRule="auto"/>
        <w:jc w:val="both"/>
        <w:rPr>
          <w:b/>
          <w:i/>
        </w:rPr>
      </w:pPr>
      <w:r>
        <w:t xml:space="preserve">The item “Worrying too much about different things” was excluded from EFA due to a polychoric correlation of 0.92 with the item “Difficulty controlling worrying”. For information on item endorsement and correlation structure, see </w:t>
      </w:r>
      <w:r>
        <w:rPr>
          <w:b/>
        </w:rPr>
        <w:t>supplement D</w:t>
      </w:r>
      <w:r>
        <w:t>. EFA in 70% of the sample (</w:t>
      </w:r>
      <w:r>
        <w:rPr>
          <w:i/>
        </w:rPr>
        <w:t>N</w:t>
      </w:r>
      <w:r>
        <w:t>=24,946) showed a four-factor solution best fit the data (</w:t>
      </w:r>
      <w:r>
        <w:rPr>
          <w:b/>
        </w:rPr>
        <w:t>Table 2</w:t>
      </w:r>
      <w:r>
        <w:t xml:space="preserve">). The RMSEA was slightly above the recommended threshold </w:t>
      </w:r>
      <w:r>
        <w:lastRenderedPageBreak/>
        <w:t xml:space="preserve">(Hu &amp; </w:t>
      </w:r>
      <w:proofErr w:type="spellStart"/>
      <w:r>
        <w:t>Bentler</w:t>
      </w:r>
      <w:proofErr w:type="spellEnd"/>
      <w:r>
        <w:t>, 1999). All other fit statistics indicated good model fit. All factors included two to five items, factor correlations ranged from 0.42 to 0.72 and the four-factor model explained 70% of the variance in the data. We labelled the four factors according to the loaded items:</w:t>
      </w:r>
      <w:r>
        <w:rPr>
          <w:i/>
        </w:rPr>
        <w:t xml:space="preserve"> mood, worry, somatic and motor symptoms </w:t>
      </w:r>
      <w:r>
        <w:t>(</w:t>
      </w:r>
      <w:r>
        <w:rPr>
          <w:b/>
        </w:rPr>
        <w:t>Figure 1</w:t>
      </w:r>
      <w:r>
        <w:t xml:space="preserve">). Factors did not neatly split into GAD and MDD symptoms, for example, </w:t>
      </w:r>
      <w:r>
        <w:rPr>
          <w:i/>
        </w:rPr>
        <w:t>motor symptoms</w:t>
      </w:r>
      <w:r>
        <w:t xml:space="preserve"> contained one symptom from both the PHQ-9 and GAD-7. Five and six-factor models showed slightly better fit; </w:t>
      </w:r>
      <w:proofErr w:type="gramStart"/>
      <w:r>
        <w:t>however</w:t>
      </w:r>
      <w:proofErr w:type="gramEnd"/>
      <w:r>
        <w:t xml:space="preserve"> these solutions were unsuitable as they included factors with zero items given the loading cut-off of 0.3. See </w:t>
      </w:r>
      <w:r>
        <w:rPr>
          <w:b/>
        </w:rPr>
        <w:t>supplementary Table 1</w:t>
      </w:r>
      <w:hyperlink r:id="rId14">
        <w:r>
          <w:t xml:space="preserve"> </w:t>
        </w:r>
      </w:hyperlink>
      <w:r>
        <w:t xml:space="preserve">for EFA results with all items.   </w:t>
      </w:r>
    </w:p>
    <w:p w14:paraId="000001C8" w14:textId="77777777" w:rsidR="00C20959" w:rsidRDefault="00FA1AA2">
      <w:pPr>
        <w:spacing w:line="360" w:lineRule="auto"/>
        <w:jc w:val="both"/>
        <w:rPr>
          <w:b/>
        </w:rPr>
      </w:pPr>
      <w:r>
        <w:rPr>
          <w:b/>
        </w:rPr>
        <w:t>EFA sensitivity analyses</w:t>
      </w:r>
    </w:p>
    <w:p w14:paraId="000001C9" w14:textId="77777777" w:rsidR="00C20959" w:rsidRDefault="00FA1AA2">
      <w:pPr>
        <w:spacing w:line="360" w:lineRule="auto"/>
        <w:jc w:val="both"/>
        <w:rPr>
          <w:b/>
        </w:rPr>
      </w:pPr>
      <w:r>
        <w:t xml:space="preserve">Concentration problems and subsequently irritability (items with the lowest loadings) </w:t>
      </w:r>
      <w:proofErr w:type="gramStart"/>
      <w:r>
        <w:t>were</w:t>
      </w:r>
      <w:proofErr w:type="gramEnd"/>
      <w:r>
        <w:t xml:space="preserve"> dropped from the EFA in an attempt to improve model fit. This solution then showed only a very slight improvement, thus the full model was retained (</w:t>
      </w:r>
      <w:hyperlink r:id="rId15">
        <w:r>
          <w:rPr>
            <w:b/>
          </w:rPr>
          <w:t xml:space="preserve">supplementary </w:t>
        </w:r>
      </w:hyperlink>
      <w:r>
        <w:rPr>
          <w:b/>
        </w:rPr>
        <w:t>Table 2</w:t>
      </w:r>
      <w:r>
        <w:t>). This model was then fitted separately in males and females to check for sex differences in factor loadings. In males, the concentration problems item loaded onto the somatic symptoms factor rather than the mood factor as seen in the full and female only model (</w:t>
      </w:r>
      <w:hyperlink r:id="rId16">
        <w:r>
          <w:rPr>
            <w:b/>
          </w:rPr>
          <w:t xml:space="preserve">supplementary </w:t>
        </w:r>
      </w:hyperlink>
      <w:r>
        <w:rPr>
          <w:b/>
        </w:rPr>
        <w:t>Figure 5</w:t>
      </w:r>
      <w:r>
        <w:t xml:space="preserve">). </w:t>
      </w:r>
    </w:p>
    <w:p w14:paraId="000001CA" w14:textId="77777777" w:rsidR="00C20959" w:rsidRDefault="00FA1AA2">
      <w:pPr>
        <w:spacing w:line="360" w:lineRule="auto"/>
        <w:jc w:val="both"/>
        <w:rPr>
          <w:b/>
        </w:rPr>
      </w:pPr>
      <w:r>
        <w:rPr>
          <w:b/>
        </w:rPr>
        <w:t xml:space="preserve">Confirmatory factor analysis </w:t>
      </w:r>
    </w:p>
    <w:p w14:paraId="000001CB" w14:textId="77777777" w:rsidR="00C20959" w:rsidRDefault="00FA1AA2">
      <w:pPr>
        <w:spacing w:line="360" w:lineRule="auto"/>
        <w:jc w:val="both"/>
      </w:pPr>
      <w:r>
        <w:t>The CFA model is pre-defined to that identified by EFA, which provides a more stringent test of model fit compared to EFA (Thompson, 2004). The CFA in the remaining 30% of the sample (</w:t>
      </w:r>
      <w:r>
        <w:rPr>
          <w:i/>
        </w:rPr>
        <w:t>N</w:t>
      </w:r>
      <w:r>
        <w:t xml:space="preserve">=10,691) confirmed that the four-factor model fit the data well. The RMSEA (0.068, 95% CI:0.067, 0.091) was still slightly above the threshold for good fit (Hu &amp; </w:t>
      </w:r>
      <w:proofErr w:type="spellStart"/>
      <w:r>
        <w:t>Bentler</w:t>
      </w:r>
      <w:proofErr w:type="spellEnd"/>
      <w:r>
        <w:t xml:space="preserve">, 1999), although lower than that for the EFA. The TLI (0.993), CFI (0.994), and SRMR (0.046) all indicated good fit (Hu &amp; </w:t>
      </w:r>
      <w:proofErr w:type="spellStart"/>
      <w:r>
        <w:t>Bentler</w:t>
      </w:r>
      <w:proofErr w:type="spellEnd"/>
      <w:r>
        <w:t>, 1999). The CFA was then rerun in the full sample to provide an overall model (CFI=0.99, TLI=0.99, RMSEA=0.07, SRMR=0.04). Factor scores for each individual were computed from this final model and used in the latent factor regression analyses.</w:t>
      </w:r>
    </w:p>
    <w:p w14:paraId="000001CC" w14:textId="77777777" w:rsidR="00C20959" w:rsidRDefault="00FA1AA2">
      <w:pPr>
        <w:spacing w:line="360" w:lineRule="auto"/>
        <w:jc w:val="both"/>
        <w:rPr>
          <w:b/>
        </w:rPr>
      </w:pPr>
      <w:r>
        <w:rPr>
          <w:b/>
        </w:rPr>
        <w:t>Age and sex-related variation in generalised anxiety and depression</w:t>
      </w:r>
    </w:p>
    <w:p w14:paraId="000001CD" w14:textId="77777777" w:rsidR="00C20959" w:rsidRDefault="00FA1AA2">
      <w:pPr>
        <w:spacing w:line="360" w:lineRule="auto"/>
        <w:jc w:val="both"/>
        <w:rPr>
          <w:b/>
        </w:rPr>
      </w:pPr>
      <w:r>
        <w:rPr>
          <w:b/>
        </w:rPr>
        <w:t>Sum scores</w:t>
      </w:r>
    </w:p>
    <w:p w14:paraId="62A8FE51" w14:textId="67699CCB" w:rsidR="00D73A17" w:rsidRPr="00D73A17" w:rsidRDefault="00FA1AA2">
      <w:pPr>
        <w:spacing w:line="360" w:lineRule="auto"/>
        <w:jc w:val="both"/>
      </w:pPr>
      <w:r>
        <w:t>Women reported higher depression and generalised anxiety sum scores compared to men. When controlling for sex, age was significantly associated with a 0.95 lower PHQ-9 (</w:t>
      </w:r>
      <w:r>
        <w:rPr>
          <w:i/>
        </w:rPr>
        <w:t>p</w:t>
      </w:r>
      <w:r>
        <w:t>&lt;0.001) and a 0.98 lower GAD-7 sum score (</w:t>
      </w:r>
      <w:r>
        <w:rPr>
          <w:i/>
        </w:rPr>
        <w:t>p</w:t>
      </w:r>
      <w:r>
        <w:t>&lt;0.001).</w:t>
      </w:r>
    </w:p>
    <w:p w14:paraId="000001CF" w14:textId="4536CED1" w:rsidR="00C20959" w:rsidRDefault="00FA1AA2">
      <w:pPr>
        <w:spacing w:line="360" w:lineRule="auto"/>
        <w:jc w:val="both"/>
        <w:rPr>
          <w:b/>
        </w:rPr>
      </w:pPr>
      <w:r>
        <w:rPr>
          <w:b/>
        </w:rPr>
        <w:t>Individual symptoms</w:t>
      </w:r>
    </w:p>
    <w:p w14:paraId="000001D0" w14:textId="77777777" w:rsidR="00C20959" w:rsidRDefault="00FA1AA2">
      <w:pPr>
        <w:spacing w:line="360" w:lineRule="auto"/>
        <w:jc w:val="both"/>
      </w:pPr>
      <w:r>
        <w:t>Eight symptoms were associated with younger age and four with older age, when controlling for sex, generalised anxiety severity and depression severity (</w:t>
      </w:r>
      <w:r>
        <w:rPr>
          <w:b/>
        </w:rPr>
        <w:t>Figure 2, panel A</w:t>
      </w:r>
      <w:r>
        <w:t xml:space="preserve">). Irritability and suicide ideation were most strongly associated with younger age, followed by restlessness, weight/appetite problems, motor problems, little energy, feeling anxious, and concentration problems. Sleep change was most </w:t>
      </w:r>
      <w:r>
        <w:lastRenderedPageBreak/>
        <w:t xml:space="preserve">strongly associated with older age, followed by difficulty controlling worrying, worrying too much and trouble relaxing. See </w:t>
      </w:r>
      <w:r>
        <w:rPr>
          <w:b/>
        </w:rPr>
        <w:t>supplementary Table 3</w:t>
      </w:r>
      <w:r>
        <w:t xml:space="preserve"> for full OR and CI values.</w:t>
      </w:r>
    </w:p>
    <w:p w14:paraId="000001D1" w14:textId="77777777" w:rsidR="00C20959" w:rsidRDefault="00FA1AA2">
      <w:pPr>
        <w:spacing w:line="360" w:lineRule="auto"/>
        <w:jc w:val="both"/>
      </w:pPr>
      <w:r>
        <w:t xml:space="preserve">More symptoms were associated with being male than female </w:t>
      </w:r>
      <w:r>
        <w:rPr>
          <w:b/>
        </w:rPr>
        <w:t>(Figure 2, panel A).</w:t>
      </w:r>
      <w:r>
        <w:t xml:space="preserve"> Weight/appetite problems, little energy, sleep change, difficulty controlling worrying and worrying too much were more likely endorsed by females, while suicide ideation, anhedonia, depressed mood, restlessness, worthlessness, concentration problems and motor problems were more likely endorsed by males. See </w:t>
      </w:r>
      <w:r>
        <w:rPr>
          <w:b/>
        </w:rPr>
        <w:t>supplementary Table 3</w:t>
      </w:r>
      <w:r>
        <w:t xml:space="preserve"> for full OR and CI values.</w:t>
      </w:r>
    </w:p>
    <w:p w14:paraId="000001D4" w14:textId="599E6AFA" w:rsidR="00C20959" w:rsidRDefault="00FA1AA2" w:rsidP="00D73A17">
      <w:pPr>
        <w:spacing w:line="360" w:lineRule="auto"/>
        <w:jc w:val="both"/>
        <w:rPr>
          <w:b/>
        </w:rPr>
      </w:pPr>
      <w:r>
        <w:t>These associations were replicated using categorical age groups. Categorical age measurement also identified symptom occurrence that cannot be captured by continuous age. Individuals who were 16-23 or over 64 years were less likely to report concentration problems, little energy, trouble relaxing, weight or appetite problems and worthlessness (</w:t>
      </w:r>
      <w:r>
        <w:rPr>
          <w:b/>
        </w:rPr>
        <w:t>supplementary Figure 6</w:t>
      </w:r>
      <w:r>
        <w:t xml:space="preserve">). This suggests a non-linear relationship, where individuals of middle age are more likely to report these symptoms. </w:t>
      </w:r>
    </w:p>
    <w:p w14:paraId="000001D5" w14:textId="77777777" w:rsidR="00C20959" w:rsidRDefault="00FA1AA2">
      <w:pPr>
        <w:spacing w:line="360" w:lineRule="auto"/>
        <w:jc w:val="both"/>
        <w:rPr>
          <w:b/>
        </w:rPr>
      </w:pPr>
      <w:r>
        <w:rPr>
          <w:b/>
        </w:rPr>
        <w:t>Latent factors</w:t>
      </w:r>
    </w:p>
    <w:p w14:paraId="000001D6" w14:textId="77777777" w:rsidR="00C20959" w:rsidRDefault="00FA1AA2">
      <w:pPr>
        <w:spacing w:line="360" w:lineRule="auto"/>
        <w:jc w:val="both"/>
      </w:pPr>
      <w:r>
        <w:rPr>
          <w:b/>
        </w:rPr>
        <w:t xml:space="preserve">Table 3 </w:t>
      </w:r>
      <w:r>
        <w:t>displays age and sex associations with each symptom categorised by the four corresponding factors. When controlling for sex, generalised anxiety severity and depression severity, younger age per 10 years was significantly associated with 0.008 lower motor symptoms (</w:t>
      </w:r>
      <w:r>
        <w:rPr>
          <w:i/>
        </w:rPr>
        <w:t>p</w:t>
      </w:r>
      <w:r>
        <w:t>&lt;0.001), and with 0.003 lower somatic symptoms (</w:t>
      </w:r>
      <w:r>
        <w:rPr>
          <w:i/>
        </w:rPr>
        <w:t>p</w:t>
      </w:r>
      <w:r>
        <w:t xml:space="preserve">&lt;0.001; </w:t>
      </w:r>
      <w:r>
        <w:rPr>
          <w:b/>
        </w:rPr>
        <w:t>Figure 2, panel B</w:t>
      </w:r>
      <w:r>
        <w:t xml:space="preserve">). When controlling for age, generalised anxiety severity and depression severity, males were more likely to report mood (𝛽=-0.04, </w:t>
      </w:r>
      <w:r>
        <w:rPr>
          <w:i/>
        </w:rPr>
        <w:t>p</w:t>
      </w:r>
      <w:r>
        <w:t xml:space="preserve">&lt;0.001), and motor symptoms (𝛽=-0.02, </w:t>
      </w:r>
      <w:r>
        <w:rPr>
          <w:i/>
        </w:rPr>
        <w:t>p</w:t>
      </w:r>
      <w:r>
        <w:t xml:space="preserve">&lt;0.001), while females were more likely to report somatic symptoms (𝛽=0.06, </w:t>
      </w:r>
      <w:r>
        <w:rPr>
          <w:i/>
        </w:rPr>
        <w:t>p</w:t>
      </w:r>
      <w:r>
        <w:t xml:space="preserve">&lt;0.001; </w:t>
      </w:r>
      <w:r>
        <w:rPr>
          <w:b/>
        </w:rPr>
        <w:t>Figure 2, panel B</w:t>
      </w:r>
      <w:r>
        <w:t xml:space="preserve">). </w:t>
      </w:r>
    </w:p>
    <w:p w14:paraId="00000243" w14:textId="7468FC58" w:rsidR="00C20959" w:rsidRPr="00D73A17" w:rsidRDefault="00FA1AA2">
      <w:pPr>
        <w:spacing w:line="360" w:lineRule="auto"/>
        <w:jc w:val="both"/>
      </w:pPr>
      <w:r>
        <w:t>As expected, the derived factor scores were highly correlated with GAD-7 and PHQ-9 sum scores (</w:t>
      </w:r>
      <w:r>
        <w:rPr>
          <w:b/>
        </w:rPr>
        <w:t>supplementary Figure 7</w:t>
      </w:r>
      <w:r>
        <w:t>). In post hoc sensitivity analyses, regressions were computed without controlling for GAD-7 and PHQ-9 severity sum scores. We observed similar associations for sex, but younger age was associated with all factors (</w:t>
      </w:r>
      <w:r>
        <w:rPr>
          <w:b/>
        </w:rPr>
        <w:t>supplementary Figure 8</w:t>
      </w:r>
      <w:r>
        <w:t>). This is likely due to the over-</w:t>
      </w:r>
      <w:r w:rsidRPr="00D73A17">
        <w:t xml:space="preserve">representation of younger individuals in the GLAD sample; thus, the original model was retained. </w:t>
      </w:r>
    </w:p>
    <w:p w14:paraId="00000244" w14:textId="77777777" w:rsidR="00C20959" w:rsidRPr="00D73A17" w:rsidRDefault="00FA1AA2">
      <w:pPr>
        <w:spacing w:line="360" w:lineRule="auto"/>
        <w:jc w:val="both"/>
        <w:rPr>
          <w:b/>
          <w:bCs/>
        </w:rPr>
      </w:pPr>
      <w:r w:rsidRPr="00D73A17">
        <w:rPr>
          <w:b/>
          <w:bCs/>
        </w:rPr>
        <w:t>Post-hoc sensitivity analyses</w:t>
      </w:r>
    </w:p>
    <w:p w14:paraId="00000245" w14:textId="77777777" w:rsidR="00C20959" w:rsidRPr="00FA1AA2" w:rsidRDefault="00FA1AA2">
      <w:pPr>
        <w:spacing w:line="360" w:lineRule="auto"/>
        <w:jc w:val="both"/>
      </w:pPr>
      <w:r w:rsidRPr="00D73A17">
        <w:t xml:space="preserve">Neither excluding participants that had answered either the GAD-7 or the PHQ-9 during the pandemic nor including educational attainment as a covariate led to a substantial change of any of our results as effect sizes across models were highly similar and confidence intervals overlapped (for details, see </w:t>
      </w:r>
      <w:r w:rsidRPr="00D73A17">
        <w:rPr>
          <w:b/>
        </w:rPr>
        <w:t>supplementary Tables 4 to 12</w:t>
      </w:r>
      <w:r w:rsidRPr="00D73A17">
        <w:t>).</w:t>
      </w:r>
    </w:p>
    <w:p w14:paraId="17AF9012" w14:textId="59B0FB1A" w:rsidR="00D73A17" w:rsidRDefault="00D73A17">
      <w:pPr>
        <w:spacing w:line="360" w:lineRule="auto"/>
        <w:jc w:val="both"/>
        <w:rPr>
          <w:b/>
        </w:rPr>
      </w:pPr>
    </w:p>
    <w:p w14:paraId="759DE8BD" w14:textId="45F681C3" w:rsidR="00D73A17" w:rsidRDefault="00D73A17">
      <w:pPr>
        <w:spacing w:line="360" w:lineRule="auto"/>
        <w:jc w:val="both"/>
        <w:rPr>
          <w:b/>
        </w:rPr>
      </w:pPr>
    </w:p>
    <w:p w14:paraId="1CDCED49" w14:textId="77777777" w:rsidR="00D73A17" w:rsidRPr="00D73A17" w:rsidRDefault="00D73A17">
      <w:pPr>
        <w:spacing w:line="360" w:lineRule="auto"/>
        <w:jc w:val="both"/>
        <w:rPr>
          <w:b/>
        </w:rPr>
      </w:pPr>
    </w:p>
    <w:p w14:paraId="00000246" w14:textId="26189241" w:rsidR="00C20959" w:rsidRDefault="00FA1AA2">
      <w:pPr>
        <w:spacing w:line="360" w:lineRule="auto"/>
        <w:jc w:val="both"/>
        <w:rPr>
          <w:b/>
        </w:rPr>
      </w:pPr>
      <w:r>
        <w:rPr>
          <w:b/>
        </w:rPr>
        <w:lastRenderedPageBreak/>
        <w:t>Discussion</w:t>
      </w:r>
    </w:p>
    <w:p w14:paraId="00000247" w14:textId="77777777" w:rsidR="00C20959" w:rsidRDefault="00FA1AA2">
      <w:pPr>
        <w:spacing w:line="360" w:lineRule="auto"/>
        <w:jc w:val="both"/>
      </w:pPr>
      <w:r>
        <w:rPr>
          <w:b/>
        </w:rPr>
        <w:t>Generalised a</w:t>
      </w:r>
      <w:r>
        <w:t>nxiety and depressive symptoms in 35,637 GLAD participants were represented by a four-factor model of mood, worry, somatic and motor symptoms that varied by age and sex. The mood factor was associated with being male, with corresponding symptoms of suicide ideation and concentration problems more likely reported by younger men. The motor factor and corresponding symptoms were also more likely reported by younger men. The worry factor showed no association with age or sex. However, its corresponding symptoms of feeling anxious and irritable were more often reported by younger participants, trouble relaxing by older participants, and difficulty controlling worrying by older women. The somatic factor was associated with being young and female, consistent with its symptoms of little energy and weight/appetite problems. However, sleep change was more likely to be reported by older women. Overall, individual symptoms provide more information on age variation in symptom occurrence, whereas sex variation is apparent across both individual symptoms and factors.</w:t>
      </w:r>
    </w:p>
    <w:p w14:paraId="00000248" w14:textId="77777777" w:rsidR="00C20959" w:rsidRDefault="00FA1AA2">
      <w:pPr>
        <w:spacing w:line="360" w:lineRule="auto"/>
        <w:jc w:val="both"/>
      </w:pPr>
      <w:r>
        <w:t xml:space="preserve">Similar to previous work on generalised anxiety and depressive symptomatology (Clark &amp; Watson, 1991; Ballard et al., 2018; Beard &amp; </w:t>
      </w:r>
      <w:proofErr w:type="spellStart"/>
      <w:r>
        <w:t>Björgvinsson</w:t>
      </w:r>
      <w:proofErr w:type="spellEnd"/>
      <w:r>
        <w:t xml:space="preserve">, 2014; </w:t>
      </w:r>
      <w:proofErr w:type="spellStart"/>
      <w:r>
        <w:t>Kertz</w:t>
      </w:r>
      <w:proofErr w:type="spellEnd"/>
      <w:r>
        <w:t xml:space="preserve"> et al., 2013), our four-factor model demonstrates that these are not two distinct underlying constructs. Importantly, we replicated the generalised anxiety and depression factor structure identified in the UK Biobank (</w:t>
      </w:r>
      <w:proofErr w:type="spellStart"/>
      <w:r>
        <w:t>Jermy</w:t>
      </w:r>
      <w:proofErr w:type="spellEnd"/>
      <w:r>
        <w:t xml:space="preserve"> et al., 2020) in a separate, large and clinically relevant cohort. Thus, our findings demonstrate the need to address the appropriateness of current diagnostic classifications. One difference between our findings and those from the UK Biobank, was that they found concentration problems loaded onto the motor factor; we found this for men only. This could suggest two things: First, there are sex differences in the occurrence of concentration problems and the GLAD Study factor representation reflects a more female picture of generalised anxiety and depression. Second, a cognitive factor of depression and/or generalised anxiety symptomatology may exist that is not captured by the questions comprising both the PHQ-9 and the GAD-7 (</w:t>
      </w:r>
      <w:proofErr w:type="spellStart"/>
      <w:r>
        <w:t>LeMoult</w:t>
      </w:r>
      <w:proofErr w:type="spellEnd"/>
      <w:r>
        <w:t xml:space="preserve"> &amp; </w:t>
      </w:r>
      <w:proofErr w:type="spellStart"/>
      <w:r>
        <w:t>Gotlib</w:t>
      </w:r>
      <w:proofErr w:type="spellEnd"/>
      <w:r>
        <w:t xml:space="preserve">, 2019). </w:t>
      </w:r>
    </w:p>
    <w:p w14:paraId="00000249" w14:textId="71ABA0F3" w:rsidR="00C20959" w:rsidRDefault="00FA1AA2">
      <w:pPr>
        <w:spacing w:line="360" w:lineRule="auto"/>
        <w:jc w:val="both"/>
      </w:pPr>
      <w:r>
        <w:t xml:space="preserve">Our study replicates research that shows variation in depression symptoms across age and sex, that is not captured by sum scores (Fried et al., 2014; </w:t>
      </w:r>
      <w:proofErr w:type="spellStart"/>
      <w:r>
        <w:t>Schaakxs</w:t>
      </w:r>
      <w:proofErr w:type="spellEnd"/>
      <w:r>
        <w:t xml:space="preserve"> et al., 2017), and extends this by providing evidence for similar trends in generalised anxiety symptomatology. Men were more likely to report all motor and mood symptoms. This includes the two main DSM-5 MDD symptoms of depressed mood and anhedonia, which suggests that classic diagnostic criteria reflect presentation most commonly seen in younger men. One contributor could be that men are more likely to have lower perceived social support than women, which has been associated with higher risk of anhedonia, depressed mood, worthlessness and suicidal ideation (Jokela et al., 2019). In our study, women were more likely to report somatic symptoms, consistent with previous findings (Fried et al., 2014). We found that the association between sex and reporting somatic symptoms varied with age, contrary to previous research which found older people were more likely to experience somatic depression symptoms (</w:t>
      </w:r>
      <w:proofErr w:type="spellStart"/>
      <w:r>
        <w:t>Hegeman</w:t>
      </w:r>
      <w:proofErr w:type="spellEnd"/>
      <w:r>
        <w:t xml:space="preserve"> et al., 2012; </w:t>
      </w:r>
      <w:proofErr w:type="spellStart"/>
      <w:r>
        <w:t>Schaakxs</w:t>
      </w:r>
      <w:proofErr w:type="spellEnd"/>
      <w:r>
        <w:t xml:space="preserve"> et al., 2017). Our findings show that older women were more likely to report sleep change and younger women were more likely to report little energy and weight/appetite problems. Sleep problems in older adults could be partly secondary to age-related physical processes (Foley et al., 2004; </w:t>
      </w:r>
      <w:proofErr w:type="spellStart"/>
      <w:r>
        <w:lastRenderedPageBreak/>
        <w:t>Smagula</w:t>
      </w:r>
      <w:proofErr w:type="spellEnd"/>
      <w:r>
        <w:t xml:space="preserve"> et al., 2016), as the circadian system, sleep homeostatic mechanisms and sleep-related hormone secretion change with advancing age (J. Li et al., 2018). In our study, age and sex had no association with the worry factor. However, individual symptoms loading on the worry factor differed by age and sex: younger people reported feeling anxious and irritable, whereas older women worried too much and had difficulty controlling their worrying. This replicates findings that older individuals worry about health-related problems (</w:t>
      </w:r>
      <w:proofErr w:type="spellStart"/>
      <w:r>
        <w:t>Basevitz</w:t>
      </w:r>
      <w:proofErr w:type="spellEnd"/>
      <w:r>
        <w:t xml:space="preserve"> et al., 2008; Gonçalves &amp; Byrne, 2013) and worry-related anxiety symptoms could be enhanced by the occurrence of somatic sleep problems in older age (Gould et al., 2016; </w:t>
      </w:r>
      <w:proofErr w:type="spellStart"/>
      <w:r>
        <w:t>Lenze</w:t>
      </w:r>
      <w:proofErr w:type="spellEnd"/>
      <w:r>
        <w:t xml:space="preserve"> et al., 2005). Our findings may have substantial implications for the IAPT service in the UK that provides psychological treatment for depression and anxiety </w:t>
      </w:r>
      <w:hyperlink r:id="rId17" w:history="1">
        <w:r>
          <w:t>(Griffiths &amp; Griffiths, 2015)</w:t>
        </w:r>
      </w:hyperlink>
      <w:r>
        <w:t xml:space="preserve">. IAPT uses GAD-7 and PHQ-9 sum scores to assess severity and ascertain which patients gain treatment. Understanding varying age and sex presentations in GAD-7 and PHQ-9 could benefit decision making around who gains access to treatment.  </w:t>
      </w:r>
    </w:p>
    <w:p w14:paraId="0000024A" w14:textId="77777777" w:rsidR="00C20959" w:rsidRDefault="00FA1AA2">
      <w:pPr>
        <w:spacing w:line="360" w:lineRule="auto"/>
        <w:jc w:val="both"/>
      </w:pPr>
      <w:r>
        <w:t xml:space="preserve">Some study limitations merit acknowledgement. First, the majority of individuals were white, female and highly educated. This slightly limits our interpretation of the finding that symptoms vary by sex. However, our sample size was </w:t>
      </w:r>
      <w:proofErr w:type="gramStart"/>
      <w:r>
        <w:t>large</w:t>
      </w:r>
      <w:proofErr w:type="gramEnd"/>
      <w:r>
        <w:t xml:space="preserve"> and our findings are based on more than 7,000 male participants providing sufficient power to detect sex differences. Nevertheless, replication is needed in more ancestrally diverse samples (Bailey et al., 2019). Second, our analyses were cross-sectional and mood symptoms tend to decline over time whereas low levels of somatic symptoms persist (</w:t>
      </w:r>
      <w:proofErr w:type="spellStart"/>
      <w:r>
        <w:t>Eeden</w:t>
      </w:r>
      <w:proofErr w:type="spellEnd"/>
      <w:r>
        <w:t xml:space="preserve"> et al., 2019). Symptom profiles may vary with age and across the course of the disorder, requiring longitudinal data to better understand this. Third, participants reported severe levels of anxiety and depression (Davies et al., 2019). This could suggest men taking part have more severe symptoms due to the under-detection and under-reporting of milder forms of depression and anxiety by males (Albert, 2015). Fourth, the PHQ-9 and GAD-7 assess a limited range of symptoms; disorder heterogeneity would be better captured by more detailed scales. However, long questionnaires can lead to participant fatigue and, hence, missing data in large samples, requiring a considered balance between detailed phenotyping and participating burden. Moreover, the PHQ-9 and GAD-7 do not assess the direction of symptom occurrence. For example, somatic symptoms such as appetite or sleep change, do not differentiate between less or greater appetite, or more or less sleep. Thus, older individuals could experience problems sleeping during the night, whereas younger individuals could sleep too much (</w:t>
      </w:r>
      <w:proofErr w:type="spellStart"/>
      <w:r>
        <w:t>Schaakxs</w:t>
      </w:r>
      <w:proofErr w:type="spellEnd"/>
      <w:r>
        <w:t xml:space="preserve"> et al., 2017). Finally, we do not address the multi-dimensionality in symptom presentations of other anxiety disorders, such as panic disorder and agoraphobia. Although the GAD-7 is considered an adequate screener for all anxiety disorders in the Improving Access to Psychological Treatment service (Beard &amp; </w:t>
      </w:r>
      <w:proofErr w:type="spellStart"/>
      <w:r>
        <w:t>Björgvinsson</w:t>
      </w:r>
      <w:proofErr w:type="spellEnd"/>
      <w:r>
        <w:t xml:space="preserve">, 2014; Clark, 2011), more research is needed to explore age and sex variation in social anxiety disorder, panic disorder, agoraphobia, social phobia and specific phobia with more specific questionnaires. </w:t>
      </w:r>
    </w:p>
    <w:p w14:paraId="0000024B" w14:textId="77777777" w:rsidR="00C20959" w:rsidRDefault="00FA1AA2">
      <w:pPr>
        <w:spacing w:line="360" w:lineRule="auto"/>
        <w:jc w:val="both"/>
      </w:pPr>
      <w:r>
        <w:t xml:space="preserve">Our study highlights key next steps for generalised anxiety and depression research. Rather than using sum scores, future studies should account for symptom and factor level presentation of generalised anxiety and depression to gain an accurate reflection of symptom profiles and individual disability. Furthermore, adopting factors within the diagnostic framework may better represent individual burden </w:t>
      </w:r>
      <w:r>
        <w:lastRenderedPageBreak/>
        <w:t>and subsequently provide possible treatment avenues. Factor-level based scores rather than sum scores have been shown to increase precision in treatment response trajectories (Ballard et al., 2018). Investigating individual symptom presentation could also provide avenues for symptom-specific risk factors (Jokela et al., 2019), beneficial treatment types (</w:t>
      </w:r>
      <w:proofErr w:type="spellStart"/>
      <w:r>
        <w:t>Boschloo</w:t>
      </w:r>
      <w:proofErr w:type="spellEnd"/>
      <w:r>
        <w:t xml:space="preserve"> et al., 2019) and individual response to treatment (McElroy et al., 2019). For example, mood and somatic symptoms showed larger improvement from antidepressant medication compared with cognitive behavioural therapy (</w:t>
      </w:r>
      <w:proofErr w:type="spellStart"/>
      <w:r>
        <w:t>Boschloo</w:t>
      </w:r>
      <w:proofErr w:type="spellEnd"/>
      <w:r>
        <w:t xml:space="preserve"> et al., 2019). Our findings have important implications for young people, particularly young men. Not only are young men at higher risk of depressed mood and suicide ideation (Mackenzie et al., 2019) than women, but concentration problems and restlessness that they experience can negatively impact educational attainment and early career goals (Davies et al., 2018). However, our findings were independent of the education level of our participants. Our findings also provide avenues to better understand anxiety and depression in later life. Many standardised tools including the GAD-7 were designed for measurement in younger individuals (Bryant et al., 2008). Future research that incorporates age-appropriate symptoms would be particularly informative for tracking the longitudinal course of disorders and clinical use in older populations (</w:t>
      </w:r>
      <w:proofErr w:type="spellStart"/>
      <w:r>
        <w:t>Lenze</w:t>
      </w:r>
      <w:proofErr w:type="spellEnd"/>
      <w:r>
        <w:t xml:space="preserve"> et al., 2005).</w:t>
      </w:r>
    </w:p>
    <w:p w14:paraId="0000024C" w14:textId="77777777" w:rsidR="00C20959" w:rsidRDefault="00FA1AA2">
      <w:pPr>
        <w:spacing w:line="360" w:lineRule="auto"/>
        <w:jc w:val="both"/>
      </w:pPr>
      <w:r>
        <w:rPr>
          <w:b/>
        </w:rPr>
        <w:t>Conclusion</w:t>
      </w:r>
    </w:p>
    <w:p w14:paraId="0000024D" w14:textId="77777777" w:rsidR="00C20959" w:rsidRDefault="00FA1AA2">
      <w:pPr>
        <w:spacing w:line="360" w:lineRule="auto"/>
        <w:jc w:val="both"/>
        <w:rPr>
          <w:b/>
        </w:rPr>
      </w:pPr>
      <w:r>
        <w:t xml:space="preserve">Our study provides new insights into underlying factors of generalised anxiety and depression symptoms. We identified four factors of mood, worry, somatic and motor symptoms. Individual symptom and factor endorsement varied significantly dependent on the age and sex of the individual. The current study supports the utilisation of individual symptoms or groups of symptoms over the commonly used sum score approach. The results provide possible avenues for diagnostic improvement and treatment intervention by accounting for age- and sex-related variation in symptoms of generalised anxiety and depression.  </w:t>
      </w:r>
    </w:p>
    <w:p w14:paraId="0000024E" w14:textId="77777777" w:rsidR="00C20959" w:rsidRDefault="00C20959">
      <w:pPr>
        <w:spacing w:line="360" w:lineRule="auto"/>
        <w:jc w:val="both"/>
      </w:pPr>
    </w:p>
    <w:p w14:paraId="0000024F" w14:textId="77777777" w:rsidR="00C20959" w:rsidRDefault="00C20959">
      <w:pPr>
        <w:spacing w:line="360" w:lineRule="auto"/>
        <w:jc w:val="both"/>
      </w:pPr>
    </w:p>
    <w:p w14:paraId="00000250" w14:textId="77777777" w:rsidR="00C20959" w:rsidRDefault="00C20959">
      <w:pPr>
        <w:spacing w:line="360" w:lineRule="auto"/>
        <w:jc w:val="both"/>
      </w:pPr>
    </w:p>
    <w:p w14:paraId="00000251" w14:textId="77777777" w:rsidR="00C20959" w:rsidRDefault="00C20959">
      <w:pPr>
        <w:spacing w:line="360" w:lineRule="auto"/>
        <w:jc w:val="both"/>
      </w:pPr>
    </w:p>
    <w:p w14:paraId="00000252" w14:textId="6287BC05" w:rsidR="00C20959" w:rsidRDefault="00C20959">
      <w:pPr>
        <w:spacing w:line="360" w:lineRule="auto"/>
        <w:jc w:val="both"/>
      </w:pPr>
    </w:p>
    <w:p w14:paraId="0C44F5FE" w14:textId="4C9DD382" w:rsidR="00D73A17" w:rsidRDefault="00D73A17">
      <w:pPr>
        <w:spacing w:line="360" w:lineRule="auto"/>
        <w:jc w:val="both"/>
      </w:pPr>
    </w:p>
    <w:p w14:paraId="5DC811F1" w14:textId="5F654415" w:rsidR="00D73A17" w:rsidRDefault="00D73A17">
      <w:pPr>
        <w:spacing w:line="360" w:lineRule="auto"/>
        <w:jc w:val="both"/>
      </w:pPr>
    </w:p>
    <w:p w14:paraId="4AF1CB4B" w14:textId="3910EB24" w:rsidR="00D73A17" w:rsidRDefault="00D73A17">
      <w:pPr>
        <w:spacing w:line="360" w:lineRule="auto"/>
        <w:jc w:val="both"/>
      </w:pPr>
    </w:p>
    <w:p w14:paraId="59199752" w14:textId="77777777" w:rsidR="00D73A17" w:rsidRDefault="00D73A17">
      <w:pPr>
        <w:spacing w:line="360" w:lineRule="auto"/>
        <w:jc w:val="both"/>
      </w:pPr>
    </w:p>
    <w:p w14:paraId="00000253" w14:textId="77777777" w:rsidR="00C20959" w:rsidRDefault="00FA1AA2">
      <w:pPr>
        <w:spacing w:line="360" w:lineRule="auto"/>
        <w:jc w:val="both"/>
        <w:rPr>
          <w:b/>
        </w:rPr>
      </w:pPr>
      <w:r>
        <w:rPr>
          <w:b/>
        </w:rPr>
        <w:lastRenderedPageBreak/>
        <w:t>References</w:t>
      </w:r>
    </w:p>
    <w:p w14:paraId="00000254"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Albert, P. R. (2015). Why is depression more prevalent in women? </w:t>
      </w:r>
      <w:r>
        <w:rPr>
          <w:i/>
          <w:sz w:val="16"/>
          <w:szCs w:val="16"/>
        </w:rPr>
        <w:t>Journal of Psychiatry &amp; Neuroscience : JPN</w:t>
      </w:r>
      <w:r>
        <w:rPr>
          <w:sz w:val="16"/>
          <w:szCs w:val="16"/>
        </w:rPr>
        <w:t xml:space="preserve">, </w:t>
      </w:r>
      <w:r>
        <w:rPr>
          <w:i/>
          <w:sz w:val="16"/>
          <w:szCs w:val="16"/>
        </w:rPr>
        <w:t>40</w:t>
      </w:r>
      <w:r>
        <w:rPr>
          <w:sz w:val="16"/>
          <w:szCs w:val="16"/>
        </w:rPr>
        <w:t>(4), 219–221. https://doi.org/10.1503/jpn.150205</w:t>
      </w:r>
    </w:p>
    <w:p w14:paraId="00000255"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American Psychiatric Association. (2013). </w:t>
      </w:r>
      <w:r>
        <w:rPr>
          <w:i/>
          <w:sz w:val="16"/>
          <w:szCs w:val="16"/>
        </w:rPr>
        <w:t xml:space="preserve">Diagnostic and Statistical Manual of Mental Disorders, 5th </w:t>
      </w:r>
      <w:proofErr w:type="spellStart"/>
      <w:r>
        <w:rPr>
          <w:i/>
          <w:sz w:val="16"/>
          <w:szCs w:val="16"/>
        </w:rPr>
        <w:t>edn</w:t>
      </w:r>
      <w:proofErr w:type="spellEnd"/>
      <w:r>
        <w:rPr>
          <w:sz w:val="16"/>
          <w:szCs w:val="16"/>
        </w:rPr>
        <w:t>. Washington, DC: American Psychiatric Association.</w:t>
      </w:r>
    </w:p>
    <w:p w14:paraId="00000256"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Bailey, R., </w:t>
      </w:r>
      <w:proofErr w:type="spellStart"/>
      <w:r>
        <w:rPr>
          <w:sz w:val="16"/>
          <w:szCs w:val="16"/>
        </w:rPr>
        <w:t>Mokonogho</w:t>
      </w:r>
      <w:proofErr w:type="spellEnd"/>
      <w:r>
        <w:rPr>
          <w:sz w:val="16"/>
          <w:szCs w:val="16"/>
        </w:rPr>
        <w:t xml:space="preserve">, J., &amp; Kumar, A. (2019). Racial and ethnic differences in depression: Current perspectives. </w:t>
      </w:r>
      <w:r>
        <w:rPr>
          <w:i/>
          <w:sz w:val="16"/>
          <w:szCs w:val="16"/>
        </w:rPr>
        <w:t>Neuropsychiatric Disease and Treatment</w:t>
      </w:r>
      <w:r>
        <w:rPr>
          <w:sz w:val="16"/>
          <w:szCs w:val="16"/>
        </w:rPr>
        <w:t xml:space="preserve">, </w:t>
      </w:r>
      <w:r>
        <w:rPr>
          <w:i/>
          <w:sz w:val="16"/>
          <w:szCs w:val="16"/>
        </w:rPr>
        <w:t>15</w:t>
      </w:r>
      <w:r>
        <w:rPr>
          <w:sz w:val="16"/>
          <w:szCs w:val="16"/>
        </w:rPr>
        <w:t>, 603.</w:t>
      </w:r>
    </w:p>
    <w:p w14:paraId="00000257"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Ballard, E. D., </w:t>
      </w:r>
      <w:proofErr w:type="spellStart"/>
      <w:r>
        <w:rPr>
          <w:sz w:val="16"/>
          <w:szCs w:val="16"/>
        </w:rPr>
        <w:t>Yarrington</w:t>
      </w:r>
      <w:proofErr w:type="spellEnd"/>
      <w:r>
        <w:rPr>
          <w:sz w:val="16"/>
          <w:szCs w:val="16"/>
        </w:rPr>
        <w:t xml:space="preserve">, J. S., Farmer, C. A., </w:t>
      </w:r>
      <w:proofErr w:type="spellStart"/>
      <w:r>
        <w:rPr>
          <w:sz w:val="16"/>
          <w:szCs w:val="16"/>
        </w:rPr>
        <w:t>Lener</w:t>
      </w:r>
      <w:proofErr w:type="spellEnd"/>
      <w:r>
        <w:rPr>
          <w:sz w:val="16"/>
          <w:szCs w:val="16"/>
        </w:rPr>
        <w:t xml:space="preserve">, M. S., </w:t>
      </w:r>
      <w:proofErr w:type="spellStart"/>
      <w:r>
        <w:rPr>
          <w:sz w:val="16"/>
          <w:szCs w:val="16"/>
        </w:rPr>
        <w:t>Kadriu</w:t>
      </w:r>
      <w:proofErr w:type="spellEnd"/>
      <w:r>
        <w:rPr>
          <w:sz w:val="16"/>
          <w:szCs w:val="16"/>
        </w:rPr>
        <w:t xml:space="preserve">, B., Lally, N., Williams, D., Machado-Vieira, R., </w:t>
      </w:r>
      <w:proofErr w:type="spellStart"/>
      <w:r>
        <w:rPr>
          <w:sz w:val="16"/>
          <w:szCs w:val="16"/>
        </w:rPr>
        <w:t>Niciu</w:t>
      </w:r>
      <w:proofErr w:type="spellEnd"/>
      <w:r>
        <w:rPr>
          <w:sz w:val="16"/>
          <w:szCs w:val="16"/>
        </w:rPr>
        <w:t xml:space="preserve">, M. J., Park, L., &amp; Zarate, C. A. (2018). Parsing the heterogeneity of depression: An exploratory factor analysis across commonly used depression rating scales. </w:t>
      </w:r>
      <w:r>
        <w:rPr>
          <w:i/>
          <w:sz w:val="16"/>
          <w:szCs w:val="16"/>
        </w:rPr>
        <w:t>Journal of Affective Disorders</w:t>
      </w:r>
      <w:r>
        <w:rPr>
          <w:sz w:val="16"/>
          <w:szCs w:val="16"/>
        </w:rPr>
        <w:t xml:space="preserve">, </w:t>
      </w:r>
      <w:r>
        <w:rPr>
          <w:i/>
          <w:sz w:val="16"/>
          <w:szCs w:val="16"/>
        </w:rPr>
        <w:t>231</w:t>
      </w:r>
      <w:r>
        <w:rPr>
          <w:sz w:val="16"/>
          <w:szCs w:val="16"/>
        </w:rPr>
        <w:t>, 51–57. https://doi.org/10.1016/j.jad.2018.01.027</w:t>
      </w:r>
    </w:p>
    <w:p w14:paraId="00000258"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Bartlett, M. S. (1950). TESTS OF SIGNIFICANCE IN FACTOR ANALYSIS. </w:t>
      </w:r>
      <w:r>
        <w:rPr>
          <w:i/>
          <w:sz w:val="16"/>
          <w:szCs w:val="16"/>
        </w:rPr>
        <w:t>British Journal of Statistical Psychology</w:t>
      </w:r>
      <w:r>
        <w:rPr>
          <w:sz w:val="16"/>
          <w:szCs w:val="16"/>
        </w:rPr>
        <w:t xml:space="preserve">, </w:t>
      </w:r>
      <w:r>
        <w:rPr>
          <w:i/>
          <w:sz w:val="16"/>
          <w:szCs w:val="16"/>
        </w:rPr>
        <w:t>3</w:t>
      </w:r>
      <w:r>
        <w:rPr>
          <w:sz w:val="16"/>
          <w:szCs w:val="16"/>
        </w:rPr>
        <w:t>(2), 77–85. https://doi.org/10.1111/j.2044-8317.1950.tb00285.x</w:t>
      </w:r>
    </w:p>
    <w:p w14:paraId="00000259"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Basevitz</w:t>
      </w:r>
      <w:proofErr w:type="spellEnd"/>
      <w:r>
        <w:rPr>
          <w:sz w:val="16"/>
          <w:szCs w:val="16"/>
        </w:rPr>
        <w:t xml:space="preserve">, P., Pushkar, D., </w:t>
      </w:r>
      <w:proofErr w:type="spellStart"/>
      <w:r>
        <w:rPr>
          <w:sz w:val="16"/>
          <w:szCs w:val="16"/>
        </w:rPr>
        <w:t>Chaikelson</w:t>
      </w:r>
      <w:proofErr w:type="spellEnd"/>
      <w:r>
        <w:rPr>
          <w:sz w:val="16"/>
          <w:szCs w:val="16"/>
        </w:rPr>
        <w:t xml:space="preserve">, J., Conway, M., &amp; Dalton, C. (2008). Age-Related Differences in Worry and Related Processes. </w:t>
      </w:r>
      <w:r>
        <w:rPr>
          <w:i/>
          <w:sz w:val="16"/>
          <w:szCs w:val="16"/>
        </w:rPr>
        <w:t>The International Journal of Aging and Human Development</w:t>
      </w:r>
      <w:r>
        <w:rPr>
          <w:sz w:val="16"/>
          <w:szCs w:val="16"/>
        </w:rPr>
        <w:t xml:space="preserve">, </w:t>
      </w:r>
      <w:r>
        <w:rPr>
          <w:i/>
          <w:sz w:val="16"/>
          <w:szCs w:val="16"/>
        </w:rPr>
        <w:t>66</w:t>
      </w:r>
      <w:r>
        <w:rPr>
          <w:sz w:val="16"/>
          <w:szCs w:val="16"/>
        </w:rPr>
        <w:t>(4), 283–305. https://doi.org/10.2190/AG.66.4.b</w:t>
      </w:r>
    </w:p>
    <w:p w14:paraId="0000025A"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Beard, C., &amp; </w:t>
      </w:r>
      <w:proofErr w:type="spellStart"/>
      <w:r>
        <w:rPr>
          <w:sz w:val="16"/>
          <w:szCs w:val="16"/>
        </w:rPr>
        <w:t>Björgvinsson</w:t>
      </w:r>
      <w:proofErr w:type="spellEnd"/>
      <w:r>
        <w:rPr>
          <w:sz w:val="16"/>
          <w:szCs w:val="16"/>
        </w:rPr>
        <w:t xml:space="preserve">, T. (2014). Beyond generalized anxiety disorder: Psychometric properties of the GAD-7 in a heterogeneous psychiatric sample. </w:t>
      </w:r>
      <w:r>
        <w:rPr>
          <w:i/>
          <w:sz w:val="16"/>
          <w:szCs w:val="16"/>
        </w:rPr>
        <w:t>Journal of Anxiety Disorders</w:t>
      </w:r>
      <w:r>
        <w:rPr>
          <w:sz w:val="16"/>
          <w:szCs w:val="16"/>
        </w:rPr>
        <w:t xml:space="preserve">, </w:t>
      </w:r>
      <w:r>
        <w:rPr>
          <w:i/>
          <w:sz w:val="16"/>
          <w:szCs w:val="16"/>
        </w:rPr>
        <w:t>28</w:t>
      </w:r>
      <w:r>
        <w:rPr>
          <w:sz w:val="16"/>
          <w:szCs w:val="16"/>
        </w:rPr>
        <w:t>(6), 547–552. https://doi.org/10.1016/j.janxdis.2014.06.002</w:t>
      </w:r>
    </w:p>
    <w:p w14:paraId="0000025B"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Benjamini</w:t>
      </w:r>
      <w:proofErr w:type="spellEnd"/>
      <w:r>
        <w:rPr>
          <w:sz w:val="16"/>
          <w:szCs w:val="16"/>
        </w:rPr>
        <w:t xml:space="preserve">, Y., &amp; Hochberg, Y. (1995). Controlling the False Discovery Rate: A Practical and Powerful Approach to Multiple Testing. </w:t>
      </w:r>
      <w:r>
        <w:rPr>
          <w:i/>
          <w:sz w:val="16"/>
          <w:szCs w:val="16"/>
        </w:rPr>
        <w:t>Journal of the Royal Statistical Society. Series B (Methodological)</w:t>
      </w:r>
      <w:r>
        <w:rPr>
          <w:sz w:val="16"/>
          <w:szCs w:val="16"/>
        </w:rPr>
        <w:t xml:space="preserve">, </w:t>
      </w:r>
      <w:r>
        <w:rPr>
          <w:i/>
          <w:sz w:val="16"/>
          <w:szCs w:val="16"/>
        </w:rPr>
        <w:t>57</w:t>
      </w:r>
      <w:r>
        <w:rPr>
          <w:sz w:val="16"/>
          <w:szCs w:val="16"/>
        </w:rPr>
        <w:t>(1), 289–300.</w:t>
      </w:r>
    </w:p>
    <w:p w14:paraId="0000025C"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Boschloo</w:t>
      </w:r>
      <w:proofErr w:type="spellEnd"/>
      <w:r>
        <w:rPr>
          <w:sz w:val="16"/>
          <w:szCs w:val="16"/>
        </w:rPr>
        <w:t xml:space="preserve">, L., </w:t>
      </w:r>
      <w:proofErr w:type="spellStart"/>
      <w:r>
        <w:rPr>
          <w:sz w:val="16"/>
          <w:szCs w:val="16"/>
        </w:rPr>
        <w:t>Bekhuis</w:t>
      </w:r>
      <w:proofErr w:type="spellEnd"/>
      <w:r>
        <w:rPr>
          <w:sz w:val="16"/>
          <w:szCs w:val="16"/>
        </w:rPr>
        <w:t xml:space="preserve">, E., Weitz, E. S., </w:t>
      </w:r>
      <w:proofErr w:type="spellStart"/>
      <w:r>
        <w:rPr>
          <w:sz w:val="16"/>
          <w:szCs w:val="16"/>
        </w:rPr>
        <w:t>Reijnders</w:t>
      </w:r>
      <w:proofErr w:type="spellEnd"/>
      <w:r>
        <w:rPr>
          <w:sz w:val="16"/>
          <w:szCs w:val="16"/>
        </w:rPr>
        <w:t xml:space="preserve">, M., </w:t>
      </w:r>
      <w:proofErr w:type="spellStart"/>
      <w:r>
        <w:rPr>
          <w:sz w:val="16"/>
          <w:szCs w:val="16"/>
        </w:rPr>
        <w:t>DeRubeis</w:t>
      </w:r>
      <w:proofErr w:type="spellEnd"/>
      <w:r>
        <w:rPr>
          <w:sz w:val="16"/>
          <w:szCs w:val="16"/>
        </w:rPr>
        <w:t xml:space="preserve">, R. J., </w:t>
      </w:r>
      <w:proofErr w:type="spellStart"/>
      <w:r>
        <w:rPr>
          <w:sz w:val="16"/>
          <w:szCs w:val="16"/>
        </w:rPr>
        <w:t>Dimidjian</w:t>
      </w:r>
      <w:proofErr w:type="spellEnd"/>
      <w:r>
        <w:rPr>
          <w:sz w:val="16"/>
          <w:szCs w:val="16"/>
        </w:rPr>
        <w:t xml:space="preserve">, S., Dunner, D. L., Dunlop, B. W., </w:t>
      </w:r>
      <w:proofErr w:type="spellStart"/>
      <w:r>
        <w:rPr>
          <w:sz w:val="16"/>
          <w:szCs w:val="16"/>
        </w:rPr>
        <w:t>Hegerl</w:t>
      </w:r>
      <w:proofErr w:type="spellEnd"/>
      <w:r>
        <w:rPr>
          <w:sz w:val="16"/>
          <w:szCs w:val="16"/>
        </w:rPr>
        <w:t xml:space="preserve">, U., </w:t>
      </w:r>
      <w:proofErr w:type="spellStart"/>
      <w:r>
        <w:rPr>
          <w:sz w:val="16"/>
          <w:szCs w:val="16"/>
        </w:rPr>
        <w:t>Hollon</w:t>
      </w:r>
      <w:proofErr w:type="spellEnd"/>
      <w:r>
        <w:rPr>
          <w:sz w:val="16"/>
          <w:szCs w:val="16"/>
        </w:rPr>
        <w:t xml:space="preserve">, S. D., Jarrett, R. B., Kennedy, S. H., Miranda, J., Mohr, D. C., Simons, A. D., Parker, G., </w:t>
      </w:r>
      <w:proofErr w:type="spellStart"/>
      <w:r>
        <w:rPr>
          <w:sz w:val="16"/>
          <w:szCs w:val="16"/>
        </w:rPr>
        <w:t>Petrak</w:t>
      </w:r>
      <w:proofErr w:type="spellEnd"/>
      <w:r>
        <w:rPr>
          <w:sz w:val="16"/>
          <w:szCs w:val="16"/>
        </w:rPr>
        <w:t xml:space="preserve">, F., </w:t>
      </w:r>
      <w:proofErr w:type="spellStart"/>
      <w:r>
        <w:rPr>
          <w:sz w:val="16"/>
          <w:szCs w:val="16"/>
        </w:rPr>
        <w:t>Herpertz</w:t>
      </w:r>
      <w:proofErr w:type="spellEnd"/>
      <w:r>
        <w:rPr>
          <w:sz w:val="16"/>
          <w:szCs w:val="16"/>
        </w:rPr>
        <w:t xml:space="preserve">, S., </w:t>
      </w:r>
      <w:proofErr w:type="spellStart"/>
      <w:r>
        <w:rPr>
          <w:sz w:val="16"/>
          <w:szCs w:val="16"/>
        </w:rPr>
        <w:t>Quilty</w:t>
      </w:r>
      <w:proofErr w:type="spellEnd"/>
      <w:r>
        <w:rPr>
          <w:sz w:val="16"/>
          <w:szCs w:val="16"/>
        </w:rPr>
        <w:t xml:space="preserve">, L. C., … </w:t>
      </w:r>
      <w:proofErr w:type="spellStart"/>
      <w:r>
        <w:rPr>
          <w:sz w:val="16"/>
          <w:szCs w:val="16"/>
        </w:rPr>
        <w:t>Cuijpers</w:t>
      </w:r>
      <w:proofErr w:type="spellEnd"/>
      <w:r>
        <w:rPr>
          <w:sz w:val="16"/>
          <w:szCs w:val="16"/>
        </w:rPr>
        <w:t xml:space="preserve">, P. (2019). The symptom-specific efficacy of antidepressant medication vs. cognitive </w:t>
      </w:r>
      <w:proofErr w:type="spellStart"/>
      <w:r>
        <w:rPr>
          <w:sz w:val="16"/>
          <w:szCs w:val="16"/>
        </w:rPr>
        <w:t>behavioral</w:t>
      </w:r>
      <w:proofErr w:type="spellEnd"/>
      <w:r>
        <w:rPr>
          <w:sz w:val="16"/>
          <w:szCs w:val="16"/>
        </w:rPr>
        <w:t xml:space="preserve"> therapy in the treatment of depression: Results from an individual patient data meta-analysis. </w:t>
      </w:r>
      <w:r>
        <w:rPr>
          <w:i/>
          <w:sz w:val="16"/>
          <w:szCs w:val="16"/>
        </w:rPr>
        <w:t>World Psychiatry</w:t>
      </w:r>
      <w:r>
        <w:rPr>
          <w:sz w:val="16"/>
          <w:szCs w:val="16"/>
        </w:rPr>
        <w:t xml:space="preserve">, </w:t>
      </w:r>
      <w:r>
        <w:rPr>
          <w:i/>
          <w:sz w:val="16"/>
          <w:szCs w:val="16"/>
        </w:rPr>
        <w:t>18</w:t>
      </w:r>
      <w:r>
        <w:rPr>
          <w:sz w:val="16"/>
          <w:szCs w:val="16"/>
        </w:rPr>
        <w:t>(2), 183–191. https://doi.org/10.1002/wps.20630</w:t>
      </w:r>
    </w:p>
    <w:p w14:paraId="0000025D"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Brown, T. A., Campbell, L. A., Lehman, C. L., Grisham, J. R., &amp; </w:t>
      </w:r>
      <w:proofErr w:type="spellStart"/>
      <w:r>
        <w:rPr>
          <w:sz w:val="16"/>
          <w:szCs w:val="16"/>
        </w:rPr>
        <w:t>Mancill</w:t>
      </w:r>
      <w:proofErr w:type="spellEnd"/>
      <w:r>
        <w:rPr>
          <w:sz w:val="16"/>
          <w:szCs w:val="16"/>
        </w:rPr>
        <w:t xml:space="preserve">, R. B. (2001). Current and lifetime comorbidity of the DSM-IV anxiety and mood disorders in a large clinical sample. </w:t>
      </w:r>
      <w:r>
        <w:rPr>
          <w:i/>
          <w:sz w:val="16"/>
          <w:szCs w:val="16"/>
        </w:rPr>
        <w:t>Journal of Abnormal Psychology</w:t>
      </w:r>
      <w:r>
        <w:rPr>
          <w:sz w:val="16"/>
          <w:szCs w:val="16"/>
        </w:rPr>
        <w:t xml:space="preserve">, </w:t>
      </w:r>
      <w:r>
        <w:rPr>
          <w:i/>
          <w:sz w:val="16"/>
          <w:szCs w:val="16"/>
        </w:rPr>
        <w:t>110</w:t>
      </w:r>
      <w:r>
        <w:rPr>
          <w:sz w:val="16"/>
          <w:szCs w:val="16"/>
        </w:rPr>
        <w:t>(4), 585–599. https://doi.org/10.1037/0021-843X.110.4.585</w:t>
      </w:r>
    </w:p>
    <w:p w14:paraId="0000025E" w14:textId="77777777" w:rsidR="00C20959" w:rsidRDefault="00FA1AA2">
      <w:pPr>
        <w:widowControl w:val="0"/>
        <w:pBdr>
          <w:top w:val="nil"/>
          <w:left w:val="nil"/>
          <w:bottom w:val="nil"/>
          <w:right w:val="nil"/>
          <w:between w:val="nil"/>
        </w:pBdr>
        <w:spacing w:before="0" w:after="0" w:line="480" w:lineRule="auto"/>
        <w:ind w:left="720" w:hanging="720"/>
        <w:rPr>
          <w:sz w:val="16"/>
          <w:szCs w:val="16"/>
        </w:rPr>
      </w:pPr>
      <w:r>
        <w:rPr>
          <w:sz w:val="16"/>
          <w:szCs w:val="16"/>
        </w:rPr>
        <w:t xml:space="preserve">Clark, L. A., &amp; Watson, D. (1991). Tripartite model of anxiety and depression: Psychometric evidence and taxonomic implications. </w:t>
      </w:r>
      <w:r>
        <w:rPr>
          <w:i/>
          <w:sz w:val="16"/>
          <w:szCs w:val="16"/>
        </w:rPr>
        <w:t>Journal of Abnormal Psychology</w:t>
      </w:r>
      <w:r>
        <w:rPr>
          <w:sz w:val="16"/>
          <w:szCs w:val="16"/>
        </w:rPr>
        <w:t xml:space="preserve">, </w:t>
      </w:r>
      <w:r>
        <w:rPr>
          <w:i/>
          <w:sz w:val="16"/>
          <w:szCs w:val="16"/>
        </w:rPr>
        <w:t>100</w:t>
      </w:r>
      <w:r>
        <w:rPr>
          <w:sz w:val="16"/>
          <w:szCs w:val="16"/>
        </w:rPr>
        <w:t xml:space="preserve">(3), 316–336. </w:t>
      </w:r>
      <w:hyperlink r:id="rId18">
        <w:r>
          <w:rPr>
            <w:color w:val="1155CC"/>
            <w:sz w:val="16"/>
            <w:szCs w:val="16"/>
            <w:u w:val="single"/>
          </w:rPr>
          <w:t>https://doi.org/10.1037//0021-843X.100.3.316</w:t>
        </w:r>
      </w:hyperlink>
    </w:p>
    <w:p w14:paraId="0000025F" w14:textId="77777777" w:rsidR="00C20959" w:rsidRDefault="00FA1AA2" w:rsidP="00FA1AA2">
      <w:pPr>
        <w:widowControl w:val="0"/>
        <w:spacing w:before="0" w:after="0" w:line="480" w:lineRule="auto"/>
        <w:ind w:left="720"/>
        <w:rPr>
          <w:sz w:val="16"/>
          <w:szCs w:val="16"/>
        </w:rPr>
      </w:pPr>
      <w:r>
        <w:rPr>
          <w:sz w:val="16"/>
          <w:szCs w:val="16"/>
        </w:rPr>
        <w:t>Clark, D. M. (2011). Implementing NICE guidelines for the psychological treatment of depression and anxiety disorders: the IAPT experience. International review of psychiatry, 23(4), 318-327.</w:t>
      </w:r>
    </w:p>
    <w:p w14:paraId="00000260"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Davies, J., Sullivan, S., &amp; Zammit, S. (2018). Adverse life outcomes associated with adolescent psychotic experiences and depressive symptoms. </w:t>
      </w:r>
      <w:r>
        <w:rPr>
          <w:i/>
          <w:sz w:val="16"/>
          <w:szCs w:val="16"/>
        </w:rPr>
        <w:t>Social Psychiatry and Psychiatric Epidemiology</w:t>
      </w:r>
      <w:r>
        <w:rPr>
          <w:sz w:val="16"/>
          <w:szCs w:val="16"/>
        </w:rPr>
        <w:t xml:space="preserve">, </w:t>
      </w:r>
      <w:r>
        <w:rPr>
          <w:i/>
          <w:sz w:val="16"/>
          <w:szCs w:val="16"/>
        </w:rPr>
        <w:t>53</w:t>
      </w:r>
      <w:r>
        <w:rPr>
          <w:sz w:val="16"/>
          <w:szCs w:val="16"/>
        </w:rPr>
        <w:t>(5), 497–507. https://doi.org/10.1007/s00127-018-1496-z</w:t>
      </w:r>
    </w:p>
    <w:p w14:paraId="00000261"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Davies, M., Kalsi, G., Armour, C., Jones, I. R., McIntosh, A. M., Smith, D. J., Walters, J. T. R., Bradley, J. R., Kingston, N., </w:t>
      </w:r>
      <w:r>
        <w:rPr>
          <w:sz w:val="16"/>
          <w:szCs w:val="16"/>
        </w:rPr>
        <w:lastRenderedPageBreak/>
        <w:t xml:space="preserve">Ashford, S., </w:t>
      </w:r>
      <w:proofErr w:type="spellStart"/>
      <w:r>
        <w:rPr>
          <w:sz w:val="16"/>
          <w:szCs w:val="16"/>
        </w:rPr>
        <w:t>Beange</w:t>
      </w:r>
      <w:proofErr w:type="spellEnd"/>
      <w:r>
        <w:rPr>
          <w:sz w:val="16"/>
          <w:szCs w:val="16"/>
        </w:rPr>
        <w:t xml:space="preserve">, I., </w:t>
      </w:r>
      <w:proofErr w:type="spellStart"/>
      <w:r>
        <w:rPr>
          <w:sz w:val="16"/>
          <w:szCs w:val="16"/>
        </w:rPr>
        <w:t>Brailean</w:t>
      </w:r>
      <w:proofErr w:type="spellEnd"/>
      <w:r>
        <w:rPr>
          <w:sz w:val="16"/>
          <w:szCs w:val="16"/>
        </w:rPr>
        <w:t xml:space="preserve">, A., </w:t>
      </w:r>
      <w:proofErr w:type="spellStart"/>
      <w:r>
        <w:rPr>
          <w:sz w:val="16"/>
          <w:szCs w:val="16"/>
        </w:rPr>
        <w:t>Cleare</w:t>
      </w:r>
      <w:proofErr w:type="spellEnd"/>
      <w:r>
        <w:rPr>
          <w:sz w:val="16"/>
          <w:szCs w:val="16"/>
        </w:rPr>
        <w:t xml:space="preserve">, A. J., Coleman, J. R. I., Curtis, C. J., </w:t>
      </w:r>
      <w:proofErr w:type="spellStart"/>
      <w:r>
        <w:rPr>
          <w:sz w:val="16"/>
          <w:szCs w:val="16"/>
        </w:rPr>
        <w:t>Curzons</w:t>
      </w:r>
      <w:proofErr w:type="spellEnd"/>
      <w:r>
        <w:rPr>
          <w:sz w:val="16"/>
          <w:szCs w:val="16"/>
        </w:rPr>
        <w:t xml:space="preserve">, S. C. B., Davis, K. A. S., </w:t>
      </w:r>
      <w:proofErr w:type="spellStart"/>
      <w:r>
        <w:rPr>
          <w:sz w:val="16"/>
          <w:szCs w:val="16"/>
        </w:rPr>
        <w:t>Dowey</w:t>
      </w:r>
      <w:proofErr w:type="spellEnd"/>
      <w:r>
        <w:rPr>
          <w:sz w:val="16"/>
          <w:szCs w:val="16"/>
        </w:rPr>
        <w:t xml:space="preserve">, L. R. C., Gault, V. A., … Breen, G. (2019). The Genetic Links to Anxiety and Depression (GLAD) Study: Online recruitment into the largest </w:t>
      </w:r>
      <w:proofErr w:type="spellStart"/>
      <w:r>
        <w:rPr>
          <w:sz w:val="16"/>
          <w:szCs w:val="16"/>
        </w:rPr>
        <w:t>recontactable</w:t>
      </w:r>
      <w:proofErr w:type="spellEnd"/>
      <w:r>
        <w:rPr>
          <w:sz w:val="16"/>
          <w:szCs w:val="16"/>
        </w:rPr>
        <w:t xml:space="preserve"> study of depression and anxiety. </w:t>
      </w:r>
      <w:r>
        <w:rPr>
          <w:i/>
          <w:sz w:val="16"/>
          <w:szCs w:val="16"/>
        </w:rPr>
        <w:t>Behaviour Research and Therapy</w:t>
      </w:r>
      <w:r>
        <w:rPr>
          <w:sz w:val="16"/>
          <w:szCs w:val="16"/>
        </w:rPr>
        <w:t xml:space="preserve">, </w:t>
      </w:r>
      <w:r>
        <w:rPr>
          <w:i/>
          <w:sz w:val="16"/>
          <w:szCs w:val="16"/>
        </w:rPr>
        <w:t>123</w:t>
      </w:r>
      <w:r>
        <w:rPr>
          <w:sz w:val="16"/>
          <w:szCs w:val="16"/>
        </w:rPr>
        <w:t>, 103503. https://doi.org/10.1016/j.brat.2019.103503</w:t>
      </w:r>
    </w:p>
    <w:p w14:paraId="00000262"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Eeden</w:t>
      </w:r>
      <w:proofErr w:type="spellEnd"/>
      <w:r>
        <w:rPr>
          <w:sz w:val="16"/>
          <w:szCs w:val="16"/>
        </w:rPr>
        <w:t xml:space="preserve">, W. A. van, </w:t>
      </w:r>
      <w:proofErr w:type="spellStart"/>
      <w:r>
        <w:rPr>
          <w:sz w:val="16"/>
          <w:szCs w:val="16"/>
        </w:rPr>
        <w:t>Hemert</w:t>
      </w:r>
      <w:proofErr w:type="spellEnd"/>
      <w:r>
        <w:rPr>
          <w:sz w:val="16"/>
          <w:szCs w:val="16"/>
        </w:rPr>
        <w:t xml:space="preserve">, A. M. van, </w:t>
      </w:r>
      <w:proofErr w:type="spellStart"/>
      <w:r>
        <w:rPr>
          <w:sz w:val="16"/>
          <w:szCs w:val="16"/>
        </w:rPr>
        <w:t>Carlier</w:t>
      </w:r>
      <w:proofErr w:type="spellEnd"/>
      <w:r>
        <w:rPr>
          <w:sz w:val="16"/>
          <w:szCs w:val="16"/>
        </w:rPr>
        <w:t xml:space="preserve">, I. V. E., </w:t>
      </w:r>
      <w:proofErr w:type="spellStart"/>
      <w:r>
        <w:rPr>
          <w:sz w:val="16"/>
          <w:szCs w:val="16"/>
        </w:rPr>
        <w:t>Penninx</w:t>
      </w:r>
      <w:proofErr w:type="spellEnd"/>
      <w:r>
        <w:rPr>
          <w:sz w:val="16"/>
          <w:szCs w:val="16"/>
        </w:rPr>
        <w:t xml:space="preserve">, B. W., &amp; </w:t>
      </w:r>
      <w:proofErr w:type="spellStart"/>
      <w:r>
        <w:rPr>
          <w:sz w:val="16"/>
          <w:szCs w:val="16"/>
        </w:rPr>
        <w:t>Giltay</w:t>
      </w:r>
      <w:proofErr w:type="spellEnd"/>
      <w:r>
        <w:rPr>
          <w:sz w:val="16"/>
          <w:szCs w:val="16"/>
        </w:rPr>
        <w:t xml:space="preserve">, E. J. (2019). Severity, course trajectory, and within‐person variability of individual symptoms in patients with major depressive disorder. </w:t>
      </w:r>
      <w:r>
        <w:rPr>
          <w:i/>
          <w:sz w:val="16"/>
          <w:szCs w:val="16"/>
        </w:rPr>
        <w:t xml:space="preserve">Acta </w:t>
      </w:r>
      <w:proofErr w:type="spellStart"/>
      <w:r>
        <w:rPr>
          <w:i/>
          <w:sz w:val="16"/>
          <w:szCs w:val="16"/>
        </w:rPr>
        <w:t>Psychiatrica</w:t>
      </w:r>
      <w:proofErr w:type="spellEnd"/>
      <w:r>
        <w:rPr>
          <w:i/>
          <w:sz w:val="16"/>
          <w:szCs w:val="16"/>
        </w:rPr>
        <w:t xml:space="preserve"> Scandinavica</w:t>
      </w:r>
      <w:r>
        <w:rPr>
          <w:sz w:val="16"/>
          <w:szCs w:val="16"/>
        </w:rPr>
        <w:t xml:space="preserve">, </w:t>
      </w:r>
      <w:r>
        <w:rPr>
          <w:i/>
          <w:sz w:val="16"/>
          <w:szCs w:val="16"/>
        </w:rPr>
        <w:t>139</w:t>
      </w:r>
      <w:r>
        <w:rPr>
          <w:sz w:val="16"/>
          <w:szCs w:val="16"/>
        </w:rPr>
        <w:t>(2), 194–205. https://doi.org/10.1111/acps.12987</w:t>
      </w:r>
    </w:p>
    <w:p w14:paraId="00000263"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Field, A., Miles, J., &amp; Field, Z. (2012). </w:t>
      </w:r>
      <w:r>
        <w:rPr>
          <w:i/>
          <w:sz w:val="16"/>
          <w:szCs w:val="16"/>
        </w:rPr>
        <w:t>Discovering statistics using R</w:t>
      </w:r>
      <w:r>
        <w:rPr>
          <w:sz w:val="16"/>
          <w:szCs w:val="16"/>
        </w:rPr>
        <w:t>. Sage publications.</w:t>
      </w:r>
    </w:p>
    <w:p w14:paraId="00000264"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Foley, D., </w:t>
      </w:r>
      <w:proofErr w:type="spellStart"/>
      <w:r>
        <w:rPr>
          <w:sz w:val="16"/>
          <w:szCs w:val="16"/>
        </w:rPr>
        <w:t>Ancoli</w:t>
      </w:r>
      <w:proofErr w:type="spellEnd"/>
      <w:r>
        <w:rPr>
          <w:sz w:val="16"/>
          <w:szCs w:val="16"/>
        </w:rPr>
        <w:t xml:space="preserve">-Israel, S., </w:t>
      </w:r>
      <w:proofErr w:type="spellStart"/>
      <w:r>
        <w:rPr>
          <w:sz w:val="16"/>
          <w:szCs w:val="16"/>
        </w:rPr>
        <w:t>Britz</w:t>
      </w:r>
      <w:proofErr w:type="spellEnd"/>
      <w:r>
        <w:rPr>
          <w:sz w:val="16"/>
          <w:szCs w:val="16"/>
        </w:rPr>
        <w:t xml:space="preserve">, P., &amp; Walsh, J. (2004). Sleep disturbances and chronic disease in older adults: Results of the 2003 National Sleep Foundation Sleep in America Survey. </w:t>
      </w:r>
      <w:r>
        <w:rPr>
          <w:i/>
          <w:sz w:val="16"/>
          <w:szCs w:val="16"/>
        </w:rPr>
        <w:t>Journal of Psychosomatic Research</w:t>
      </w:r>
      <w:r>
        <w:rPr>
          <w:sz w:val="16"/>
          <w:szCs w:val="16"/>
        </w:rPr>
        <w:t xml:space="preserve">, </w:t>
      </w:r>
      <w:r>
        <w:rPr>
          <w:i/>
          <w:sz w:val="16"/>
          <w:szCs w:val="16"/>
        </w:rPr>
        <w:t>56</w:t>
      </w:r>
      <w:r>
        <w:rPr>
          <w:sz w:val="16"/>
          <w:szCs w:val="16"/>
        </w:rPr>
        <w:t>(5), 497–502. https://doi.org/10.1016/j.jpsychores.2004.02.010</w:t>
      </w:r>
    </w:p>
    <w:p w14:paraId="00000265"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Forero</w:t>
      </w:r>
      <w:proofErr w:type="spellEnd"/>
      <w:r>
        <w:rPr>
          <w:sz w:val="16"/>
          <w:szCs w:val="16"/>
        </w:rPr>
        <w:t xml:space="preserve">, C. G., </w:t>
      </w:r>
      <w:proofErr w:type="spellStart"/>
      <w:r>
        <w:rPr>
          <w:sz w:val="16"/>
          <w:szCs w:val="16"/>
        </w:rPr>
        <w:t>Maydeu</w:t>
      </w:r>
      <w:proofErr w:type="spellEnd"/>
      <w:r>
        <w:rPr>
          <w:sz w:val="16"/>
          <w:szCs w:val="16"/>
        </w:rPr>
        <w:t xml:space="preserve">-Olivares, A., &amp; Gallardo-Pujol, D. (2009). Factor Analysis with Ordinal Indicators: A Monte Carlo Study Comparing DWLS and ULS Estimation. </w:t>
      </w:r>
      <w:r>
        <w:rPr>
          <w:i/>
          <w:sz w:val="16"/>
          <w:szCs w:val="16"/>
        </w:rPr>
        <w:t>Structural Equation Modeling: A Multidisciplinary Journal</w:t>
      </w:r>
      <w:r>
        <w:rPr>
          <w:sz w:val="16"/>
          <w:szCs w:val="16"/>
        </w:rPr>
        <w:t xml:space="preserve">, </w:t>
      </w:r>
      <w:r>
        <w:rPr>
          <w:i/>
          <w:sz w:val="16"/>
          <w:szCs w:val="16"/>
        </w:rPr>
        <w:t>16</w:t>
      </w:r>
      <w:r>
        <w:rPr>
          <w:sz w:val="16"/>
          <w:szCs w:val="16"/>
        </w:rPr>
        <w:t>(4), 625–641. https://doi.org/10.1080/10705510903203573</w:t>
      </w:r>
    </w:p>
    <w:p w14:paraId="00000266"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Fried, E. I., &amp; </w:t>
      </w:r>
      <w:proofErr w:type="spellStart"/>
      <w:r>
        <w:rPr>
          <w:sz w:val="16"/>
          <w:szCs w:val="16"/>
        </w:rPr>
        <w:t>Nesse</w:t>
      </w:r>
      <w:proofErr w:type="spellEnd"/>
      <w:r>
        <w:rPr>
          <w:sz w:val="16"/>
          <w:szCs w:val="16"/>
        </w:rPr>
        <w:t xml:space="preserve">, R. M. (2015a). Depression is not a consistent syndrome: An investigation of unique symptom patterns in the STAR*D study. </w:t>
      </w:r>
      <w:r>
        <w:rPr>
          <w:i/>
          <w:sz w:val="16"/>
          <w:szCs w:val="16"/>
        </w:rPr>
        <w:t>Journal of Affective Disorders</w:t>
      </w:r>
      <w:r>
        <w:rPr>
          <w:sz w:val="16"/>
          <w:szCs w:val="16"/>
        </w:rPr>
        <w:t xml:space="preserve">, </w:t>
      </w:r>
      <w:r>
        <w:rPr>
          <w:i/>
          <w:sz w:val="16"/>
          <w:szCs w:val="16"/>
        </w:rPr>
        <w:t>172</w:t>
      </w:r>
      <w:r>
        <w:rPr>
          <w:sz w:val="16"/>
          <w:szCs w:val="16"/>
        </w:rPr>
        <w:t>, 96–102. https://doi.org/10.1016/j.jad.2014.10.010</w:t>
      </w:r>
    </w:p>
    <w:p w14:paraId="00000267"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Fried, E. I., &amp; </w:t>
      </w:r>
      <w:proofErr w:type="spellStart"/>
      <w:r>
        <w:rPr>
          <w:sz w:val="16"/>
          <w:szCs w:val="16"/>
        </w:rPr>
        <w:t>Nesse</w:t>
      </w:r>
      <w:proofErr w:type="spellEnd"/>
      <w:r>
        <w:rPr>
          <w:sz w:val="16"/>
          <w:szCs w:val="16"/>
        </w:rPr>
        <w:t xml:space="preserve">, R. M. (2015b). Depression sum-scores don’t add up: Why </w:t>
      </w:r>
      <w:proofErr w:type="spellStart"/>
      <w:r>
        <w:rPr>
          <w:sz w:val="16"/>
          <w:szCs w:val="16"/>
        </w:rPr>
        <w:t>analyzing</w:t>
      </w:r>
      <w:proofErr w:type="spellEnd"/>
      <w:r>
        <w:rPr>
          <w:sz w:val="16"/>
          <w:szCs w:val="16"/>
        </w:rPr>
        <w:t xml:space="preserve"> specific depression symptoms is essential. </w:t>
      </w:r>
      <w:r>
        <w:rPr>
          <w:i/>
          <w:sz w:val="16"/>
          <w:szCs w:val="16"/>
        </w:rPr>
        <w:t>BMC Medicine</w:t>
      </w:r>
      <w:r>
        <w:rPr>
          <w:sz w:val="16"/>
          <w:szCs w:val="16"/>
        </w:rPr>
        <w:t xml:space="preserve">, </w:t>
      </w:r>
      <w:r>
        <w:rPr>
          <w:i/>
          <w:sz w:val="16"/>
          <w:szCs w:val="16"/>
        </w:rPr>
        <w:t>13</w:t>
      </w:r>
      <w:r>
        <w:rPr>
          <w:sz w:val="16"/>
          <w:szCs w:val="16"/>
        </w:rPr>
        <w:t>(1), 72. https://doi.org/10.1186/s12916-015-0325-4</w:t>
      </w:r>
    </w:p>
    <w:p w14:paraId="00000268"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Fried, E. I., </w:t>
      </w:r>
      <w:proofErr w:type="spellStart"/>
      <w:r>
        <w:rPr>
          <w:sz w:val="16"/>
          <w:szCs w:val="16"/>
        </w:rPr>
        <w:t>Nesse</w:t>
      </w:r>
      <w:proofErr w:type="spellEnd"/>
      <w:r>
        <w:rPr>
          <w:sz w:val="16"/>
          <w:szCs w:val="16"/>
        </w:rPr>
        <w:t xml:space="preserve">, R. M., </w:t>
      </w:r>
      <w:proofErr w:type="spellStart"/>
      <w:r>
        <w:rPr>
          <w:sz w:val="16"/>
          <w:szCs w:val="16"/>
        </w:rPr>
        <w:t>Zivin</w:t>
      </w:r>
      <w:proofErr w:type="spellEnd"/>
      <w:r>
        <w:rPr>
          <w:sz w:val="16"/>
          <w:szCs w:val="16"/>
        </w:rPr>
        <w:t xml:space="preserve">, K., </w:t>
      </w:r>
      <w:proofErr w:type="spellStart"/>
      <w:r>
        <w:rPr>
          <w:sz w:val="16"/>
          <w:szCs w:val="16"/>
        </w:rPr>
        <w:t>Guille</w:t>
      </w:r>
      <w:proofErr w:type="spellEnd"/>
      <w:r>
        <w:rPr>
          <w:sz w:val="16"/>
          <w:szCs w:val="16"/>
        </w:rPr>
        <w:t xml:space="preserve">, C., &amp; Sen, S. (2014). Depression is more than the sum score of its parts: Individual DSM symptoms have different risk factors. </w:t>
      </w:r>
      <w:r>
        <w:rPr>
          <w:i/>
          <w:sz w:val="16"/>
          <w:szCs w:val="16"/>
        </w:rPr>
        <w:t>Psychological Medicine</w:t>
      </w:r>
      <w:r>
        <w:rPr>
          <w:sz w:val="16"/>
          <w:szCs w:val="16"/>
        </w:rPr>
        <w:t xml:space="preserve">, </w:t>
      </w:r>
      <w:r>
        <w:rPr>
          <w:i/>
          <w:sz w:val="16"/>
          <w:szCs w:val="16"/>
        </w:rPr>
        <w:t>44</w:t>
      </w:r>
      <w:r>
        <w:rPr>
          <w:sz w:val="16"/>
          <w:szCs w:val="16"/>
        </w:rPr>
        <w:t>(10), 2067–2076. https://doi.org/10.1017/S0033291713002900</w:t>
      </w:r>
    </w:p>
    <w:p w14:paraId="00000269"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Gadermann</w:t>
      </w:r>
      <w:proofErr w:type="spellEnd"/>
      <w:r>
        <w:rPr>
          <w:sz w:val="16"/>
          <w:szCs w:val="16"/>
        </w:rPr>
        <w:t xml:space="preserve">, A. M., </w:t>
      </w:r>
      <w:proofErr w:type="spellStart"/>
      <w:r>
        <w:rPr>
          <w:sz w:val="16"/>
          <w:szCs w:val="16"/>
        </w:rPr>
        <w:t>Guhn</w:t>
      </w:r>
      <w:proofErr w:type="spellEnd"/>
      <w:r>
        <w:rPr>
          <w:sz w:val="16"/>
          <w:szCs w:val="16"/>
        </w:rPr>
        <w:t xml:space="preserve">, M., &amp; </w:t>
      </w:r>
      <w:proofErr w:type="spellStart"/>
      <w:r>
        <w:rPr>
          <w:sz w:val="16"/>
          <w:szCs w:val="16"/>
        </w:rPr>
        <w:t>Zumbo</w:t>
      </w:r>
      <w:proofErr w:type="spellEnd"/>
      <w:r>
        <w:rPr>
          <w:sz w:val="16"/>
          <w:szCs w:val="16"/>
        </w:rPr>
        <w:t xml:space="preserve">, B. D. (2012). </w:t>
      </w:r>
      <w:r>
        <w:rPr>
          <w:i/>
          <w:sz w:val="16"/>
          <w:szCs w:val="16"/>
        </w:rPr>
        <w:t>Estimating ordinal reliability for Likert-type and ordinal item response data: A conceptual, empirical, and practical guide</w:t>
      </w:r>
      <w:r>
        <w:rPr>
          <w:sz w:val="16"/>
          <w:szCs w:val="16"/>
        </w:rPr>
        <w:t>. https://doi.org/10.7275/N560-J767</w:t>
      </w:r>
    </w:p>
    <w:p w14:paraId="0000026A"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Gonçalves, D. C., &amp; Byrne, G. J. (2013). Who worries most? Worry prevalence and patterns across the lifespan. </w:t>
      </w:r>
      <w:r>
        <w:rPr>
          <w:i/>
          <w:sz w:val="16"/>
          <w:szCs w:val="16"/>
        </w:rPr>
        <w:t>International Journal of Geriatric Psychiatry</w:t>
      </w:r>
      <w:r>
        <w:rPr>
          <w:sz w:val="16"/>
          <w:szCs w:val="16"/>
        </w:rPr>
        <w:t xml:space="preserve">, </w:t>
      </w:r>
      <w:r>
        <w:rPr>
          <w:i/>
          <w:sz w:val="16"/>
          <w:szCs w:val="16"/>
        </w:rPr>
        <w:t>28</w:t>
      </w:r>
      <w:r>
        <w:rPr>
          <w:sz w:val="16"/>
          <w:szCs w:val="16"/>
        </w:rPr>
        <w:t>(1), 41–49. https://doi.org/10.1002/gps.3788</w:t>
      </w:r>
    </w:p>
    <w:p w14:paraId="0000026B" w14:textId="77777777" w:rsidR="00C20959" w:rsidRDefault="00FA1AA2">
      <w:pPr>
        <w:widowControl w:val="0"/>
        <w:pBdr>
          <w:top w:val="nil"/>
          <w:left w:val="nil"/>
          <w:bottom w:val="nil"/>
          <w:right w:val="nil"/>
          <w:between w:val="nil"/>
        </w:pBdr>
        <w:spacing w:before="0" w:after="0" w:line="480" w:lineRule="auto"/>
        <w:ind w:left="720" w:hanging="720"/>
        <w:rPr>
          <w:sz w:val="16"/>
          <w:szCs w:val="16"/>
        </w:rPr>
      </w:pPr>
      <w:r>
        <w:rPr>
          <w:sz w:val="16"/>
          <w:szCs w:val="16"/>
        </w:rPr>
        <w:t xml:space="preserve">Gould, C. E., </w:t>
      </w:r>
      <w:proofErr w:type="spellStart"/>
      <w:r>
        <w:rPr>
          <w:sz w:val="16"/>
          <w:szCs w:val="16"/>
        </w:rPr>
        <w:t>Beaudreau</w:t>
      </w:r>
      <w:proofErr w:type="spellEnd"/>
      <w:r>
        <w:rPr>
          <w:sz w:val="16"/>
          <w:szCs w:val="16"/>
        </w:rPr>
        <w:t xml:space="preserve">, S. A., O’Hara, R., &amp; Edelstein, B. A. (2016). Perceived anxiety control is associated with sleep disturbance in young and older adults. </w:t>
      </w:r>
      <w:r>
        <w:rPr>
          <w:i/>
          <w:sz w:val="16"/>
          <w:szCs w:val="16"/>
        </w:rPr>
        <w:t>Aging &amp; Mental Health</w:t>
      </w:r>
      <w:r>
        <w:rPr>
          <w:sz w:val="16"/>
          <w:szCs w:val="16"/>
        </w:rPr>
        <w:t xml:space="preserve">, </w:t>
      </w:r>
      <w:r>
        <w:rPr>
          <w:i/>
          <w:sz w:val="16"/>
          <w:szCs w:val="16"/>
        </w:rPr>
        <w:t>20</w:t>
      </w:r>
      <w:r>
        <w:rPr>
          <w:sz w:val="16"/>
          <w:szCs w:val="16"/>
        </w:rPr>
        <w:t xml:space="preserve">(8), 856–860. </w:t>
      </w:r>
      <w:hyperlink r:id="rId19">
        <w:r>
          <w:rPr>
            <w:color w:val="1155CC"/>
            <w:sz w:val="16"/>
            <w:szCs w:val="16"/>
            <w:u w:val="single"/>
          </w:rPr>
          <w:t>https://doi.org/10.1080/13607863.2015.1043617</w:t>
        </w:r>
      </w:hyperlink>
    </w:p>
    <w:p w14:paraId="0000026C" w14:textId="77777777" w:rsidR="00C20959" w:rsidRDefault="00FA1AA2">
      <w:pPr>
        <w:widowControl w:val="0"/>
        <w:pBdr>
          <w:top w:val="nil"/>
          <w:left w:val="nil"/>
          <w:bottom w:val="nil"/>
          <w:right w:val="nil"/>
          <w:between w:val="nil"/>
        </w:pBdr>
        <w:spacing w:before="0" w:after="0" w:line="480" w:lineRule="auto"/>
        <w:ind w:left="720" w:hanging="720"/>
        <w:rPr>
          <w:sz w:val="16"/>
          <w:szCs w:val="16"/>
        </w:rPr>
      </w:pPr>
      <w:r>
        <w:rPr>
          <w:sz w:val="16"/>
          <w:szCs w:val="16"/>
        </w:rPr>
        <w:t>Griffiths, C. A., &amp; Griffiths, L. J. (2015). Recovery and reliable change rates for patients scoring severe on depression, anxiety or impaired functioning in a psychological therapies service: IAPT. Mental Health Review Journal, 20(1), 28–35. https://doi.org/10.1108/MHRJ-06-2014-0022</w:t>
      </w:r>
    </w:p>
    <w:p w14:paraId="0000026D"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Hegeman</w:t>
      </w:r>
      <w:proofErr w:type="spellEnd"/>
      <w:r>
        <w:rPr>
          <w:sz w:val="16"/>
          <w:szCs w:val="16"/>
        </w:rPr>
        <w:t xml:space="preserve">, J. M., </w:t>
      </w:r>
      <w:proofErr w:type="spellStart"/>
      <w:r>
        <w:rPr>
          <w:sz w:val="16"/>
          <w:szCs w:val="16"/>
        </w:rPr>
        <w:t>Kok</w:t>
      </w:r>
      <w:proofErr w:type="spellEnd"/>
      <w:r>
        <w:rPr>
          <w:sz w:val="16"/>
          <w:szCs w:val="16"/>
        </w:rPr>
        <w:t xml:space="preserve">, R. M., Mast, R. C. van der, &amp; </w:t>
      </w:r>
      <w:proofErr w:type="spellStart"/>
      <w:r>
        <w:rPr>
          <w:sz w:val="16"/>
          <w:szCs w:val="16"/>
        </w:rPr>
        <w:t>Giltay</w:t>
      </w:r>
      <w:proofErr w:type="spellEnd"/>
      <w:r>
        <w:rPr>
          <w:sz w:val="16"/>
          <w:szCs w:val="16"/>
        </w:rPr>
        <w:t xml:space="preserve">, E. J. (2012). Phenomenology of depression in older compared with younger adults: Meta-analysis. </w:t>
      </w:r>
      <w:r>
        <w:rPr>
          <w:i/>
          <w:sz w:val="16"/>
          <w:szCs w:val="16"/>
        </w:rPr>
        <w:t>The British Journal of Psychiatry</w:t>
      </w:r>
      <w:r>
        <w:rPr>
          <w:sz w:val="16"/>
          <w:szCs w:val="16"/>
        </w:rPr>
        <w:t xml:space="preserve">, </w:t>
      </w:r>
      <w:r>
        <w:rPr>
          <w:i/>
          <w:sz w:val="16"/>
          <w:szCs w:val="16"/>
        </w:rPr>
        <w:t>200</w:t>
      </w:r>
      <w:r>
        <w:rPr>
          <w:sz w:val="16"/>
          <w:szCs w:val="16"/>
        </w:rPr>
        <w:t>(4), 275–281. https://doi.org/10.1192/bjp.bp.111.095950</w:t>
      </w:r>
    </w:p>
    <w:p w14:paraId="0000026E"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Holgado</w:t>
      </w:r>
      <w:proofErr w:type="spellEnd"/>
      <w:r>
        <w:rPr>
          <w:sz w:val="16"/>
          <w:szCs w:val="16"/>
        </w:rPr>
        <w:t xml:space="preserve">–Tello, F. P., </w:t>
      </w:r>
      <w:proofErr w:type="spellStart"/>
      <w:r>
        <w:rPr>
          <w:sz w:val="16"/>
          <w:szCs w:val="16"/>
        </w:rPr>
        <w:t>Chacón</w:t>
      </w:r>
      <w:proofErr w:type="spellEnd"/>
      <w:r>
        <w:rPr>
          <w:sz w:val="16"/>
          <w:szCs w:val="16"/>
        </w:rPr>
        <w:t>–</w:t>
      </w:r>
      <w:proofErr w:type="spellStart"/>
      <w:r>
        <w:rPr>
          <w:sz w:val="16"/>
          <w:szCs w:val="16"/>
        </w:rPr>
        <w:t>Moscoso</w:t>
      </w:r>
      <w:proofErr w:type="spellEnd"/>
      <w:r>
        <w:rPr>
          <w:sz w:val="16"/>
          <w:szCs w:val="16"/>
        </w:rPr>
        <w:t xml:space="preserve">, S., </w:t>
      </w:r>
      <w:proofErr w:type="spellStart"/>
      <w:r>
        <w:rPr>
          <w:sz w:val="16"/>
          <w:szCs w:val="16"/>
        </w:rPr>
        <w:t>Barbero</w:t>
      </w:r>
      <w:proofErr w:type="spellEnd"/>
      <w:r>
        <w:rPr>
          <w:sz w:val="16"/>
          <w:szCs w:val="16"/>
        </w:rPr>
        <w:t xml:space="preserve">–García, I., &amp; Vila–Abad, E. (2008). Polychoric versus Pearson correlations in exploratory and confirmatory factor analysis of ordinal variables. </w:t>
      </w:r>
      <w:r>
        <w:rPr>
          <w:i/>
          <w:sz w:val="16"/>
          <w:szCs w:val="16"/>
        </w:rPr>
        <w:t>Quality &amp; Quantity</w:t>
      </w:r>
      <w:r>
        <w:rPr>
          <w:sz w:val="16"/>
          <w:szCs w:val="16"/>
        </w:rPr>
        <w:t xml:space="preserve">, </w:t>
      </w:r>
      <w:r>
        <w:rPr>
          <w:i/>
          <w:sz w:val="16"/>
          <w:szCs w:val="16"/>
        </w:rPr>
        <w:t>44</w:t>
      </w:r>
      <w:r>
        <w:rPr>
          <w:sz w:val="16"/>
          <w:szCs w:val="16"/>
        </w:rPr>
        <w:t>(1), 153. https://doi.org/10.1007/s11135-008-9190-y</w:t>
      </w:r>
    </w:p>
    <w:p w14:paraId="0000026F"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Horn, J. L. (1965). A rationale and test for the number of factors in factor analysis. </w:t>
      </w:r>
      <w:r>
        <w:rPr>
          <w:i/>
          <w:sz w:val="16"/>
          <w:szCs w:val="16"/>
        </w:rPr>
        <w:t>Psychometrika</w:t>
      </w:r>
      <w:r>
        <w:rPr>
          <w:sz w:val="16"/>
          <w:szCs w:val="16"/>
        </w:rPr>
        <w:t xml:space="preserve">, </w:t>
      </w:r>
      <w:r>
        <w:rPr>
          <w:i/>
          <w:sz w:val="16"/>
          <w:szCs w:val="16"/>
        </w:rPr>
        <w:t>30</w:t>
      </w:r>
      <w:r>
        <w:rPr>
          <w:sz w:val="16"/>
          <w:szCs w:val="16"/>
        </w:rPr>
        <w:t xml:space="preserve">(2), 179–185. </w:t>
      </w:r>
      <w:r>
        <w:rPr>
          <w:sz w:val="16"/>
          <w:szCs w:val="16"/>
        </w:rPr>
        <w:lastRenderedPageBreak/>
        <w:t>https://doi.org/10.1007/BF02289447</w:t>
      </w:r>
    </w:p>
    <w:p w14:paraId="00000270"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Hu, L., &amp; </w:t>
      </w:r>
      <w:proofErr w:type="spellStart"/>
      <w:r>
        <w:rPr>
          <w:sz w:val="16"/>
          <w:szCs w:val="16"/>
        </w:rPr>
        <w:t>Bentler</w:t>
      </w:r>
      <w:proofErr w:type="spellEnd"/>
      <w:r>
        <w:rPr>
          <w:sz w:val="16"/>
          <w:szCs w:val="16"/>
        </w:rPr>
        <w:t xml:space="preserve">, P. M. (1999). </w:t>
      </w:r>
      <w:proofErr w:type="spellStart"/>
      <w:r>
        <w:rPr>
          <w:sz w:val="16"/>
          <w:szCs w:val="16"/>
        </w:rPr>
        <w:t>Cutoff</w:t>
      </w:r>
      <w:proofErr w:type="spellEnd"/>
      <w:r>
        <w:rPr>
          <w:sz w:val="16"/>
          <w:szCs w:val="16"/>
        </w:rPr>
        <w:t xml:space="preserve"> criteria for fit indexes in covariance structure analysis: Conventional criteria versus new alternatives. </w:t>
      </w:r>
      <w:r>
        <w:rPr>
          <w:i/>
          <w:sz w:val="16"/>
          <w:szCs w:val="16"/>
        </w:rPr>
        <w:t>Structural Equation Modeling: A Multidisciplinary Journal</w:t>
      </w:r>
      <w:r>
        <w:rPr>
          <w:sz w:val="16"/>
          <w:szCs w:val="16"/>
        </w:rPr>
        <w:t xml:space="preserve">, </w:t>
      </w:r>
      <w:r>
        <w:rPr>
          <w:i/>
          <w:sz w:val="16"/>
          <w:szCs w:val="16"/>
        </w:rPr>
        <w:t>6</w:t>
      </w:r>
      <w:r>
        <w:rPr>
          <w:sz w:val="16"/>
          <w:szCs w:val="16"/>
        </w:rPr>
        <w:t>(1), 1–55. https://doi.org/10.1080/10705519909540118</w:t>
      </w:r>
    </w:p>
    <w:p w14:paraId="00000271"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Jacobson, N. C., &amp; Newman, M. G. (2017). Anxiety and depression as bidirectional risk factors for one another: A meta-analysis of longitudinal studies. </w:t>
      </w:r>
      <w:r>
        <w:rPr>
          <w:i/>
          <w:sz w:val="16"/>
          <w:szCs w:val="16"/>
        </w:rPr>
        <w:t>Psychological Bulletin</w:t>
      </w:r>
      <w:r>
        <w:rPr>
          <w:sz w:val="16"/>
          <w:szCs w:val="16"/>
        </w:rPr>
        <w:t xml:space="preserve">, </w:t>
      </w:r>
      <w:r>
        <w:rPr>
          <w:i/>
          <w:sz w:val="16"/>
          <w:szCs w:val="16"/>
        </w:rPr>
        <w:t>143</w:t>
      </w:r>
      <w:r>
        <w:rPr>
          <w:sz w:val="16"/>
          <w:szCs w:val="16"/>
        </w:rPr>
        <w:t>(11), 1155–1200. https://doi.org/10.1037/bul0000111</w:t>
      </w:r>
    </w:p>
    <w:p w14:paraId="00000272"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Jermy</w:t>
      </w:r>
      <w:proofErr w:type="spellEnd"/>
      <w:r>
        <w:rPr>
          <w:sz w:val="16"/>
          <w:szCs w:val="16"/>
        </w:rPr>
        <w:t xml:space="preserve">, B. S., </w:t>
      </w:r>
      <w:proofErr w:type="spellStart"/>
      <w:r>
        <w:rPr>
          <w:sz w:val="16"/>
          <w:szCs w:val="16"/>
        </w:rPr>
        <w:t>Hagenaars</w:t>
      </w:r>
      <w:proofErr w:type="spellEnd"/>
      <w:r>
        <w:rPr>
          <w:sz w:val="16"/>
          <w:szCs w:val="16"/>
        </w:rPr>
        <w:t xml:space="preserve">, S. P., Glanville, K. P., Coleman, J. R., Howard, D. M., Breen, G., </w:t>
      </w:r>
      <w:proofErr w:type="spellStart"/>
      <w:r>
        <w:rPr>
          <w:sz w:val="16"/>
          <w:szCs w:val="16"/>
        </w:rPr>
        <w:t>Vassos</w:t>
      </w:r>
      <w:proofErr w:type="spellEnd"/>
      <w:r>
        <w:rPr>
          <w:sz w:val="16"/>
          <w:szCs w:val="16"/>
        </w:rPr>
        <w:t xml:space="preserve">, E., &amp; Lewis, C. M. (2020). </w:t>
      </w:r>
      <w:r>
        <w:rPr>
          <w:i/>
          <w:sz w:val="16"/>
          <w:szCs w:val="16"/>
        </w:rPr>
        <w:t>Using Major Depression Polygenic Risk Scores to Explore the Depressive Symptom Continuum</w:t>
      </w:r>
      <w:r>
        <w:rPr>
          <w:sz w:val="16"/>
          <w:szCs w:val="16"/>
        </w:rPr>
        <w:t xml:space="preserve"> [Preprint]. Genetics. https://doi.org/10.1101/2020.02.25.962704</w:t>
      </w:r>
    </w:p>
    <w:p w14:paraId="00000273"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Jokela, M., García-Velázquez, R., </w:t>
      </w:r>
      <w:proofErr w:type="spellStart"/>
      <w:r>
        <w:rPr>
          <w:sz w:val="16"/>
          <w:szCs w:val="16"/>
        </w:rPr>
        <w:t>Airaksinen</w:t>
      </w:r>
      <w:proofErr w:type="spellEnd"/>
      <w:r>
        <w:rPr>
          <w:sz w:val="16"/>
          <w:szCs w:val="16"/>
        </w:rPr>
        <w:t xml:space="preserve">, J., </w:t>
      </w:r>
      <w:proofErr w:type="spellStart"/>
      <w:r>
        <w:rPr>
          <w:sz w:val="16"/>
          <w:szCs w:val="16"/>
        </w:rPr>
        <w:t>Gluschkoff</w:t>
      </w:r>
      <w:proofErr w:type="spellEnd"/>
      <w:r>
        <w:rPr>
          <w:sz w:val="16"/>
          <w:szCs w:val="16"/>
        </w:rPr>
        <w:t xml:space="preserve">, K., </w:t>
      </w:r>
      <w:proofErr w:type="spellStart"/>
      <w:r>
        <w:rPr>
          <w:sz w:val="16"/>
          <w:szCs w:val="16"/>
        </w:rPr>
        <w:t>Kivimäki</w:t>
      </w:r>
      <w:proofErr w:type="spellEnd"/>
      <w:r>
        <w:rPr>
          <w:sz w:val="16"/>
          <w:szCs w:val="16"/>
        </w:rPr>
        <w:t xml:space="preserve">, M., &amp; </w:t>
      </w:r>
      <w:proofErr w:type="spellStart"/>
      <w:r>
        <w:rPr>
          <w:sz w:val="16"/>
          <w:szCs w:val="16"/>
        </w:rPr>
        <w:t>Rosenström</w:t>
      </w:r>
      <w:proofErr w:type="spellEnd"/>
      <w:r>
        <w:rPr>
          <w:sz w:val="16"/>
          <w:szCs w:val="16"/>
        </w:rPr>
        <w:t xml:space="preserve">, T. (2019). Chronic diseases and social risk factors in relation to specific symptoms of depression: Evidence from the U.S. national health and nutrition examination surveys. </w:t>
      </w:r>
      <w:r>
        <w:rPr>
          <w:i/>
          <w:sz w:val="16"/>
          <w:szCs w:val="16"/>
        </w:rPr>
        <w:t>Journal of Affective Disorders</w:t>
      </w:r>
      <w:r>
        <w:rPr>
          <w:sz w:val="16"/>
          <w:szCs w:val="16"/>
        </w:rPr>
        <w:t xml:space="preserve">, </w:t>
      </w:r>
      <w:r>
        <w:rPr>
          <w:i/>
          <w:sz w:val="16"/>
          <w:szCs w:val="16"/>
        </w:rPr>
        <w:t>251</w:t>
      </w:r>
      <w:r>
        <w:rPr>
          <w:sz w:val="16"/>
          <w:szCs w:val="16"/>
        </w:rPr>
        <w:t>, 242–247. https://doi.org/10.1016/j.jad.2019.03.074</w:t>
      </w:r>
    </w:p>
    <w:p w14:paraId="00000274"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Kaiser, H. F. (1974). An index of factorial simplicity. </w:t>
      </w:r>
      <w:r>
        <w:rPr>
          <w:i/>
          <w:sz w:val="16"/>
          <w:szCs w:val="16"/>
        </w:rPr>
        <w:t>Psychometrika</w:t>
      </w:r>
      <w:r>
        <w:rPr>
          <w:sz w:val="16"/>
          <w:szCs w:val="16"/>
        </w:rPr>
        <w:t xml:space="preserve">, </w:t>
      </w:r>
      <w:r>
        <w:rPr>
          <w:i/>
          <w:sz w:val="16"/>
          <w:szCs w:val="16"/>
        </w:rPr>
        <w:t>39</w:t>
      </w:r>
      <w:r>
        <w:rPr>
          <w:sz w:val="16"/>
          <w:szCs w:val="16"/>
        </w:rPr>
        <w:t>(1), 31–36. https://doi.org/10.1007/BF02291575</w:t>
      </w:r>
    </w:p>
    <w:p w14:paraId="00000275"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Kertz</w:t>
      </w:r>
      <w:proofErr w:type="spellEnd"/>
      <w:r>
        <w:rPr>
          <w:sz w:val="16"/>
          <w:szCs w:val="16"/>
        </w:rPr>
        <w:t xml:space="preserve">, S., </w:t>
      </w:r>
      <w:proofErr w:type="spellStart"/>
      <w:r>
        <w:rPr>
          <w:sz w:val="16"/>
          <w:szCs w:val="16"/>
        </w:rPr>
        <w:t>Bigda</w:t>
      </w:r>
      <w:proofErr w:type="spellEnd"/>
      <w:r>
        <w:rPr>
          <w:sz w:val="16"/>
          <w:szCs w:val="16"/>
        </w:rPr>
        <w:t xml:space="preserve">‐Peyton, J., &amp; </w:t>
      </w:r>
      <w:proofErr w:type="spellStart"/>
      <w:r>
        <w:rPr>
          <w:sz w:val="16"/>
          <w:szCs w:val="16"/>
        </w:rPr>
        <w:t>Bjorgvinsson</w:t>
      </w:r>
      <w:proofErr w:type="spellEnd"/>
      <w:r>
        <w:rPr>
          <w:sz w:val="16"/>
          <w:szCs w:val="16"/>
        </w:rPr>
        <w:t xml:space="preserve">, T. (2013). Validity of the Generalized Anxiety Disorder-7 Scale in an Acute Psychiatric Sample. </w:t>
      </w:r>
      <w:r>
        <w:rPr>
          <w:i/>
          <w:sz w:val="16"/>
          <w:szCs w:val="16"/>
        </w:rPr>
        <w:t>Clinical Psychology &amp; Psychotherapy</w:t>
      </w:r>
      <w:r>
        <w:rPr>
          <w:sz w:val="16"/>
          <w:szCs w:val="16"/>
        </w:rPr>
        <w:t xml:space="preserve">, </w:t>
      </w:r>
      <w:r>
        <w:rPr>
          <w:i/>
          <w:sz w:val="16"/>
          <w:szCs w:val="16"/>
        </w:rPr>
        <w:t>20</w:t>
      </w:r>
      <w:r>
        <w:rPr>
          <w:sz w:val="16"/>
          <w:szCs w:val="16"/>
        </w:rPr>
        <w:t>(5), 456–464. https://doi.org/10.1002/cpp.1802</w:t>
      </w:r>
    </w:p>
    <w:p w14:paraId="00000276"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Kessler, R. C., Berglund, P., </w:t>
      </w:r>
      <w:proofErr w:type="spellStart"/>
      <w:r>
        <w:rPr>
          <w:sz w:val="16"/>
          <w:szCs w:val="16"/>
        </w:rPr>
        <w:t>Demler</w:t>
      </w:r>
      <w:proofErr w:type="spellEnd"/>
      <w:r>
        <w:rPr>
          <w:sz w:val="16"/>
          <w:szCs w:val="16"/>
        </w:rPr>
        <w:t xml:space="preserve">, O., </w:t>
      </w:r>
      <w:proofErr w:type="spellStart"/>
      <w:r>
        <w:rPr>
          <w:sz w:val="16"/>
          <w:szCs w:val="16"/>
        </w:rPr>
        <w:t>Jin</w:t>
      </w:r>
      <w:proofErr w:type="spellEnd"/>
      <w:r>
        <w:rPr>
          <w:sz w:val="16"/>
          <w:szCs w:val="16"/>
        </w:rPr>
        <w:t xml:space="preserve">, R., </w:t>
      </w:r>
      <w:proofErr w:type="spellStart"/>
      <w:r>
        <w:rPr>
          <w:sz w:val="16"/>
          <w:szCs w:val="16"/>
        </w:rPr>
        <w:t>Merikangas</w:t>
      </w:r>
      <w:proofErr w:type="spellEnd"/>
      <w:r>
        <w:rPr>
          <w:sz w:val="16"/>
          <w:szCs w:val="16"/>
        </w:rPr>
        <w:t xml:space="preserve">, K. R., &amp; Walters, E. E. (2005). Lifetime Prevalence and Age-of-Onset Distributions of DSM-IV Disorders in the National Comorbidity Survey Replication. </w:t>
      </w:r>
      <w:r>
        <w:rPr>
          <w:i/>
          <w:sz w:val="16"/>
          <w:szCs w:val="16"/>
        </w:rPr>
        <w:t>Archives of General Psychiatry</w:t>
      </w:r>
      <w:r>
        <w:rPr>
          <w:sz w:val="16"/>
          <w:szCs w:val="16"/>
        </w:rPr>
        <w:t xml:space="preserve">, </w:t>
      </w:r>
      <w:r>
        <w:rPr>
          <w:i/>
          <w:sz w:val="16"/>
          <w:szCs w:val="16"/>
        </w:rPr>
        <w:t>62</w:t>
      </w:r>
      <w:r>
        <w:rPr>
          <w:sz w:val="16"/>
          <w:szCs w:val="16"/>
        </w:rPr>
        <w:t>(6), 593–602. https://doi.org/10.1001/archpsyc.62.6.593</w:t>
      </w:r>
    </w:p>
    <w:p w14:paraId="00000277"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Kroenke, K., Spitzer, R. L., &amp; Williams, J. B. W. (2001). The PHQ-9. </w:t>
      </w:r>
      <w:r>
        <w:rPr>
          <w:i/>
          <w:sz w:val="16"/>
          <w:szCs w:val="16"/>
        </w:rPr>
        <w:t>Journal of General Internal Medicine</w:t>
      </w:r>
      <w:r>
        <w:rPr>
          <w:sz w:val="16"/>
          <w:szCs w:val="16"/>
        </w:rPr>
        <w:t xml:space="preserve">, </w:t>
      </w:r>
      <w:r>
        <w:rPr>
          <w:i/>
          <w:sz w:val="16"/>
          <w:szCs w:val="16"/>
        </w:rPr>
        <w:t>16</w:t>
      </w:r>
      <w:r>
        <w:rPr>
          <w:sz w:val="16"/>
          <w:szCs w:val="16"/>
        </w:rPr>
        <w:t>(9), 606–613. https://doi.org/10.1046/j.1525-1497.2001.016009606.x</w:t>
      </w:r>
    </w:p>
    <w:p w14:paraId="00000278"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Kroenke, K., Spitzer, R. L., Williams, J. B. W., &amp; </w:t>
      </w:r>
      <w:proofErr w:type="spellStart"/>
      <w:r>
        <w:rPr>
          <w:sz w:val="16"/>
          <w:szCs w:val="16"/>
        </w:rPr>
        <w:t>Löwe</w:t>
      </w:r>
      <w:proofErr w:type="spellEnd"/>
      <w:r>
        <w:rPr>
          <w:sz w:val="16"/>
          <w:szCs w:val="16"/>
        </w:rPr>
        <w:t xml:space="preserve">, B. (2010). The Patient Health Questionnaire Somatic, Anxiety, and Depressive Symptom Scales: A systematic review. </w:t>
      </w:r>
      <w:r>
        <w:rPr>
          <w:i/>
          <w:sz w:val="16"/>
          <w:szCs w:val="16"/>
        </w:rPr>
        <w:t>General Hospital Psychiatry</w:t>
      </w:r>
      <w:r>
        <w:rPr>
          <w:sz w:val="16"/>
          <w:szCs w:val="16"/>
        </w:rPr>
        <w:t xml:space="preserve">, </w:t>
      </w:r>
      <w:r>
        <w:rPr>
          <w:i/>
          <w:sz w:val="16"/>
          <w:szCs w:val="16"/>
        </w:rPr>
        <w:t>32</w:t>
      </w:r>
      <w:r>
        <w:rPr>
          <w:sz w:val="16"/>
          <w:szCs w:val="16"/>
        </w:rPr>
        <w:t>(4), 345–359. https://doi.org/10.1016/j.genhosppsych.2010.03.006</w:t>
      </w:r>
    </w:p>
    <w:p w14:paraId="00000279"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Kroenke, K., Spitzer, R. L., Williams, J. B. W., Monahan, P. O., &amp; </w:t>
      </w:r>
      <w:proofErr w:type="spellStart"/>
      <w:r>
        <w:rPr>
          <w:sz w:val="16"/>
          <w:szCs w:val="16"/>
        </w:rPr>
        <w:t>Löwe</w:t>
      </w:r>
      <w:proofErr w:type="spellEnd"/>
      <w:r>
        <w:rPr>
          <w:sz w:val="16"/>
          <w:szCs w:val="16"/>
        </w:rPr>
        <w:t xml:space="preserve">, B. (2007). Anxiety disorders in primary care: Prevalence, impairment, comorbidity, and detection. </w:t>
      </w:r>
      <w:r>
        <w:rPr>
          <w:i/>
          <w:sz w:val="16"/>
          <w:szCs w:val="16"/>
        </w:rPr>
        <w:t>Annals of Internal Medicine</w:t>
      </w:r>
      <w:r>
        <w:rPr>
          <w:sz w:val="16"/>
          <w:szCs w:val="16"/>
        </w:rPr>
        <w:t xml:space="preserve">, </w:t>
      </w:r>
      <w:r>
        <w:rPr>
          <w:i/>
          <w:sz w:val="16"/>
          <w:szCs w:val="16"/>
        </w:rPr>
        <w:t>146</w:t>
      </w:r>
      <w:r>
        <w:rPr>
          <w:sz w:val="16"/>
          <w:szCs w:val="16"/>
        </w:rPr>
        <w:t>(5), 317–325. https://doi.org/10.7326/0003-4819-146-5-200703060-00004</w:t>
      </w:r>
    </w:p>
    <w:p w14:paraId="0000027A"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Lee, C.-T., Zhang, G., &amp; Edwards, M. C. (2012). Ordinary Least Squares Estimation of Parameters in Exploratory Factor Analysis </w:t>
      </w:r>
      <w:proofErr w:type="gramStart"/>
      <w:r>
        <w:rPr>
          <w:sz w:val="16"/>
          <w:szCs w:val="16"/>
        </w:rPr>
        <w:t>With</w:t>
      </w:r>
      <w:proofErr w:type="gramEnd"/>
      <w:r>
        <w:rPr>
          <w:sz w:val="16"/>
          <w:szCs w:val="16"/>
        </w:rPr>
        <w:t xml:space="preserve"> Ordinal Data. </w:t>
      </w:r>
      <w:r>
        <w:rPr>
          <w:i/>
          <w:sz w:val="16"/>
          <w:szCs w:val="16"/>
        </w:rPr>
        <w:t xml:space="preserve">Multivariate </w:t>
      </w:r>
      <w:proofErr w:type="spellStart"/>
      <w:r>
        <w:rPr>
          <w:i/>
          <w:sz w:val="16"/>
          <w:szCs w:val="16"/>
        </w:rPr>
        <w:t>Behavioral</w:t>
      </w:r>
      <w:proofErr w:type="spellEnd"/>
      <w:r>
        <w:rPr>
          <w:i/>
          <w:sz w:val="16"/>
          <w:szCs w:val="16"/>
        </w:rPr>
        <w:t xml:space="preserve"> Research</w:t>
      </w:r>
      <w:r>
        <w:rPr>
          <w:sz w:val="16"/>
          <w:szCs w:val="16"/>
        </w:rPr>
        <w:t xml:space="preserve">, </w:t>
      </w:r>
      <w:r>
        <w:rPr>
          <w:i/>
          <w:sz w:val="16"/>
          <w:szCs w:val="16"/>
        </w:rPr>
        <w:t>47</w:t>
      </w:r>
      <w:r>
        <w:rPr>
          <w:sz w:val="16"/>
          <w:szCs w:val="16"/>
        </w:rPr>
        <w:t>(2), 314–339. https://doi.org/10.1080/00273171.2012.658340</w:t>
      </w:r>
    </w:p>
    <w:p w14:paraId="0000027B"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LeMoult</w:t>
      </w:r>
      <w:proofErr w:type="spellEnd"/>
      <w:r>
        <w:rPr>
          <w:sz w:val="16"/>
          <w:szCs w:val="16"/>
        </w:rPr>
        <w:t xml:space="preserve">, J., &amp; </w:t>
      </w:r>
      <w:proofErr w:type="spellStart"/>
      <w:r>
        <w:rPr>
          <w:sz w:val="16"/>
          <w:szCs w:val="16"/>
        </w:rPr>
        <w:t>Gotlib</w:t>
      </w:r>
      <w:proofErr w:type="spellEnd"/>
      <w:r>
        <w:rPr>
          <w:sz w:val="16"/>
          <w:szCs w:val="16"/>
        </w:rPr>
        <w:t xml:space="preserve">, I. H. (2019). Depression: A cognitive perspective. </w:t>
      </w:r>
      <w:r>
        <w:rPr>
          <w:i/>
          <w:sz w:val="16"/>
          <w:szCs w:val="16"/>
        </w:rPr>
        <w:t>Clinical Psychology Review</w:t>
      </w:r>
      <w:r>
        <w:rPr>
          <w:sz w:val="16"/>
          <w:szCs w:val="16"/>
        </w:rPr>
        <w:t xml:space="preserve">, </w:t>
      </w:r>
      <w:r>
        <w:rPr>
          <w:i/>
          <w:sz w:val="16"/>
          <w:szCs w:val="16"/>
        </w:rPr>
        <w:t>69</w:t>
      </w:r>
      <w:r>
        <w:rPr>
          <w:sz w:val="16"/>
          <w:szCs w:val="16"/>
        </w:rPr>
        <w:t>, 51–66. https://doi.org/10.1016/j.cpr.2018.06.008</w:t>
      </w:r>
    </w:p>
    <w:p w14:paraId="0000027C"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Lenze</w:t>
      </w:r>
      <w:proofErr w:type="spellEnd"/>
      <w:r>
        <w:rPr>
          <w:sz w:val="16"/>
          <w:szCs w:val="16"/>
        </w:rPr>
        <w:t xml:space="preserve">, E. J., Karp, J. F., </w:t>
      </w:r>
      <w:proofErr w:type="spellStart"/>
      <w:r>
        <w:rPr>
          <w:sz w:val="16"/>
          <w:szCs w:val="16"/>
        </w:rPr>
        <w:t>Mulsant</w:t>
      </w:r>
      <w:proofErr w:type="spellEnd"/>
      <w:r>
        <w:rPr>
          <w:sz w:val="16"/>
          <w:szCs w:val="16"/>
        </w:rPr>
        <w:t xml:space="preserve">, B. H., Blank, S., Shear, M. K., Houck, P. R., &amp; Reynolds, C. F. (2005). Somatic Symptoms in Late-Life Anxiety: Treatment Issues. </w:t>
      </w:r>
      <w:r>
        <w:rPr>
          <w:i/>
          <w:sz w:val="16"/>
          <w:szCs w:val="16"/>
        </w:rPr>
        <w:t>Journal of Geriatric Psychiatry and Neurology</w:t>
      </w:r>
      <w:r>
        <w:rPr>
          <w:sz w:val="16"/>
          <w:szCs w:val="16"/>
        </w:rPr>
        <w:t xml:space="preserve">, </w:t>
      </w:r>
      <w:r>
        <w:rPr>
          <w:i/>
          <w:sz w:val="16"/>
          <w:szCs w:val="16"/>
        </w:rPr>
        <w:t>18</w:t>
      </w:r>
      <w:r>
        <w:rPr>
          <w:sz w:val="16"/>
          <w:szCs w:val="16"/>
        </w:rPr>
        <w:t>(2), 89–96. https://doi.org/10.1177/0891988705276251</w:t>
      </w:r>
    </w:p>
    <w:p w14:paraId="0000027D"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Li, C.-H. (2016). Confirmatory factor analysis with ordinal data: Comparing robust maximum likelihood and diagonally weighted least squares. </w:t>
      </w:r>
      <w:proofErr w:type="spellStart"/>
      <w:r>
        <w:rPr>
          <w:i/>
          <w:sz w:val="16"/>
          <w:szCs w:val="16"/>
        </w:rPr>
        <w:t>Behavior</w:t>
      </w:r>
      <w:proofErr w:type="spellEnd"/>
      <w:r>
        <w:rPr>
          <w:i/>
          <w:sz w:val="16"/>
          <w:szCs w:val="16"/>
        </w:rPr>
        <w:t xml:space="preserve"> Research Methods</w:t>
      </w:r>
      <w:r>
        <w:rPr>
          <w:sz w:val="16"/>
          <w:szCs w:val="16"/>
        </w:rPr>
        <w:t xml:space="preserve">, </w:t>
      </w:r>
      <w:r>
        <w:rPr>
          <w:i/>
          <w:sz w:val="16"/>
          <w:szCs w:val="16"/>
        </w:rPr>
        <w:t>48</w:t>
      </w:r>
      <w:r>
        <w:rPr>
          <w:sz w:val="16"/>
          <w:szCs w:val="16"/>
        </w:rPr>
        <w:t>(3), 936–949. https://doi.org/10.3758/s13428-015-0619-7</w:t>
      </w:r>
    </w:p>
    <w:p w14:paraId="0000027E"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Lim, G. Y., Tam, W. W., Lu, Y., Ho, C. S., Zhang, M. W., &amp; Ho, R. C. (2018). Prevalence of Depression in the Community from 30 Countries between 1994 and 2014. </w:t>
      </w:r>
      <w:r>
        <w:rPr>
          <w:i/>
          <w:sz w:val="16"/>
          <w:szCs w:val="16"/>
        </w:rPr>
        <w:t>Scientific Reports</w:t>
      </w:r>
      <w:r>
        <w:rPr>
          <w:sz w:val="16"/>
          <w:szCs w:val="16"/>
        </w:rPr>
        <w:t xml:space="preserve">, </w:t>
      </w:r>
      <w:r>
        <w:rPr>
          <w:i/>
          <w:sz w:val="16"/>
          <w:szCs w:val="16"/>
        </w:rPr>
        <w:t>8</w:t>
      </w:r>
      <w:r>
        <w:rPr>
          <w:sz w:val="16"/>
          <w:szCs w:val="16"/>
        </w:rPr>
        <w:t>(1), 2861. https://doi.org/10.1038/s41598-018-21243-x</w:t>
      </w:r>
    </w:p>
    <w:p w14:paraId="0000027F" w14:textId="77777777" w:rsidR="00C20959" w:rsidRDefault="00FA1AA2">
      <w:pPr>
        <w:widowControl w:val="0"/>
        <w:pBdr>
          <w:top w:val="nil"/>
          <w:left w:val="nil"/>
          <w:bottom w:val="nil"/>
          <w:right w:val="nil"/>
          <w:between w:val="nil"/>
        </w:pBdr>
        <w:spacing w:before="0" w:after="0" w:line="480" w:lineRule="auto"/>
        <w:ind w:left="720" w:hanging="720"/>
        <w:rPr>
          <w:sz w:val="16"/>
          <w:szCs w:val="16"/>
        </w:rPr>
      </w:pPr>
      <w:proofErr w:type="spellStart"/>
      <w:r>
        <w:rPr>
          <w:sz w:val="16"/>
          <w:szCs w:val="16"/>
        </w:rPr>
        <w:lastRenderedPageBreak/>
        <w:t>Löwe</w:t>
      </w:r>
      <w:proofErr w:type="spellEnd"/>
      <w:r>
        <w:rPr>
          <w:sz w:val="16"/>
          <w:szCs w:val="16"/>
        </w:rPr>
        <w:t xml:space="preserve">, B., Decker, O., Müller, S., </w:t>
      </w:r>
      <w:proofErr w:type="spellStart"/>
      <w:r>
        <w:rPr>
          <w:sz w:val="16"/>
          <w:szCs w:val="16"/>
        </w:rPr>
        <w:t>Brähler</w:t>
      </w:r>
      <w:proofErr w:type="spellEnd"/>
      <w:r>
        <w:rPr>
          <w:sz w:val="16"/>
          <w:szCs w:val="16"/>
        </w:rPr>
        <w:t xml:space="preserve">, E., </w:t>
      </w:r>
      <w:proofErr w:type="spellStart"/>
      <w:r>
        <w:rPr>
          <w:sz w:val="16"/>
          <w:szCs w:val="16"/>
        </w:rPr>
        <w:t>Schellberg</w:t>
      </w:r>
      <w:proofErr w:type="spellEnd"/>
      <w:r>
        <w:rPr>
          <w:sz w:val="16"/>
          <w:szCs w:val="16"/>
        </w:rPr>
        <w:t xml:space="preserve">, D., Herzog, W., &amp; Herzberg, P. Y. (2008). Validation and standardization of the Generalized Anxiety Disorder Screener (GAD-7) in the general population. </w:t>
      </w:r>
      <w:r>
        <w:rPr>
          <w:i/>
          <w:sz w:val="16"/>
          <w:szCs w:val="16"/>
        </w:rPr>
        <w:t>Medical Care</w:t>
      </w:r>
      <w:r>
        <w:rPr>
          <w:sz w:val="16"/>
          <w:szCs w:val="16"/>
        </w:rPr>
        <w:t xml:space="preserve">, </w:t>
      </w:r>
      <w:r>
        <w:rPr>
          <w:i/>
          <w:sz w:val="16"/>
          <w:szCs w:val="16"/>
        </w:rPr>
        <w:t>46</w:t>
      </w:r>
      <w:r>
        <w:rPr>
          <w:sz w:val="16"/>
          <w:szCs w:val="16"/>
        </w:rPr>
        <w:t xml:space="preserve">(3), 266–274. </w:t>
      </w:r>
      <w:hyperlink r:id="rId20">
        <w:r>
          <w:rPr>
            <w:color w:val="1155CC"/>
            <w:sz w:val="16"/>
            <w:szCs w:val="16"/>
            <w:u w:val="single"/>
          </w:rPr>
          <w:t>https://doi.org/10.1097/MLR.0b013e318160d093</w:t>
        </w:r>
      </w:hyperlink>
    </w:p>
    <w:p w14:paraId="00000280" w14:textId="77777777" w:rsidR="00C20959" w:rsidRDefault="00FA1AA2" w:rsidP="00FA1AA2">
      <w:pPr>
        <w:widowControl w:val="0"/>
        <w:spacing w:before="0" w:after="0" w:line="480" w:lineRule="auto"/>
        <w:ind w:left="720"/>
        <w:rPr>
          <w:sz w:val="16"/>
          <w:szCs w:val="16"/>
        </w:rPr>
      </w:pPr>
      <w:r>
        <w:rPr>
          <w:sz w:val="16"/>
          <w:szCs w:val="16"/>
        </w:rPr>
        <w:t xml:space="preserve">Mackenzie, C. S., </w:t>
      </w:r>
      <w:proofErr w:type="spellStart"/>
      <w:r>
        <w:rPr>
          <w:sz w:val="16"/>
          <w:szCs w:val="16"/>
        </w:rPr>
        <w:t>Visperas</w:t>
      </w:r>
      <w:proofErr w:type="spellEnd"/>
      <w:r>
        <w:rPr>
          <w:sz w:val="16"/>
          <w:szCs w:val="16"/>
        </w:rPr>
        <w:t xml:space="preserve">, A., </w:t>
      </w:r>
      <w:proofErr w:type="spellStart"/>
      <w:r>
        <w:rPr>
          <w:sz w:val="16"/>
          <w:szCs w:val="16"/>
        </w:rPr>
        <w:t>Ogrodniczuk</w:t>
      </w:r>
      <w:proofErr w:type="spellEnd"/>
      <w:r>
        <w:rPr>
          <w:sz w:val="16"/>
          <w:szCs w:val="16"/>
        </w:rPr>
        <w:t xml:space="preserve">, J. S., </w:t>
      </w:r>
      <w:proofErr w:type="spellStart"/>
      <w:r>
        <w:rPr>
          <w:sz w:val="16"/>
          <w:szCs w:val="16"/>
        </w:rPr>
        <w:t>Oliffe</w:t>
      </w:r>
      <w:proofErr w:type="spellEnd"/>
      <w:r>
        <w:rPr>
          <w:sz w:val="16"/>
          <w:szCs w:val="16"/>
        </w:rPr>
        <w:t>, J. L., &amp; Nurmi, M. A. (2019). Age and sex differences in self-stigma and public stigma concerning depression and suicide in men. Stigma and Health, 4(2), 233.</w:t>
      </w:r>
    </w:p>
    <w:p w14:paraId="00000281"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McElroy, E., </w:t>
      </w:r>
      <w:proofErr w:type="spellStart"/>
      <w:r>
        <w:rPr>
          <w:sz w:val="16"/>
          <w:szCs w:val="16"/>
        </w:rPr>
        <w:t>Napoleone</w:t>
      </w:r>
      <w:proofErr w:type="spellEnd"/>
      <w:r>
        <w:rPr>
          <w:sz w:val="16"/>
          <w:szCs w:val="16"/>
        </w:rPr>
        <w:t xml:space="preserve">, E., Wolpert, M., &amp; </w:t>
      </w:r>
      <w:proofErr w:type="spellStart"/>
      <w:r>
        <w:rPr>
          <w:sz w:val="16"/>
          <w:szCs w:val="16"/>
        </w:rPr>
        <w:t>Patalay</w:t>
      </w:r>
      <w:proofErr w:type="spellEnd"/>
      <w:r>
        <w:rPr>
          <w:sz w:val="16"/>
          <w:szCs w:val="16"/>
        </w:rPr>
        <w:t xml:space="preserve">, P. (2019). Structure and Connectivity of Depressive Symptom Networks Corresponding to Early Treatment Response. </w:t>
      </w:r>
      <w:proofErr w:type="spellStart"/>
      <w:r>
        <w:rPr>
          <w:i/>
          <w:sz w:val="16"/>
          <w:szCs w:val="16"/>
        </w:rPr>
        <w:t>EClinicalMedicine</w:t>
      </w:r>
      <w:proofErr w:type="spellEnd"/>
      <w:r>
        <w:rPr>
          <w:sz w:val="16"/>
          <w:szCs w:val="16"/>
        </w:rPr>
        <w:t xml:space="preserve">, </w:t>
      </w:r>
      <w:r>
        <w:rPr>
          <w:i/>
          <w:sz w:val="16"/>
          <w:szCs w:val="16"/>
        </w:rPr>
        <w:t>8</w:t>
      </w:r>
      <w:r>
        <w:rPr>
          <w:sz w:val="16"/>
          <w:szCs w:val="16"/>
        </w:rPr>
        <w:t>, 29–36. https://doi.org/10.1016/j.eclinm.2019.02.009</w:t>
      </w:r>
    </w:p>
    <w:p w14:paraId="00000282"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Miloyan</w:t>
      </w:r>
      <w:proofErr w:type="spellEnd"/>
      <w:r>
        <w:rPr>
          <w:sz w:val="16"/>
          <w:szCs w:val="16"/>
        </w:rPr>
        <w:t xml:space="preserve">, B., &amp; </w:t>
      </w:r>
      <w:proofErr w:type="spellStart"/>
      <w:r>
        <w:rPr>
          <w:sz w:val="16"/>
          <w:szCs w:val="16"/>
        </w:rPr>
        <w:t>Pachana</w:t>
      </w:r>
      <w:proofErr w:type="spellEnd"/>
      <w:r>
        <w:rPr>
          <w:sz w:val="16"/>
          <w:szCs w:val="16"/>
        </w:rPr>
        <w:t xml:space="preserve">, N. A. (2016). Clinical Significance of Individual GAD Symptoms in Later Life. </w:t>
      </w:r>
      <w:r>
        <w:rPr>
          <w:i/>
          <w:sz w:val="16"/>
          <w:szCs w:val="16"/>
        </w:rPr>
        <w:t>Journal of Geriatric Psychiatry and Neurology</w:t>
      </w:r>
      <w:r>
        <w:rPr>
          <w:sz w:val="16"/>
          <w:szCs w:val="16"/>
        </w:rPr>
        <w:t xml:space="preserve">, </w:t>
      </w:r>
      <w:r>
        <w:rPr>
          <w:i/>
          <w:sz w:val="16"/>
          <w:szCs w:val="16"/>
        </w:rPr>
        <w:t>29</w:t>
      </w:r>
      <w:r>
        <w:rPr>
          <w:sz w:val="16"/>
          <w:szCs w:val="16"/>
        </w:rPr>
        <w:t>(2), 92–98. https://doi.org/10.1177/0891988715606231</w:t>
      </w:r>
    </w:p>
    <w:p w14:paraId="00000283"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Moffitt, T. E., Harrington, H., Caspi, A., Kim-Cohen, J., Goldberg, D., Gregory, A. M., &amp; Poulton, R. (2007). Depression and Generalized Anxiety Disorder: Cumulative and Sequential Comorbidity in a Birth Cohort Followed Prospectively to Age 32 Years. </w:t>
      </w:r>
      <w:r>
        <w:rPr>
          <w:i/>
          <w:sz w:val="16"/>
          <w:szCs w:val="16"/>
        </w:rPr>
        <w:t>Archives of General Psychiatry</w:t>
      </w:r>
      <w:r>
        <w:rPr>
          <w:sz w:val="16"/>
          <w:szCs w:val="16"/>
        </w:rPr>
        <w:t xml:space="preserve">, </w:t>
      </w:r>
      <w:r>
        <w:rPr>
          <w:i/>
          <w:sz w:val="16"/>
          <w:szCs w:val="16"/>
        </w:rPr>
        <w:t>64</w:t>
      </w:r>
      <w:r>
        <w:rPr>
          <w:sz w:val="16"/>
          <w:szCs w:val="16"/>
        </w:rPr>
        <w:t>(6), 651–660. https://doi.org/10.1001/archpsyc.64.6.651</w:t>
      </w:r>
    </w:p>
    <w:p w14:paraId="00000284"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Ohannessian</w:t>
      </w:r>
      <w:proofErr w:type="spellEnd"/>
      <w:r>
        <w:rPr>
          <w:sz w:val="16"/>
          <w:szCs w:val="16"/>
        </w:rPr>
        <w:t xml:space="preserve">, C. M., Milan, S., &amp; </w:t>
      </w:r>
      <w:proofErr w:type="spellStart"/>
      <w:r>
        <w:rPr>
          <w:sz w:val="16"/>
          <w:szCs w:val="16"/>
        </w:rPr>
        <w:t>Vannucci</w:t>
      </w:r>
      <w:proofErr w:type="spellEnd"/>
      <w:r>
        <w:rPr>
          <w:sz w:val="16"/>
          <w:szCs w:val="16"/>
        </w:rPr>
        <w:t xml:space="preserve">, A. (2017). Gender Differences in Anxiety Trajectories from Middle to Late Adolescence. </w:t>
      </w:r>
      <w:r>
        <w:rPr>
          <w:i/>
          <w:sz w:val="16"/>
          <w:szCs w:val="16"/>
        </w:rPr>
        <w:t>Journal of Youth and Adolescence</w:t>
      </w:r>
      <w:r>
        <w:rPr>
          <w:sz w:val="16"/>
          <w:szCs w:val="16"/>
        </w:rPr>
        <w:t xml:space="preserve">, </w:t>
      </w:r>
      <w:r>
        <w:rPr>
          <w:i/>
          <w:sz w:val="16"/>
          <w:szCs w:val="16"/>
        </w:rPr>
        <w:t>46</w:t>
      </w:r>
      <w:r>
        <w:rPr>
          <w:sz w:val="16"/>
          <w:szCs w:val="16"/>
        </w:rPr>
        <w:t>(4), 826–839. https://doi.org/10.1007/s10964-016-0619-7</w:t>
      </w:r>
    </w:p>
    <w:p w14:paraId="00000285"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Revelle</w:t>
      </w:r>
      <w:proofErr w:type="spellEnd"/>
      <w:r>
        <w:rPr>
          <w:sz w:val="16"/>
          <w:szCs w:val="16"/>
        </w:rPr>
        <w:t xml:space="preserve">, W. R. (2017). </w:t>
      </w:r>
      <w:r>
        <w:rPr>
          <w:i/>
          <w:sz w:val="16"/>
          <w:szCs w:val="16"/>
        </w:rPr>
        <w:t>psych: Procedures for Personality and Psychological Research</w:t>
      </w:r>
      <w:r>
        <w:rPr>
          <w:sz w:val="16"/>
          <w:szCs w:val="16"/>
        </w:rPr>
        <w:t>. https://www.scholars.northwestern.edu/en/publications/psych-procedures-for-personality-and-psychological-research</w:t>
      </w:r>
    </w:p>
    <w:p w14:paraId="00000286"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Revelle</w:t>
      </w:r>
      <w:proofErr w:type="spellEnd"/>
      <w:r>
        <w:rPr>
          <w:sz w:val="16"/>
          <w:szCs w:val="16"/>
        </w:rPr>
        <w:t xml:space="preserve">, W. R., &amp; Rocklin, T. (1979). Very Simple Structure: An Alternative Procedure </w:t>
      </w:r>
      <w:proofErr w:type="gramStart"/>
      <w:r>
        <w:rPr>
          <w:sz w:val="16"/>
          <w:szCs w:val="16"/>
        </w:rPr>
        <w:t>For</w:t>
      </w:r>
      <w:proofErr w:type="gramEnd"/>
      <w:r>
        <w:rPr>
          <w:sz w:val="16"/>
          <w:szCs w:val="16"/>
        </w:rPr>
        <w:t xml:space="preserve"> Estimating The Optimal Number Of Interpretable Factors. </w:t>
      </w:r>
      <w:r>
        <w:rPr>
          <w:i/>
          <w:sz w:val="16"/>
          <w:szCs w:val="16"/>
        </w:rPr>
        <w:t xml:space="preserve">Multivariate </w:t>
      </w:r>
      <w:proofErr w:type="spellStart"/>
      <w:r>
        <w:rPr>
          <w:i/>
          <w:sz w:val="16"/>
          <w:szCs w:val="16"/>
        </w:rPr>
        <w:t>Behavioral</w:t>
      </w:r>
      <w:proofErr w:type="spellEnd"/>
      <w:r>
        <w:rPr>
          <w:i/>
          <w:sz w:val="16"/>
          <w:szCs w:val="16"/>
        </w:rPr>
        <w:t xml:space="preserve"> Research</w:t>
      </w:r>
      <w:r>
        <w:rPr>
          <w:sz w:val="16"/>
          <w:szCs w:val="16"/>
        </w:rPr>
        <w:t xml:space="preserve">, </w:t>
      </w:r>
      <w:r>
        <w:rPr>
          <w:i/>
          <w:sz w:val="16"/>
          <w:szCs w:val="16"/>
        </w:rPr>
        <w:t>14</w:t>
      </w:r>
      <w:r>
        <w:rPr>
          <w:sz w:val="16"/>
          <w:szCs w:val="16"/>
        </w:rPr>
        <w:t>(4), 403–414. https://doi.org/10.1207/s15327906mbr1404_2</w:t>
      </w:r>
    </w:p>
    <w:p w14:paraId="00000287"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Rosseel</w:t>
      </w:r>
      <w:proofErr w:type="spellEnd"/>
      <w:r>
        <w:rPr>
          <w:sz w:val="16"/>
          <w:szCs w:val="16"/>
        </w:rPr>
        <w:t xml:space="preserve">, Y. (2012). </w:t>
      </w:r>
      <w:proofErr w:type="spellStart"/>
      <w:r>
        <w:rPr>
          <w:sz w:val="16"/>
          <w:szCs w:val="16"/>
        </w:rPr>
        <w:t>lavaan</w:t>
      </w:r>
      <w:proofErr w:type="spellEnd"/>
      <w:r>
        <w:rPr>
          <w:sz w:val="16"/>
          <w:szCs w:val="16"/>
        </w:rPr>
        <w:t xml:space="preserve">: An R Package for Structural Equation Modeling. </w:t>
      </w:r>
      <w:r>
        <w:rPr>
          <w:i/>
          <w:sz w:val="16"/>
          <w:szCs w:val="16"/>
        </w:rPr>
        <w:t>Journal of Statistical Software</w:t>
      </w:r>
      <w:r>
        <w:rPr>
          <w:sz w:val="16"/>
          <w:szCs w:val="16"/>
        </w:rPr>
        <w:t xml:space="preserve">, </w:t>
      </w:r>
      <w:r>
        <w:rPr>
          <w:i/>
          <w:sz w:val="16"/>
          <w:szCs w:val="16"/>
        </w:rPr>
        <w:t>48</w:t>
      </w:r>
      <w:r>
        <w:rPr>
          <w:sz w:val="16"/>
          <w:szCs w:val="16"/>
        </w:rPr>
        <w:t>(2). https://doi.org/10.18637/jss.v048.i02</w:t>
      </w:r>
    </w:p>
    <w:p w14:paraId="00000288"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Schaakxs</w:t>
      </w:r>
      <w:proofErr w:type="spellEnd"/>
      <w:r>
        <w:rPr>
          <w:sz w:val="16"/>
          <w:szCs w:val="16"/>
        </w:rPr>
        <w:t xml:space="preserve">, R., </w:t>
      </w:r>
      <w:proofErr w:type="spellStart"/>
      <w:r>
        <w:rPr>
          <w:sz w:val="16"/>
          <w:szCs w:val="16"/>
        </w:rPr>
        <w:t>Comijs</w:t>
      </w:r>
      <w:proofErr w:type="spellEnd"/>
      <w:r>
        <w:rPr>
          <w:sz w:val="16"/>
          <w:szCs w:val="16"/>
        </w:rPr>
        <w:t xml:space="preserve">, H. C., </w:t>
      </w:r>
      <w:proofErr w:type="spellStart"/>
      <w:r>
        <w:rPr>
          <w:sz w:val="16"/>
          <w:szCs w:val="16"/>
        </w:rPr>
        <w:t>Lamers</w:t>
      </w:r>
      <w:proofErr w:type="spellEnd"/>
      <w:r>
        <w:rPr>
          <w:sz w:val="16"/>
          <w:szCs w:val="16"/>
        </w:rPr>
        <w:t xml:space="preserve">, F., Beekman, A. T. F., &amp; </w:t>
      </w:r>
      <w:proofErr w:type="spellStart"/>
      <w:r>
        <w:rPr>
          <w:sz w:val="16"/>
          <w:szCs w:val="16"/>
        </w:rPr>
        <w:t>Penninx</w:t>
      </w:r>
      <w:proofErr w:type="spellEnd"/>
      <w:r>
        <w:rPr>
          <w:sz w:val="16"/>
          <w:szCs w:val="16"/>
        </w:rPr>
        <w:t xml:space="preserve">, B. W. J. H. (2017). Age-related variability in the presentation of symptoms of major depressive disorder. </w:t>
      </w:r>
      <w:r>
        <w:rPr>
          <w:i/>
          <w:sz w:val="16"/>
          <w:szCs w:val="16"/>
        </w:rPr>
        <w:t>Psychological Medicine</w:t>
      </w:r>
      <w:r>
        <w:rPr>
          <w:sz w:val="16"/>
          <w:szCs w:val="16"/>
        </w:rPr>
        <w:t xml:space="preserve">, </w:t>
      </w:r>
      <w:r>
        <w:rPr>
          <w:i/>
          <w:sz w:val="16"/>
          <w:szCs w:val="16"/>
        </w:rPr>
        <w:t>47</w:t>
      </w:r>
      <w:r>
        <w:rPr>
          <w:sz w:val="16"/>
          <w:szCs w:val="16"/>
        </w:rPr>
        <w:t>(3), 543–552. https://doi.org/10.1017/S0033291716002579</w:t>
      </w:r>
    </w:p>
    <w:p w14:paraId="00000289"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Schreiber, J. B., Nora, A., Stage, F. K., Barlow, E. A., &amp; King, J. (2006). Reporting Structural Equation Modeling and Confirmatory Factor Analysis Results: A Review. </w:t>
      </w:r>
      <w:r>
        <w:rPr>
          <w:i/>
          <w:sz w:val="16"/>
          <w:szCs w:val="16"/>
        </w:rPr>
        <w:t>The Journal of Educational Research</w:t>
      </w:r>
      <w:r>
        <w:rPr>
          <w:sz w:val="16"/>
          <w:szCs w:val="16"/>
        </w:rPr>
        <w:t xml:space="preserve">, </w:t>
      </w:r>
      <w:r>
        <w:rPr>
          <w:i/>
          <w:sz w:val="16"/>
          <w:szCs w:val="16"/>
        </w:rPr>
        <w:t>99</w:t>
      </w:r>
      <w:r>
        <w:rPr>
          <w:sz w:val="16"/>
          <w:szCs w:val="16"/>
        </w:rPr>
        <w:t>(6), 323–338. https://doi.org/10.3200/JOER.99.6.323-338</w:t>
      </w:r>
    </w:p>
    <w:p w14:paraId="0000028A"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Smagula</w:t>
      </w:r>
      <w:proofErr w:type="spellEnd"/>
      <w:r>
        <w:rPr>
          <w:sz w:val="16"/>
          <w:szCs w:val="16"/>
        </w:rPr>
        <w:t xml:space="preserve">, S. F., Stone, K. L., Fabio, A., &amp; </w:t>
      </w:r>
      <w:proofErr w:type="spellStart"/>
      <w:r>
        <w:rPr>
          <w:sz w:val="16"/>
          <w:szCs w:val="16"/>
        </w:rPr>
        <w:t>Cauley</w:t>
      </w:r>
      <w:proofErr w:type="spellEnd"/>
      <w:r>
        <w:rPr>
          <w:sz w:val="16"/>
          <w:szCs w:val="16"/>
        </w:rPr>
        <w:t xml:space="preserve">, J. A. (2016). Risk factors for sleep disturbances in older adults: Evidence from prospective studies. </w:t>
      </w:r>
      <w:r>
        <w:rPr>
          <w:i/>
          <w:sz w:val="16"/>
          <w:szCs w:val="16"/>
        </w:rPr>
        <w:t>Sleep Medicine Reviews</w:t>
      </w:r>
      <w:r>
        <w:rPr>
          <w:sz w:val="16"/>
          <w:szCs w:val="16"/>
        </w:rPr>
        <w:t xml:space="preserve">, </w:t>
      </w:r>
      <w:r>
        <w:rPr>
          <w:i/>
          <w:sz w:val="16"/>
          <w:szCs w:val="16"/>
        </w:rPr>
        <w:t>25</w:t>
      </w:r>
      <w:r>
        <w:rPr>
          <w:sz w:val="16"/>
          <w:szCs w:val="16"/>
        </w:rPr>
        <w:t>, 21–30. https://doi.org/10.1016/j.smrv.2015.01.003</w:t>
      </w:r>
    </w:p>
    <w:p w14:paraId="0000028B"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Spitzer, R. L., Kroenke, K., Williams, J. B. W., &amp; </w:t>
      </w:r>
      <w:proofErr w:type="spellStart"/>
      <w:r>
        <w:rPr>
          <w:sz w:val="16"/>
          <w:szCs w:val="16"/>
        </w:rPr>
        <w:t>Löwe</w:t>
      </w:r>
      <w:proofErr w:type="spellEnd"/>
      <w:r>
        <w:rPr>
          <w:sz w:val="16"/>
          <w:szCs w:val="16"/>
        </w:rPr>
        <w:t xml:space="preserve">, B. (2006). A Brief Measure for Assessing Generalized Anxiety Disorder: The GAD-7. </w:t>
      </w:r>
      <w:r>
        <w:rPr>
          <w:i/>
          <w:sz w:val="16"/>
          <w:szCs w:val="16"/>
        </w:rPr>
        <w:t>Archives of Internal Medicine</w:t>
      </w:r>
      <w:r>
        <w:rPr>
          <w:sz w:val="16"/>
          <w:szCs w:val="16"/>
        </w:rPr>
        <w:t xml:space="preserve">, </w:t>
      </w:r>
      <w:r>
        <w:rPr>
          <w:i/>
          <w:sz w:val="16"/>
          <w:szCs w:val="16"/>
        </w:rPr>
        <w:t>166</w:t>
      </w:r>
      <w:r>
        <w:rPr>
          <w:sz w:val="16"/>
          <w:szCs w:val="16"/>
        </w:rPr>
        <w:t>(10), 1092–1097. https://doi.org/10.1001/archinte.166.10.1092</w:t>
      </w:r>
    </w:p>
    <w:p w14:paraId="0000028C"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Thompson, B. (2004). </w:t>
      </w:r>
      <w:r>
        <w:rPr>
          <w:i/>
          <w:sz w:val="16"/>
          <w:szCs w:val="16"/>
        </w:rPr>
        <w:t>Exploratory and confirmatory factor analysis: Understanding concepts and applications.</w:t>
      </w:r>
      <w:r>
        <w:rPr>
          <w:sz w:val="16"/>
          <w:szCs w:val="16"/>
        </w:rPr>
        <w:t xml:space="preserve"> Washington, DC.</w:t>
      </w:r>
    </w:p>
    <w:p w14:paraId="0000028D"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r>
        <w:rPr>
          <w:sz w:val="16"/>
          <w:szCs w:val="16"/>
        </w:rPr>
        <w:t xml:space="preserve">Thorp, J. G., </w:t>
      </w:r>
      <w:proofErr w:type="spellStart"/>
      <w:r>
        <w:rPr>
          <w:sz w:val="16"/>
          <w:szCs w:val="16"/>
        </w:rPr>
        <w:t>Marees</w:t>
      </w:r>
      <w:proofErr w:type="spellEnd"/>
      <w:r>
        <w:rPr>
          <w:sz w:val="16"/>
          <w:szCs w:val="16"/>
        </w:rPr>
        <w:t xml:space="preserve">, A., Ong, J.-S., An, J., MacGregor, S., &amp; Derks, E. (2019). Investigating Genetic Heterogeneity in Major Depression Through Item-level Genetic Analyses of the PHQ-9. </w:t>
      </w:r>
      <w:proofErr w:type="spellStart"/>
      <w:r>
        <w:rPr>
          <w:i/>
          <w:sz w:val="16"/>
          <w:szCs w:val="16"/>
        </w:rPr>
        <w:t>BioRxiv</w:t>
      </w:r>
      <w:proofErr w:type="spellEnd"/>
      <w:r>
        <w:rPr>
          <w:sz w:val="16"/>
          <w:szCs w:val="16"/>
        </w:rPr>
        <w:t>, 528067. https://doi.org/10.1101/528067</w:t>
      </w:r>
    </w:p>
    <w:p w14:paraId="0000028E"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Velicer</w:t>
      </w:r>
      <w:proofErr w:type="spellEnd"/>
      <w:r>
        <w:rPr>
          <w:sz w:val="16"/>
          <w:szCs w:val="16"/>
        </w:rPr>
        <w:t xml:space="preserve">, W. F. (1976). Determining the number of components from the matrix of partial correlations. </w:t>
      </w:r>
      <w:r>
        <w:rPr>
          <w:i/>
          <w:sz w:val="16"/>
          <w:szCs w:val="16"/>
        </w:rPr>
        <w:t>Psychometrika</w:t>
      </w:r>
      <w:r>
        <w:rPr>
          <w:sz w:val="16"/>
          <w:szCs w:val="16"/>
        </w:rPr>
        <w:t xml:space="preserve">, </w:t>
      </w:r>
      <w:r>
        <w:rPr>
          <w:i/>
          <w:sz w:val="16"/>
          <w:szCs w:val="16"/>
        </w:rPr>
        <w:t>41</w:t>
      </w:r>
      <w:r>
        <w:rPr>
          <w:sz w:val="16"/>
          <w:szCs w:val="16"/>
        </w:rPr>
        <w:t>(3), 321–327. https://doi.org/10.1007/BF02293557</w:t>
      </w:r>
    </w:p>
    <w:p w14:paraId="0000028F"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Vesga</w:t>
      </w:r>
      <w:proofErr w:type="spellEnd"/>
      <w:r>
        <w:rPr>
          <w:sz w:val="16"/>
          <w:szCs w:val="16"/>
        </w:rPr>
        <w:t xml:space="preserve">-López, O., </w:t>
      </w:r>
      <w:proofErr w:type="spellStart"/>
      <w:r>
        <w:rPr>
          <w:sz w:val="16"/>
          <w:szCs w:val="16"/>
        </w:rPr>
        <w:t>Schneier</w:t>
      </w:r>
      <w:proofErr w:type="spellEnd"/>
      <w:r>
        <w:rPr>
          <w:sz w:val="16"/>
          <w:szCs w:val="16"/>
        </w:rPr>
        <w:t xml:space="preserve">, F., Wang, S., Heimberg, R., Liu, S.-M., </w:t>
      </w:r>
      <w:proofErr w:type="spellStart"/>
      <w:r>
        <w:rPr>
          <w:sz w:val="16"/>
          <w:szCs w:val="16"/>
        </w:rPr>
        <w:t>Hasin</w:t>
      </w:r>
      <w:proofErr w:type="spellEnd"/>
      <w:r>
        <w:rPr>
          <w:sz w:val="16"/>
          <w:szCs w:val="16"/>
        </w:rPr>
        <w:t xml:space="preserve">, D. S., &amp; Blanco, C. (2008). Gender differences in </w:t>
      </w:r>
      <w:r>
        <w:rPr>
          <w:sz w:val="16"/>
          <w:szCs w:val="16"/>
        </w:rPr>
        <w:lastRenderedPageBreak/>
        <w:t xml:space="preserve">Generalized Anxiety Disorder: Results from the National Epidemiologic Survey on Alcohol and Related Conditions (NESARC). </w:t>
      </w:r>
      <w:r>
        <w:rPr>
          <w:i/>
          <w:sz w:val="16"/>
          <w:szCs w:val="16"/>
        </w:rPr>
        <w:t>The Journal of Clinical Psychiatry</w:t>
      </w:r>
      <w:r>
        <w:rPr>
          <w:sz w:val="16"/>
          <w:szCs w:val="16"/>
        </w:rPr>
        <w:t xml:space="preserve">, </w:t>
      </w:r>
      <w:r>
        <w:rPr>
          <w:i/>
          <w:sz w:val="16"/>
          <w:szCs w:val="16"/>
        </w:rPr>
        <w:t>69</w:t>
      </w:r>
      <w:r>
        <w:rPr>
          <w:sz w:val="16"/>
          <w:szCs w:val="16"/>
        </w:rPr>
        <w:t>(10), 1606–1616.</w:t>
      </w:r>
    </w:p>
    <w:p w14:paraId="00000290" w14:textId="77777777" w:rsidR="00C20959" w:rsidRDefault="00FA1AA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roofErr w:type="spellStart"/>
      <w:r>
        <w:rPr>
          <w:sz w:val="16"/>
          <w:szCs w:val="16"/>
        </w:rPr>
        <w:t>Weisenbach</w:t>
      </w:r>
      <w:proofErr w:type="spellEnd"/>
      <w:r>
        <w:rPr>
          <w:sz w:val="16"/>
          <w:szCs w:val="16"/>
        </w:rPr>
        <w:t xml:space="preserve">, S. L., &amp; Kumar, A. (2014). Current Understanding of the Neurobiology and Longitudinal Course of Geriatric Depression. </w:t>
      </w:r>
      <w:r>
        <w:rPr>
          <w:i/>
          <w:sz w:val="16"/>
          <w:szCs w:val="16"/>
        </w:rPr>
        <w:t>Current Psychiatry Reports</w:t>
      </w:r>
      <w:r>
        <w:rPr>
          <w:sz w:val="16"/>
          <w:szCs w:val="16"/>
        </w:rPr>
        <w:t xml:space="preserve">, </w:t>
      </w:r>
      <w:r>
        <w:rPr>
          <w:i/>
          <w:sz w:val="16"/>
          <w:szCs w:val="16"/>
        </w:rPr>
        <w:t>16</w:t>
      </w:r>
      <w:r>
        <w:rPr>
          <w:sz w:val="16"/>
          <w:szCs w:val="16"/>
        </w:rPr>
        <w:t>(9), 463. https://doi.org/10.1007/s11920-014-0463-y</w:t>
      </w:r>
    </w:p>
    <w:p w14:paraId="00000291" w14:textId="3956662F" w:rsidR="00C20959" w:rsidRDefault="00FA1AA2">
      <w:pPr>
        <w:widowControl w:val="0"/>
        <w:pBdr>
          <w:top w:val="nil"/>
          <w:left w:val="nil"/>
          <w:bottom w:val="nil"/>
          <w:right w:val="nil"/>
          <w:between w:val="nil"/>
        </w:pBdr>
        <w:spacing w:before="0" w:after="0" w:line="480" w:lineRule="auto"/>
        <w:ind w:left="720" w:hanging="720"/>
        <w:rPr>
          <w:sz w:val="16"/>
          <w:szCs w:val="16"/>
        </w:rPr>
      </w:pPr>
      <w:r>
        <w:rPr>
          <w:sz w:val="16"/>
          <w:szCs w:val="16"/>
        </w:rPr>
        <w:t xml:space="preserve">Zhao, D., Wu, Z., Zhang, H., Mellor, D., Ding, L., Wu, H., Wu, C., Huang, J., Hong, W., Peng, D., &amp; Fang, Y. (2018). Somatic symptoms vary in major depressive disorder in China. </w:t>
      </w:r>
      <w:r>
        <w:rPr>
          <w:i/>
          <w:sz w:val="16"/>
          <w:szCs w:val="16"/>
        </w:rPr>
        <w:t>Comprehensive Psychiatry</w:t>
      </w:r>
      <w:r>
        <w:rPr>
          <w:sz w:val="16"/>
          <w:szCs w:val="16"/>
        </w:rPr>
        <w:t xml:space="preserve">, </w:t>
      </w:r>
      <w:r>
        <w:rPr>
          <w:i/>
          <w:sz w:val="16"/>
          <w:szCs w:val="16"/>
        </w:rPr>
        <w:t>87</w:t>
      </w:r>
      <w:r>
        <w:rPr>
          <w:sz w:val="16"/>
          <w:szCs w:val="16"/>
        </w:rPr>
        <w:t xml:space="preserve">, 32–37. </w:t>
      </w:r>
      <w:hyperlink r:id="rId21" w:history="1">
        <w:r w:rsidR="004D3A22" w:rsidRPr="00E31844">
          <w:rPr>
            <w:rStyle w:val="Hyperlink"/>
            <w:sz w:val="16"/>
            <w:szCs w:val="16"/>
          </w:rPr>
          <w:t>https://doi.org/10.1016/j.comppsych.2018.08.013</w:t>
        </w:r>
      </w:hyperlink>
    </w:p>
    <w:p w14:paraId="35E4E987" w14:textId="45CF1D6C" w:rsidR="00D73A17" w:rsidRDefault="00D73A17" w:rsidP="004D3A22">
      <w:pPr>
        <w:spacing w:line="360" w:lineRule="auto"/>
        <w:jc w:val="both"/>
        <w:rPr>
          <w:b/>
          <w:i/>
        </w:rPr>
      </w:pPr>
    </w:p>
    <w:p w14:paraId="35A8A302" w14:textId="21825759" w:rsidR="00D73A17" w:rsidRDefault="00D73A17" w:rsidP="004D3A22">
      <w:pPr>
        <w:spacing w:line="360" w:lineRule="auto"/>
        <w:jc w:val="both"/>
        <w:rPr>
          <w:b/>
          <w:i/>
        </w:rPr>
      </w:pPr>
    </w:p>
    <w:p w14:paraId="205DC015" w14:textId="479EBBCC" w:rsidR="00D73A17" w:rsidRDefault="00D73A17" w:rsidP="004D3A22">
      <w:pPr>
        <w:spacing w:line="360" w:lineRule="auto"/>
        <w:jc w:val="both"/>
        <w:rPr>
          <w:b/>
          <w:i/>
        </w:rPr>
      </w:pPr>
    </w:p>
    <w:p w14:paraId="2F97569B" w14:textId="5BE23573" w:rsidR="00D73A17" w:rsidRDefault="00D73A17" w:rsidP="004D3A22">
      <w:pPr>
        <w:spacing w:line="360" w:lineRule="auto"/>
        <w:jc w:val="both"/>
        <w:rPr>
          <w:b/>
          <w:i/>
        </w:rPr>
      </w:pPr>
    </w:p>
    <w:p w14:paraId="10295F03" w14:textId="1E2EAE97" w:rsidR="00D73A17" w:rsidRDefault="00D73A17" w:rsidP="004D3A22">
      <w:pPr>
        <w:spacing w:line="360" w:lineRule="auto"/>
        <w:jc w:val="both"/>
        <w:rPr>
          <w:b/>
          <w:i/>
        </w:rPr>
      </w:pPr>
    </w:p>
    <w:p w14:paraId="7FEC88AE" w14:textId="30447366" w:rsidR="00D73A17" w:rsidRDefault="00D73A17" w:rsidP="004D3A22">
      <w:pPr>
        <w:spacing w:line="360" w:lineRule="auto"/>
        <w:jc w:val="both"/>
        <w:rPr>
          <w:b/>
          <w:i/>
        </w:rPr>
      </w:pPr>
    </w:p>
    <w:p w14:paraId="4D0BD104" w14:textId="595E72CC" w:rsidR="00D73A17" w:rsidRDefault="00D73A17" w:rsidP="004D3A22">
      <w:pPr>
        <w:spacing w:line="360" w:lineRule="auto"/>
        <w:jc w:val="both"/>
        <w:rPr>
          <w:b/>
          <w:i/>
        </w:rPr>
      </w:pPr>
    </w:p>
    <w:p w14:paraId="1766EEFA" w14:textId="62EAB1C1" w:rsidR="00D73A17" w:rsidRDefault="00D73A17" w:rsidP="004D3A22">
      <w:pPr>
        <w:spacing w:line="360" w:lineRule="auto"/>
        <w:jc w:val="both"/>
        <w:rPr>
          <w:b/>
          <w:i/>
        </w:rPr>
      </w:pPr>
    </w:p>
    <w:p w14:paraId="60B21726" w14:textId="2B2EE512" w:rsidR="00D73A17" w:rsidRDefault="00D73A17" w:rsidP="004D3A22">
      <w:pPr>
        <w:spacing w:line="360" w:lineRule="auto"/>
        <w:jc w:val="both"/>
        <w:rPr>
          <w:b/>
          <w:i/>
        </w:rPr>
      </w:pPr>
    </w:p>
    <w:p w14:paraId="4116BC54" w14:textId="2043C5B9" w:rsidR="00D73A17" w:rsidRDefault="00D73A17" w:rsidP="004D3A22">
      <w:pPr>
        <w:spacing w:line="360" w:lineRule="auto"/>
        <w:jc w:val="both"/>
        <w:rPr>
          <w:b/>
          <w:i/>
        </w:rPr>
      </w:pPr>
    </w:p>
    <w:p w14:paraId="63051090" w14:textId="545953A8" w:rsidR="00D73A17" w:rsidRDefault="00D73A17" w:rsidP="004D3A22">
      <w:pPr>
        <w:spacing w:line="360" w:lineRule="auto"/>
        <w:jc w:val="both"/>
        <w:rPr>
          <w:b/>
          <w:i/>
        </w:rPr>
      </w:pPr>
    </w:p>
    <w:p w14:paraId="01EB2ABA" w14:textId="35D2DB1E" w:rsidR="00D73A17" w:rsidRDefault="00D73A17" w:rsidP="004D3A22">
      <w:pPr>
        <w:spacing w:line="360" w:lineRule="auto"/>
        <w:jc w:val="both"/>
        <w:rPr>
          <w:b/>
          <w:i/>
        </w:rPr>
      </w:pPr>
    </w:p>
    <w:p w14:paraId="752CD48E" w14:textId="53E34771" w:rsidR="00D73A17" w:rsidRDefault="00D73A17" w:rsidP="004D3A22">
      <w:pPr>
        <w:spacing w:line="360" w:lineRule="auto"/>
        <w:jc w:val="both"/>
        <w:rPr>
          <w:b/>
          <w:i/>
        </w:rPr>
      </w:pPr>
    </w:p>
    <w:p w14:paraId="51389DA1" w14:textId="040412B1" w:rsidR="00D73A17" w:rsidRDefault="00D73A17" w:rsidP="004D3A22">
      <w:pPr>
        <w:spacing w:line="360" w:lineRule="auto"/>
        <w:jc w:val="both"/>
        <w:rPr>
          <w:b/>
          <w:i/>
        </w:rPr>
      </w:pPr>
    </w:p>
    <w:p w14:paraId="2B4DC4AD" w14:textId="617EF969" w:rsidR="00D73A17" w:rsidRDefault="00D73A17" w:rsidP="004D3A22">
      <w:pPr>
        <w:spacing w:line="360" w:lineRule="auto"/>
        <w:jc w:val="both"/>
        <w:rPr>
          <w:b/>
          <w:i/>
        </w:rPr>
      </w:pPr>
    </w:p>
    <w:p w14:paraId="5F3325CE" w14:textId="483E48EB" w:rsidR="00D73A17" w:rsidRDefault="00D73A17" w:rsidP="004D3A22">
      <w:pPr>
        <w:spacing w:line="360" w:lineRule="auto"/>
        <w:jc w:val="both"/>
        <w:rPr>
          <w:b/>
          <w:i/>
        </w:rPr>
      </w:pPr>
    </w:p>
    <w:p w14:paraId="18804D98" w14:textId="0D2D7B1E" w:rsidR="00D73A17" w:rsidRDefault="00D73A17" w:rsidP="004D3A22">
      <w:pPr>
        <w:spacing w:line="360" w:lineRule="auto"/>
        <w:jc w:val="both"/>
        <w:rPr>
          <w:b/>
          <w:i/>
        </w:rPr>
      </w:pPr>
    </w:p>
    <w:p w14:paraId="24D8D889" w14:textId="2DF7C0CF" w:rsidR="00D73A17" w:rsidRDefault="00D73A17" w:rsidP="004D3A22">
      <w:pPr>
        <w:spacing w:line="360" w:lineRule="auto"/>
        <w:jc w:val="both"/>
        <w:rPr>
          <w:b/>
          <w:i/>
        </w:rPr>
      </w:pPr>
    </w:p>
    <w:p w14:paraId="14AC9227" w14:textId="77777777" w:rsidR="00D73A17" w:rsidRDefault="00D73A17" w:rsidP="004D3A22">
      <w:pPr>
        <w:spacing w:line="360" w:lineRule="auto"/>
        <w:jc w:val="both"/>
        <w:rPr>
          <w:b/>
          <w:i/>
        </w:rPr>
      </w:pPr>
    </w:p>
    <w:p w14:paraId="32CD52F6" w14:textId="57160DBC" w:rsidR="004D3A22" w:rsidRPr="004D3A22" w:rsidRDefault="004D3A22" w:rsidP="004D3A22">
      <w:pPr>
        <w:spacing w:line="360" w:lineRule="auto"/>
        <w:jc w:val="both"/>
        <w:rPr>
          <w:b/>
          <w:iCs/>
        </w:rPr>
      </w:pPr>
      <w:r w:rsidRPr="004D3A22">
        <w:rPr>
          <w:b/>
          <w:iCs/>
        </w:rPr>
        <w:lastRenderedPageBreak/>
        <w:t>Tables</w:t>
      </w:r>
    </w:p>
    <w:p w14:paraId="47FAAF0C" w14:textId="5F96AF3B" w:rsidR="004D3A22" w:rsidRDefault="004D3A22" w:rsidP="004D3A22">
      <w:pPr>
        <w:spacing w:line="360" w:lineRule="auto"/>
        <w:jc w:val="both"/>
        <w:rPr>
          <w:i/>
        </w:rPr>
      </w:pPr>
      <w:r>
        <w:rPr>
          <w:b/>
          <w:i/>
        </w:rPr>
        <w:t>Table 1.</w:t>
      </w:r>
      <w:r>
        <w:rPr>
          <w:i/>
        </w:rPr>
        <w:t xml:space="preserve"> Demographic characteristics of the Genetics Links to Anxiety and Depression (GLAD) sample (N=35,637)</w:t>
      </w:r>
    </w:p>
    <w:tbl>
      <w:tblPr>
        <w:tblStyle w:val="a"/>
        <w:tblW w:w="9650" w:type="dxa"/>
        <w:tblInd w:w="-142" w:type="dxa"/>
        <w:tblLayout w:type="fixed"/>
        <w:tblLook w:val="0600" w:firstRow="0" w:lastRow="0" w:firstColumn="0" w:lastColumn="0" w:noHBand="1" w:noVBand="1"/>
      </w:tblPr>
      <w:tblGrid>
        <w:gridCol w:w="1198"/>
        <w:gridCol w:w="2458"/>
        <w:gridCol w:w="915"/>
        <w:gridCol w:w="986"/>
        <w:gridCol w:w="1154"/>
        <w:gridCol w:w="951"/>
        <w:gridCol w:w="963"/>
        <w:gridCol w:w="1025"/>
      </w:tblGrid>
      <w:tr w:rsidR="004D3A22" w14:paraId="0BF6DD24" w14:textId="77777777" w:rsidTr="00353DEF">
        <w:tc>
          <w:tcPr>
            <w:tcW w:w="1198" w:type="dxa"/>
            <w:vAlign w:val="bottom"/>
          </w:tcPr>
          <w:p w14:paraId="771A3440"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vAlign w:val="bottom"/>
          </w:tcPr>
          <w:p w14:paraId="435373BC"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1901" w:type="dxa"/>
            <w:gridSpan w:val="2"/>
            <w:vAlign w:val="bottom"/>
          </w:tcPr>
          <w:p w14:paraId="738BD021" w14:textId="77777777" w:rsidR="004D3A22" w:rsidRDefault="004D3A22" w:rsidP="00353DEF">
            <w:pPr>
              <w:pBdr>
                <w:top w:val="nil"/>
                <w:left w:val="nil"/>
                <w:bottom w:val="nil"/>
                <w:right w:val="nil"/>
                <w:between w:val="nil"/>
              </w:pBdr>
              <w:spacing w:before="36" w:after="36"/>
              <w:jc w:val="center"/>
              <w:rPr>
                <w:rFonts w:ascii="Arial" w:eastAsia="Arial" w:hAnsi="Arial" w:cs="Arial"/>
                <w:color w:val="000000"/>
                <w:sz w:val="18"/>
                <w:szCs w:val="18"/>
              </w:rPr>
            </w:pPr>
            <w:r>
              <w:rPr>
                <w:rFonts w:ascii="Arial" w:eastAsia="Arial" w:hAnsi="Arial" w:cs="Arial"/>
                <w:color w:val="000000"/>
                <w:sz w:val="18"/>
                <w:szCs w:val="18"/>
              </w:rPr>
              <w:t>Male (</w:t>
            </w:r>
            <w:r>
              <w:rPr>
                <w:rFonts w:ascii="Arial" w:eastAsia="Arial" w:hAnsi="Arial" w:cs="Arial"/>
                <w:i/>
                <w:color w:val="000000"/>
                <w:sz w:val="18"/>
                <w:szCs w:val="18"/>
              </w:rPr>
              <w:t>N</w:t>
            </w:r>
            <w:r>
              <w:rPr>
                <w:rFonts w:ascii="Arial" w:eastAsia="Arial" w:hAnsi="Arial" w:cs="Arial"/>
                <w:color w:val="000000"/>
                <w:sz w:val="18"/>
                <w:szCs w:val="18"/>
              </w:rPr>
              <w:t>=7265)</w:t>
            </w:r>
          </w:p>
        </w:tc>
        <w:tc>
          <w:tcPr>
            <w:tcW w:w="2105" w:type="dxa"/>
            <w:gridSpan w:val="2"/>
            <w:vAlign w:val="bottom"/>
          </w:tcPr>
          <w:p w14:paraId="55BC8436" w14:textId="77777777" w:rsidR="004D3A22" w:rsidRDefault="004D3A22" w:rsidP="00353DEF">
            <w:pPr>
              <w:pBdr>
                <w:top w:val="nil"/>
                <w:left w:val="nil"/>
                <w:bottom w:val="nil"/>
                <w:right w:val="nil"/>
                <w:between w:val="nil"/>
              </w:pBdr>
              <w:spacing w:before="36" w:after="36"/>
              <w:jc w:val="center"/>
              <w:rPr>
                <w:rFonts w:ascii="Arial" w:eastAsia="Arial" w:hAnsi="Arial" w:cs="Arial"/>
                <w:color w:val="000000"/>
                <w:sz w:val="18"/>
                <w:szCs w:val="18"/>
              </w:rPr>
            </w:pPr>
            <w:r>
              <w:rPr>
                <w:rFonts w:ascii="Arial" w:eastAsia="Arial" w:hAnsi="Arial" w:cs="Arial"/>
                <w:color w:val="000000"/>
                <w:sz w:val="18"/>
                <w:szCs w:val="18"/>
              </w:rPr>
              <w:t>Female (</w:t>
            </w:r>
            <w:r>
              <w:rPr>
                <w:rFonts w:ascii="Arial" w:eastAsia="Arial" w:hAnsi="Arial" w:cs="Arial"/>
                <w:i/>
                <w:color w:val="000000"/>
                <w:sz w:val="18"/>
                <w:szCs w:val="18"/>
              </w:rPr>
              <w:t>N</w:t>
            </w:r>
            <w:r>
              <w:rPr>
                <w:rFonts w:ascii="Arial" w:eastAsia="Arial" w:hAnsi="Arial" w:cs="Arial"/>
                <w:color w:val="000000"/>
                <w:sz w:val="18"/>
                <w:szCs w:val="18"/>
              </w:rPr>
              <w:t>=28372)</w:t>
            </w:r>
          </w:p>
        </w:tc>
        <w:tc>
          <w:tcPr>
            <w:tcW w:w="1988" w:type="dxa"/>
            <w:gridSpan w:val="2"/>
            <w:vAlign w:val="bottom"/>
          </w:tcPr>
          <w:p w14:paraId="3C290022" w14:textId="77777777" w:rsidR="004D3A22" w:rsidRDefault="004D3A22" w:rsidP="00353DEF">
            <w:pPr>
              <w:pBdr>
                <w:top w:val="nil"/>
                <w:left w:val="nil"/>
                <w:bottom w:val="nil"/>
                <w:right w:val="nil"/>
                <w:between w:val="nil"/>
              </w:pBdr>
              <w:spacing w:before="36" w:after="36"/>
              <w:jc w:val="center"/>
              <w:rPr>
                <w:rFonts w:ascii="Arial" w:eastAsia="Arial" w:hAnsi="Arial" w:cs="Arial"/>
                <w:color w:val="000000"/>
                <w:sz w:val="18"/>
                <w:szCs w:val="18"/>
              </w:rPr>
            </w:pPr>
            <w:r>
              <w:rPr>
                <w:rFonts w:ascii="Arial" w:eastAsia="Arial" w:hAnsi="Arial" w:cs="Arial"/>
                <w:color w:val="000000"/>
                <w:sz w:val="18"/>
                <w:szCs w:val="18"/>
              </w:rPr>
              <w:t>Total (</w:t>
            </w:r>
            <w:r>
              <w:rPr>
                <w:rFonts w:ascii="Arial" w:eastAsia="Arial" w:hAnsi="Arial" w:cs="Arial"/>
                <w:i/>
                <w:color w:val="000000"/>
                <w:sz w:val="18"/>
                <w:szCs w:val="18"/>
              </w:rPr>
              <w:t>N</w:t>
            </w:r>
            <w:r>
              <w:rPr>
                <w:rFonts w:ascii="Arial" w:eastAsia="Arial" w:hAnsi="Arial" w:cs="Arial"/>
                <w:color w:val="000000"/>
                <w:sz w:val="18"/>
                <w:szCs w:val="18"/>
              </w:rPr>
              <w:t>=35637)</w:t>
            </w:r>
          </w:p>
        </w:tc>
      </w:tr>
      <w:tr w:rsidR="004D3A22" w14:paraId="42638D37" w14:textId="77777777" w:rsidTr="00353DEF">
        <w:tc>
          <w:tcPr>
            <w:tcW w:w="1198" w:type="dxa"/>
            <w:tcBorders>
              <w:bottom w:val="nil"/>
            </w:tcBorders>
            <w:vAlign w:val="bottom"/>
          </w:tcPr>
          <w:p w14:paraId="188E57D1"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Borders>
              <w:bottom w:val="nil"/>
            </w:tcBorders>
            <w:vAlign w:val="bottom"/>
          </w:tcPr>
          <w:p w14:paraId="27CBA712"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915" w:type="dxa"/>
            <w:tcBorders>
              <w:bottom w:val="nil"/>
            </w:tcBorders>
            <w:vAlign w:val="bottom"/>
          </w:tcPr>
          <w:p w14:paraId="4AD53594" w14:textId="77777777" w:rsidR="004D3A22" w:rsidRDefault="004D3A22" w:rsidP="00353DEF">
            <w:pPr>
              <w:pBdr>
                <w:top w:val="nil"/>
                <w:left w:val="nil"/>
                <w:bottom w:val="nil"/>
                <w:right w:val="nil"/>
                <w:between w:val="nil"/>
              </w:pBdr>
              <w:spacing w:before="36" w:after="36"/>
              <w:jc w:val="center"/>
              <w:rPr>
                <w:rFonts w:ascii="Arial" w:eastAsia="Arial" w:hAnsi="Arial" w:cs="Arial"/>
                <w:color w:val="000000"/>
                <w:sz w:val="18"/>
                <w:szCs w:val="18"/>
              </w:rPr>
            </w:pPr>
            <w:r>
              <w:rPr>
                <w:rFonts w:ascii="Arial" w:eastAsia="Arial" w:hAnsi="Arial" w:cs="Arial"/>
                <w:color w:val="000000"/>
                <w:sz w:val="18"/>
                <w:szCs w:val="18"/>
              </w:rPr>
              <w:t>N</w:t>
            </w:r>
          </w:p>
        </w:tc>
        <w:tc>
          <w:tcPr>
            <w:tcW w:w="986" w:type="dxa"/>
            <w:tcBorders>
              <w:bottom w:val="nil"/>
            </w:tcBorders>
            <w:vAlign w:val="bottom"/>
          </w:tcPr>
          <w:p w14:paraId="70755903" w14:textId="77777777" w:rsidR="004D3A22" w:rsidRDefault="004D3A22" w:rsidP="00353DEF">
            <w:pPr>
              <w:pBdr>
                <w:top w:val="nil"/>
                <w:left w:val="nil"/>
                <w:bottom w:val="nil"/>
                <w:right w:val="nil"/>
                <w:between w:val="nil"/>
              </w:pBdr>
              <w:spacing w:before="36" w:after="36"/>
              <w:jc w:val="center"/>
              <w:rPr>
                <w:rFonts w:ascii="Arial" w:eastAsia="Arial" w:hAnsi="Arial" w:cs="Arial"/>
                <w:color w:val="000000"/>
                <w:sz w:val="18"/>
                <w:szCs w:val="18"/>
              </w:rPr>
            </w:pPr>
            <w:r>
              <w:rPr>
                <w:rFonts w:ascii="Arial" w:eastAsia="Arial" w:hAnsi="Arial" w:cs="Arial"/>
                <w:color w:val="000000"/>
                <w:sz w:val="18"/>
                <w:szCs w:val="18"/>
              </w:rPr>
              <w:t>%</w:t>
            </w:r>
          </w:p>
        </w:tc>
        <w:tc>
          <w:tcPr>
            <w:tcW w:w="1154" w:type="dxa"/>
            <w:tcBorders>
              <w:bottom w:val="nil"/>
            </w:tcBorders>
            <w:vAlign w:val="bottom"/>
          </w:tcPr>
          <w:p w14:paraId="60E4B7A8" w14:textId="77777777" w:rsidR="004D3A22" w:rsidRDefault="004D3A22" w:rsidP="00353DEF">
            <w:pPr>
              <w:pBdr>
                <w:top w:val="nil"/>
                <w:left w:val="nil"/>
                <w:bottom w:val="nil"/>
                <w:right w:val="nil"/>
                <w:between w:val="nil"/>
              </w:pBdr>
              <w:spacing w:before="36" w:after="36"/>
              <w:jc w:val="center"/>
              <w:rPr>
                <w:rFonts w:ascii="Arial" w:eastAsia="Arial" w:hAnsi="Arial" w:cs="Arial"/>
                <w:color w:val="000000"/>
                <w:sz w:val="18"/>
                <w:szCs w:val="18"/>
              </w:rPr>
            </w:pPr>
            <w:r>
              <w:rPr>
                <w:rFonts w:ascii="Arial" w:eastAsia="Arial" w:hAnsi="Arial" w:cs="Arial"/>
                <w:color w:val="000000"/>
                <w:sz w:val="18"/>
                <w:szCs w:val="18"/>
              </w:rPr>
              <w:t>N</w:t>
            </w:r>
          </w:p>
        </w:tc>
        <w:tc>
          <w:tcPr>
            <w:tcW w:w="951" w:type="dxa"/>
            <w:tcBorders>
              <w:bottom w:val="nil"/>
            </w:tcBorders>
            <w:vAlign w:val="bottom"/>
          </w:tcPr>
          <w:p w14:paraId="416693B4" w14:textId="77777777" w:rsidR="004D3A22" w:rsidRDefault="004D3A22" w:rsidP="00353DEF">
            <w:pPr>
              <w:pBdr>
                <w:top w:val="nil"/>
                <w:left w:val="nil"/>
                <w:bottom w:val="nil"/>
                <w:right w:val="nil"/>
                <w:between w:val="nil"/>
              </w:pBdr>
              <w:spacing w:before="36" w:after="36"/>
              <w:jc w:val="center"/>
              <w:rPr>
                <w:rFonts w:ascii="Arial" w:eastAsia="Arial" w:hAnsi="Arial" w:cs="Arial"/>
                <w:color w:val="000000"/>
                <w:sz w:val="18"/>
                <w:szCs w:val="18"/>
              </w:rPr>
            </w:pPr>
            <w:r>
              <w:rPr>
                <w:rFonts w:ascii="Arial" w:eastAsia="Arial" w:hAnsi="Arial" w:cs="Arial"/>
                <w:color w:val="000000"/>
                <w:sz w:val="18"/>
                <w:szCs w:val="18"/>
              </w:rPr>
              <w:t>%</w:t>
            </w:r>
          </w:p>
        </w:tc>
        <w:tc>
          <w:tcPr>
            <w:tcW w:w="963" w:type="dxa"/>
            <w:tcBorders>
              <w:bottom w:val="nil"/>
            </w:tcBorders>
            <w:vAlign w:val="bottom"/>
          </w:tcPr>
          <w:p w14:paraId="173D3AE8" w14:textId="77777777" w:rsidR="004D3A22" w:rsidRDefault="004D3A22" w:rsidP="00353DEF">
            <w:pPr>
              <w:pBdr>
                <w:top w:val="nil"/>
                <w:left w:val="nil"/>
                <w:bottom w:val="nil"/>
                <w:right w:val="nil"/>
                <w:between w:val="nil"/>
              </w:pBdr>
              <w:spacing w:before="36" w:after="36"/>
              <w:jc w:val="center"/>
              <w:rPr>
                <w:rFonts w:ascii="Arial" w:eastAsia="Arial" w:hAnsi="Arial" w:cs="Arial"/>
                <w:color w:val="000000"/>
                <w:sz w:val="18"/>
                <w:szCs w:val="18"/>
              </w:rPr>
            </w:pPr>
            <w:r>
              <w:rPr>
                <w:rFonts w:ascii="Arial" w:eastAsia="Arial" w:hAnsi="Arial" w:cs="Arial"/>
                <w:color w:val="000000"/>
                <w:sz w:val="18"/>
                <w:szCs w:val="18"/>
              </w:rPr>
              <w:t>N</w:t>
            </w:r>
          </w:p>
        </w:tc>
        <w:tc>
          <w:tcPr>
            <w:tcW w:w="1025" w:type="dxa"/>
            <w:tcBorders>
              <w:bottom w:val="nil"/>
            </w:tcBorders>
            <w:vAlign w:val="bottom"/>
          </w:tcPr>
          <w:p w14:paraId="230999F2" w14:textId="77777777" w:rsidR="004D3A22" w:rsidRDefault="004D3A22" w:rsidP="00353DEF">
            <w:pPr>
              <w:pBdr>
                <w:top w:val="nil"/>
                <w:left w:val="nil"/>
                <w:bottom w:val="nil"/>
                <w:right w:val="nil"/>
                <w:between w:val="nil"/>
              </w:pBdr>
              <w:spacing w:before="36" w:after="36"/>
              <w:jc w:val="center"/>
              <w:rPr>
                <w:rFonts w:ascii="Arial" w:eastAsia="Arial" w:hAnsi="Arial" w:cs="Arial"/>
                <w:color w:val="000000"/>
                <w:sz w:val="18"/>
                <w:szCs w:val="18"/>
              </w:rPr>
            </w:pPr>
            <w:r>
              <w:rPr>
                <w:rFonts w:ascii="Arial" w:eastAsia="Arial" w:hAnsi="Arial" w:cs="Arial"/>
                <w:color w:val="000000"/>
                <w:sz w:val="18"/>
                <w:szCs w:val="18"/>
              </w:rPr>
              <w:t>%</w:t>
            </w:r>
          </w:p>
        </w:tc>
      </w:tr>
      <w:tr w:rsidR="004D3A22" w14:paraId="6446282F" w14:textId="77777777" w:rsidTr="00353DEF">
        <w:tc>
          <w:tcPr>
            <w:tcW w:w="9650" w:type="dxa"/>
            <w:gridSpan w:val="8"/>
          </w:tcPr>
          <w:p w14:paraId="002D4895"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Age</w:t>
            </w:r>
          </w:p>
        </w:tc>
      </w:tr>
      <w:tr w:rsidR="004D3A22" w14:paraId="23167659" w14:textId="77777777" w:rsidTr="00353DEF">
        <w:tc>
          <w:tcPr>
            <w:tcW w:w="1198" w:type="dxa"/>
          </w:tcPr>
          <w:p w14:paraId="72808BC8"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487F77C9"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Mean (SD)</w:t>
            </w:r>
          </w:p>
        </w:tc>
        <w:tc>
          <w:tcPr>
            <w:tcW w:w="1901" w:type="dxa"/>
            <w:gridSpan w:val="2"/>
          </w:tcPr>
          <w:p w14:paraId="5D2324DF"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43 (14.58)</w:t>
            </w:r>
          </w:p>
        </w:tc>
        <w:tc>
          <w:tcPr>
            <w:tcW w:w="2105" w:type="dxa"/>
            <w:gridSpan w:val="2"/>
          </w:tcPr>
          <w:p w14:paraId="284A6A76"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37 (14.16)</w:t>
            </w:r>
          </w:p>
        </w:tc>
        <w:tc>
          <w:tcPr>
            <w:tcW w:w="1988" w:type="dxa"/>
            <w:gridSpan w:val="2"/>
          </w:tcPr>
          <w:p w14:paraId="49E2F67A"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38 (14.41)</w:t>
            </w:r>
          </w:p>
        </w:tc>
      </w:tr>
      <w:tr w:rsidR="004D3A22" w14:paraId="6343B8B1" w14:textId="77777777" w:rsidTr="00353DEF">
        <w:tc>
          <w:tcPr>
            <w:tcW w:w="1198" w:type="dxa"/>
          </w:tcPr>
          <w:p w14:paraId="2FC6E782"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7CAC4263"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min</w:t>
            </w:r>
          </w:p>
        </w:tc>
        <w:tc>
          <w:tcPr>
            <w:tcW w:w="915" w:type="dxa"/>
          </w:tcPr>
          <w:p w14:paraId="777BB9D6"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16</w:t>
            </w:r>
          </w:p>
        </w:tc>
        <w:tc>
          <w:tcPr>
            <w:tcW w:w="986" w:type="dxa"/>
          </w:tcPr>
          <w:p w14:paraId="609539E8"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p>
        </w:tc>
        <w:tc>
          <w:tcPr>
            <w:tcW w:w="1154" w:type="dxa"/>
          </w:tcPr>
          <w:p w14:paraId="57DB5A2A"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16</w:t>
            </w:r>
          </w:p>
        </w:tc>
        <w:tc>
          <w:tcPr>
            <w:tcW w:w="951" w:type="dxa"/>
          </w:tcPr>
          <w:p w14:paraId="151ED1C8"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p>
        </w:tc>
        <w:tc>
          <w:tcPr>
            <w:tcW w:w="963" w:type="dxa"/>
          </w:tcPr>
          <w:p w14:paraId="5A6294EF"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16</w:t>
            </w:r>
          </w:p>
        </w:tc>
        <w:tc>
          <w:tcPr>
            <w:tcW w:w="1025" w:type="dxa"/>
          </w:tcPr>
          <w:p w14:paraId="12F88645"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p>
        </w:tc>
      </w:tr>
      <w:tr w:rsidR="004D3A22" w14:paraId="6CB8513D" w14:textId="77777777" w:rsidTr="00353DEF">
        <w:tc>
          <w:tcPr>
            <w:tcW w:w="1198" w:type="dxa"/>
          </w:tcPr>
          <w:p w14:paraId="38113DE9"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0880E4CC"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max</w:t>
            </w:r>
          </w:p>
        </w:tc>
        <w:tc>
          <w:tcPr>
            <w:tcW w:w="915" w:type="dxa"/>
          </w:tcPr>
          <w:p w14:paraId="53D60EB8"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93</w:t>
            </w:r>
          </w:p>
        </w:tc>
        <w:tc>
          <w:tcPr>
            <w:tcW w:w="986" w:type="dxa"/>
          </w:tcPr>
          <w:p w14:paraId="55FF93EA"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p>
        </w:tc>
        <w:tc>
          <w:tcPr>
            <w:tcW w:w="1154" w:type="dxa"/>
          </w:tcPr>
          <w:p w14:paraId="48DA6780"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93</w:t>
            </w:r>
          </w:p>
        </w:tc>
        <w:tc>
          <w:tcPr>
            <w:tcW w:w="951" w:type="dxa"/>
          </w:tcPr>
          <w:p w14:paraId="7DC17E20"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p>
        </w:tc>
        <w:tc>
          <w:tcPr>
            <w:tcW w:w="963" w:type="dxa"/>
          </w:tcPr>
          <w:p w14:paraId="03108FA9"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93</w:t>
            </w:r>
          </w:p>
        </w:tc>
        <w:tc>
          <w:tcPr>
            <w:tcW w:w="1025" w:type="dxa"/>
          </w:tcPr>
          <w:p w14:paraId="2D63E797"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p>
        </w:tc>
      </w:tr>
      <w:tr w:rsidR="004D3A22" w14:paraId="19DA5BC8" w14:textId="77777777" w:rsidTr="00353DEF">
        <w:tc>
          <w:tcPr>
            <w:tcW w:w="9650" w:type="dxa"/>
            <w:gridSpan w:val="8"/>
          </w:tcPr>
          <w:p w14:paraId="761189A4"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Age group</w:t>
            </w:r>
          </w:p>
        </w:tc>
      </w:tr>
      <w:tr w:rsidR="004D3A22" w14:paraId="13BF4726" w14:textId="77777777" w:rsidTr="00353DEF">
        <w:tc>
          <w:tcPr>
            <w:tcW w:w="1198" w:type="dxa"/>
          </w:tcPr>
          <w:p w14:paraId="68FFBD3A"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360B5567"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16 to 25 years</w:t>
            </w:r>
          </w:p>
        </w:tc>
        <w:tc>
          <w:tcPr>
            <w:tcW w:w="915" w:type="dxa"/>
          </w:tcPr>
          <w:p w14:paraId="6BD82981"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1031</w:t>
            </w:r>
          </w:p>
        </w:tc>
        <w:tc>
          <w:tcPr>
            <w:tcW w:w="986" w:type="dxa"/>
          </w:tcPr>
          <w:p w14:paraId="5EBD38F1"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2.89</w:t>
            </w:r>
          </w:p>
        </w:tc>
        <w:tc>
          <w:tcPr>
            <w:tcW w:w="1154" w:type="dxa"/>
          </w:tcPr>
          <w:p w14:paraId="1C3E51CA"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7210</w:t>
            </w:r>
          </w:p>
        </w:tc>
        <w:tc>
          <w:tcPr>
            <w:tcW w:w="951" w:type="dxa"/>
          </w:tcPr>
          <w:p w14:paraId="1DD47CDD"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20.23</w:t>
            </w:r>
          </w:p>
        </w:tc>
        <w:tc>
          <w:tcPr>
            <w:tcW w:w="963" w:type="dxa"/>
          </w:tcPr>
          <w:p w14:paraId="7BC6F2E3"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8241</w:t>
            </w:r>
          </w:p>
        </w:tc>
        <w:tc>
          <w:tcPr>
            <w:tcW w:w="1025" w:type="dxa"/>
          </w:tcPr>
          <w:p w14:paraId="1A60EF0B"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23.12</w:t>
            </w:r>
          </w:p>
        </w:tc>
      </w:tr>
      <w:tr w:rsidR="004D3A22" w14:paraId="6E1B145F" w14:textId="77777777" w:rsidTr="00353DEF">
        <w:tc>
          <w:tcPr>
            <w:tcW w:w="1198" w:type="dxa"/>
          </w:tcPr>
          <w:p w14:paraId="2C194197"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5FF60DF4"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26 to 35 years</w:t>
            </w:r>
          </w:p>
        </w:tc>
        <w:tc>
          <w:tcPr>
            <w:tcW w:w="915" w:type="dxa"/>
          </w:tcPr>
          <w:p w14:paraId="7D822A25"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1582</w:t>
            </w:r>
          </w:p>
        </w:tc>
        <w:tc>
          <w:tcPr>
            <w:tcW w:w="986" w:type="dxa"/>
          </w:tcPr>
          <w:p w14:paraId="0597CBD9"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4.44</w:t>
            </w:r>
          </w:p>
        </w:tc>
        <w:tc>
          <w:tcPr>
            <w:tcW w:w="1154" w:type="dxa"/>
          </w:tcPr>
          <w:p w14:paraId="2B7407CB"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7749</w:t>
            </w:r>
          </w:p>
        </w:tc>
        <w:tc>
          <w:tcPr>
            <w:tcW w:w="951" w:type="dxa"/>
          </w:tcPr>
          <w:p w14:paraId="1D5BC6EC"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21.74</w:t>
            </w:r>
          </w:p>
        </w:tc>
        <w:tc>
          <w:tcPr>
            <w:tcW w:w="963" w:type="dxa"/>
          </w:tcPr>
          <w:p w14:paraId="64EB0CD8"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9331</w:t>
            </w:r>
          </w:p>
        </w:tc>
        <w:tc>
          <w:tcPr>
            <w:tcW w:w="1025" w:type="dxa"/>
          </w:tcPr>
          <w:p w14:paraId="2858B4C1"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26.18</w:t>
            </w:r>
          </w:p>
        </w:tc>
      </w:tr>
      <w:tr w:rsidR="004D3A22" w14:paraId="69A001D1" w14:textId="77777777" w:rsidTr="00353DEF">
        <w:tc>
          <w:tcPr>
            <w:tcW w:w="1198" w:type="dxa"/>
          </w:tcPr>
          <w:p w14:paraId="1FE96C90"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58F68117"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36 to 45 years</w:t>
            </w:r>
          </w:p>
        </w:tc>
        <w:tc>
          <w:tcPr>
            <w:tcW w:w="915" w:type="dxa"/>
          </w:tcPr>
          <w:p w14:paraId="03C332B7"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1515</w:t>
            </w:r>
          </w:p>
        </w:tc>
        <w:tc>
          <w:tcPr>
            <w:tcW w:w="986" w:type="dxa"/>
          </w:tcPr>
          <w:p w14:paraId="727D4469"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4.25</w:t>
            </w:r>
          </w:p>
        </w:tc>
        <w:tc>
          <w:tcPr>
            <w:tcW w:w="1154" w:type="dxa"/>
          </w:tcPr>
          <w:p w14:paraId="4AB6573F"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5162</w:t>
            </w:r>
          </w:p>
        </w:tc>
        <w:tc>
          <w:tcPr>
            <w:tcW w:w="951" w:type="dxa"/>
          </w:tcPr>
          <w:p w14:paraId="503DE354"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14.48</w:t>
            </w:r>
          </w:p>
        </w:tc>
        <w:tc>
          <w:tcPr>
            <w:tcW w:w="963" w:type="dxa"/>
          </w:tcPr>
          <w:p w14:paraId="7146E661"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6677</w:t>
            </w:r>
          </w:p>
        </w:tc>
        <w:tc>
          <w:tcPr>
            <w:tcW w:w="1025" w:type="dxa"/>
          </w:tcPr>
          <w:p w14:paraId="48010169"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18.73</w:t>
            </w:r>
          </w:p>
        </w:tc>
      </w:tr>
      <w:tr w:rsidR="004D3A22" w14:paraId="45F29739" w14:textId="77777777" w:rsidTr="00353DEF">
        <w:tc>
          <w:tcPr>
            <w:tcW w:w="1198" w:type="dxa"/>
          </w:tcPr>
          <w:p w14:paraId="3A72A59D"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5B484715"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46 to 55 years</w:t>
            </w:r>
          </w:p>
        </w:tc>
        <w:tc>
          <w:tcPr>
            <w:tcW w:w="915" w:type="dxa"/>
          </w:tcPr>
          <w:p w14:paraId="7EDBE2AB"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1633</w:t>
            </w:r>
          </w:p>
        </w:tc>
        <w:tc>
          <w:tcPr>
            <w:tcW w:w="986" w:type="dxa"/>
          </w:tcPr>
          <w:p w14:paraId="5493A57E"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4.58</w:t>
            </w:r>
          </w:p>
        </w:tc>
        <w:tc>
          <w:tcPr>
            <w:tcW w:w="1154" w:type="dxa"/>
          </w:tcPr>
          <w:p w14:paraId="3F40B7DA"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4734</w:t>
            </w:r>
          </w:p>
        </w:tc>
        <w:tc>
          <w:tcPr>
            <w:tcW w:w="951" w:type="dxa"/>
          </w:tcPr>
          <w:p w14:paraId="30DA014F"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13.28</w:t>
            </w:r>
          </w:p>
        </w:tc>
        <w:tc>
          <w:tcPr>
            <w:tcW w:w="963" w:type="dxa"/>
          </w:tcPr>
          <w:p w14:paraId="367108BE"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6367</w:t>
            </w:r>
          </w:p>
        </w:tc>
        <w:tc>
          <w:tcPr>
            <w:tcW w:w="1025" w:type="dxa"/>
          </w:tcPr>
          <w:p w14:paraId="29694115"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17.86</w:t>
            </w:r>
          </w:p>
        </w:tc>
      </w:tr>
      <w:tr w:rsidR="004D3A22" w14:paraId="662AE95C" w14:textId="77777777" w:rsidTr="00353DEF">
        <w:tc>
          <w:tcPr>
            <w:tcW w:w="1198" w:type="dxa"/>
          </w:tcPr>
          <w:p w14:paraId="06A04252"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4D1D0ABF"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56 to 65 years</w:t>
            </w:r>
          </w:p>
        </w:tc>
        <w:tc>
          <w:tcPr>
            <w:tcW w:w="915" w:type="dxa"/>
          </w:tcPr>
          <w:p w14:paraId="6E321BBF"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1044</w:t>
            </w:r>
          </w:p>
        </w:tc>
        <w:tc>
          <w:tcPr>
            <w:tcW w:w="986" w:type="dxa"/>
          </w:tcPr>
          <w:p w14:paraId="135F70D7"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2.93</w:t>
            </w:r>
          </w:p>
        </w:tc>
        <w:tc>
          <w:tcPr>
            <w:tcW w:w="1154" w:type="dxa"/>
          </w:tcPr>
          <w:p w14:paraId="4F78A4B9"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2637</w:t>
            </w:r>
          </w:p>
        </w:tc>
        <w:tc>
          <w:tcPr>
            <w:tcW w:w="951" w:type="dxa"/>
          </w:tcPr>
          <w:p w14:paraId="62542505"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7.40</w:t>
            </w:r>
          </w:p>
        </w:tc>
        <w:tc>
          <w:tcPr>
            <w:tcW w:w="963" w:type="dxa"/>
          </w:tcPr>
          <w:p w14:paraId="511D2C86"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3681</w:t>
            </w:r>
          </w:p>
        </w:tc>
        <w:tc>
          <w:tcPr>
            <w:tcW w:w="1025" w:type="dxa"/>
          </w:tcPr>
          <w:p w14:paraId="6741E63F"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10.33</w:t>
            </w:r>
          </w:p>
        </w:tc>
      </w:tr>
      <w:tr w:rsidR="004D3A22" w14:paraId="5FD2000A" w14:textId="77777777" w:rsidTr="00353DEF">
        <w:tc>
          <w:tcPr>
            <w:tcW w:w="1198" w:type="dxa"/>
          </w:tcPr>
          <w:p w14:paraId="17474C89"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254FDCA4"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66 to 75 years</w:t>
            </w:r>
          </w:p>
        </w:tc>
        <w:tc>
          <w:tcPr>
            <w:tcW w:w="915" w:type="dxa"/>
          </w:tcPr>
          <w:p w14:paraId="03D05440"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403</w:t>
            </w:r>
          </w:p>
        </w:tc>
        <w:tc>
          <w:tcPr>
            <w:tcW w:w="986" w:type="dxa"/>
          </w:tcPr>
          <w:p w14:paraId="6A3CD877"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1.13</w:t>
            </w:r>
          </w:p>
        </w:tc>
        <w:tc>
          <w:tcPr>
            <w:tcW w:w="1154" w:type="dxa"/>
          </w:tcPr>
          <w:p w14:paraId="3B49366E"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800</w:t>
            </w:r>
          </w:p>
        </w:tc>
        <w:tc>
          <w:tcPr>
            <w:tcW w:w="951" w:type="dxa"/>
          </w:tcPr>
          <w:p w14:paraId="02B9F4B4"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2.24</w:t>
            </w:r>
          </w:p>
        </w:tc>
        <w:tc>
          <w:tcPr>
            <w:tcW w:w="963" w:type="dxa"/>
          </w:tcPr>
          <w:p w14:paraId="32ED4F98"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1203</w:t>
            </w:r>
          </w:p>
        </w:tc>
        <w:tc>
          <w:tcPr>
            <w:tcW w:w="1025" w:type="dxa"/>
          </w:tcPr>
          <w:p w14:paraId="55134885"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3.37</w:t>
            </w:r>
          </w:p>
        </w:tc>
      </w:tr>
      <w:tr w:rsidR="004D3A22" w14:paraId="27F5ACFF" w14:textId="77777777" w:rsidTr="00353DEF">
        <w:tc>
          <w:tcPr>
            <w:tcW w:w="1198" w:type="dxa"/>
          </w:tcPr>
          <w:p w14:paraId="165864CA"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581F5519"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76 to 85 years</w:t>
            </w:r>
          </w:p>
        </w:tc>
        <w:tc>
          <w:tcPr>
            <w:tcW w:w="915" w:type="dxa"/>
          </w:tcPr>
          <w:p w14:paraId="4510975E"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52</w:t>
            </w:r>
          </w:p>
        </w:tc>
        <w:tc>
          <w:tcPr>
            <w:tcW w:w="986" w:type="dxa"/>
          </w:tcPr>
          <w:p w14:paraId="288BD195"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0.15</w:t>
            </w:r>
          </w:p>
        </w:tc>
        <w:tc>
          <w:tcPr>
            <w:tcW w:w="1154" w:type="dxa"/>
          </w:tcPr>
          <w:p w14:paraId="16F41234"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74</w:t>
            </w:r>
          </w:p>
        </w:tc>
        <w:tc>
          <w:tcPr>
            <w:tcW w:w="951" w:type="dxa"/>
          </w:tcPr>
          <w:p w14:paraId="2C6B1CE6"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0.21</w:t>
            </w:r>
          </w:p>
        </w:tc>
        <w:tc>
          <w:tcPr>
            <w:tcW w:w="963" w:type="dxa"/>
          </w:tcPr>
          <w:p w14:paraId="24406C63"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126</w:t>
            </w:r>
          </w:p>
        </w:tc>
        <w:tc>
          <w:tcPr>
            <w:tcW w:w="1025" w:type="dxa"/>
          </w:tcPr>
          <w:p w14:paraId="568ADAB8"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0.36</w:t>
            </w:r>
          </w:p>
        </w:tc>
      </w:tr>
      <w:tr w:rsidR="004D3A22" w14:paraId="2148F5AB" w14:textId="77777777" w:rsidTr="00353DEF">
        <w:tc>
          <w:tcPr>
            <w:tcW w:w="1198" w:type="dxa"/>
          </w:tcPr>
          <w:p w14:paraId="16FA788C"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21EF5865"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86 to 95 years</w:t>
            </w:r>
          </w:p>
        </w:tc>
        <w:tc>
          <w:tcPr>
            <w:tcW w:w="915" w:type="dxa"/>
          </w:tcPr>
          <w:p w14:paraId="761EE3BE"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5</w:t>
            </w:r>
          </w:p>
        </w:tc>
        <w:tc>
          <w:tcPr>
            <w:tcW w:w="986" w:type="dxa"/>
          </w:tcPr>
          <w:p w14:paraId="1A13F40D"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0.01</w:t>
            </w:r>
          </w:p>
        </w:tc>
        <w:tc>
          <w:tcPr>
            <w:tcW w:w="1154" w:type="dxa"/>
          </w:tcPr>
          <w:p w14:paraId="0A864C4D"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6</w:t>
            </w:r>
          </w:p>
        </w:tc>
        <w:tc>
          <w:tcPr>
            <w:tcW w:w="951" w:type="dxa"/>
          </w:tcPr>
          <w:p w14:paraId="5D29D494"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0.02</w:t>
            </w:r>
          </w:p>
        </w:tc>
        <w:tc>
          <w:tcPr>
            <w:tcW w:w="963" w:type="dxa"/>
          </w:tcPr>
          <w:p w14:paraId="28CD0ADB"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11</w:t>
            </w:r>
          </w:p>
        </w:tc>
        <w:tc>
          <w:tcPr>
            <w:tcW w:w="1025" w:type="dxa"/>
          </w:tcPr>
          <w:p w14:paraId="5D264C46"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0.03</w:t>
            </w:r>
          </w:p>
        </w:tc>
      </w:tr>
      <w:tr w:rsidR="004D3A22" w14:paraId="75FDBB8C" w14:textId="77777777" w:rsidTr="00353DEF">
        <w:tc>
          <w:tcPr>
            <w:tcW w:w="9650" w:type="dxa"/>
            <w:gridSpan w:val="8"/>
          </w:tcPr>
          <w:p w14:paraId="07056B9B"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Ethnicity</w:t>
            </w:r>
          </w:p>
        </w:tc>
      </w:tr>
      <w:tr w:rsidR="004D3A22" w14:paraId="00F11BB3" w14:textId="77777777" w:rsidTr="00353DEF">
        <w:tc>
          <w:tcPr>
            <w:tcW w:w="1198" w:type="dxa"/>
          </w:tcPr>
          <w:p w14:paraId="2210EA70"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7DFE98D6"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White</w:t>
            </w:r>
          </w:p>
        </w:tc>
        <w:tc>
          <w:tcPr>
            <w:tcW w:w="915" w:type="dxa"/>
          </w:tcPr>
          <w:p w14:paraId="2B3A34E4"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6856</w:t>
            </w:r>
          </w:p>
        </w:tc>
        <w:tc>
          <w:tcPr>
            <w:tcW w:w="986" w:type="dxa"/>
          </w:tcPr>
          <w:p w14:paraId="730BDF13"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19.24</w:t>
            </w:r>
          </w:p>
        </w:tc>
        <w:tc>
          <w:tcPr>
            <w:tcW w:w="1154" w:type="dxa"/>
          </w:tcPr>
          <w:p w14:paraId="2979CA59"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26781</w:t>
            </w:r>
          </w:p>
        </w:tc>
        <w:tc>
          <w:tcPr>
            <w:tcW w:w="951" w:type="dxa"/>
          </w:tcPr>
          <w:p w14:paraId="40548848"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75.15</w:t>
            </w:r>
          </w:p>
        </w:tc>
        <w:tc>
          <w:tcPr>
            <w:tcW w:w="963" w:type="dxa"/>
          </w:tcPr>
          <w:p w14:paraId="05FD04BB"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33637</w:t>
            </w:r>
          </w:p>
        </w:tc>
        <w:tc>
          <w:tcPr>
            <w:tcW w:w="1025" w:type="dxa"/>
          </w:tcPr>
          <w:p w14:paraId="56AB33DA"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94.39</w:t>
            </w:r>
          </w:p>
        </w:tc>
      </w:tr>
      <w:tr w:rsidR="004D3A22" w14:paraId="24F813CE" w14:textId="77777777" w:rsidTr="00353DEF">
        <w:tc>
          <w:tcPr>
            <w:tcW w:w="1198" w:type="dxa"/>
          </w:tcPr>
          <w:p w14:paraId="3CC04BEA"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382D1817"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Mixed</w:t>
            </w:r>
          </w:p>
        </w:tc>
        <w:tc>
          <w:tcPr>
            <w:tcW w:w="915" w:type="dxa"/>
          </w:tcPr>
          <w:p w14:paraId="3502059E"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138</w:t>
            </w:r>
          </w:p>
        </w:tc>
        <w:tc>
          <w:tcPr>
            <w:tcW w:w="986" w:type="dxa"/>
          </w:tcPr>
          <w:p w14:paraId="299E6161"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0.39</w:t>
            </w:r>
          </w:p>
        </w:tc>
        <w:tc>
          <w:tcPr>
            <w:tcW w:w="1154" w:type="dxa"/>
          </w:tcPr>
          <w:p w14:paraId="3C0A9E0E"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743</w:t>
            </w:r>
          </w:p>
        </w:tc>
        <w:tc>
          <w:tcPr>
            <w:tcW w:w="951" w:type="dxa"/>
          </w:tcPr>
          <w:p w14:paraId="7E5E546D"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2.08</w:t>
            </w:r>
          </w:p>
        </w:tc>
        <w:tc>
          <w:tcPr>
            <w:tcW w:w="963" w:type="dxa"/>
          </w:tcPr>
          <w:p w14:paraId="03D9D588"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881</w:t>
            </w:r>
          </w:p>
        </w:tc>
        <w:tc>
          <w:tcPr>
            <w:tcW w:w="1025" w:type="dxa"/>
          </w:tcPr>
          <w:p w14:paraId="56E186AA"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2.47</w:t>
            </w:r>
          </w:p>
        </w:tc>
      </w:tr>
      <w:tr w:rsidR="004D3A22" w14:paraId="6861BAA5" w14:textId="77777777" w:rsidTr="00353DEF">
        <w:tc>
          <w:tcPr>
            <w:tcW w:w="1198" w:type="dxa"/>
          </w:tcPr>
          <w:p w14:paraId="5C1C9CD4"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50B9466F"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Asian or Asian British</w:t>
            </w:r>
          </w:p>
        </w:tc>
        <w:tc>
          <w:tcPr>
            <w:tcW w:w="915" w:type="dxa"/>
          </w:tcPr>
          <w:p w14:paraId="6ECFECDC"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114</w:t>
            </w:r>
          </w:p>
        </w:tc>
        <w:tc>
          <w:tcPr>
            <w:tcW w:w="986" w:type="dxa"/>
          </w:tcPr>
          <w:p w14:paraId="39BE9A46"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0.32</w:t>
            </w:r>
          </w:p>
        </w:tc>
        <w:tc>
          <w:tcPr>
            <w:tcW w:w="1154" w:type="dxa"/>
          </w:tcPr>
          <w:p w14:paraId="60314E10"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359</w:t>
            </w:r>
          </w:p>
        </w:tc>
        <w:tc>
          <w:tcPr>
            <w:tcW w:w="951" w:type="dxa"/>
          </w:tcPr>
          <w:p w14:paraId="5E8CA576"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1.01</w:t>
            </w:r>
          </w:p>
        </w:tc>
        <w:tc>
          <w:tcPr>
            <w:tcW w:w="963" w:type="dxa"/>
          </w:tcPr>
          <w:p w14:paraId="54B47E0D"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473</w:t>
            </w:r>
          </w:p>
        </w:tc>
        <w:tc>
          <w:tcPr>
            <w:tcW w:w="1025" w:type="dxa"/>
          </w:tcPr>
          <w:p w14:paraId="2B549EED"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1.33</w:t>
            </w:r>
          </w:p>
        </w:tc>
      </w:tr>
      <w:tr w:rsidR="004D3A22" w14:paraId="29A31652" w14:textId="77777777" w:rsidTr="00353DEF">
        <w:tc>
          <w:tcPr>
            <w:tcW w:w="1198" w:type="dxa"/>
          </w:tcPr>
          <w:p w14:paraId="08422FE6"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6E3449DE"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Black or Black British</w:t>
            </w:r>
          </w:p>
        </w:tc>
        <w:tc>
          <w:tcPr>
            <w:tcW w:w="915" w:type="dxa"/>
          </w:tcPr>
          <w:p w14:paraId="6702B624"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32</w:t>
            </w:r>
          </w:p>
        </w:tc>
        <w:tc>
          <w:tcPr>
            <w:tcW w:w="986" w:type="dxa"/>
          </w:tcPr>
          <w:p w14:paraId="6E1283E1"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0.09</w:t>
            </w:r>
          </w:p>
        </w:tc>
        <w:tc>
          <w:tcPr>
            <w:tcW w:w="1154" w:type="dxa"/>
          </w:tcPr>
          <w:p w14:paraId="575A31CB"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143</w:t>
            </w:r>
          </w:p>
        </w:tc>
        <w:tc>
          <w:tcPr>
            <w:tcW w:w="951" w:type="dxa"/>
          </w:tcPr>
          <w:p w14:paraId="3A3517AE"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0.40</w:t>
            </w:r>
          </w:p>
        </w:tc>
        <w:tc>
          <w:tcPr>
            <w:tcW w:w="963" w:type="dxa"/>
          </w:tcPr>
          <w:p w14:paraId="21DA4D5F"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175</w:t>
            </w:r>
          </w:p>
        </w:tc>
        <w:tc>
          <w:tcPr>
            <w:tcW w:w="1025" w:type="dxa"/>
          </w:tcPr>
          <w:p w14:paraId="4ED70336"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0.49</w:t>
            </w:r>
          </w:p>
        </w:tc>
      </w:tr>
      <w:tr w:rsidR="004D3A22" w14:paraId="71863210" w14:textId="77777777" w:rsidTr="00353DEF">
        <w:tc>
          <w:tcPr>
            <w:tcW w:w="1198" w:type="dxa"/>
          </w:tcPr>
          <w:p w14:paraId="709C0A3F"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2D421783"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Arab</w:t>
            </w:r>
          </w:p>
        </w:tc>
        <w:tc>
          <w:tcPr>
            <w:tcW w:w="915" w:type="dxa"/>
          </w:tcPr>
          <w:p w14:paraId="5B8CC38C"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8</w:t>
            </w:r>
          </w:p>
        </w:tc>
        <w:tc>
          <w:tcPr>
            <w:tcW w:w="986" w:type="dxa"/>
          </w:tcPr>
          <w:p w14:paraId="4236AC39"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0.02</w:t>
            </w:r>
          </w:p>
        </w:tc>
        <w:tc>
          <w:tcPr>
            <w:tcW w:w="1154" w:type="dxa"/>
          </w:tcPr>
          <w:p w14:paraId="4679E2CB"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25</w:t>
            </w:r>
          </w:p>
        </w:tc>
        <w:tc>
          <w:tcPr>
            <w:tcW w:w="951" w:type="dxa"/>
          </w:tcPr>
          <w:p w14:paraId="4CFE68A7"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0.07</w:t>
            </w:r>
          </w:p>
        </w:tc>
        <w:tc>
          <w:tcPr>
            <w:tcW w:w="963" w:type="dxa"/>
          </w:tcPr>
          <w:p w14:paraId="57019F84"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33</w:t>
            </w:r>
          </w:p>
        </w:tc>
        <w:tc>
          <w:tcPr>
            <w:tcW w:w="1025" w:type="dxa"/>
          </w:tcPr>
          <w:p w14:paraId="7451646A"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0.09</w:t>
            </w:r>
          </w:p>
        </w:tc>
      </w:tr>
      <w:tr w:rsidR="004D3A22" w14:paraId="57EC92AE" w14:textId="77777777" w:rsidTr="00353DEF">
        <w:tc>
          <w:tcPr>
            <w:tcW w:w="1198" w:type="dxa"/>
          </w:tcPr>
          <w:p w14:paraId="443B7DE2"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39591A7F"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Other</w:t>
            </w:r>
          </w:p>
        </w:tc>
        <w:tc>
          <w:tcPr>
            <w:tcW w:w="915" w:type="dxa"/>
          </w:tcPr>
          <w:p w14:paraId="2A5A5A59"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91</w:t>
            </w:r>
          </w:p>
        </w:tc>
        <w:tc>
          <w:tcPr>
            <w:tcW w:w="986" w:type="dxa"/>
          </w:tcPr>
          <w:p w14:paraId="6748C47F"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0.26</w:t>
            </w:r>
          </w:p>
        </w:tc>
        <w:tc>
          <w:tcPr>
            <w:tcW w:w="1154" w:type="dxa"/>
          </w:tcPr>
          <w:p w14:paraId="6DA736DE"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254</w:t>
            </w:r>
          </w:p>
        </w:tc>
        <w:tc>
          <w:tcPr>
            <w:tcW w:w="951" w:type="dxa"/>
          </w:tcPr>
          <w:p w14:paraId="42F0D0B8"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0.71</w:t>
            </w:r>
          </w:p>
        </w:tc>
        <w:tc>
          <w:tcPr>
            <w:tcW w:w="963" w:type="dxa"/>
          </w:tcPr>
          <w:p w14:paraId="2B83F63E"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345</w:t>
            </w:r>
          </w:p>
        </w:tc>
        <w:tc>
          <w:tcPr>
            <w:tcW w:w="1025" w:type="dxa"/>
          </w:tcPr>
          <w:p w14:paraId="008A625F"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0.97</w:t>
            </w:r>
          </w:p>
        </w:tc>
      </w:tr>
      <w:tr w:rsidR="004D3A22" w14:paraId="5D17B44C" w14:textId="77777777" w:rsidTr="00353DEF">
        <w:tc>
          <w:tcPr>
            <w:tcW w:w="9650" w:type="dxa"/>
            <w:gridSpan w:val="8"/>
          </w:tcPr>
          <w:p w14:paraId="29C3F195"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Highest education level</w:t>
            </w:r>
          </w:p>
        </w:tc>
      </w:tr>
      <w:tr w:rsidR="004D3A22" w14:paraId="0BFA6C97" w14:textId="77777777" w:rsidTr="00353DEF">
        <w:tc>
          <w:tcPr>
            <w:tcW w:w="1198" w:type="dxa"/>
          </w:tcPr>
          <w:p w14:paraId="716CB946"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730CA152"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GCSE/CSE</w:t>
            </w:r>
          </w:p>
        </w:tc>
        <w:tc>
          <w:tcPr>
            <w:tcW w:w="915" w:type="dxa"/>
          </w:tcPr>
          <w:p w14:paraId="4695C066"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919</w:t>
            </w:r>
          </w:p>
        </w:tc>
        <w:tc>
          <w:tcPr>
            <w:tcW w:w="986" w:type="dxa"/>
          </w:tcPr>
          <w:p w14:paraId="7A02DB66"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2.58</w:t>
            </w:r>
          </w:p>
        </w:tc>
        <w:tc>
          <w:tcPr>
            <w:tcW w:w="1154" w:type="dxa"/>
          </w:tcPr>
          <w:p w14:paraId="5AA7C9CB"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3385</w:t>
            </w:r>
          </w:p>
        </w:tc>
        <w:tc>
          <w:tcPr>
            <w:tcW w:w="951" w:type="dxa"/>
          </w:tcPr>
          <w:p w14:paraId="71F566C1"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9.50</w:t>
            </w:r>
          </w:p>
        </w:tc>
        <w:tc>
          <w:tcPr>
            <w:tcW w:w="963" w:type="dxa"/>
          </w:tcPr>
          <w:p w14:paraId="6E73FD89"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4304</w:t>
            </w:r>
          </w:p>
        </w:tc>
        <w:tc>
          <w:tcPr>
            <w:tcW w:w="1025" w:type="dxa"/>
          </w:tcPr>
          <w:p w14:paraId="72D261AF"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12.08</w:t>
            </w:r>
          </w:p>
        </w:tc>
      </w:tr>
      <w:tr w:rsidR="004D3A22" w14:paraId="4855C0FC" w14:textId="77777777" w:rsidTr="00353DEF">
        <w:tc>
          <w:tcPr>
            <w:tcW w:w="1198" w:type="dxa"/>
          </w:tcPr>
          <w:p w14:paraId="212493A1"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134058DD"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NVQ</w:t>
            </w:r>
          </w:p>
        </w:tc>
        <w:tc>
          <w:tcPr>
            <w:tcW w:w="915" w:type="dxa"/>
          </w:tcPr>
          <w:p w14:paraId="269DD3CE"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690</w:t>
            </w:r>
          </w:p>
        </w:tc>
        <w:tc>
          <w:tcPr>
            <w:tcW w:w="986" w:type="dxa"/>
          </w:tcPr>
          <w:p w14:paraId="0FD33E2F"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1.94</w:t>
            </w:r>
          </w:p>
        </w:tc>
        <w:tc>
          <w:tcPr>
            <w:tcW w:w="1154" w:type="dxa"/>
          </w:tcPr>
          <w:p w14:paraId="36055B54"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2293</w:t>
            </w:r>
          </w:p>
        </w:tc>
        <w:tc>
          <w:tcPr>
            <w:tcW w:w="951" w:type="dxa"/>
          </w:tcPr>
          <w:p w14:paraId="068D7F95"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6.43</w:t>
            </w:r>
          </w:p>
        </w:tc>
        <w:tc>
          <w:tcPr>
            <w:tcW w:w="963" w:type="dxa"/>
          </w:tcPr>
          <w:p w14:paraId="7D643757"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2983</w:t>
            </w:r>
          </w:p>
        </w:tc>
        <w:tc>
          <w:tcPr>
            <w:tcW w:w="1025" w:type="dxa"/>
          </w:tcPr>
          <w:p w14:paraId="08ABF800"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8.37</w:t>
            </w:r>
          </w:p>
        </w:tc>
      </w:tr>
      <w:tr w:rsidR="004D3A22" w14:paraId="585D4CC3" w14:textId="77777777" w:rsidTr="00353DEF">
        <w:tc>
          <w:tcPr>
            <w:tcW w:w="1198" w:type="dxa"/>
          </w:tcPr>
          <w:p w14:paraId="1CD96B1A"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5BEE78F8"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A-levels</w:t>
            </w:r>
          </w:p>
        </w:tc>
        <w:tc>
          <w:tcPr>
            <w:tcW w:w="915" w:type="dxa"/>
          </w:tcPr>
          <w:p w14:paraId="66A3A898"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1463</w:t>
            </w:r>
          </w:p>
        </w:tc>
        <w:tc>
          <w:tcPr>
            <w:tcW w:w="986" w:type="dxa"/>
          </w:tcPr>
          <w:p w14:paraId="2F87BBA4"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4.11</w:t>
            </w:r>
          </w:p>
        </w:tc>
        <w:tc>
          <w:tcPr>
            <w:tcW w:w="1154" w:type="dxa"/>
          </w:tcPr>
          <w:p w14:paraId="0536560D"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6520</w:t>
            </w:r>
          </w:p>
        </w:tc>
        <w:tc>
          <w:tcPr>
            <w:tcW w:w="951" w:type="dxa"/>
          </w:tcPr>
          <w:p w14:paraId="108FF18A"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18.30</w:t>
            </w:r>
          </w:p>
        </w:tc>
        <w:tc>
          <w:tcPr>
            <w:tcW w:w="963" w:type="dxa"/>
          </w:tcPr>
          <w:p w14:paraId="7D31F32D"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7983</w:t>
            </w:r>
          </w:p>
        </w:tc>
        <w:tc>
          <w:tcPr>
            <w:tcW w:w="1025" w:type="dxa"/>
          </w:tcPr>
          <w:p w14:paraId="004B0076"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22.41</w:t>
            </w:r>
          </w:p>
        </w:tc>
      </w:tr>
      <w:tr w:rsidR="004D3A22" w14:paraId="318CED43" w14:textId="77777777" w:rsidTr="00353DEF">
        <w:tc>
          <w:tcPr>
            <w:tcW w:w="1198" w:type="dxa"/>
          </w:tcPr>
          <w:p w14:paraId="0E56C0E4"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3132A9D8"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University</w:t>
            </w:r>
          </w:p>
        </w:tc>
        <w:tc>
          <w:tcPr>
            <w:tcW w:w="915" w:type="dxa"/>
          </w:tcPr>
          <w:p w14:paraId="7FAA9417"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3876</w:t>
            </w:r>
          </w:p>
        </w:tc>
        <w:tc>
          <w:tcPr>
            <w:tcW w:w="986" w:type="dxa"/>
          </w:tcPr>
          <w:p w14:paraId="4E002147"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10.88</w:t>
            </w:r>
          </w:p>
        </w:tc>
        <w:tc>
          <w:tcPr>
            <w:tcW w:w="1154" w:type="dxa"/>
          </w:tcPr>
          <w:p w14:paraId="7609826C"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15114</w:t>
            </w:r>
          </w:p>
        </w:tc>
        <w:tc>
          <w:tcPr>
            <w:tcW w:w="951" w:type="dxa"/>
          </w:tcPr>
          <w:p w14:paraId="65DD5D12"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42.41</w:t>
            </w:r>
          </w:p>
        </w:tc>
        <w:tc>
          <w:tcPr>
            <w:tcW w:w="963" w:type="dxa"/>
          </w:tcPr>
          <w:p w14:paraId="784874D8"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18990</w:t>
            </w:r>
          </w:p>
        </w:tc>
        <w:tc>
          <w:tcPr>
            <w:tcW w:w="1025" w:type="dxa"/>
          </w:tcPr>
          <w:p w14:paraId="0EB78599"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53.29</w:t>
            </w:r>
          </w:p>
        </w:tc>
      </w:tr>
      <w:tr w:rsidR="004D3A22" w14:paraId="1ECA34A7" w14:textId="77777777" w:rsidTr="00353DEF">
        <w:tc>
          <w:tcPr>
            <w:tcW w:w="9650" w:type="dxa"/>
            <w:gridSpan w:val="8"/>
          </w:tcPr>
          <w:p w14:paraId="06770367"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r>
              <w:rPr>
                <w:rFonts w:ascii="Arial" w:eastAsia="Arial" w:hAnsi="Arial" w:cs="Arial"/>
                <w:color w:val="000000"/>
                <w:sz w:val="18"/>
                <w:szCs w:val="18"/>
              </w:rPr>
              <w:t>Self-reported diagnosis</w:t>
            </w:r>
          </w:p>
        </w:tc>
      </w:tr>
      <w:tr w:rsidR="004D3A22" w14:paraId="6AA6CFC8" w14:textId="77777777" w:rsidTr="00353DEF">
        <w:tc>
          <w:tcPr>
            <w:tcW w:w="1198" w:type="dxa"/>
          </w:tcPr>
          <w:p w14:paraId="4E52A0EA"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52F41E54"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vertAlign w:val="superscript"/>
              </w:rPr>
            </w:pPr>
            <w:r>
              <w:rPr>
                <w:rFonts w:ascii="Arial" w:eastAsia="Arial" w:hAnsi="Arial" w:cs="Arial"/>
                <w:color w:val="000000"/>
                <w:sz w:val="18"/>
                <w:szCs w:val="18"/>
              </w:rPr>
              <w:t>MDD†</w:t>
            </w:r>
          </w:p>
        </w:tc>
        <w:tc>
          <w:tcPr>
            <w:tcW w:w="915" w:type="dxa"/>
          </w:tcPr>
          <w:p w14:paraId="7A3C56E0"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6374</w:t>
            </w:r>
          </w:p>
        </w:tc>
        <w:tc>
          <w:tcPr>
            <w:tcW w:w="986" w:type="dxa"/>
          </w:tcPr>
          <w:p w14:paraId="77DDD1D2"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17.89</w:t>
            </w:r>
          </w:p>
        </w:tc>
        <w:tc>
          <w:tcPr>
            <w:tcW w:w="1154" w:type="dxa"/>
          </w:tcPr>
          <w:p w14:paraId="13C76EA3"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25037</w:t>
            </w:r>
          </w:p>
        </w:tc>
        <w:tc>
          <w:tcPr>
            <w:tcW w:w="951" w:type="dxa"/>
          </w:tcPr>
          <w:p w14:paraId="64EC14BE"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70.26</w:t>
            </w:r>
          </w:p>
        </w:tc>
        <w:tc>
          <w:tcPr>
            <w:tcW w:w="963" w:type="dxa"/>
          </w:tcPr>
          <w:p w14:paraId="4FE49956"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31411</w:t>
            </w:r>
          </w:p>
        </w:tc>
        <w:tc>
          <w:tcPr>
            <w:tcW w:w="1025" w:type="dxa"/>
          </w:tcPr>
          <w:p w14:paraId="0FDB49B1"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88.15</w:t>
            </w:r>
          </w:p>
        </w:tc>
      </w:tr>
      <w:tr w:rsidR="004D3A22" w14:paraId="2582F3C4" w14:textId="77777777" w:rsidTr="00353DEF">
        <w:tc>
          <w:tcPr>
            <w:tcW w:w="1198" w:type="dxa"/>
          </w:tcPr>
          <w:p w14:paraId="1C7E2C9C"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2F82274D"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vertAlign w:val="superscript"/>
              </w:rPr>
            </w:pPr>
            <w:r>
              <w:rPr>
                <w:rFonts w:ascii="Arial" w:eastAsia="Arial" w:hAnsi="Arial" w:cs="Arial"/>
                <w:color w:val="000000"/>
                <w:sz w:val="18"/>
                <w:szCs w:val="18"/>
              </w:rPr>
              <w:t>MDD only‡</w:t>
            </w:r>
          </w:p>
        </w:tc>
        <w:tc>
          <w:tcPr>
            <w:tcW w:w="915" w:type="dxa"/>
          </w:tcPr>
          <w:p w14:paraId="2F2A8B84"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800</w:t>
            </w:r>
          </w:p>
        </w:tc>
        <w:tc>
          <w:tcPr>
            <w:tcW w:w="986" w:type="dxa"/>
          </w:tcPr>
          <w:p w14:paraId="0E3718EE"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2.24</w:t>
            </w:r>
          </w:p>
        </w:tc>
        <w:tc>
          <w:tcPr>
            <w:tcW w:w="1154" w:type="dxa"/>
          </w:tcPr>
          <w:p w14:paraId="72C40AFF"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2915</w:t>
            </w:r>
          </w:p>
        </w:tc>
        <w:tc>
          <w:tcPr>
            <w:tcW w:w="951" w:type="dxa"/>
          </w:tcPr>
          <w:p w14:paraId="65E6BCBD"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8.18</w:t>
            </w:r>
          </w:p>
        </w:tc>
        <w:tc>
          <w:tcPr>
            <w:tcW w:w="963" w:type="dxa"/>
          </w:tcPr>
          <w:p w14:paraId="5FE39246"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3715</w:t>
            </w:r>
          </w:p>
        </w:tc>
        <w:tc>
          <w:tcPr>
            <w:tcW w:w="1025" w:type="dxa"/>
          </w:tcPr>
          <w:p w14:paraId="386F6BAF"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10.42</w:t>
            </w:r>
          </w:p>
        </w:tc>
      </w:tr>
      <w:tr w:rsidR="004D3A22" w14:paraId="188002FE" w14:textId="77777777" w:rsidTr="00353DEF">
        <w:tc>
          <w:tcPr>
            <w:tcW w:w="1198" w:type="dxa"/>
          </w:tcPr>
          <w:p w14:paraId="2BCE5BDA"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26A69622"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vertAlign w:val="superscript"/>
              </w:rPr>
            </w:pPr>
            <w:r>
              <w:rPr>
                <w:rFonts w:ascii="Arial" w:eastAsia="Arial" w:hAnsi="Arial" w:cs="Arial"/>
                <w:color w:val="000000"/>
                <w:sz w:val="18"/>
                <w:szCs w:val="18"/>
              </w:rPr>
              <w:t>GAD†</w:t>
            </w:r>
          </w:p>
        </w:tc>
        <w:tc>
          <w:tcPr>
            <w:tcW w:w="915" w:type="dxa"/>
          </w:tcPr>
          <w:p w14:paraId="5FDA6B52"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5158</w:t>
            </w:r>
          </w:p>
        </w:tc>
        <w:tc>
          <w:tcPr>
            <w:tcW w:w="986" w:type="dxa"/>
          </w:tcPr>
          <w:p w14:paraId="595401E1"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14.47</w:t>
            </w:r>
          </w:p>
        </w:tc>
        <w:tc>
          <w:tcPr>
            <w:tcW w:w="1154" w:type="dxa"/>
          </w:tcPr>
          <w:p w14:paraId="06D8ED75"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22143</w:t>
            </w:r>
          </w:p>
        </w:tc>
        <w:tc>
          <w:tcPr>
            <w:tcW w:w="951" w:type="dxa"/>
          </w:tcPr>
          <w:p w14:paraId="4B1A5761"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62.13</w:t>
            </w:r>
          </w:p>
        </w:tc>
        <w:tc>
          <w:tcPr>
            <w:tcW w:w="963" w:type="dxa"/>
          </w:tcPr>
          <w:p w14:paraId="4C96EEB7"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27301</w:t>
            </w:r>
          </w:p>
        </w:tc>
        <w:tc>
          <w:tcPr>
            <w:tcW w:w="1025" w:type="dxa"/>
          </w:tcPr>
          <w:p w14:paraId="5550D173"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76.60</w:t>
            </w:r>
          </w:p>
        </w:tc>
      </w:tr>
      <w:tr w:rsidR="004D3A22" w14:paraId="74085DB7" w14:textId="77777777" w:rsidTr="00353DEF">
        <w:tc>
          <w:tcPr>
            <w:tcW w:w="1198" w:type="dxa"/>
          </w:tcPr>
          <w:p w14:paraId="01FF986E"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45875262"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vertAlign w:val="superscript"/>
              </w:rPr>
            </w:pPr>
            <w:r>
              <w:rPr>
                <w:rFonts w:ascii="Arial" w:eastAsia="Arial" w:hAnsi="Arial" w:cs="Arial"/>
                <w:color w:val="000000"/>
                <w:sz w:val="18"/>
                <w:szCs w:val="18"/>
              </w:rPr>
              <w:t>GAD only‡</w:t>
            </w:r>
          </w:p>
        </w:tc>
        <w:tc>
          <w:tcPr>
            <w:tcW w:w="915" w:type="dxa"/>
          </w:tcPr>
          <w:p w14:paraId="737049B3"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211</w:t>
            </w:r>
          </w:p>
        </w:tc>
        <w:tc>
          <w:tcPr>
            <w:tcW w:w="986" w:type="dxa"/>
          </w:tcPr>
          <w:p w14:paraId="35C84F8A"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0.59</w:t>
            </w:r>
          </w:p>
        </w:tc>
        <w:tc>
          <w:tcPr>
            <w:tcW w:w="1154" w:type="dxa"/>
          </w:tcPr>
          <w:p w14:paraId="60A0302E"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1030</w:t>
            </w:r>
          </w:p>
        </w:tc>
        <w:tc>
          <w:tcPr>
            <w:tcW w:w="951" w:type="dxa"/>
          </w:tcPr>
          <w:p w14:paraId="7C6546C0"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2.89</w:t>
            </w:r>
          </w:p>
        </w:tc>
        <w:tc>
          <w:tcPr>
            <w:tcW w:w="963" w:type="dxa"/>
          </w:tcPr>
          <w:p w14:paraId="54581F1F"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1241</w:t>
            </w:r>
          </w:p>
        </w:tc>
        <w:tc>
          <w:tcPr>
            <w:tcW w:w="1025" w:type="dxa"/>
          </w:tcPr>
          <w:p w14:paraId="53AECD57"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3.48</w:t>
            </w:r>
          </w:p>
        </w:tc>
      </w:tr>
      <w:tr w:rsidR="004D3A22" w14:paraId="33A58022" w14:textId="77777777" w:rsidTr="00353DEF">
        <w:tc>
          <w:tcPr>
            <w:tcW w:w="1198" w:type="dxa"/>
          </w:tcPr>
          <w:p w14:paraId="000030E4"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Pr>
          <w:p w14:paraId="2260549A"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vertAlign w:val="superscript"/>
              </w:rPr>
            </w:pPr>
            <w:r>
              <w:rPr>
                <w:rFonts w:ascii="Arial" w:eastAsia="Arial" w:hAnsi="Arial" w:cs="Arial"/>
                <w:color w:val="000000"/>
                <w:sz w:val="18"/>
                <w:szCs w:val="18"/>
              </w:rPr>
              <w:t>Anxiety disorder†</w:t>
            </w:r>
          </w:p>
        </w:tc>
        <w:tc>
          <w:tcPr>
            <w:tcW w:w="915" w:type="dxa"/>
          </w:tcPr>
          <w:p w14:paraId="649A4D25"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2121</w:t>
            </w:r>
          </w:p>
        </w:tc>
        <w:tc>
          <w:tcPr>
            <w:tcW w:w="986" w:type="dxa"/>
          </w:tcPr>
          <w:p w14:paraId="0E8E6AB9"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5.95</w:t>
            </w:r>
          </w:p>
        </w:tc>
        <w:tc>
          <w:tcPr>
            <w:tcW w:w="1154" w:type="dxa"/>
          </w:tcPr>
          <w:p w14:paraId="08A0EC5D"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8658</w:t>
            </w:r>
          </w:p>
        </w:tc>
        <w:tc>
          <w:tcPr>
            <w:tcW w:w="951" w:type="dxa"/>
          </w:tcPr>
          <w:p w14:paraId="20986542"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24.29</w:t>
            </w:r>
          </w:p>
        </w:tc>
        <w:tc>
          <w:tcPr>
            <w:tcW w:w="963" w:type="dxa"/>
          </w:tcPr>
          <w:p w14:paraId="117154AB"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10779</w:t>
            </w:r>
          </w:p>
        </w:tc>
        <w:tc>
          <w:tcPr>
            <w:tcW w:w="1025" w:type="dxa"/>
          </w:tcPr>
          <w:p w14:paraId="43C9E6BC"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30.24</w:t>
            </w:r>
          </w:p>
        </w:tc>
      </w:tr>
      <w:tr w:rsidR="004D3A22" w14:paraId="01D4D613" w14:textId="77777777" w:rsidTr="00353DEF">
        <w:tc>
          <w:tcPr>
            <w:tcW w:w="1198" w:type="dxa"/>
            <w:tcBorders>
              <w:bottom w:val="single" w:sz="4" w:space="0" w:color="000000"/>
            </w:tcBorders>
          </w:tcPr>
          <w:p w14:paraId="6F3156EA"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rPr>
            </w:pPr>
          </w:p>
        </w:tc>
        <w:tc>
          <w:tcPr>
            <w:tcW w:w="2458" w:type="dxa"/>
            <w:tcBorders>
              <w:bottom w:val="single" w:sz="4" w:space="0" w:color="000000"/>
            </w:tcBorders>
          </w:tcPr>
          <w:p w14:paraId="52E0428C" w14:textId="77777777" w:rsidR="004D3A22" w:rsidRDefault="004D3A22" w:rsidP="00353DEF">
            <w:pPr>
              <w:pBdr>
                <w:top w:val="nil"/>
                <w:left w:val="nil"/>
                <w:bottom w:val="nil"/>
                <w:right w:val="nil"/>
                <w:between w:val="nil"/>
              </w:pBdr>
              <w:spacing w:before="36" w:after="36"/>
              <w:rPr>
                <w:rFonts w:ascii="Arial" w:eastAsia="Arial" w:hAnsi="Arial" w:cs="Arial"/>
                <w:color w:val="000000"/>
                <w:sz w:val="18"/>
                <w:szCs w:val="18"/>
                <w:vertAlign w:val="superscript"/>
              </w:rPr>
            </w:pPr>
            <w:r>
              <w:rPr>
                <w:rFonts w:ascii="Arial" w:eastAsia="Arial" w:hAnsi="Arial" w:cs="Arial"/>
                <w:color w:val="000000"/>
                <w:sz w:val="18"/>
                <w:szCs w:val="18"/>
              </w:rPr>
              <w:t>Anxiety disorder only‡</w:t>
            </w:r>
          </w:p>
        </w:tc>
        <w:tc>
          <w:tcPr>
            <w:tcW w:w="915" w:type="dxa"/>
            <w:tcBorders>
              <w:bottom w:val="single" w:sz="4" w:space="0" w:color="000000"/>
            </w:tcBorders>
          </w:tcPr>
          <w:p w14:paraId="0065D24D"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2027</w:t>
            </w:r>
          </w:p>
        </w:tc>
        <w:tc>
          <w:tcPr>
            <w:tcW w:w="986" w:type="dxa"/>
            <w:tcBorders>
              <w:bottom w:val="single" w:sz="4" w:space="0" w:color="000000"/>
            </w:tcBorders>
          </w:tcPr>
          <w:p w14:paraId="5D41747D"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5.69</w:t>
            </w:r>
          </w:p>
        </w:tc>
        <w:tc>
          <w:tcPr>
            <w:tcW w:w="1154" w:type="dxa"/>
            <w:tcBorders>
              <w:bottom w:val="single" w:sz="4" w:space="0" w:color="000000"/>
            </w:tcBorders>
          </w:tcPr>
          <w:p w14:paraId="331ED92C"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8187</w:t>
            </w:r>
          </w:p>
        </w:tc>
        <w:tc>
          <w:tcPr>
            <w:tcW w:w="951" w:type="dxa"/>
            <w:tcBorders>
              <w:bottom w:val="single" w:sz="4" w:space="0" w:color="000000"/>
            </w:tcBorders>
          </w:tcPr>
          <w:p w14:paraId="417E3537"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22.97</w:t>
            </w:r>
          </w:p>
        </w:tc>
        <w:tc>
          <w:tcPr>
            <w:tcW w:w="963" w:type="dxa"/>
            <w:tcBorders>
              <w:bottom w:val="single" w:sz="4" w:space="0" w:color="000000"/>
            </w:tcBorders>
          </w:tcPr>
          <w:p w14:paraId="21CC5CB8"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10214</w:t>
            </w:r>
          </w:p>
        </w:tc>
        <w:tc>
          <w:tcPr>
            <w:tcW w:w="1025" w:type="dxa"/>
            <w:tcBorders>
              <w:bottom w:val="single" w:sz="4" w:space="0" w:color="000000"/>
            </w:tcBorders>
          </w:tcPr>
          <w:p w14:paraId="380DBB3D" w14:textId="77777777" w:rsidR="004D3A22" w:rsidRDefault="004D3A22" w:rsidP="00353DEF">
            <w:pPr>
              <w:pBdr>
                <w:top w:val="nil"/>
                <w:left w:val="nil"/>
                <w:bottom w:val="nil"/>
                <w:right w:val="nil"/>
                <w:between w:val="nil"/>
              </w:pBdr>
              <w:spacing w:before="36" w:after="36"/>
              <w:jc w:val="right"/>
              <w:rPr>
                <w:rFonts w:ascii="Arial" w:eastAsia="Arial" w:hAnsi="Arial" w:cs="Arial"/>
                <w:color w:val="000000"/>
                <w:sz w:val="18"/>
                <w:szCs w:val="18"/>
              </w:rPr>
            </w:pPr>
            <w:r>
              <w:rPr>
                <w:rFonts w:ascii="Arial" w:eastAsia="Arial" w:hAnsi="Arial" w:cs="Arial"/>
                <w:color w:val="000000"/>
                <w:sz w:val="18"/>
                <w:szCs w:val="18"/>
              </w:rPr>
              <w:t>28.66</w:t>
            </w:r>
          </w:p>
        </w:tc>
      </w:tr>
      <w:tr w:rsidR="004D3A22" w14:paraId="1E46158F" w14:textId="77777777" w:rsidTr="00353DEF">
        <w:tc>
          <w:tcPr>
            <w:tcW w:w="9650" w:type="dxa"/>
            <w:gridSpan w:val="8"/>
            <w:tcBorders>
              <w:top w:val="single" w:sz="4" w:space="0" w:color="000000"/>
            </w:tcBorders>
          </w:tcPr>
          <w:p w14:paraId="5D25523E" w14:textId="77777777" w:rsidR="004D3A22" w:rsidRDefault="004D3A22" w:rsidP="00353DEF">
            <w:pPr>
              <w:pBdr>
                <w:top w:val="nil"/>
                <w:left w:val="nil"/>
                <w:bottom w:val="nil"/>
                <w:right w:val="nil"/>
                <w:between w:val="nil"/>
              </w:pBdr>
              <w:spacing w:before="36" w:after="36"/>
              <w:rPr>
                <w:rFonts w:ascii="Arial" w:eastAsia="Arial" w:hAnsi="Arial" w:cs="Arial"/>
                <w:color w:val="000000"/>
                <w:sz w:val="16"/>
                <w:szCs w:val="16"/>
              </w:rPr>
            </w:pPr>
            <w:r>
              <w:rPr>
                <w:rFonts w:ascii="Arial" w:eastAsia="Arial" w:hAnsi="Arial" w:cs="Arial"/>
                <w:color w:val="000000"/>
                <w:sz w:val="16"/>
                <w:szCs w:val="16"/>
              </w:rPr>
              <w:t xml:space="preserve">† Individuals that reported the diagnosis regardless of comorbidities </w:t>
            </w:r>
          </w:p>
          <w:p w14:paraId="7BD10F54" w14:textId="77777777" w:rsidR="004D3A22" w:rsidRDefault="004D3A22" w:rsidP="00353DEF">
            <w:pPr>
              <w:pBdr>
                <w:top w:val="nil"/>
                <w:left w:val="nil"/>
                <w:bottom w:val="nil"/>
                <w:right w:val="nil"/>
                <w:between w:val="nil"/>
              </w:pBdr>
              <w:spacing w:before="36" w:after="36"/>
              <w:rPr>
                <w:rFonts w:ascii="Arial" w:eastAsia="Arial" w:hAnsi="Arial" w:cs="Arial"/>
                <w:color w:val="000000"/>
                <w:sz w:val="16"/>
                <w:szCs w:val="16"/>
              </w:rPr>
            </w:pPr>
            <w:r>
              <w:rPr>
                <w:rFonts w:ascii="Arial" w:eastAsia="Arial" w:hAnsi="Arial" w:cs="Arial"/>
                <w:color w:val="000000"/>
                <w:sz w:val="16"/>
                <w:szCs w:val="16"/>
              </w:rPr>
              <w:t xml:space="preserve">‡ Individuals that only reported that diagnosis with no comorbidities </w:t>
            </w:r>
          </w:p>
        </w:tc>
      </w:tr>
    </w:tbl>
    <w:p w14:paraId="4B4C44DD" w14:textId="7BEDE06A" w:rsidR="004D3A22" w:rsidRDefault="004D3A2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
    <w:p w14:paraId="6FC72A5B" w14:textId="57C5AFB2" w:rsidR="004D3A22" w:rsidRDefault="004D3A22">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
    <w:p w14:paraId="55F235AD" w14:textId="48020AE9" w:rsidR="00D73A17" w:rsidRDefault="00D73A17">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
    <w:p w14:paraId="1169570D" w14:textId="113D4F5D" w:rsidR="00D73A17" w:rsidRDefault="00D73A17">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
    <w:p w14:paraId="781A5AC1" w14:textId="77777777" w:rsidR="00D73A17" w:rsidRDefault="00D73A17">
      <w:pPr>
        <w:widowControl w:val="0"/>
        <w:pBdr>
          <w:top w:val="nil"/>
          <w:left w:val="nil"/>
          <w:bottom w:val="nil"/>
          <w:right w:val="nil"/>
          <w:between w:val="nil"/>
        </w:pBdr>
        <w:spacing w:before="0" w:after="0" w:line="480" w:lineRule="auto"/>
        <w:ind w:left="720" w:hanging="720"/>
        <w:rPr>
          <w:rFonts w:ascii="Calibri" w:eastAsia="Calibri" w:hAnsi="Calibri" w:cs="Calibri"/>
          <w:sz w:val="16"/>
          <w:szCs w:val="16"/>
        </w:rPr>
      </w:pPr>
    </w:p>
    <w:p w14:paraId="61DF9AE8" w14:textId="77777777" w:rsidR="004D3A22" w:rsidRDefault="004D3A22" w:rsidP="004D3A22">
      <w:pPr>
        <w:spacing w:line="360" w:lineRule="auto"/>
        <w:jc w:val="both"/>
        <w:rPr>
          <w:i/>
        </w:rPr>
      </w:pPr>
      <w:r>
        <w:rPr>
          <w:b/>
          <w:i/>
        </w:rPr>
        <w:lastRenderedPageBreak/>
        <w:t xml:space="preserve">Table 2. </w:t>
      </w:r>
      <w:r>
        <w:rPr>
          <w:i/>
        </w:rPr>
        <w:t>Model fit statistics for exploratory factor analysis of one to six factors in the Genetic Links to Anxiety and Depression (GLAD) sample (N=35637; 15 items)</w:t>
      </w:r>
    </w:p>
    <w:tbl>
      <w:tblPr>
        <w:tblStyle w:val="a0"/>
        <w:tblW w:w="10160" w:type="dxa"/>
        <w:tblInd w:w="-765" w:type="dxa"/>
        <w:tblBorders>
          <w:top w:val="nil"/>
          <w:left w:val="nil"/>
          <w:bottom w:val="nil"/>
          <w:right w:val="nil"/>
          <w:insideH w:val="nil"/>
          <w:insideV w:val="nil"/>
        </w:tblBorders>
        <w:tblLayout w:type="fixed"/>
        <w:tblLook w:val="0400" w:firstRow="0" w:lastRow="0" w:firstColumn="0" w:lastColumn="0" w:noHBand="0" w:noVBand="1"/>
      </w:tblPr>
      <w:tblGrid>
        <w:gridCol w:w="1700"/>
        <w:gridCol w:w="675"/>
        <w:gridCol w:w="960"/>
        <w:gridCol w:w="1485"/>
        <w:gridCol w:w="930"/>
        <w:gridCol w:w="885"/>
        <w:gridCol w:w="900"/>
        <w:gridCol w:w="1155"/>
        <w:gridCol w:w="1470"/>
      </w:tblGrid>
      <w:tr w:rsidR="004D3A22" w14:paraId="14CE3947" w14:textId="77777777" w:rsidTr="00353DEF">
        <w:tc>
          <w:tcPr>
            <w:tcW w:w="1700" w:type="dxa"/>
            <w:tcBorders>
              <w:bottom w:val="single" w:sz="4" w:space="0" w:color="000000"/>
            </w:tcBorders>
            <w:vAlign w:val="center"/>
          </w:tcPr>
          <w:p w14:paraId="5A469EA8"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Number of factors</w:t>
            </w:r>
          </w:p>
        </w:tc>
        <w:tc>
          <w:tcPr>
            <w:tcW w:w="675" w:type="dxa"/>
            <w:tcBorders>
              <w:bottom w:val="single" w:sz="4" w:space="0" w:color="000000"/>
            </w:tcBorders>
            <w:vAlign w:val="center"/>
          </w:tcPr>
          <w:p w14:paraId="62416DD8"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df</w:t>
            </w:r>
          </w:p>
        </w:tc>
        <w:tc>
          <w:tcPr>
            <w:tcW w:w="960" w:type="dxa"/>
            <w:tcBorders>
              <w:bottom w:val="single" w:sz="4" w:space="0" w:color="000000"/>
            </w:tcBorders>
            <w:vAlign w:val="center"/>
          </w:tcPr>
          <w:p w14:paraId="031FD702"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RMSEA</w:t>
            </w:r>
          </w:p>
          <w:p w14:paraId="77880B8A"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w:t>
            </w:r>
            <w:r>
              <w:rPr>
                <w:rFonts w:ascii="Symbol" w:eastAsia="Symbol" w:hAnsi="Symbol" w:cs="Symbol"/>
                <w:sz w:val="18"/>
                <w:szCs w:val="18"/>
              </w:rPr>
              <w:t>≤</w:t>
            </w:r>
            <w:r>
              <w:rPr>
                <w:rFonts w:ascii="Arial" w:eastAsia="Arial" w:hAnsi="Arial" w:cs="Arial"/>
                <w:sz w:val="18"/>
                <w:szCs w:val="18"/>
              </w:rPr>
              <w:t xml:space="preserve"> 0.06)</w:t>
            </w:r>
          </w:p>
        </w:tc>
        <w:tc>
          <w:tcPr>
            <w:tcW w:w="1485" w:type="dxa"/>
            <w:tcBorders>
              <w:bottom w:val="single" w:sz="4" w:space="0" w:color="000000"/>
            </w:tcBorders>
            <w:vAlign w:val="center"/>
          </w:tcPr>
          <w:p w14:paraId="392FA698"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RMSEA</w:t>
            </w:r>
          </w:p>
          <w:p w14:paraId="7416F08E"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90% CI</w:t>
            </w:r>
          </w:p>
        </w:tc>
        <w:tc>
          <w:tcPr>
            <w:tcW w:w="930" w:type="dxa"/>
            <w:tcBorders>
              <w:bottom w:val="single" w:sz="4" w:space="0" w:color="000000"/>
            </w:tcBorders>
            <w:vAlign w:val="center"/>
          </w:tcPr>
          <w:p w14:paraId="2F176189"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 xml:space="preserve">TLI </w:t>
            </w:r>
          </w:p>
          <w:p w14:paraId="2F05989E"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w:t>
            </w:r>
            <w:r>
              <w:rPr>
                <w:rFonts w:ascii="Symbol" w:eastAsia="Symbol" w:hAnsi="Symbol" w:cs="Symbol"/>
                <w:sz w:val="18"/>
                <w:szCs w:val="18"/>
              </w:rPr>
              <w:t>≥</w:t>
            </w:r>
            <w:r>
              <w:rPr>
                <w:rFonts w:ascii="Arial" w:eastAsia="Arial" w:hAnsi="Arial" w:cs="Arial"/>
                <w:sz w:val="18"/>
                <w:szCs w:val="18"/>
              </w:rPr>
              <w:t xml:space="preserve"> 0.95)</w:t>
            </w:r>
          </w:p>
        </w:tc>
        <w:tc>
          <w:tcPr>
            <w:tcW w:w="885" w:type="dxa"/>
            <w:tcBorders>
              <w:bottom w:val="single" w:sz="4" w:space="0" w:color="000000"/>
            </w:tcBorders>
            <w:vAlign w:val="center"/>
          </w:tcPr>
          <w:p w14:paraId="04BCA2B2"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BIC</w:t>
            </w:r>
          </w:p>
        </w:tc>
        <w:tc>
          <w:tcPr>
            <w:tcW w:w="900" w:type="dxa"/>
            <w:tcBorders>
              <w:bottom w:val="single" w:sz="4" w:space="0" w:color="000000"/>
            </w:tcBorders>
            <w:vAlign w:val="center"/>
          </w:tcPr>
          <w:p w14:paraId="53BA2A1B"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SRMR</w:t>
            </w:r>
          </w:p>
          <w:p w14:paraId="27EE246D"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w:t>
            </w:r>
            <w:r>
              <w:rPr>
                <w:rFonts w:ascii="Symbol" w:eastAsia="Symbol" w:hAnsi="Symbol" w:cs="Symbol"/>
                <w:sz w:val="18"/>
                <w:szCs w:val="18"/>
              </w:rPr>
              <w:t>≤</w:t>
            </w:r>
            <w:r>
              <w:rPr>
                <w:rFonts w:ascii="Arial" w:eastAsia="Arial" w:hAnsi="Arial" w:cs="Arial"/>
                <w:sz w:val="18"/>
                <w:szCs w:val="18"/>
              </w:rPr>
              <w:t xml:space="preserve"> 0.08)</w:t>
            </w:r>
          </w:p>
        </w:tc>
        <w:tc>
          <w:tcPr>
            <w:tcW w:w="1155" w:type="dxa"/>
            <w:tcBorders>
              <w:bottom w:val="single" w:sz="4" w:space="0" w:color="000000"/>
            </w:tcBorders>
            <w:vAlign w:val="center"/>
          </w:tcPr>
          <w:p w14:paraId="75F84289"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 xml:space="preserve">Cumulative variance </w:t>
            </w:r>
          </w:p>
        </w:tc>
        <w:tc>
          <w:tcPr>
            <w:tcW w:w="1470" w:type="dxa"/>
            <w:tcBorders>
              <w:bottom w:val="single" w:sz="4" w:space="0" w:color="000000"/>
            </w:tcBorders>
          </w:tcPr>
          <w:p w14:paraId="501D72E9"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 xml:space="preserve">Minimum item loading  </w:t>
            </w:r>
          </w:p>
        </w:tc>
      </w:tr>
      <w:tr w:rsidR="004D3A22" w14:paraId="4FA4BA1A" w14:textId="77777777" w:rsidTr="00353DEF">
        <w:tc>
          <w:tcPr>
            <w:tcW w:w="1700" w:type="dxa"/>
            <w:tcBorders>
              <w:top w:val="single" w:sz="4" w:space="0" w:color="000000"/>
            </w:tcBorders>
            <w:vAlign w:val="center"/>
          </w:tcPr>
          <w:p w14:paraId="46780A19"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1</w:t>
            </w:r>
          </w:p>
        </w:tc>
        <w:tc>
          <w:tcPr>
            <w:tcW w:w="675" w:type="dxa"/>
            <w:tcBorders>
              <w:top w:val="single" w:sz="4" w:space="0" w:color="000000"/>
            </w:tcBorders>
            <w:vAlign w:val="center"/>
          </w:tcPr>
          <w:p w14:paraId="0628287E"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90</w:t>
            </w:r>
          </w:p>
        </w:tc>
        <w:tc>
          <w:tcPr>
            <w:tcW w:w="960" w:type="dxa"/>
            <w:tcBorders>
              <w:top w:val="single" w:sz="4" w:space="0" w:color="000000"/>
            </w:tcBorders>
            <w:vAlign w:val="center"/>
          </w:tcPr>
          <w:p w14:paraId="4DA62138"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0.175</w:t>
            </w:r>
          </w:p>
        </w:tc>
        <w:tc>
          <w:tcPr>
            <w:tcW w:w="1485" w:type="dxa"/>
            <w:tcBorders>
              <w:top w:val="single" w:sz="4" w:space="0" w:color="000000"/>
            </w:tcBorders>
            <w:vAlign w:val="center"/>
          </w:tcPr>
          <w:p w14:paraId="79554B10"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[0.174, 0.176]</w:t>
            </w:r>
          </w:p>
        </w:tc>
        <w:tc>
          <w:tcPr>
            <w:tcW w:w="930" w:type="dxa"/>
            <w:tcBorders>
              <w:top w:val="single" w:sz="4" w:space="0" w:color="000000"/>
            </w:tcBorders>
            <w:vAlign w:val="center"/>
          </w:tcPr>
          <w:p w14:paraId="582DB054"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0.736</w:t>
            </w:r>
          </w:p>
        </w:tc>
        <w:tc>
          <w:tcPr>
            <w:tcW w:w="885" w:type="dxa"/>
            <w:tcBorders>
              <w:top w:val="single" w:sz="4" w:space="0" w:color="000000"/>
            </w:tcBorders>
            <w:vAlign w:val="center"/>
          </w:tcPr>
          <w:p w14:paraId="6BD268BF"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67,991</w:t>
            </w:r>
          </w:p>
        </w:tc>
        <w:tc>
          <w:tcPr>
            <w:tcW w:w="900" w:type="dxa"/>
            <w:tcBorders>
              <w:top w:val="single" w:sz="4" w:space="0" w:color="000000"/>
            </w:tcBorders>
            <w:vAlign w:val="center"/>
          </w:tcPr>
          <w:p w14:paraId="02094640"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0.09</w:t>
            </w:r>
          </w:p>
        </w:tc>
        <w:tc>
          <w:tcPr>
            <w:tcW w:w="1155" w:type="dxa"/>
            <w:tcBorders>
              <w:top w:val="single" w:sz="4" w:space="0" w:color="000000"/>
            </w:tcBorders>
            <w:vAlign w:val="center"/>
          </w:tcPr>
          <w:p w14:paraId="38D8B73A"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0.56</w:t>
            </w:r>
          </w:p>
        </w:tc>
        <w:tc>
          <w:tcPr>
            <w:tcW w:w="1470" w:type="dxa"/>
            <w:tcBorders>
              <w:top w:val="single" w:sz="4" w:space="0" w:color="000000"/>
            </w:tcBorders>
            <w:vAlign w:val="center"/>
          </w:tcPr>
          <w:p w14:paraId="6CFA0BD4" w14:textId="77777777" w:rsidR="004D3A22" w:rsidRDefault="004D3A22" w:rsidP="00353DEF">
            <w:pPr>
              <w:spacing w:line="360" w:lineRule="auto"/>
              <w:rPr>
                <w:rFonts w:ascii="Arial" w:eastAsia="Arial" w:hAnsi="Arial" w:cs="Arial"/>
                <w:sz w:val="18"/>
                <w:szCs w:val="18"/>
              </w:rPr>
            </w:pPr>
            <w:r>
              <w:rPr>
                <w:rFonts w:ascii="Arial" w:eastAsia="Arial" w:hAnsi="Arial" w:cs="Arial"/>
                <w:sz w:val="18"/>
                <w:szCs w:val="18"/>
              </w:rPr>
              <w:t>15</w:t>
            </w:r>
          </w:p>
        </w:tc>
      </w:tr>
      <w:tr w:rsidR="004D3A22" w14:paraId="6436D01E" w14:textId="77777777" w:rsidTr="00353DEF">
        <w:tc>
          <w:tcPr>
            <w:tcW w:w="1700" w:type="dxa"/>
            <w:vAlign w:val="center"/>
          </w:tcPr>
          <w:p w14:paraId="7D845B79"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2</w:t>
            </w:r>
          </w:p>
        </w:tc>
        <w:tc>
          <w:tcPr>
            <w:tcW w:w="675" w:type="dxa"/>
            <w:vAlign w:val="center"/>
          </w:tcPr>
          <w:p w14:paraId="59B61D9A"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76</w:t>
            </w:r>
          </w:p>
        </w:tc>
        <w:tc>
          <w:tcPr>
            <w:tcW w:w="960" w:type="dxa"/>
            <w:vAlign w:val="center"/>
          </w:tcPr>
          <w:p w14:paraId="3A9A8579"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0.126</w:t>
            </w:r>
          </w:p>
        </w:tc>
        <w:tc>
          <w:tcPr>
            <w:tcW w:w="1485" w:type="dxa"/>
            <w:vAlign w:val="center"/>
          </w:tcPr>
          <w:p w14:paraId="54FF3558"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[0.125, 0.127]</w:t>
            </w:r>
          </w:p>
        </w:tc>
        <w:tc>
          <w:tcPr>
            <w:tcW w:w="930" w:type="dxa"/>
            <w:vAlign w:val="center"/>
          </w:tcPr>
          <w:p w14:paraId="5DAE4842"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0.863</w:t>
            </w:r>
          </w:p>
        </w:tc>
        <w:tc>
          <w:tcPr>
            <w:tcW w:w="885" w:type="dxa"/>
            <w:vAlign w:val="center"/>
          </w:tcPr>
          <w:p w14:paraId="0216FD46"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29,469</w:t>
            </w:r>
          </w:p>
        </w:tc>
        <w:tc>
          <w:tcPr>
            <w:tcW w:w="900" w:type="dxa"/>
            <w:vAlign w:val="center"/>
          </w:tcPr>
          <w:p w14:paraId="46FF0C1E"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0.05</w:t>
            </w:r>
          </w:p>
        </w:tc>
        <w:tc>
          <w:tcPr>
            <w:tcW w:w="1155" w:type="dxa"/>
            <w:vAlign w:val="center"/>
          </w:tcPr>
          <w:p w14:paraId="4180C2C0"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0.63</w:t>
            </w:r>
          </w:p>
        </w:tc>
        <w:tc>
          <w:tcPr>
            <w:tcW w:w="1470" w:type="dxa"/>
            <w:vAlign w:val="center"/>
          </w:tcPr>
          <w:p w14:paraId="03BC2728" w14:textId="77777777" w:rsidR="004D3A22" w:rsidRDefault="004D3A22" w:rsidP="00353DEF">
            <w:pPr>
              <w:spacing w:line="360" w:lineRule="auto"/>
              <w:rPr>
                <w:rFonts w:ascii="Arial" w:eastAsia="Arial" w:hAnsi="Arial" w:cs="Arial"/>
                <w:sz w:val="18"/>
                <w:szCs w:val="18"/>
              </w:rPr>
            </w:pPr>
            <w:r>
              <w:rPr>
                <w:rFonts w:ascii="Arial" w:eastAsia="Arial" w:hAnsi="Arial" w:cs="Arial"/>
                <w:sz w:val="18"/>
                <w:szCs w:val="18"/>
              </w:rPr>
              <w:t>6</w:t>
            </w:r>
          </w:p>
        </w:tc>
      </w:tr>
      <w:tr w:rsidR="004D3A22" w14:paraId="1A0E061D" w14:textId="77777777" w:rsidTr="00353DEF">
        <w:tc>
          <w:tcPr>
            <w:tcW w:w="1700" w:type="dxa"/>
            <w:vAlign w:val="center"/>
          </w:tcPr>
          <w:p w14:paraId="25DAFDA5"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3</w:t>
            </w:r>
          </w:p>
        </w:tc>
        <w:tc>
          <w:tcPr>
            <w:tcW w:w="675" w:type="dxa"/>
            <w:vAlign w:val="center"/>
          </w:tcPr>
          <w:p w14:paraId="5D416840"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63</w:t>
            </w:r>
          </w:p>
        </w:tc>
        <w:tc>
          <w:tcPr>
            <w:tcW w:w="960" w:type="dxa"/>
            <w:vAlign w:val="center"/>
          </w:tcPr>
          <w:p w14:paraId="314939C4"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0.104</w:t>
            </w:r>
          </w:p>
        </w:tc>
        <w:tc>
          <w:tcPr>
            <w:tcW w:w="1485" w:type="dxa"/>
            <w:vAlign w:val="center"/>
          </w:tcPr>
          <w:p w14:paraId="6139D7DD"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[0.102, 0.105]</w:t>
            </w:r>
          </w:p>
        </w:tc>
        <w:tc>
          <w:tcPr>
            <w:tcW w:w="930" w:type="dxa"/>
            <w:vAlign w:val="center"/>
          </w:tcPr>
          <w:p w14:paraId="031B13F4"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0.907</w:t>
            </w:r>
          </w:p>
        </w:tc>
        <w:tc>
          <w:tcPr>
            <w:tcW w:w="885" w:type="dxa"/>
            <w:vAlign w:val="center"/>
          </w:tcPr>
          <w:p w14:paraId="40D922E0"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16,359</w:t>
            </w:r>
          </w:p>
        </w:tc>
        <w:tc>
          <w:tcPr>
            <w:tcW w:w="900" w:type="dxa"/>
            <w:vAlign w:val="center"/>
          </w:tcPr>
          <w:p w14:paraId="651BBDCC"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0.04</w:t>
            </w:r>
          </w:p>
        </w:tc>
        <w:tc>
          <w:tcPr>
            <w:tcW w:w="1155" w:type="dxa"/>
            <w:vAlign w:val="center"/>
          </w:tcPr>
          <w:p w14:paraId="744D2475"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0.67</w:t>
            </w:r>
          </w:p>
        </w:tc>
        <w:tc>
          <w:tcPr>
            <w:tcW w:w="1470" w:type="dxa"/>
            <w:vAlign w:val="center"/>
          </w:tcPr>
          <w:p w14:paraId="4E7C852E" w14:textId="77777777" w:rsidR="004D3A22" w:rsidRDefault="004D3A22" w:rsidP="00353DEF">
            <w:pPr>
              <w:spacing w:line="360" w:lineRule="auto"/>
              <w:rPr>
                <w:rFonts w:ascii="Arial" w:eastAsia="Arial" w:hAnsi="Arial" w:cs="Arial"/>
                <w:sz w:val="18"/>
                <w:szCs w:val="18"/>
              </w:rPr>
            </w:pPr>
            <w:r>
              <w:rPr>
                <w:rFonts w:ascii="Arial" w:eastAsia="Arial" w:hAnsi="Arial" w:cs="Arial"/>
                <w:sz w:val="18"/>
                <w:szCs w:val="18"/>
              </w:rPr>
              <w:t>0</w:t>
            </w:r>
          </w:p>
        </w:tc>
      </w:tr>
      <w:tr w:rsidR="004D3A22" w14:paraId="7D2987AC" w14:textId="77777777" w:rsidTr="00353DEF">
        <w:tc>
          <w:tcPr>
            <w:tcW w:w="1700" w:type="dxa"/>
            <w:vAlign w:val="center"/>
          </w:tcPr>
          <w:p w14:paraId="270D3631" w14:textId="77777777" w:rsidR="004D3A22" w:rsidRDefault="004D3A22" w:rsidP="00353DEF">
            <w:pPr>
              <w:spacing w:line="276" w:lineRule="auto"/>
              <w:rPr>
                <w:rFonts w:ascii="Arial" w:eastAsia="Arial" w:hAnsi="Arial" w:cs="Arial"/>
                <w:b/>
                <w:sz w:val="18"/>
                <w:szCs w:val="18"/>
              </w:rPr>
            </w:pPr>
            <w:r>
              <w:rPr>
                <w:rFonts w:ascii="Arial" w:eastAsia="Arial" w:hAnsi="Arial" w:cs="Arial"/>
                <w:b/>
                <w:sz w:val="18"/>
                <w:szCs w:val="18"/>
              </w:rPr>
              <w:t>4</w:t>
            </w:r>
          </w:p>
        </w:tc>
        <w:tc>
          <w:tcPr>
            <w:tcW w:w="675" w:type="dxa"/>
            <w:vAlign w:val="center"/>
          </w:tcPr>
          <w:p w14:paraId="40E4BD5C" w14:textId="77777777" w:rsidR="004D3A22" w:rsidRDefault="004D3A22" w:rsidP="00353DEF">
            <w:pPr>
              <w:spacing w:line="276" w:lineRule="auto"/>
              <w:rPr>
                <w:rFonts w:ascii="Arial" w:eastAsia="Arial" w:hAnsi="Arial" w:cs="Arial"/>
                <w:b/>
                <w:sz w:val="18"/>
                <w:szCs w:val="18"/>
              </w:rPr>
            </w:pPr>
            <w:r>
              <w:rPr>
                <w:rFonts w:ascii="Arial" w:eastAsia="Arial" w:hAnsi="Arial" w:cs="Arial"/>
                <w:b/>
                <w:sz w:val="18"/>
                <w:szCs w:val="18"/>
              </w:rPr>
              <w:t>51</w:t>
            </w:r>
          </w:p>
        </w:tc>
        <w:tc>
          <w:tcPr>
            <w:tcW w:w="960" w:type="dxa"/>
            <w:vAlign w:val="center"/>
          </w:tcPr>
          <w:p w14:paraId="224137CF" w14:textId="77777777" w:rsidR="004D3A22" w:rsidRDefault="004D3A22" w:rsidP="00353DEF">
            <w:pPr>
              <w:spacing w:line="276" w:lineRule="auto"/>
              <w:rPr>
                <w:rFonts w:ascii="Arial" w:eastAsia="Arial" w:hAnsi="Arial" w:cs="Arial"/>
                <w:b/>
                <w:sz w:val="18"/>
                <w:szCs w:val="18"/>
              </w:rPr>
            </w:pPr>
            <w:r>
              <w:rPr>
                <w:rFonts w:ascii="Arial" w:eastAsia="Arial" w:hAnsi="Arial" w:cs="Arial"/>
                <w:b/>
                <w:sz w:val="18"/>
                <w:szCs w:val="18"/>
              </w:rPr>
              <w:t>0.076</w:t>
            </w:r>
          </w:p>
        </w:tc>
        <w:tc>
          <w:tcPr>
            <w:tcW w:w="1485" w:type="dxa"/>
            <w:vAlign w:val="center"/>
          </w:tcPr>
          <w:p w14:paraId="3B06BB51" w14:textId="77777777" w:rsidR="004D3A22" w:rsidRDefault="004D3A22" w:rsidP="00353DEF">
            <w:pPr>
              <w:spacing w:line="276" w:lineRule="auto"/>
              <w:rPr>
                <w:rFonts w:ascii="Arial" w:eastAsia="Arial" w:hAnsi="Arial" w:cs="Arial"/>
                <w:b/>
                <w:sz w:val="18"/>
                <w:szCs w:val="18"/>
              </w:rPr>
            </w:pPr>
            <w:r>
              <w:rPr>
                <w:rFonts w:ascii="Arial" w:eastAsia="Arial" w:hAnsi="Arial" w:cs="Arial"/>
                <w:b/>
                <w:sz w:val="18"/>
                <w:szCs w:val="18"/>
              </w:rPr>
              <w:t>[0.075, 0.078]</w:t>
            </w:r>
          </w:p>
        </w:tc>
        <w:tc>
          <w:tcPr>
            <w:tcW w:w="930" w:type="dxa"/>
            <w:vAlign w:val="center"/>
          </w:tcPr>
          <w:p w14:paraId="0C4CF855" w14:textId="77777777" w:rsidR="004D3A22" w:rsidRDefault="004D3A22" w:rsidP="00353DEF">
            <w:pPr>
              <w:spacing w:line="276" w:lineRule="auto"/>
              <w:rPr>
                <w:rFonts w:ascii="Arial" w:eastAsia="Arial" w:hAnsi="Arial" w:cs="Arial"/>
                <w:b/>
                <w:sz w:val="18"/>
                <w:szCs w:val="18"/>
              </w:rPr>
            </w:pPr>
            <w:r>
              <w:rPr>
                <w:rFonts w:ascii="Arial" w:eastAsia="Arial" w:hAnsi="Arial" w:cs="Arial"/>
                <w:b/>
                <w:sz w:val="18"/>
                <w:szCs w:val="18"/>
              </w:rPr>
              <w:t>0.950</w:t>
            </w:r>
          </w:p>
        </w:tc>
        <w:tc>
          <w:tcPr>
            <w:tcW w:w="885" w:type="dxa"/>
            <w:vAlign w:val="center"/>
          </w:tcPr>
          <w:p w14:paraId="7FDF898D" w14:textId="77777777" w:rsidR="004D3A22" w:rsidRDefault="004D3A22" w:rsidP="00353DEF">
            <w:pPr>
              <w:spacing w:line="276" w:lineRule="auto"/>
              <w:rPr>
                <w:rFonts w:ascii="Arial" w:eastAsia="Arial" w:hAnsi="Arial" w:cs="Arial"/>
                <w:b/>
                <w:sz w:val="18"/>
                <w:szCs w:val="18"/>
              </w:rPr>
            </w:pPr>
            <w:r>
              <w:rPr>
                <w:rFonts w:ascii="Arial" w:eastAsia="Arial" w:hAnsi="Arial" w:cs="Arial"/>
                <w:b/>
                <w:sz w:val="18"/>
                <w:szCs w:val="18"/>
              </w:rPr>
              <w:t>6,907</w:t>
            </w:r>
          </w:p>
        </w:tc>
        <w:tc>
          <w:tcPr>
            <w:tcW w:w="900" w:type="dxa"/>
            <w:vAlign w:val="center"/>
          </w:tcPr>
          <w:p w14:paraId="3DACDAA9" w14:textId="77777777" w:rsidR="004D3A22" w:rsidRDefault="004D3A22" w:rsidP="00353DEF">
            <w:pPr>
              <w:spacing w:line="276" w:lineRule="auto"/>
              <w:rPr>
                <w:rFonts w:ascii="Arial" w:eastAsia="Arial" w:hAnsi="Arial" w:cs="Arial"/>
                <w:b/>
                <w:sz w:val="18"/>
                <w:szCs w:val="18"/>
              </w:rPr>
            </w:pPr>
            <w:r>
              <w:rPr>
                <w:rFonts w:ascii="Arial" w:eastAsia="Arial" w:hAnsi="Arial" w:cs="Arial"/>
                <w:b/>
                <w:sz w:val="18"/>
                <w:szCs w:val="18"/>
              </w:rPr>
              <w:t>0.02</w:t>
            </w:r>
          </w:p>
        </w:tc>
        <w:tc>
          <w:tcPr>
            <w:tcW w:w="1155" w:type="dxa"/>
            <w:vAlign w:val="center"/>
          </w:tcPr>
          <w:p w14:paraId="2B4D69BA" w14:textId="77777777" w:rsidR="004D3A22" w:rsidRDefault="004D3A22" w:rsidP="00353DEF">
            <w:pPr>
              <w:spacing w:line="276" w:lineRule="auto"/>
              <w:rPr>
                <w:rFonts w:ascii="Arial" w:eastAsia="Arial" w:hAnsi="Arial" w:cs="Arial"/>
                <w:b/>
                <w:sz w:val="18"/>
                <w:szCs w:val="18"/>
              </w:rPr>
            </w:pPr>
            <w:r>
              <w:rPr>
                <w:rFonts w:ascii="Arial" w:eastAsia="Arial" w:hAnsi="Arial" w:cs="Arial"/>
                <w:b/>
                <w:sz w:val="18"/>
                <w:szCs w:val="18"/>
              </w:rPr>
              <w:t>0.70</w:t>
            </w:r>
          </w:p>
        </w:tc>
        <w:tc>
          <w:tcPr>
            <w:tcW w:w="1470" w:type="dxa"/>
          </w:tcPr>
          <w:p w14:paraId="53DDC05D" w14:textId="77777777" w:rsidR="004D3A22" w:rsidRDefault="004D3A22" w:rsidP="00353DEF">
            <w:pPr>
              <w:spacing w:line="360" w:lineRule="auto"/>
              <w:ind w:right="967"/>
              <w:rPr>
                <w:rFonts w:ascii="Arial" w:eastAsia="Arial" w:hAnsi="Arial" w:cs="Arial"/>
                <w:b/>
                <w:sz w:val="18"/>
                <w:szCs w:val="18"/>
              </w:rPr>
            </w:pPr>
            <w:r>
              <w:rPr>
                <w:rFonts w:ascii="Arial" w:eastAsia="Arial" w:hAnsi="Arial" w:cs="Arial"/>
                <w:b/>
                <w:sz w:val="18"/>
                <w:szCs w:val="18"/>
              </w:rPr>
              <w:t>2</w:t>
            </w:r>
          </w:p>
        </w:tc>
      </w:tr>
      <w:tr w:rsidR="004D3A22" w14:paraId="3C18934D" w14:textId="77777777" w:rsidTr="00353DEF">
        <w:tc>
          <w:tcPr>
            <w:tcW w:w="1700" w:type="dxa"/>
            <w:vAlign w:val="center"/>
          </w:tcPr>
          <w:p w14:paraId="3D46D429"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5</w:t>
            </w:r>
          </w:p>
        </w:tc>
        <w:tc>
          <w:tcPr>
            <w:tcW w:w="675" w:type="dxa"/>
            <w:vAlign w:val="center"/>
          </w:tcPr>
          <w:p w14:paraId="6145FA57"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40</w:t>
            </w:r>
          </w:p>
        </w:tc>
        <w:tc>
          <w:tcPr>
            <w:tcW w:w="960" w:type="dxa"/>
            <w:vAlign w:val="center"/>
          </w:tcPr>
          <w:p w14:paraId="54A1C674"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0.055</w:t>
            </w:r>
          </w:p>
        </w:tc>
        <w:tc>
          <w:tcPr>
            <w:tcW w:w="1485" w:type="dxa"/>
            <w:vAlign w:val="center"/>
          </w:tcPr>
          <w:p w14:paraId="5D472ABA"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[0.053, 0.057]</w:t>
            </w:r>
          </w:p>
        </w:tc>
        <w:tc>
          <w:tcPr>
            <w:tcW w:w="930" w:type="dxa"/>
            <w:vAlign w:val="center"/>
          </w:tcPr>
          <w:p w14:paraId="0E3F1291"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0.974</w:t>
            </w:r>
          </w:p>
        </w:tc>
        <w:tc>
          <w:tcPr>
            <w:tcW w:w="885" w:type="dxa"/>
            <w:vAlign w:val="center"/>
          </w:tcPr>
          <w:p w14:paraId="24B7F4DB"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2,665</w:t>
            </w:r>
          </w:p>
        </w:tc>
        <w:tc>
          <w:tcPr>
            <w:tcW w:w="900" w:type="dxa"/>
            <w:vAlign w:val="center"/>
          </w:tcPr>
          <w:p w14:paraId="40394788"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0.02</w:t>
            </w:r>
          </w:p>
        </w:tc>
        <w:tc>
          <w:tcPr>
            <w:tcW w:w="1155" w:type="dxa"/>
            <w:vAlign w:val="center"/>
          </w:tcPr>
          <w:p w14:paraId="7079FB4E"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0.72</w:t>
            </w:r>
          </w:p>
        </w:tc>
        <w:tc>
          <w:tcPr>
            <w:tcW w:w="1470" w:type="dxa"/>
          </w:tcPr>
          <w:p w14:paraId="12AAC371" w14:textId="77777777" w:rsidR="004D3A22" w:rsidRDefault="004D3A22" w:rsidP="00353DEF">
            <w:pPr>
              <w:spacing w:line="360" w:lineRule="auto"/>
              <w:rPr>
                <w:rFonts w:ascii="Arial" w:eastAsia="Arial" w:hAnsi="Arial" w:cs="Arial"/>
                <w:sz w:val="18"/>
                <w:szCs w:val="18"/>
              </w:rPr>
            </w:pPr>
            <w:r>
              <w:rPr>
                <w:rFonts w:ascii="Arial" w:eastAsia="Arial" w:hAnsi="Arial" w:cs="Arial"/>
                <w:sz w:val="18"/>
                <w:szCs w:val="18"/>
              </w:rPr>
              <w:t>0</w:t>
            </w:r>
          </w:p>
        </w:tc>
      </w:tr>
      <w:tr w:rsidR="004D3A22" w14:paraId="142FE253" w14:textId="77777777" w:rsidTr="00353DEF">
        <w:tc>
          <w:tcPr>
            <w:tcW w:w="1700" w:type="dxa"/>
            <w:tcBorders>
              <w:bottom w:val="single" w:sz="4" w:space="0" w:color="000000"/>
            </w:tcBorders>
            <w:vAlign w:val="center"/>
          </w:tcPr>
          <w:p w14:paraId="15D7D53B"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6</w:t>
            </w:r>
          </w:p>
        </w:tc>
        <w:tc>
          <w:tcPr>
            <w:tcW w:w="675" w:type="dxa"/>
            <w:tcBorders>
              <w:bottom w:val="single" w:sz="4" w:space="0" w:color="000000"/>
            </w:tcBorders>
            <w:vAlign w:val="center"/>
          </w:tcPr>
          <w:p w14:paraId="141BED43"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30</w:t>
            </w:r>
          </w:p>
        </w:tc>
        <w:tc>
          <w:tcPr>
            <w:tcW w:w="960" w:type="dxa"/>
            <w:tcBorders>
              <w:bottom w:val="single" w:sz="4" w:space="0" w:color="000000"/>
            </w:tcBorders>
            <w:vAlign w:val="center"/>
          </w:tcPr>
          <w:p w14:paraId="0E69D8FE"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0.040</w:t>
            </w:r>
          </w:p>
        </w:tc>
        <w:tc>
          <w:tcPr>
            <w:tcW w:w="1485" w:type="dxa"/>
            <w:tcBorders>
              <w:bottom w:val="single" w:sz="4" w:space="0" w:color="000000"/>
            </w:tcBorders>
            <w:vAlign w:val="center"/>
          </w:tcPr>
          <w:p w14:paraId="0DB63DDA"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[0.038, 0.042]</w:t>
            </w:r>
          </w:p>
        </w:tc>
        <w:tc>
          <w:tcPr>
            <w:tcW w:w="930" w:type="dxa"/>
            <w:tcBorders>
              <w:bottom w:val="single" w:sz="4" w:space="0" w:color="000000"/>
            </w:tcBorders>
            <w:vAlign w:val="center"/>
          </w:tcPr>
          <w:p w14:paraId="236F82CE"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0.986</w:t>
            </w:r>
          </w:p>
        </w:tc>
        <w:tc>
          <w:tcPr>
            <w:tcW w:w="885" w:type="dxa"/>
            <w:tcBorders>
              <w:bottom w:val="single" w:sz="4" w:space="0" w:color="000000"/>
            </w:tcBorders>
            <w:vAlign w:val="center"/>
          </w:tcPr>
          <w:p w14:paraId="07F9CB91"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931</w:t>
            </w:r>
          </w:p>
        </w:tc>
        <w:tc>
          <w:tcPr>
            <w:tcW w:w="900" w:type="dxa"/>
            <w:tcBorders>
              <w:bottom w:val="single" w:sz="4" w:space="0" w:color="000000"/>
            </w:tcBorders>
            <w:vAlign w:val="center"/>
          </w:tcPr>
          <w:p w14:paraId="15032C08"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0.01</w:t>
            </w:r>
          </w:p>
        </w:tc>
        <w:tc>
          <w:tcPr>
            <w:tcW w:w="1155" w:type="dxa"/>
            <w:tcBorders>
              <w:bottom w:val="single" w:sz="4" w:space="0" w:color="000000"/>
            </w:tcBorders>
            <w:vAlign w:val="center"/>
          </w:tcPr>
          <w:p w14:paraId="35BCE4C8" w14:textId="77777777" w:rsidR="004D3A22" w:rsidRDefault="004D3A22" w:rsidP="00353DEF">
            <w:pPr>
              <w:spacing w:line="276" w:lineRule="auto"/>
              <w:rPr>
                <w:rFonts w:ascii="Arial" w:eastAsia="Arial" w:hAnsi="Arial" w:cs="Arial"/>
                <w:sz w:val="18"/>
                <w:szCs w:val="18"/>
              </w:rPr>
            </w:pPr>
            <w:r>
              <w:rPr>
                <w:rFonts w:ascii="Arial" w:eastAsia="Arial" w:hAnsi="Arial" w:cs="Arial"/>
                <w:sz w:val="18"/>
                <w:szCs w:val="18"/>
              </w:rPr>
              <w:t>0.74</w:t>
            </w:r>
          </w:p>
        </w:tc>
        <w:tc>
          <w:tcPr>
            <w:tcW w:w="1470" w:type="dxa"/>
            <w:tcBorders>
              <w:bottom w:val="single" w:sz="4" w:space="0" w:color="000000"/>
            </w:tcBorders>
          </w:tcPr>
          <w:p w14:paraId="2AA19723" w14:textId="77777777" w:rsidR="004D3A22" w:rsidRDefault="004D3A22" w:rsidP="00353DEF">
            <w:pPr>
              <w:spacing w:line="360" w:lineRule="auto"/>
              <w:rPr>
                <w:rFonts w:ascii="Arial" w:eastAsia="Arial" w:hAnsi="Arial" w:cs="Arial"/>
                <w:sz w:val="18"/>
                <w:szCs w:val="18"/>
              </w:rPr>
            </w:pPr>
            <w:r>
              <w:rPr>
                <w:rFonts w:ascii="Arial" w:eastAsia="Arial" w:hAnsi="Arial" w:cs="Arial"/>
                <w:sz w:val="18"/>
                <w:szCs w:val="18"/>
              </w:rPr>
              <w:t>0</w:t>
            </w:r>
          </w:p>
        </w:tc>
      </w:tr>
      <w:tr w:rsidR="004D3A22" w14:paraId="7FF97A83" w14:textId="77777777" w:rsidTr="00353DEF">
        <w:tc>
          <w:tcPr>
            <w:tcW w:w="10160" w:type="dxa"/>
            <w:gridSpan w:val="9"/>
            <w:tcBorders>
              <w:top w:val="single" w:sz="4" w:space="0" w:color="000000"/>
            </w:tcBorders>
            <w:vAlign w:val="center"/>
          </w:tcPr>
          <w:p w14:paraId="0C0A3E02" w14:textId="77777777" w:rsidR="004D3A22" w:rsidRDefault="004D3A22" w:rsidP="00353DEF">
            <w:pPr>
              <w:ind w:right="838"/>
              <w:jc w:val="both"/>
              <w:rPr>
                <w:rFonts w:ascii="Arial" w:eastAsia="Arial" w:hAnsi="Arial" w:cs="Arial"/>
                <w:sz w:val="18"/>
                <w:szCs w:val="18"/>
              </w:rPr>
            </w:pPr>
            <w:r>
              <w:rPr>
                <w:rFonts w:ascii="Arial" w:eastAsia="Arial" w:hAnsi="Arial" w:cs="Arial"/>
                <w:sz w:val="18"/>
                <w:szCs w:val="18"/>
              </w:rPr>
              <w:t xml:space="preserve">df: Degrees of freedom; RMSEA: Root mean square error of approximation; TLI: Tucker-Lewis fit index; BIC: Bayesian information criterion; SRMR: standardised root </w:t>
            </w:r>
            <w:proofErr w:type="gramStart"/>
            <w:r>
              <w:rPr>
                <w:rFonts w:ascii="Arial" w:eastAsia="Arial" w:hAnsi="Arial" w:cs="Arial"/>
                <w:sz w:val="18"/>
                <w:szCs w:val="18"/>
              </w:rPr>
              <w:t>mean</w:t>
            </w:r>
            <w:proofErr w:type="gramEnd"/>
            <w:r>
              <w:rPr>
                <w:rFonts w:ascii="Arial" w:eastAsia="Arial" w:hAnsi="Arial" w:cs="Arial"/>
                <w:sz w:val="18"/>
                <w:szCs w:val="18"/>
              </w:rPr>
              <w:t xml:space="preserve"> square residuals. The cut off for each statistic to signify “good” fit is listed in each header (Hu &amp; </w:t>
            </w:r>
            <w:proofErr w:type="spellStart"/>
            <w:r>
              <w:rPr>
                <w:rFonts w:ascii="Arial" w:eastAsia="Arial" w:hAnsi="Arial" w:cs="Arial"/>
                <w:sz w:val="18"/>
                <w:szCs w:val="18"/>
              </w:rPr>
              <w:t>Bentler</w:t>
            </w:r>
            <w:proofErr w:type="spellEnd"/>
            <w:r>
              <w:rPr>
                <w:rFonts w:ascii="Arial" w:eastAsia="Arial" w:hAnsi="Arial" w:cs="Arial"/>
                <w:sz w:val="18"/>
                <w:szCs w:val="18"/>
              </w:rPr>
              <w:t xml:space="preserve">, 1999). The model with the lowest BIC is preferred. Cumulative variance is given as an indicator of the variance explained between items by the number of factors in each model.    </w:t>
            </w:r>
          </w:p>
        </w:tc>
      </w:tr>
    </w:tbl>
    <w:p w14:paraId="542DC7E2" w14:textId="77777777" w:rsidR="00D73A17" w:rsidRDefault="00D73A17" w:rsidP="00D73A17">
      <w:pPr>
        <w:spacing w:line="360" w:lineRule="auto"/>
        <w:jc w:val="both"/>
        <w:rPr>
          <w:b/>
        </w:rPr>
      </w:pPr>
    </w:p>
    <w:p w14:paraId="29DFAB33" w14:textId="77777777" w:rsidR="00D73A17" w:rsidRDefault="00D73A17" w:rsidP="00D73A17">
      <w:pPr>
        <w:spacing w:line="360" w:lineRule="auto"/>
        <w:jc w:val="both"/>
        <w:rPr>
          <w:i/>
        </w:rPr>
      </w:pPr>
      <w:r>
        <w:rPr>
          <w:b/>
          <w:i/>
        </w:rPr>
        <w:t>Table 3.</w:t>
      </w:r>
      <w:r>
        <w:rPr>
          <w:i/>
        </w:rPr>
        <w:t xml:space="preserve"> Age and sex-related variability in the four factors of Generalized Anxiety Disorder 7-item (GAD-7) and Patient Health Questionnaire-9 (PHQ-9) symptoms in the Genetic Links to Anxiety and Depression (GLAD) Study (N</w:t>
      </w:r>
      <w:r>
        <w:t>=35,637</w:t>
      </w:r>
      <w:r>
        <w:rPr>
          <w:i/>
        </w:rPr>
        <w:t xml:space="preserve">). </w:t>
      </w:r>
    </w:p>
    <w:tbl>
      <w:tblPr>
        <w:tblStyle w:val="a1"/>
        <w:tblW w:w="9068"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413"/>
        <w:gridCol w:w="1134"/>
        <w:gridCol w:w="1134"/>
        <w:gridCol w:w="2977"/>
        <w:gridCol w:w="1134"/>
        <w:gridCol w:w="1276"/>
      </w:tblGrid>
      <w:tr w:rsidR="00D73A17" w14:paraId="7EA6C603" w14:textId="77777777" w:rsidTr="00353DEF">
        <w:trPr>
          <w:trHeight w:val="510"/>
        </w:trPr>
        <w:tc>
          <w:tcPr>
            <w:tcW w:w="1413" w:type="dxa"/>
            <w:tcBorders>
              <w:bottom w:val="single" w:sz="4" w:space="0" w:color="000000"/>
            </w:tcBorders>
            <w:vAlign w:val="center"/>
          </w:tcPr>
          <w:p w14:paraId="04B77E20" w14:textId="77777777" w:rsidR="00D73A17" w:rsidRDefault="00D73A17" w:rsidP="00353DEF">
            <w:pPr>
              <w:rPr>
                <w:rFonts w:ascii="Arial" w:eastAsia="Arial" w:hAnsi="Arial" w:cs="Arial"/>
                <w:sz w:val="18"/>
                <w:szCs w:val="18"/>
              </w:rPr>
            </w:pPr>
            <w:r>
              <w:rPr>
                <w:rFonts w:ascii="Arial" w:eastAsia="Arial" w:hAnsi="Arial" w:cs="Arial"/>
                <w:sz w:val="18"/>
                <w:szCs w:val="18"/>
              </w:rPr>
              <w:t>Factor</w:t>
            </w:r>
          </w:p>
        </w:tc>
        <w:tc>
          <w:tcPr>
            <w:tcW w:w="1134" w:type="dxa"/>
            <w:tcBorders>
              <w:bottom w:val="single" w:sz="4" w:space="0" w:color="000000"/>
            </w:tcBorders>
            <w:vAlign w:val="center"/>
          </w:tcPr>
          <w:p w14:paraId="0E6E46C1" w14:textId="77777777" w:rsidR="00D73A17" w:rsidRDefault="00D73A17" w:rsidP="00353DEF">
            <w:pPr>
              <w:rPr>
                <w:rFonts w:ascii="Arial" w:eastAsia="Arial" w:hAnsi="Arial" w:cs="Arial"/>
                <w:sz w:val="18"/>
                <w:szCs w:val="18"/>
              </w:rPr>
            </w:pPr>
            <w:r>
              <w:rPr>
                <w:rFonts w:ascii="Arial" w:eastAsia="Arial" w:hAnsi="Arial" w:cs="Arial"/>
                <w:sz w:val="18"/>
                <w:szCs w:val="18"/>
              </w:rPr>
              <w:t>Age variability</w:t>
            </w:r>
          </w:p>
        </w:tc>
        <w:tc>
          <w:tcPr>
            <w:tcW w:w="1134" w:type="dxa"/>
            <w:tcBorders>
              <w:bottom w:val="single" w:sz="4" w:space="0" w:color="000000"/>
            </w:tcBorders>
            <w:vAlign w:val="center"/>
          </w:tcPr>
          <w:p w14:paraId="379D0546" w14:textId="77777777" w:rsidR="00D73A17" w:rsidRDefault="00D73A17" w:rsidP="00353DEF">
            <w:pPr>
              <w:rPr>
                <w:rFonts w:ascii="Arial" w:eastAsia="Arial" w:hAnsi="Arial" w:cs="Arial"/>
                <w:sz w:val="18"/>
                <w:szCs w:val="18"/>
              </w:rPr>
            </w:pPr>
            <w:r>
              <w:rPr>
                <w:rFonts w:ascii="Arial" w:eastAsia="Arial" w:hAnsi="Arial" w:cs="Arial"/>
                <w:sz w:val="18"/>
                <w:szCs w:val="18"/>
              </w:rPr>
              <w:t>Sex variability</w:t>
            </w:r>
          </w:p>
        </w:tc>
        <w:tc>
          <w:tcPr>
            <w:tcW w:w="2977" w:type="dxa"/>
            <w:tcBorders>
              <w:bottom w:val="single" w:sz="4" w:space="0" w:color="000000"/>
            </w:tcBorders>
            <w:vAlign w:val="center"/>
          </w:tcPr>
          <w:p w14:paraId="1DE019E3" w14:textId="77777777" w:rsidR="00D73A17" w:rsidRDefault="00D73A17" w:rsidP="00353DEF">
            <w:pPr>
              <w:rPr>
                <w:rFonts w:ascii="Arial" w:eastAsia="Arial" w:hAnsi="Arial" w:cs="Arial"/>
                <w:sz w:val="18"/>
                <w:szCs w:val="18"/>
              </w:rPr>
            </w:pPr>
            <w:r>
              <w:rPr>
                <w:rFonts w:ascii="Arial" w:eastAsia="Arial" w:hAnsi="Arial" w:cs="Arial"/>
                <w:sz w:val="18"/>
                <w:szCs w:val="18"/>
              </w:rPr>
              <w:t>Symptom</w:t>
            </w:r>
          </w:p>
        </w:tc>
        <w:tc>
          <w:tcPr>
            <w:tcW w:w="1134" w:type="dxa"/>
            <w:tcBorders>
              <w:bottom w:val="single" w:sz="4" w:space="0" w:color="000000"/>
            </w:tcBorders>
            <w:vAlign w:val="center"/>
          </w:tcPr>
          <w:p w14:paraId="394DC992" w14:textId="77777777" w:rsidR="00D73A17" w:rsidRDefault="00D73A17" w:rsidP="00353DEF">
            <w:pPr>
              <w:rPr>
                <w:rFonts w:ascii="Arial" w:eastAsia="Arial" w:hAnsi="Arial" w:cs="Arial"/>
                <w:sz w:val="18"/>
                <w:szCs w:val="18"/>
              </w:rPr>
            </w:pPr>
            <w:r>
              <w:rPr>
                <w:rFonts w:ascii="Arial" w:eastAsia="Arial" w:hAnsi="Arial" w:cs="Arial"/>
                <w:sz w:val="18"/>
                <w:szCs w:val="18"/>
              </w:rPr>
              <w:t>Age variability</w:t>
            </w:r>
          </w:p>
        </w:tc>
        <w:tc>
          <w:tcPr>
            <w:tcW w:w="1276" w:type="dxa"/>
            <w:tcBorders>
              <w:bottom w:val="single" w:sz="4" w:space="0" w:color="000000"/>
            </w:tcBorders>
            <w:vAlign w:val="center"/>
          </w:tcPr>
          <w:p w14:paraId="783AB10A" w14:textId="77777777" w:rsidR="00D73A17" w:rsidRDefault="00D73A17" w:rsidP="00353DEF">
            <w:pPr>
              <w:rPr>
                <w:rFonts w:ascii="Arial" w:eastAsia="Arial" w:hAnsi="Arial" w:cs="Arial"/>
                <w:sz w:val="18"/>
                <w:szCs w:val="18"/>
              </w:rPr>
            </w:pPr>
            <w:r>
              <w:rPr>
                <w:rFonts w:ascii="Arial" w:eastAsia="Arial" w:hAnsi="Arial" w:cs="Arial"/>
                <w:sz w:val="18"/>
                <w:szCs w:val="18"/>
              </w:rPr>
              <w:t>Sex variability</w:t>
            </w:r>
          </w:p>
        </w:tc>
      </w:tr>
      <w:tr w:rsidR="00D73A17" w14:paraId="01A8CFF2" w14:textId="77777777" w:rsidTr="00353DEF">
        <w:trPr>
          <w:trHeight w:val="420"/>
        </w:trPr>
        <w:tc>
          <w:tcPr>
            <w:tcW w:w="1413" w:type="dxa"/>
            <w:tcBorders>
              <w:top w:val="single" w:sz="4" w:space="0" w:color="000000"/>
            </w:tcBorders>
            <w:vAlign w:val="center"/>
          </w:tcPr>
          <w:p w14:paraId="5F076B2E" w14:textId="77777777" w:rsidR="00D73A17" w:rsidRDefault="00D73A17" w:rsidP="00353DEF">
            <w:pPr>
              <w:rPr>
                <w:rFonts w:ascii="Arial" w:eastAsia="Arial" w:hAnsi="Arial" w:cs="Arial"/>
                <w:sz w:val="18"/>
                <w:szCs w:val="18"/>
              </w:rPr>
            </w:pPr>
            <w:r>
              <w:rPr>
                <w:rFonts w:ascii="Arial" w:eastAsia="Arial" w:hAnsi="Arial" w:cs="Arial"/>
                <w:sz w:val="18"/>
                <w:szCs w:val="18"/>
              </w:rPr>
              <w:t>Mood symptoms</w:t>
            </w:r>
          </w:p>
        </w:tc>
        <w:tc>
          <w:tcPr>
            <w:tcW w:w="1134" w:type="dxa"/>
            <w:tcBorders>
              <w:top w:val="single" w:sz="4" w:space="0" w:color="000000"/>
            </w:tcBorders>
            <w:vAlign w:val="center"/>
          </w:tcPr>
          <w:p w14:paraId="3AA7BAEC"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w:t>
            </w:r>
          </w:p>
        </w:tc>
        <w:tc>
          <w:tcPr>
            <w:tcW w:w="1134" w:type="dxa"/>
            <w:tcBorders>
              <w:top w:val="single" w:sz="4" w:space="0" w:color="000000"/>
            </w:tcBorders>
            <w:vAlign w:val="center"/>
          </w:tcPr>
          <w:p w14:paraId="4FBAC933"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M</w:t>
            </w:r>
          </w:p>
        </w:tc>
        <w:tc>
          <w:tcPr>
            <w:tcW w:w="2977" w:type="dxa"/>
            <w:tcBorders>
              <w:top w:val="single" w:sz="4" w:space="0" w:color="000000"/>
            </w:tcBorders>
            <w:vAlign w:val="center"/>
          </w:tcPr>
          <w:p w14:paraId="4BC57EB8" w14:textId="77777777" w:rsidR="00D73A17" w:rsidRDefault="00D73A17" w:rsidP="00353DEF">
            <w:pPr>
              <w:rPr>
                <w:rFonts w:ascii="Arial" w:eastAsia="Arial" w:hAnsi="Arial" w:cs="Arial"/>
                <w:sz w:val="18"/>
                <w:szCs w:val="18"/>
              </w:rPr>
            </w:pPr>
            <w:r>
              <w:rPr>
                <w:rFonts w:ascii="Arial" w:eastAsia="Arial" w:hAnsi="Arial" w:cs="Arial"/>
                <w:sz w:val="18"/>
                <w:szCs w:val="18"/>
              </w:rPr>
              <w:t>Suicide ideation</w:t>
            </w:r>
          </w:p>
        </w:tc>
        <w:tc>
          <w:tcPr>
            <w:tcW w:w="1134" w:type="dxa"/>
            <w:tcBorders>
              <w:top w:val="single" w:sz="4" w:space="0" w:color="000000"/>
            </w:tcBorders>
            <w:vAlign w:val="center"/>
          </w:tcPr>
          <w:p w14:paraId="729B46D6" w14:textId="77777777" w:rsidR="00D73A17" w:rsidRDefault="00D73A17" w:rsidP="00353DEF">
            <w:pPr>
              <w:jc w:val="center"/>
              <w:rPr>
                <w:rFonts w:ascii="Arial" w:eastAsia="Arial" w:hAnsi="Arial" w:cs="Arial"/>
                <w:sz w:val="18"/>
                <w:szCs w:val="18"/>
              </w:rPr>
            </w:pPr>
            <w:r>
              <w:rPr>
                <w:rFonts w:ascii="Symbol" w:eastAsia="Symbol" w:hAnsi="Symbol" w:cs="Symbol"/>
                <w:sz w:val="18"/>
                <w:szCs w:val="18"/>
              </w:rPr>
              <w:t>↓</w:t>
            </w:r>
          </w:p>
        </w:tc>
        <w:tc>
          <w:tcPr>
            <w:tcW w:w="1276" w:type="dxa"/>
            <w:tcBorders>
              <w:top w:val="single" w:sz="4" w:space="0" w:color="000000"/>
            </w:tcBorders>
            <w:vAlign w:val="center"/>
          </w:tcPr>
          <w:p w14:paraId="49F97275"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M</w:t>
            </w:r>
          </w:p>
        </w:tc>
      </w:tr>
      <w:tr w:rsidR="00D73A17" w14:paraId="60E93C63" w14:textId="77777777" w:rsidTr="00353DEF">
        <w:trPr>
          <w:trHeight w:val="420"/>
        </w:trPr>
        <w:tc>
          <w:tcPr>
            <w:tcW w:w="1413" w:type="dxa"/>
            <w:vAlign w:val="center"/>
          </w:tcPr>
          <w:p w14:paraId="443E176F" w14:textId="77777777" w:rsidR="00D73A17" w:rsidRDefault="00D73A17" w:rsidP="00353DEF">
            <w:pPr>
              <w:rPr>
                <w:rFonts w:ascii="Arial" w:eastAsia="Arial" w:hAnsi="Arial" w:cs="Arial"/>
                <w:sz w:val="18"/>
                <w:szCs w:val="18"/>
              </w:rPr>
            </w:pPr>
          </w:p>
        </w:tc>
        <w:tc>
          <w:tcPr>
            <w:tcW w:w="1134" w:type="dxa"/>
            <w:vAlign w:val="center"/>
          </w:tcPr>
          <w:p w14:paraId="1D15D0B9" w14:textId="77777777" w:rsidR="00D73A17" w:rsidRDefault="00D73A17" w:rsidP="00353DEF">
            <w:pPr>
              <w:jc w:val="center"/>
              <w:rPr>
                <w:rFonts w:ascii="Arial" w:eastAsia="Arial" w:hAnsi="Arial" w:cs="Arial"/>
                <w:sz w:val="18"/>
                <w:szCs w:val="18"/>
              </w:rPr>
            </w:pPr>
          </w:p>
        </w:tc>
        <w:tc>
          <w:tcPr>
            <w:tcW w:w="1134" w:type="dxa"/>
            <w:vAlign w:val="center"/>
          </w:tcPr>
          <w:p w14:paraId="68F50E83" w14:textId="77777777" w:rsidR="00D73A17" w:rsidRDefault="00D73A17" w:rsidP="00353DEF">
            <w:pPr>
              <w:jc w:val="center"/>
              <w:rPr>
                <w:rFonts w:ascii="Arial" w:eastAsia="Arial" w:hAnsi="Arial" w:cs="Arial"/>
                <w:sz w:val="18"/>
                <w:szCs w:val="18"/>
              </w:rPr>
            </w:pPr>
          </w:p>
        </w:tc>
        <w:tc>
          <w:tcPr>
            <w:tcW w:w="2977" w:type="dxa"/>
            <w:vAlign w:val="center"/>
          </w:tcPr>
          <w:p w14:paraId="1C3AB878" w14:textId="77777777" w:rsidR="00D73A17" w:rsidRDefault="00D73A17" w:rsidP="00353DEF">
            <w:pPr>
              <w:rPr>
                <w:rFonts w:ascii="Arial" w:eastAsia="Arial" w:hAnsi="Arial" w:cs="Arial"/>
                <w:sz w:val="18"/>
                <w:szCs w:val="18"/>
              </w:rPr>
            </w:pPr>
            <w:r>
              <w:rPr>
                <w:rFonts w:ascii="Arial" w:eastAsia="Arial" w:hAnsi="Arial" w:cs="Arial"/>
                <w:sz w:val="18"/>
                <w:szCs w:val="18"/>
              </w:rPr>
              <w:t>Depressed mood</w:t>
            </w:r>
          </w:p>
        </w:tc>
        <w:tc>
          <w:tcPr>
            <w:tcW w:w="1134" w:type="dxa"/>
            <w:vAlign w:val="center"/>
          </w:tcPr>
          <w:p w14:paraId="13C39742"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w:t>
            </w:r>
          </w:p>
        </w:tc>
        <w:tc>
          <w:tcPr>
            <w:tcW w:w="1276" w:type="dxa"/>
            <w:vAlign w:val="center"/>
          </w:tcPr>
          <w:p w14:paraId="518E7347"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M</w:t>
            </w:r>
          </w:p>
        </w:tc>
      </w:tr>
      <w:tr w:rsidR="00D73A17" w14:paraId="52255686" w14:textId="77777777" w:rsidTr="00353DEF">
        <w:trPr>
          <w:trHeight w:val="420"/>
        </w:trPr>
        <w:tc>
          <w:tcPr>
            <w:tcW w:w="1413" w:type="dxa"/>
            <w:vAlign w:val="center"/>
          </w:tcPr>
          <w:p w14:paraId="6EBE9ABF" w14:textId="77777777" w:rsidR="00D73A17" w:rsidRDefault="00D73A17" w:rsidP="00353DEF">
            <w:pPr>
              <w:rPr>
                <w:rFonts w:ascii="Arial" w:eastAsia="Arial" w:hAnsi="Arial" w:cs="Arial"/>
                <w:sz w:val="18"/>
                <w:szCs w:val="18"/>
              </w:rPr>
            </w:pPr>
          </w:p>
        </w:tc>
        <w:tc>
          <w:tcPr>
            <w:tcW w:w="1134" w:type="dxa"/>
            <w:vAlign w:val="center"/>
          </w:tcPr>
          <w:p w14:paraId="21438A19" w14:textId="77777777" w:rsidR="00D73A17" w:rsidRDefault="00D73A17" w:rsidP="00353DEF">
            <w:pPr>
              <w:jc w:val="center"/>
              <w:rPr>
                <w:rFonts w:ascii="Arial" w:eastAsia="Arial" w:hAnsi="Arial" w:cs="Arial"/>
                <w:sz w:val="18"/>
                <w:szCs w:val="18"/>
              </w:rPr>
            </w:pPr>
          </w:p>
        </w:tc>
        <w:tc>
          <w:tcPr>
            <w:tcW w:w="1134" w:type="dxa"/>
            <w:vAlign w:val="center"/>
          </w:tcPr>
          <w:p w14:paraId="3715AC89" w14:textId="77777777" w:rsidR="00D73A17" w:rsidRDefault="00D73A17" w:rsidP="00353DEF">
            <w:pPr>
              <w:jc w:val="center"/>
              <w:rPr>
                <w:rFonts w:ascii="Arial" w:eastAsia="Arial" w:hAnsi="Arial" w:cs="Arial"/>
                <w:sz w:val="18"/>
                <w:szCs w:val="18"/>
              </w:rPr>
            </w:pPr>
          </w:p>
        </w:tc>
        <w:tc>
          <w:tcPr>
            <w:tcW w:w="2977" w:type="dxa"/>
            <w:vAlign w:val="center"/>
          </w:tcPr>
          <w:p w14:paraId="5588DA3C" w14:textId="77777777" w:rsidR="00D73A17" w:rsidRDefault="00D73A17" w:rsidP="00353DEF">
            <w:pPr>
              <w:rPr>
                <w:rFonts w:ascii="Arial" w:eastAsia="Arial" w:hAnsi="Arial" w:cs="Arial"/>
                <w:sz w:val="18"/>
                <w:szCs w:val="18"/>
              </w:rPr>
            </w:pPr>
            <w:r>
              <w:rPr>
                <w:rFonts w:ascii="Arial" w:eastAsia="Arial" w:hAnsi="Arial" w:cs="Arial"/>
                <w:sz w:val="18"/>
                <w:szCs w:val="18"/>
              </w:rPr>
              <w:t>Worthlessness</w:t>
            </w:r>
          </w:p>
        </w:tc>
        <w:tc>
          <w:tcPr>
            <w:tcW w:w="1134" w:type="dxa"/>
            <w:vAlign w:val="center"/>
          </w:tcPr>
          <w:p w14:paraId="7E292129"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w:t>
            </w:r>
          </w:p>
        </w:tc>
        <w:tc>
          <w:tcPr>
            <w:tcW w:w="1276" w:type="dxa"/>
            <w:vAlign w:val="center"/>
          </w:tcPr>
          <w:p w14:paraId="0AEA1B48"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M</w:t>
            </w:r>
          </w:p>
        </w:tc>
      </w:tr>
      <w:tr w:rsidR="00D73A17" w14:paraId="175B75EB" w14:textId="77777777" w:rsidTr="00353DEF">
        <w:trPr>
          <w:trHeight w:val="420"/>
        </w:trPr>
        <w:tc>
          <w:tcPr>
            <w:tcW w:w="1413" w:type="dxa"/>
            <w:vAlign w:val="center"/>
          </w:tcPr>
          <w:p w14:paraId="7D752373" w14:textId="77777777" w:rsidR="00D73A17" w:rsidRDefault="00D73A17" w:rsidP="00353DEF">
            <w:pPr>
              <w:rPr>
                <w:rFonts w:ascii="Arial" w:eastAsia="Arial" w:hAnsi="Arial" w:cs="Arial"/>
                <w:sz w:val="18"/>
                <w:szCs w:val="18"/>
              </w:rPr>
            </w:pPr>
          </w:p>
        </w:tc>
        <w:tc>
          <w:tcPr>
            <w:tcW w:w="1134" w:type="dxa"/>
            <w:vAlign w:val="center"/>
          </w:tcPr>
          <w:p w14:paraId="11DDEBA4" w14:textId="77777777" w:rsidR="00D73A17" w:rsidRDefault="00D73A17" w:rsidP="00353DEF">
            <w:pPr>
              <w:jc w:val="center"/>
              <w:rPr>
                <w:rFonts w:ascii="Arial" w:eastAsia="Arial" w:hAnsi="Arial" w:cs="Arial"/>
                <w:sz w:val="18"/>
                <w:szCs w:val="18"/>
              </w:rPr>
            </w:pPr>
          </w:p>
        </w:tc>
        <w:tc>
          <w:tcPr>
            <w:tcW w:w="1134" w:type="dxa"/>
            <w:vAlign w:val="center"/>
          </w:tcPr>
          <w:p w14:paraId="09A5A59C" w14:textId="77777777" w:rsidR="00D73A17" w:rsidRDefault="00D73A17" w:rsidP="00353DEF">
            <w:pPr>
              <w:jc w:val="center"/>
              <w:rPr>
                <w:rFonts w:ascii="Arial" w:eastAsia="Arial" w:hAnsi="Arial" w:cs="Arial"/>
                <w:sz w:val="18"/>
                <w:szCs w:val="18"/>
              </w:rPr>
            </w:pPr>
          </w:p>
        </w:tc>
        <w:tc>
          <w:tcPr>
            <w:tcW w:w="2977" w:type="dxa"/>
            <w:vAlign w:val="center"/>
          </w:tcPr>
          <w:p w14:paraId="32CEF989" w14:textId="77777777" w:rsidR="00D73A17" w:rsidRDefault="00D73A17" w:rsidP="00353DEF">
            <w:pPr>
              <w:rPr>
                <w:rFonts w:ascii="Arial" w:eastAsia="Arial" w:hAnsi="Arial" w:cs="Arial"/>
                <w:sz w:val="18"/>
                <w:szCs w:val="18"/>
              </w:rPr>
            </w:pPr>
            <w:r>
              <w:rPr>
                <w:rFonts w:ascii="Arial" w:eastAsia="Arial" w:hAnsi="Arial" w:cs="Arial"/>
                <w:sz w:val="18"/>
                <w:szCs w:val="18"/>
              </w:rPr>
              <w:t>Anhedonia</w:t>
            </w:r>
          </w:p>
        </w:tc>
        <w:tc>
          <w:tcPr>
            <w:tcW w:w="1134" w:type="dxa"/>
            <w:vAlign w:val="center"/>
          </w:tcPr>
          <w:p w14:paraId="4947C886"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w:t>
            </w:r>
          </w:p>
        </w:tc>
        <w:tc>
          <w:tcPr>
            <w:tcW w:w="1276" w:type="dxa"/>
            <w:vAlign w:val="center"/>
          </w:tcPr>
          <w:p w14:paraId="61E488A8"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M</w:t>
            </w:r>
          </w:p>
        </w:tc>
      </w:tr>
      <w:tr w:rsidR="00D73A17" w14:paraId="31E89579" w14:textId="77777777" w:rsidTr="00353DEF">
        <w:trPr>
          <w:trHeight w:val="420"/>
        </w:trPr>
        <w:tc>
          <w:tcPr>
            <w:tcW w:w="1413" w:type="dxa"/>
            <w:vAlign w:val="center"/>
          </w:tcPr>
          <w:p w14:paraId="2AC76687" w14:textId="77777777" w:rsidR="00D73A17" w:rsidRDefault="00D73A17" w:rsidP="00353DEF">
            <w:pPr>
              <w:rPr>
                <w:rFonts w:ascii="Arial" w:eastAsia="Arial" w:hAnsi="Arial" w:cs="Arial"/>
                <w:sz w:val="18"/>
                <w:szCs w:val="18"/>
              </w:rPr>
            </w:pPr>
          </w:p>
        </w:tc>
        <w:tc>
          <w:tcPr>
            <w:tcW w:w="1134" w:type="dxa"/>
            <w:vAlign w:val="center"/>
          </w:tcPr>
          <w:p w14:paraId="3EB51EB0" w14:textId="77777777" w:rsidR="00D73A17" w:rsidRDefault="00D73A17" w:rsidP="00353DEF">
            <w:pPr>
              <w:jc w:val="center"/>
              <w:rPr>
                <w:rFonts w:ascii="Arial" w:eastAsia="Arial" w:hAnsi="Arial" w:cs="Arial"/>
                <w:sz w:val="18"/>
                <w:szCs w:val="18"/>
              </w:rPr>
            </w:pPr>
          </w:p>
        </w:tc>
        <w:tc>
          <w:tcPr>
            <w:tcW w:w="1134" w:type="dxa"/>
            <w:vAlign w:val="center"/>
          </w:tcPr>
          <w:p w14:paraId="45671104" w14:textId="77777777" w:rsidR="00D73A17" w:rsidRDefault="00D73A17" w:rsidP="00353DEF">
            <w:pPr>
              <w:jc w:val="center"/>
              <w:rPr>
                <w:rFonts w:ascii="Arial" w:eastAsia="Arial" w:hAnsi="Arial" w:cs="Arial"/>
                <w:sz w:val="18"/>
                <w:szCs w:val="18"/>
              </w:rPr>
            </w:pPr>
          </w:p>
        </w:tc>
        <w:tc>
          <w:tcPr>
            <w:tcW w:w="2977" w:type="dxa"/>
            <w:vAlign w:val="center"/>
          </w:tcPr>
          <w:p w14:paraId="1E04A072" w14:textId="77777777" w:rsidR="00D73A17" w:rsidRDefault="00D73A17" w:rsidP="00353DEF">
            <w:pPr>
              <w:rPr>
                <w:rFonts w:ascii="Arial" w:eastAsia="Arial" w:hAnsi="Arial" w:cs="Arial"/>
                <w:sz w:val="18"/>
                <w:szCs w:val="18"/>
              </w:rPr>
            </w:pPr>
            <w:r>
              <w:rPr>
                <w:rFonts w:ascii="Arial" w:eastAsia="Arial" w:hAnsi="Arial" w:cs="Arial"/>
                <w:sz w:val="18"/>
                <w:szCs w:val="18"/>
              </w:rPr>
              <w:t>Concentration problems</w:t>
            </w:r>
          </w:p>
        </w:tc>
        <w:tc>
          <w:tcPr>
            <w:tcW w:w="1134" w:type="dxa"/>
            <w:vAlign w:val="center"/>
          </w:tcPr>
          <w:p w14:paraId="328BEEA9" w14:textId="77777777" w:rsidR="00D73A17" w:rsidRDefault="00D73A17" w:rsidP="00353DEF">
            <w:pPr>
              <w:jc w:val="center"/>
              <w:rPr>
                <w:rFonts w:ascii="Arial" w:eastAsia="Arial" w:hAnsi="Arial" w:cs="Arial"/>
                <w:sz w:val="18"/>
                <w:szCs w:val="18"/>
              </w:rPr>
            </w:pPr>
            <w:r>
              <w:rPr>
                <w:rFonts w:ascii="Symbol" w:eastAsia="Symbol" w:hAnsi="Symbol" w:cs="Symbol"/>
                <w:sz w:val="18"/>
                <w:szCs w:val="18"/>
              </w:rPr>
              <w:t>↓</w:t>
            </w:r>
          </w:p>
        </w:tc>
        <w:tc>
          <w:tcPr>
            <w:tcW w:w="1276" w:type="dxa"/>
            <w:vAlign w:val="center"/>
          </w:tcPr>
          <w:p w14:paraId="3D4F9A8B"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M</w:t>
            </w:r>
          </w:p>
        </w:tc>
      </w:tr>
      <w:tr w:rsidR="00D73A17" w14:paraId="28A1CC7C" w14:textId="77777777" w:rsidTr="00353DEF">
        <w:trPr>
          <w:trHeight w:val="420"/>
        </w:trPr>
        <w:tc>
          <w:tcPr>
            <w:tcW w:w="1413" w:type="dxa"/>
            <w:vAlign w:val="center"/>
          </w:tcPr>
          <w:p w14:paraId="42BB07AB" w14:textId="77777777" w:rsidR="00D73A17" w:rsidRDefault="00D73A17" w:rsidP="00353DEF">
            <w:pPr>
              <w:rPr>
                <w:rFonts w:ascii="Arial" w:eastAsia="Arial" w:hAnsi="Arial" w:cs="Arial"/>
                <w:sz w:val="18"/>
                <w:szCs w:val="18"/>
              </w:rPr>
            </w:pPr>
            <w:r>
              <w:rPr>
                <w:rFonts w:ascii="Arial" w:eastAsia="Arial" w:hAnsi="Arial" w:cs="Arial"/>
                <w:sz w:val="18"/>
                <w:szCs w:val="18"/>
              </w:rPr>
              <w:t>Worry symptoms</w:t>
            </w:r>
          </w:p>
        </w:tc>
        <w:tc>
          <w:tcPr>
            <w:tcW w:w="1134" w:type="dxa"/>
            <w:vAlign w:val="center"/>
          </w:tcPr>
          <w:p w14:paraId="1C21F441"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w:t>
            </w:r>
          </w:p>
        </w:tc>
        <w:tc>
          <w:tcPr>
            <w:tcW w:w="1134" w:type="dxa"/>
            <w:vAlign w:val="center"/>
          </w:tcPr>
          <w:p w14:paraId="5DA41FE1"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w:t>
            </w:r>
          </w:p>
        </w:tc>
        <w:tc>
          <w:tcPr>
            <w:tcW w:w="2977" w:type="dxa"/>
            <w:vAlign w:val="center"/>
          </w:tcPr>
          <w:p w14:paraId="7C67D267" w14:textId="77777777" w:rsidR="00D73A17" w:rsidRDefault="00D73A17" w:rsidP="00353DEF">
            <w:pPr>
              <w:rPr>
                <w:rFonts w:ascii="Arial" w:eastAsia="Arial" w:hAnsi="Arial" w:cs="Arial"/>
                <w:sz w:val="18"/>
                <w:szCs w:val="18"/>
              </w:rPr>
            </w:pPr>
            <w:r>
              <w:rPr>
                <w:rFonts w:ascii="Arial" w:eastAsia="Arial" w:hAnsi="Arial" w:cs="Arial"/>
                <w:sz w:val="18"/>
                <w:szCs w:val="18"/>
              </w:rPr>
              <w:t xml:space="preserve">Difficulty controlling worrying </w:t>
            </w:r>
          </w:p>
        </w:tc>
        <w:tc>
          <w:tcPr>
            <w:tcW w:w="1134" w:type="dxa"/>
            <w:vAlign w:val="center"/>
          </w:tcPr>
          <w:p w14:paraId="35FFA730" w14:textId="77777777" w:rsidR="00D73A17" w:rsidRDefault="00D73A17" w:rsidP="00353DEF">
            <w:pPr>
              <w:jc w:val="center"/>
              <w:rPr>
                <w:rFonts w:ascii="Arial" w:eastAsia="Arial" w:hAnsi="Arial" w:cs="Arial"/>
                <w:sz w:val="18"/>
                <w:szCs w:val="18"/>
              </w:rPr>
            </w:pPr>
            <w:r>
              <w:rPr>
                <w:rFonts w:ascii="Symbol" w:eastAsia="Symbol" w:hAnsi="Symbol" w:cs="Symbol"/>
                <w:sz w:val="18"/>
                <w:szCs w:val="18"/>
              </w:rPr>
              <w:t>↑</w:t>
            </w:r>
          </w:p>
        </w:tc>
        <w:tc>
          <w:tcPr>
            <w:tcW w:w="1276" w:type="dxa"/>
            <w:vAlign w:val="center"/>
          </w:tcPr>
          <w:p w14:paraId="2BBDBA53"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F</w:t>
            </w:r>
          </w:p>
        </w:tc>
      </w:tr>
      <w:tr w:rsidR="00D73A17" w14:paraId="1D6DC829" w14:textId="77777777" w:rsidTr="00353DEF">
        <w:trPr>
          <w:trHeight w:val="420"/>
        </w:trPr>
        <w:tc>
          <w:tcPr>
            <w:tcW w:w="1413" w:type="dxa"/>
            <w:vAlign w:val="center"/>
          </w:tcPr>
          <w:p w14:paraId="622E6BB7" w14:textId="77777777" w:rsidR="00D73A17" w:rsidRDefault="00D73A17" w:rsidP="00353DEF">
            <w:pPr>
              <w:rPr>
                <w:rFonts w:ascii="Arial" w:eastAsia="Arial" w:hAnsi="Arial" w:cs="Arial"/>
                <w:sz w:val="18"/>
                <w:szCs w:val="18"/>
              </w:rPr>
            </w:pPr>
          </w:p>
        </w:tc>
        <w:tc>
          <w:tcPr>
            <w:tcW w:w="1134" w:type="dxa"/>
            <w:vAlign w:val="center"/>
          </w:tcPr>
          <w:p w14:paraId="29E72DF0" w14:textId="77777777" w:rsidR="00D73A17" w:rsidRDefault="00D73A17" w:rsidP="00353DEF">
            <w:pPr>
              <w:jc w:val="center"/>
              <w:rPr>
                <w:rFonts w:ascii="Arial" w:eastAsia="Arial" w:hAnsi="Arial" w:cs="Arial"/>
                <w:sz w:val="18"/>
                <w:szCs w:val="18"/>
              </w:rPr>
            </w:pPr>
          </w:p>
        </w:tc>
        <w:tc>
          <w:tcPr>
            <w:tcW w:w="1134" w:type="dxa"/>
            <w:vAlign w:val="center"/>
          </w:tcPr>
          <w:p w14:paraId="24DA1D97" w14:textId="77777777" w:rsidR="00D73A17" w:rsidRDefault="00D73A17" w:rsidP="00353DEF">
            <w:pPr>
              <w:jc w:val="center"/>
              <w:rPr>
                <w:rFonts w:ascii="Arial" w:eastAsia="Arial" w:hAnsi="Arial" w:cs="Arial"/>
                <w:sz w:val="18"/>
                <w:szCs w:val="18"/>
              </w:rPr>
            </w:pPr>
          </w:p>
        </w:tc>
        <w:tc>
          <w:tcPr>
            <w:tcW w:w="2977" w:type="dxa"/>
            <w:vAlign w:val="center"/>
          </w:tcPr>
          <w:p w14:paraId="5EADF5AE" w14:textId="77777777" w:rsidR="00D73A17" w:rsidRDefault="00D73A17" w:rsidP="00353DEF">
            <w:pPr>
              <w:rPr>
                <w:rFonts w:ascii="Arial" w:eastAsia="Arial" w:hAnsi="Arial" w:cs="Arial"/>
                <w:sz w:val="18"/>
                <w:szCs w:val="18"/>
              </w:rPr>
            </w:pPr>
            <w:r>
              <w:rPr>
                <w:rFonts w:ascii="Arial" w:eastAsia="Arial" w:hAnsi="Arial" w:cs="Arial"/>
                <w:sz w:val="18"/>
                <w:szCs w:val="18"/>
              </w:rPr>
              <w:t>Feeling anxious</w:t>
            </w:r>
          </w:p>
        </w:tc>
        <w:tc>
          <w:tcPr>
            <w:tcW w:w="1134" w:type="dxa"/>
            <w:vAlign w:val="center"/>
          </w:tcPr>
          <w:p w14:paraId="52B70D85" w14:textId="77777777" w:rsidR="00D73A17" w:rsidRDefault="00D73A17" w:rsidP="00353DEF">
            <w:pPr>
              <w:jc w:val="center"/>
              <w:rPr>
                <w:rFonts w:ascii="Arial" w:eastAsia="Arial" w:hAnsi="Arial" w:cs="Arial"/>
                <w:sz w:val="18"/>
                <w:szCs w:val="18"/>
              </w:rPr>
            </w:pPr>
            <w:r>
              <w:rPr>
                <w:rFonts w:ascii="Symbol" w:eastAsia="Symbol" w:hAnsi="Symbol" w:cs="Symbol"/>
                <w:sz w:val="18"/>
                <w:szCs w:val="18"/>
              </w:rPr>
              <w:t>↓</w:t>
            </w:r>
          </w:p>
        </w:tc>
        <w:tc>
          <w:tcPr>
            <w:tcW w:w="1276" w:type="dxa"/>
            <w:vAlign w:val="center"/>
          </w:tcPr>
          <w:p w14:paraId="538E8414"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w:t>
            </w:r>
          </w:p>
        </w:tc>
      </w:tr>
      <w:tr w:rsidR="00D73A17" w14:paraId="2CB2C0B3" w14:textId="77777777" w:rsidTr="00353DEF">
        <w:trPr>
          <w:trHeight w:val="420"/>
        </w:trPr>
        <w:tc>
          <w:tcPr>
            <w:tcW w:w="1413" w:type="dxa"/>
            <w:vAlign w:val="center"/>
          </w:tcPr>
          <w:p w14:paraId="17A49F05" w14:textId="77777777" w:rsidR="00D73A17" w:rsidRDefault="00D73A17" w:rsidP="00353DEF">
            <w:pPr>
              <w:rPr>
                <w:rFonts w:ascii="Arial" w:eastAsia="Arial" w:hAnsi="Arial" w:cs="Arial"/>
                <w:sz w:val="18"/>
                <w:szCs w:val="18"/>
              </w:rPr>
            </w:pPr>
          </w:p>
        </w:tc>
        <w:tc>
          <w:tcPr>
            <w:tcW w:w="1134" w:type="dxa"/>
            <w:vAlign w:val="center"/>
          </w:tcPr>
          <w:p w14:paraId="2175394B" w14:textId="77777777" w:rsidR="00D73A17" w:rsidRDefault="00D73A17" w:rsidP="00353DEF">
            <w:pPr>
              <w:jc w:val="center"/>
              <w:rPr>
                <w:rFonts w:ascii="Arial" w:eastAsia="Arial" w:hAnsi="Arial" w:cs="Arial"/>
                <w:sz w:val="18"/>
                <w:szCs w:val="18"/>
              </w:rPr>
            </w:pPr>
          </w:p>
        </w:tc>
        <w:tc>
          <w:tcPr>
            <w:tcW w:w="1134" w:type="dxa"/>
            <w:vAlign w:val="center"/>
          </w:tcPr>
          <w:p w14:paraId="2923A7BF" w14:textId="77777777" w:rsidR="00D73A17" w:rsidRDefault="00D73A17" w:rsidP="00353DEF">
            <w:pPr>
              <w:jc w:val="center"/>
              <w:rPr>
                <w:rFonts w:ascii="Arial" w:eastAsia="Arial" w:hAnsi="Arial" w:cs="Arial"/>
                <w:sz w:val="18"/>
                <w:szCs w:val="18"/>
              </w:rPr>
            </w:pPr>
          </w:p>
        </w:tc>
        <w:tc>
          <w:tcPr>
            <w:tcW w:w="2977" w:type="dxa"/>
            <w:vAlign w:val="center"/>
          </w:tcPr>
          <w:p w14:paraId="57E71863" w14:textId="77777777" w:rsidR="00D73A17" w:rsidRDefault="00D73A17" w:rsidP="00353DEF">
            <w:pPr>
              <w:rPr>
                <w:rFonts w:ascii="Arial" w:eastAsia="Arial" w:hAnsi="Arial" w:cs="Arial"/>
                <w:sz w:val="18"/>
                <w:szCs w:val="18"/>
              </w:rPr>
            </w:pPr>
            <w:r>
              <w:rPr>
                <w:rFonts w:ascii="Arial" w:eastAsia="Arial" w:hAnsi="Arial" w:cs="Arial"/>
                <w:sz w:val="18"/>
                <w:szCs w:val="18"/>
              </w:rPr>
              <w:t>Feeling afraid</w:t>
            </w:r>
          </w:p>
        </w:tc>
        <w:tc>
          <w:tcPr>
            <w:tcW w:w="1134" w:type="dxa"/>
            <w:vAlign w:val="center"/>
          </w:tcPr>
          <w:p w14:paraId="579F6B2D"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w:t>
            </w:r>
          </w:p>
        </w:tc>
        <w:tc>
          <w:tcPr>
            <w:tcW w:w="1276" w:type="dxa"/>
            <w:vAlign w:val="center"/>
          </w:tcPr>
          <w:p w14:paraId="19DF75B1"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w:t>
            </w:r>
          </w:p>
        </w:tc>
      </w:tr>
      <w:tr w:rsidR="00D73A17" w14:paraId="18962587" w14:textId="77777777" w:rsidTr="00353DEF">
        <w:trPr>
          <w:trHeight w:val="420"/>
        </w:trPr>
        <w:tc>
          <w:tcPr>
            <w:tcW w:w="1413" w:type="dxa"/>
            <w:vAlign w:val="center"/>
          </w:tcPr>
          <w:p w14:paraId="60974BBF" w14:textId="77777777" w:rsidR="00D73A17" w:rsidRDefault="00D73A17" w:rsidP="00353DEF">
            <w:pPr>
              <w:rPr>
                <w:rFonts w:ascii="Arial" w:eastAsia="Arial" w:hAnsi="Arial" w:cs="Arial"/>
                <w:sz w:val="18"/>
                <w:szCs w:val="18"/>
              </w:rPr>
            </w:pPr>
          </w:p>
        </w:tc>
        <w:tc>
          <w:tcPr>
            <w:tcW w:w="1134" w:type="dxa"/>
            <w:vAlign w:val="center"/>
          </w:tcPr>
          <w:p w14:paraId="2741CB7C" w14:textId="77777777" w:rsidR="00D73A17" w:rsidRDefault="00D73A17" w:rsidP="00353DEF">
            <w:pPr>
              <w:jc w:val="center"/>
              <w:rPr>
                <w:rFonts w:ascii="Arial" w:eastAsia="Arial" w:hAnsi="Arial" w:cs="Arial"/>
                <w:sz w:val="18"/>
                <w:szCs w:val="18"/>
              </w:rPr>
            </w:pPr>
          </w:p>
        </w:tc>
        <w:tc>
          <w:tcPr>
            <w:tcW w:w="1134" w:type="dxa"/>
            <w:vAlign w:val="center"/>
          </w:tcPr>
          <w:p w14:paraId="22281982" w14:textId="77777777" w:rsidR="00D73A17" w:rsidRDefault="00D73A17" w:rsidP="00353DEF">
            <w:pPr>
              <w:jc w:val="center"/>
              <w:rPr>
                <w:rFonts w:ascii="Arial" w:eastAsia="Arial" w:hAnsi="Arial" w:cs="Arial"/>
                <w:sz w:val="18"/>
                <w:szCs w:val="18"/>
              </w:rPr>
            </w:pPr>
          </w:p>
        </w:tc>
        <w:tc>
          <w:tcPr>
            <w:tcW w:w="2977" w:type="dxa"/>
            <w:vAlign w:val="center"/>
          </w:tcPr>
          <w:p w14:paraId="7767524F" w14:textId="77777777" w:rsidR="00D73A17" w:rsidRDefault="00D73A17" w:rsidP="00353DEF">
            <w:pPr>
              <w:rPr>
                <w:rFonts w:ascii="Arial" w:eastAsia="Arial" w:hAnsi="Arial" w:cs="Arial"/>
                <w:sz w:val="18"/>
                <w:szCs w:val="18"/>
              </w:rPr>
            </w:pPr>
            <w:r>
              <w:rPr>
                <w:rFonts w:ascii="Arial" w:eastAsia="Arial" w:hAnsi="Arial" w:cs="Arial"/>
                <w:sz w:val="18"/>
                <w:szCs w:val="18"/>
              </w:rPr>
              <w:t>Trouble relaxing</w:t>
            </w:r>
          </w:p>
        </w:tc>
        <w:tc>
          <w:tcPr>
            <w:tcW w:w="1134" w:type="dxa"/>
            <w:vAlign w:val="center"/>
          </w:tcPr>
          <w:p w14:paraId="51CDA8D8" w14:textId="77777777" w:rsidR="00D73A17" w:rsidRDefault="00D73A17" w:rsidP="00353DEF">
            <w:pPr>
              <w:jc w:val="center"/>
              <w:rPr>
                <w:rFonts w:ascii="Arial" w:eastAsia="Arial" w:hAnsi="Arial" w:cs="Arial"/>
                <w:sz w:val="18"/>
                <w:szCs w:val="18"/>
              </w:rPr>
            </w:pPr>
            <w:r>
              <w:rPr>
                <w:rFonts w:ascii="Symbol" w:eastAsia="Symbol" w:hAnsi="Symbol" w:cs="Symbol"/>
                <w:sz w:val="18"/>
                <w:szCs w:val="18"/>
              </w:rPr>
              <w:t>↑</w:t>
            </w:r>
          </w:p>
        </w:tc>
        <w:tc>
          <w:tcPr>
            <w:tcW w:w="1276" w:type="dxa"/>
            <w:vAlign w:val="center"/>
          </w:tcPr>
          <w:p w14:paraId="59D341F4"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w:t>
            </w:r>
          </w:p>
        </w:tc>
      </w:tr>
      <w:tr w:rsidR="00D73A17" w14:paraId="2E9B9DA9" w14:textId="77777777" w:rsidTr="00353DEF">
        <w:trPr>
          <w:trHeight w:val="420"/>
        </w:trPr>
        <w:tc>
          <w:tcPr>
            <w:tcW w:w="1413" w:type="dxa"/>
            <w:vAlign w:val="center"/>
          </w:tcPr>
          <w:p w14:paraId="532A777F" w14:textId="77777777" w:rsidR="00D73A17" w:rsidRDefault="00D73A17" w:rsidP="00353DEF">
            <w:pPr>
              <w:rPr>
                <w:rFonts w:ascii="Arial" w:eastAsia="Arial" w:hAnsi="Arial" w:cs="Arial"/>
                <w:sz w:val="18"/>
                <w:szCs w:val="18"/>
              </w:rPr>
            </w:pPr>
          </w:p>
        </w:tc>
        <w:tc>
          <w:tcPr>
            <w:tcW w:w="1134" w:type="dxa"/>
            <w:vAlign w:val="center"/>
          </w:tcPr>
          <w:p w14:paraId="1F37199B" w14:textId="77777777" w:rsidR="00D73A17" w:rsidRDefault="00D73A17" w:rsidP="00353DEF">
            <w:pPr>
              <w:jc w:val="center"/>
              <w:rPr>
                <w:rFonts w:ascii="Arial" w:eastAsia="Arial" w:hAnsi="Arial" w:cs="Arial"/>
                <w:sz w:val="18"/>
                <w:szCs w:val="18"/>
              </w:rPr>
            </w:pPr>
          </w:p>
        </w:tc>
        <w:tc>
          <w:tcPr>
            <w:tcW w:w="1134" w:type="dxa"/>
            <w:vAlign w:val="center"/>
          </w:tcPr>
          <w:p w14:paraId="1FDE1A50" w14:textId="77777777" w:rsidR="00D73A17" w:rsidRDefault="00D73A17" w:rsidP="00353DEF">
            <w:pPr>
              <w:jc w:val="center"/>
              <w:rPr>
                <w:rFonts w:ascii="Arial" w:eastAsia="Arial" w:hAnsi="Arial" w:cs="Arial"/>
                <w:sz w:val="18"/>
                <w:szCs w:val="18"/>
              </w:rPr>
            </w:pPr>
          </w:p>
        </w:tc>
        <w:tc>
          <w:tcPr>
            <w:tcW w:w="2977" w:type="dxa"/>
            <w:vAlign w:val="center"/>
          </w:tcPr>
          <w:p w14:paraId="26A44216" w14:textId="77777777" w:rsidR="00D73A17" w:rsidRDefault="00D73A17" w:rsidP="00353DEF">
            <w:pPr>
              <w:rPr>
                <w:rFonts w:ascii="Arial" w:eastAsia="Arial" w:hAnsi="Arial" w:cs="Arial"/>
                <w:sz w:val="18"/>
                <w:szCs w:val="18"/>
              </w:rPr>
            </w:pPr>
            <w:r>
              <w:rPr>
                <w:rFonts w:ascii="Arial" w:eastAsia="Arial" w:hAnsi="Arial" w:cs="Arial"/>
                <w:sz w:val="18"/>
                <w:szCs w:val="18"/>
              </w:rPr>
              <w:t>Irritable</w:t>
            </w:r>
          </w:p>
        </w:tc>
        <w:tc>
          <w:tcPr>
            <w:tcW w:w="1134" w:type="dxa"/>
            <w:vAlign w:val="center"/>
          </w:tcPr>
          <w:p w14:paraId="0688035D" w14:textId="77777777" w:rsidR="00D73A17" w:rsidRDefault="00D73A17" w:rsidP="00353DEF">
            <w:pPr>
              <w:jc w:val="center"/>
              <w:rPr>
                <w:rFonts w:ascii="Arial" w:eastAsia="Arial" w:hAnsi="Arial" w:cs="Arial"/>
                <w:sz w:val="18"/>
                <w:szCs w:val="18"/>
              </w:rPr>
            </w:pPr>
            <w:r>
              <w:rPr>
                <w:rFonts w:ascii="Symbol" w:eastAsia="Symbol" w:hAnsi="Symbol" w:cs="Symbol"/>
                <w:sz w:val="18"/>
                <w:szCs w:val="18"/>
              </w:rPr>
              <w:t>↓</w:t>
            </w:r>
          </w:p>
        </w:tc>
        <w:tc>
          <w:tcPr>
            <w:tcW w:w="1276" w:type="dxa"/>
            <w:vAlign w:val="center"/>
          </w:tcPr>
          <w:p w14:paraId="2AF5B132"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w:t>
            </w:r>
          </w:p>
        </w:tc>
      </w:tr>
      <w:tr w:rsidR="00D73A17" w14:paraId="221FD307" w14:textId="77777777" w:rsidTr="00353DEF">
        <w:trPr>
          <w:trHeight w:val="420"/>
        </w:trPr>
        <w:tc>
          <w:tcPr>
            <w:tcW w:w="1413" w:type="dxa"/>
            <w:vAlign w:val="center"/>
          </w:tcPr>
          <w:p w14:paraId="22FC35B6" w14:textId="77777777" w:rsidR="00D73A17" w:rsidRDefault="00D73A17" w:rsidP="00353DEF">
            <w:pPr>
              <w:rPr>
                <w:rFonts w:ascii="Arial" w:eastAsia="Arial" w:hAnsi="Arial" w:cs="Arial"/>
                <w:sz w:val="18"/>
                <w:szCs w:val="18"/>
              </w:rPr>
            </w:pPr>
            <w:r>
              <w:rPr>
                <w:rFonts w:ascii="Arial" w:eastAsia="Arial" w:hAnsi="Arial" w:cs="Arial"/>
                <w:sz w:val="18"/>
                <w:szCs w:val="18"/>
              </w:rPr>
              <w:t>Somatic symptoms</w:t>
            </w:r>
          </w:p>
        </w:tc>
        <w:tc>
          <w:tcPr>
            <w:tcW w:w="1134" w:type="dxa"/>
            <w:vAlign w:val="center"/>
          </w:tcPr>
          <w:p w14:paraId="40A54E60" w14:textId="77777777" w:rsidR="00D73A17" w:rsidRDefault="00D73A17" w:rsidP="00353DEF">
            <w:pPr>
              <w:jc w:val="center"/>
              <w:rPr>
                <w:rFonts w:ascii="Arial" w:eastAsia="Arial" w:hAnsi="Arial" w:cs="Arial"/>
                <w:sz w:val="18"/>
                <w:szCs w:val="18"/>
              </w:rPr>
            </w:pPr>
            <w:r>
              <w:rPr>
                <w:rFonts w:ascii="Symbol" w:eastAsia="Symbol" w:hAnsi="Symbol" w:cs="Symbol"/>
                <w:sz w:val="18"/>
                <w:szCs w:val="18"/>
              </w:rPr>
              <w:t>↓</w:t>
            </w:r>
          </w:p>
        </w:tc>
        <w:tc>
          <w:tcPr>
            <w:tcW w:w="1134" w:type="dxa"/>
            <w:vAlign w:val="center"/>
          </w:tcPr>
          <w:p w14:paraId="20BC88C0"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F</w:t>
            </w:r>
          </w:p>
        </w:tc>
        <w:tc>
          <w:tcPr>
            <w:tcW w:w="2977" w:type="dxa"/>
            <w:vAlign w:val="center"/>
          </w:tcPr>
          <w:p w14:paraId="7BD6F959" w14:textId="77777777" w:rsidR="00D73A17" w:rsidRDefault="00D73A17" w:rsidP="00353DEF">
            <w:pPr>
              <w:rPr>
                <w:rFonts w:ascii="Arial" w:eastAsia="Arial" w:hAnsi="Arial" w:cs="Arial"/>
                <w:sz w:val="18"/>
                <w:szCs w:val="18"/>
              </w:rPr>
            </w:pPr>
            <w:r>
              <w:rPr>
                <w:rFonts w:ascii="Arial" w:eastAsia="Arial" w:hAnsi="Arial" w:cs="Arial"/>
                <w:sz w:val="18"/>
                <w:szCs w:val="18"/>
              </w:rPr>
              <w:t>Little energy</w:t>
            </w:r>
          </w:p>
        </w:tc>
        <w:tc>
          <w:tcPr>
            <w:tcW w:w="1134" w:type="dxa"/>
            <w:vAlign w:val="center"/>
          </w:tcPr>
          <w:p w14:paraId="0128D61A" w14:textId="77777777" w:rsidR="00D73A17" w:rsidRDefault="00D73A17" w:rsidP="00353DEF">
            <w:pPr>
              <w:jc w:val="center"/>
              <w:rPr>
                <w:rFonts w:ascii="Arial" w:eastAsia="Arial" w:hAnsi="Arial" w:cs="Arial"/>
                <w:sz w:val="18"/>
                <w:szCs w:val="18"/>
              </w:rPr>
            </w:pPr>
            <w:r>
              <w:rPr>
                <w:rFonts w:ascii="Symbol" w:eastAsia="Symbol" w:hAnsi="Symbol" w:cs="Symbol"/>
                <w:sz w:val="18"/>
                <w:szCs w:val="18"/>
              </w:rPr>
              <w:t>↓</w:t>
            </w:r>
          </w:p>
        </w:tc>
        <w:tc>
          <w:tcPr>
            <w:tcW w:w="1276" w:type="dxa"/>
            <w:vAlign w:val="center"/>
          </w:tcPr>
          <w:p w14:paraId="16AA6636"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F</w:t>
            </w:r>
          </w:p>
        </w:tc>
      </w:tr>
      <w:tr w:rsidR="00D73A17" w14:paraId="683679A0" w14:textId="77777777" w:rsidTr="00353DEF">
        <w:trPr>
          <w:trHeight w:val="420"/>
        </w:trPr>
        <w:tc>
          <w:tcPr>
            <w:tcW w:w="1413" w:type="dxa"/>
            <w:vAlign w:val="center"/>
          </w:tcPr>
          <w:p w14:paraId="39EF755E" w14:textId="77777777" w:rsidR="00D73A17" w:rsidRDefault="00D73A17" w:rsidP="00353DEF">
            <w:pPr>
              <w:rPr>
                <w:rFonts w:ascii="Arial" w:eastAsia="Arial" w:hAnsi="Arial" w:cs="Arial"/>
                <w:sz w:val="18"/>
                <w:szCs w:val="18"/>
              </w:rPr>
            </w:pPr>
          </w:p>
        </w:tc>
        <w:tc>
          <w:tcPr>
            <w:tcW w:w="1134" w:type="dxa"/>
            <w:vAlign w:val="center"/>
          </w:tcPr>
          <w:p w14:paraId="327673B9" w14:textId="77777777" w:rsidR="00D73A17" w:rsidRDefault="00D73A17" w:rsidP="00353DEF">
            <w:pPr>
              <w:jc w:val="center"/>
              <w:rPr>
                <w:rFonts w:ascii="Arial" w:eastAsia="Arial" w:hAnsi="Arial" w:cs="Arial"/>
                <w:sz w:val="18"/>
                <w:szCs w:val="18"/>
              </w:rPr>
            </w:pPr>
          </w:p>
        </w:tc>
        <w:tc>
          <w:tcPr>
            <w:tcW w:w="1134" w:type="dxa"/>
            <w:vAlign w:val="center"/>
          </w:tcPr>
          <w:p w14:paraId="054256D4" w14:textId="77777777" w:rsidR="00D73A17" w:rsidRDefault="00D73A17" w:rsidP="00353DEF">
            <w:pPr>
              <w:jc w:val="center"/>
              <w:rPr>
                <w:rFonts w:ascii="Arial" w:eastAsia="Arial" w:hAnsi="Arial" w:cs="Arial"/>
                <w:sz w:val="18"/>
                <w:szCs w:val="18"/>
              </w:rPr>
            </w:pPr>
          </w:p>
        </w:tc>
        <w:tc>
          <w:tcPr>
            <w:tcW w:w="2977" w:type="dxa"/>
            <w:vAlign w:val="center"/>
          </w:tcPr>
          <w:p w14:paraId="5D09B597" w14:textId="77777777" w:rsidR="00D73A17" w:rsidRDefault="00D73A17" w:rsidP="00353DEF">
            <w:pPr>
              <w:rPr>
                <w:rFonts w:ascii="Arial" w:eastAsia="Arial" w:hAnsi="Arial" w:cs="Arial"/>
                <w:sz w:val="18"/>
                <w:szCs w:val="18"/>
              </w:rPr>
            </w:pPr>
            <w:r>
              <w:rPr>
                <w:rFonts w:ascii="Arial" w:eastAsia="Arial" w:hAnsi="Arial" w:cs="Arial"/>
                <w:sz w:val="18"/>
                <w:szCs w:val="18"/>
              </w:rPr>
              <w:t>Sleep Change</w:t>
            </w:r>
          </w:p>
        </w:tc>
        <w:tc>
          <w:tcPr>
            <w:tcW w:w="1134" w:type="dxa"/>
            <w:vAlign w:val="center"/>
          </w:tcPr>
          <w:p w14:paraId="588852FF" w14:textId="77777777" w:rsidR="00D73A17" w:rsidRDefault="00D73A17" w:rsidP="00353DEF">
            <w:pPr>
              <w:jc w:val="center"/>
              <w:rPr>
                <w:rFonts w:ascii="Arial" w:eastAsia="Arial" w:hAnsi="Arial" w:cs="Arial"/>
                <w:sz w:val="18"/>
                <w:szCs w:val="18"/>
              </w:rPr>
            </w:pPr>
            <w:r>
              <w:rPr>
                <w:rFonts w:ascii="Symbol" w:eastAsia="Symbol" w:hAnsi="Symbol" w:cs="Symbol"/>
                <w:sz w:val="18"/>
                <w:szCs w:val="18"/>
              </w:rPr>
              <w:t>↑</w:t>
            </w:r>
          </w:p>
        </w:tc>
        <w:tc>
          <w:tcPr>
            <w:tcW w:w="1276" w:type="dxa"/>
            <w:vAlign w:val="center"/>
          </w:tcPr>
          <w:p w14:paraId="00E4E51F"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F</w:t>
            </w:r>
          </w:p>
        </w:tc>
      </w:tr>
      <w:tr w:rsidR="00D73A17" w14:paraId="195E8F21" w14:textId="77777777" w:rsidTr="00353DEF">
        <w:trPr>
          <w:trHeight w:val="420"/>
        </w:trPr>
        <w:tc>
          <w:tcPr>
            <w:tcW w:w="1413" w:type="dxa"/>
            <w:vAlign w:val="center"/>
          </w:tcPr>
          <w:p w14:paraId="0CE4E524" w14:textId="77777777" w:rsidR="00D73A17" w:rsidRDefault="00D73A17" w:rsidP="00353DEF">
            <w:pPr>
              <w:rPr>
                <w:rFonts w:ascii="Arial" w:eastAsia="Arial" w:hAnsi="Arial" w:cs="Arial"/>
                <w:sz w:val="18"/>
                <w:szCs w:val="18"/>
              </w:rPr>
            </w:pPr>
          </w:p>
        </w:tc>
        <w:tc>
          <w:tcPr>
            <w:tcW w:w="1134" w:type="dxa"/>
            <w:vAlign w:val="center"/>
          </w:tcPr>
          <w:p w14:paraId="4437583D" w14:textId="77777777" w:rsidR="00D73A17" w:rsidRDefault="00D73A17" w:rsidP="00353DEF">
            <w:pPr>
              <w:jc w:val="center"/>
              <w:rPr>
                <w:rFonts w:ascii="Arial" w:eastAsia="Arial" w:hAnsi="Arial" w:cs="Arial"/>
                <w:sz w:val="18"/>
                <w:szCs w:val="18"/>
              </w:rPr>
            </w:pPr>
          </w:p>
        </w:tc>
        <w:tc>
          <w:tcPr>
            <w:tcW w:w="1134" w:type="dxa"/>
            <w:vAlign w:val="center"/>
          </w:tcPr>
          <w:p w14:paraId="1A4104EA" w14:textId="77777777" w:rsidR="00D73A17" w:rsidRDefault="00D73A17" w:rsidP="00353DEF">
            <w:pPr>
              <w:jc w:val="center"/>
              <w:rPr>
                <w:rFonts w:ascii="Arial" w:eastAsia="Arial" w:hAnsi="Arial" w:cs="Arial"/>
                <w:sz w:val="18"/>
                <w:szCs w:val="18"/>
              </w:rPr>
            </w:pPr>
          </w:p>
        </w:tc>
        <w:tc>
          <w:tcPr>
            <w:tcW w:w="2977" w:type="dxa"/>
            <w:vAlign w:val="center"/>
          </w:tcPr>
          <w:p w14:paraId="4B6635F0" w14:textId="77777777" w:rsidR="00D73A17" w:rsidRDefault="00D73A17" w:rsidP="00353DEF">
            <w:pPr>
              <w:rPr>
                <w:rFonts w:ascii="Arial" w:eastAsia="Arial" w:hAnsi="Arial" w:cs="Arial"/>
                <w:sz w:val="18"/>
                <w:szCs w:val="18"/>
              </w:rPr>
            </w:pPr>
            <w:r>
              <w:rPr>
                <w:rFonts w:ascii="Arial" w:eastAsia="Arial" w:hAnsi="Arial" w:cs="Arial"/>
                <w:sz w:val="18"/>
                <w:szCs w:val="18"/>
              </w:rPr>
              <w:t xml:space="preserve">Weight or appetite problems </w:t>
            </w:r>
          </w:p>
        </w:tc>
        <w:tc>
          <w:tcPr>
            <w:tcW w:w="1134" w:type="dxa"/>
            <w:vAlign w:val="center"/>
          </w:tcPr>
          <w:p w14:paraId="2B30031E" w14:textId="77777777" w:rsidR="00D73A17" w:rsidRDefault="00D73A17" w:rsidP="00353DEF">
            <w:pPr>
              <w:jc w:val="center"/>
              <w:rPr>
                <w:rFonts w:ascii="Arial" w:eastAsia="Arial" w:hAnsi="Arial" w:cs="Arial"/>
                <w:sz w:val="18"/>
                <w:szCs w:val="18"/>
              </w:rPr>
            </w:pPr>
            <w:r>
              <w:rPr>
                <w:rFonts w:ascii="Symbol" w:eastAsia="Symbol" w:hAnsi="Symbol" w:cs="Symbol"/>
                <w:sz w:val="18"/>
                <w:szCs w:val="18"/>
              </w:rPr>
              <w:t>↓</w:t>
            </w:r>
          </w:p>
        </w:tc>
        <w:tc>
          <w:tcPr>
            <w:tcW w:w="1276" w:type="dxa"/>
            <w:vAlign w:val="center"/>
          </w:tcPr>
          <w:p w14:paraId="6BF461F3"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F</w:t>
            </w:r>
          </w:p>
        </w:tc>
      </w:tr>
      <w:tr w:rsidR="00D73A17" w14:paraId="43722800" w14:textId="77777777" w:rsidTr="00353DEF">
        <w:trPr>
          <w:trHeight w:val="420"/>
        </w:trPr>
        <w:tc>
          <w:tcPr>
            <w:tcW w:w="1413" w:type="dxa"/>
            <w:vAlign w:val="center"/>
          </w:tcPr>
          <w:p w14:paraId="5BA5B589" w14:textId="77777777" w:rsidR="00D73A17" w:rsidRDefault="00D73A17" w:rsidP="00353DEF">
            <w:pPr>
              <w:rPr>
                <w:rFonts w:ascii="Arial" w:eastAsia="Arial" w:hAnsi="Arial" w:cs="Arial"/>
                <w:sz w:val="18"/>
                <w:szCs w:val="18"/>
              </w:rPr>
            </w:pPr>
            <w:r>
              <w:rPr>
                <w:rFonts w:ascii="Arial" w:eastAsia="Arial" w:hAnsi="Arial" w:cs="Arial"/>
                <w:sz w:val="18"/>
                <w:szCs w:val="18"/>
              </w:rPr>
              <w:t>Motor symptoms</w:t>
            </w:r>
          </w:p>
        </w:tc>
        <w:tc>
          <w:tcPr>
            <w:tcW w:w="1134" w:type="dxa"/>
            <w:vAlign w:val="center"/>
          </w:tcPr>
          <w:p w14:paraId="7F322CB8" w14:textId="77777777" w:rsidR="00D73A17" w:rsidRDefault="00D73A17" w:rsidP="00353DEF">
            <w:pPr>
              <w:jc w:val="center"/>
              <w:rPr>
                <w:rFonts w:ascii="Arial" w:eastAsia="Arial" w:hAnsi="Arial" w:cs="Arial"/>
                <w:sz w:val="18"/>
                <w:szCs w:val="18"/>
              </w:rPr>
            </w:pPr>
            <w:r>
              <w:rPr>
                <w:rFonts w:ascii="Symbol" w:eastAsia="Symbol" w:hAnsi="Symbol" w:cs="Symbol"/>
                <w:sz w:val="18"/>
                <w:szCs w:val="18"/>
              </w:rPr>
              <w:t>↓</w:t>
            </w:r>
          </w:p>
        </w:tc>
        <w:tc>
          <w:tcPr>
            <w:tcW w:w="1134" w:type="dxa"/>
            <w:vAlign w:val="center"/>
          </w:tcPr>
          <w:p w14:paraId="42EA9AE3"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M</w:t>
            </w:r>
          </w:p>
        </w:tc>
        <w:tc>
          <w:tcPr>
            <w:tcW w:w="2977" w:type="dxa"/>
            <w:vAlign w:val="center"/>
          </w:tcPr>
          <w:p w14:paraId="3D44BCAC" w14:textId="77777777" w:rsidR="00D73A17" w:rsidRDefault="00D73A17" w:rsidP="00353DEF">
            <w:pPr>
              <w:rPr>
                <w:rFonts w:ascii="Arial" w:eastAsia="Arial" w:hAnsi="Arial" w:cs="Arial"/>
                <w:sz w:val="18"/>
                <w:szCs w:val="18"/>
              </w:rPr>
            </w:pPr>
            <w:r>
              <w:rPr>
                <w:rFonts w:ascii="Arial" w:eastAsia="Arial" w:hAnsi="Arial" w:cs="Arial"/>
                <w:sz w:val="18"/>
                <w:szCs w:val="18"/>
              </w:rPr>
              <w:t>Restlessness</w:t>
            </w:r>
          </w:p>
        </w:tc>
        <w:tc>
          <w:tcPr>
            <w:tcW w:w="1134" w:type="dxa"/>
            <w:vAlign w:val="center"/>
          </w:tcPr>
          <w:p w14:paraId="1106F3E5" w14:textId="77777777" w:rsidR="00D73A17" w:rsidRDefault="00D73A17" w:rsidP="00353DEF">
            <w:pPr>
              <w:jc w:val="center"/>
              <w:rPr>
                <w:rFonts w:ascii="Arial" w:eastAsia="Arial" w:hAnsi="Arial" w:cs="Arial"/>
                <w:sz w:val="18"/>
                <w:szCs w:val="18"/>
              </w:rPr>
            </w:pPr>
            <w:r>
              <w:rPr>
                <w:rFonts w:ascii="Symbol" w:eastAsia="Symbol" w:hAnsi="Symbol" w:cs="Symbol"/>
                <w:sz w:val="18"/>
                <w:szCs w:val="18"/>
              </w:rPr>
              <w:t>↓</w:t>
            </w:r>
          </w:p>
        </w:tc>
        <w:tc>
          <w:tcPr>
            <w:tcW w:w="1276" w:type="dxa"/>
            <w:vAlign w:val="center"/>
          </w:tcPr>
          <w:p w14:paraId="52C750C3"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M</w:t>
            </w:r>
          </w:p>
        </w:tc>
      </w:tr>
      <w:tr w:rsidR="00D73A17" w14:paraId="7DE960F1" w14:textId="77777777" w:rsidTr="00353DEF">
        <w:trPr>
          <w:trHeight w:val="420"/>
        </w:trPr>
        <w:tc>
          <w:tcPr>
            <w:tcW w:w="1413" w:type="dxa"/>
            <w:tcBorders>
              <w:bottom w:val="single" w:sz="4" w:space="0" w:color="000000"/>
            </w:tcBorders>
            <w:vAlign w:val="center"/>
          </w:tcPr>
          <w:p w14:paraId="0D7555B4" w14:textId="77777777" w:rsidR="00D73A17" w:rsidRDefault="00D73A17" w:rsidP="00353DEF">
            <w:pPr>
              <w:rPr>
                <w:rFonts w:ascii="Arial" w:eastAsia="Arial" w:hAnsi="Arial" w:cs="Arial"/>
                <w:sz w:val="18"/>
                <w:szCs w:val="18"/>
              </w:rPr>
            </w:pPr>
          </w:p>
        </w:tc>
        <w:tc>
          <w:tcPr>
            <w:tcW w:w="1134" w:type="dxa"/>
            <w:tcBorders>
              <w:bottom w:val="single" w:sz="4" w:space="0" w:color="000000"/>
            </w:tcBorders>
            <w:vAlign w:val="center"/>
          </w:tcPr>
          <w:p w14:paraId="69659BBA" w14:textId="77777777" w:rsidR="00D73A17" w:rsidRDefault="00D73A17" w:rsidP="00353DEF">
            <w:pPr>
              <w:jc w:val="center"/>
              <w:rPr>
                <w:rFonts w:ascii="Arial" w:eastAsia="Arial" w:hAnsi="Arial" w:cs="Arial"/>
                <w:sz w:val="18"/>
                <w:szCs w:val="18"/>
              </w:rPr>
            </w:pPr>
          </w:p>
        </w:tc>
        <w:tc>
          <w:tcPr>
            <w:tcW w:w="1134" w:type="dxa"/>
            <w:tcBorders>
              <w:bottom w:val="single" w:sz="4" w:space="0" w:color="000000"/>
            </w:tcBorders>
            <w:vAlign w:val="center"/>
          </w:tcPr>
          <w:p w14:paraId="7A141764" w14:textId="77777777" w:rsidR="00D73A17" w:rsidRDefault="00D73A17" w:rsidP="00353DEF">
            <w:pPr>
              <w:jc w:val="center"/>
              <w:rPr>
                <w:rFonts w:ascii="Arial" w:eastAsia="Arial" w:hAnsi="Arial" w:cs="Arial"/>
                <w:sz w:val="18"/>
                <w:szCs w:val="18"/>
              </w:rPr>
            </w:pPr>
          </w:p>
        </w:tc>
        <w:tc>
          <w:tcPr>
            <w:tcW w:w="2977" w:type="dxa"/>
            <w:tcBorders>
              <w:bottom w:val="single" w:sz="4" w:space="0" w:color="000000"/>
            </w:tcBorders>
            <w:vAlign w:val="center"/>
          </w:tcPr>
          <w:p w14:paraId="6FD25BF3" w14:textId="77777777" w:rsidR="00D73A17" w:rsidRDefault="00D73A17" w:rsidP="00353DEF">
            <w:pPr>
              <w:rPr>
                <w:rFonts w:ascii="Arial" w:eastAsia="Arial" w:hAnsi="Arial" w:cs="Arial"/>
                <w:sz w:val="18"/>
                <w:szCs w:val="18"/>
              </w:rPr>
            </w:pPr>
            <w:r>
              <w:rPr>
                <w:rFonts w:ascii="Arial" w:eastAsia="Arial" w:hAnsi="Arial" w:cs="Arial"/>
                <w:sz w:val="18"/>
                <w:szCs w:val="18"/>
              </w:rPr>
              <w:t>Motor problems</w:t>
            </w:r>
          </w:p>
        </w:tc>
        <w:tc>
          <w:tcPr>
            <w:tcW w:w="1134" w:type="dxa"/>
            <w:tcBorders>
              <w:bottom w:val="single" w:sz="4" w:space="0" w:color="000000"/>
            </w:tcBorders>
            <w:vAlign w:val="center"/>
          </w:tcPr>
          <w:p w14:paraId="741E6698" w14:textId="77777777" w:rsidR="00D73A17" w:rsidRDefault="00D73A17" w:rsidP="00353DEF">
            <w:pPr>
              <w:jc w:val="center"/>
              <w:rPr>
                <w:rFonts w:ascii="Arial" w:eastAsia="Arial" w:hAnsi="Arial" w:cs="Arial"/>
                <w:sz w:val="18"/>
                <w:szCs w:val="18"/>
              </w:rPr>
            </w:pPr>
            <w:r>
              <w:rPr>
                <w:rFonts w:ascii="Symbol" w:eastAsia="Symbol" w:hAnsi="Symbol" w:cs="Symbol"/>
                <w:sz w:val="18"/>
                <w:szCs w:val="18"/>
              </w:rPr>
              <w:t>↓</w:t>
            </w:r>
          </w:p>
        </w:tc>
        <w:tc>
          <w:tcPr>
            <w:tcW w:w="1276" w:type="dxa"/>
            <w:tcBorders>
              <w:bottom w:val="single" w:sz="4" w:space="0" w:color="000000"/>
            </w:tcBorders>
            <w:vAlign w:val="center"/>
          </w:tcPr>
          <w:p w14:paraId="4D52D605" w14:textId="77777777" w:rsidR="00D73A17" w:rsidRDefault="00D73A17" w:rsidP="00353DEF">
            <w:pPr>
              <w:jc w:val="center"/>
              <w:rPr>
                <w:rFonts w:ascii="Arial" w:eastAsia="Arial" w:hAnsi="Arial" w:cs="Arial"/>
                <w:sz w:val="18"/>
                <w:szCs w:val="18"/>
              </w:rPr>
            </w:pPr>
            <w:r>
              <w:rPr>
                <w:rFonts w:ascii="Arial" w:eastAsia="Arial" w:hAnsi="Arial" w:cs="Arial"/>
                <w:sz w:val="18"/>
                <w:szCs w:val="18"/>
              </w:rPr>
              <w:t>M</w:t>
            </w:r>
          </w:p>
        </w:tc>
      </w:tr>
      <w:tr w:rsidR="00D73A17" w14:paraId="27B829BF" w14:textId="77777777" w:rsidTr="00353DEF">
        <w:tc>
          <w:tcPr>
            <w:tcW w:w="9068" w:type="dxa"/>
            <w:gridSpan w:val="6"/>
            <w:tcBorders>
              <w:top w:val="single" w:sz="4" w:space="0" w:color="000000"/>
            </w:tcBorders>
          </w:tcPr>
          <w:p w14:paraId="7D3909AA" w14:textId="77777777" w:rsidR="00D73A17" w:rsidRDefault="00D73A17" w:rsidP="00353DEF">
            <w:pPr>
              <w:rPr>
                <w:rFonts w:ascii="Arial" w:eastAsia="Arial" w:hAnsi="Arial" w:cs="Arial"/>
                <w:sz w:val="16"/>
                <w:szCs w:val="16"/>
              </w:rPr>
            </w:pPr>
            <w:r>
              <w:rPr>
                <w:rFonts w:ascii="Symbol" w:eastAsia="Symbol" w:hAnsi="Symbol" w:cs="Symbol"/>
                <w:sz w:val="16"/>
                <w:szCs w:val="16"/>
              </w:rPr>
              <w:t>↑</w:t>
            </w:r>
            <w:r>
              <w:rPr>
                <w:rFonts w:ascii="Arial" w:eastAsia="Arial" w:hAnsi="Arial" w:cs="Arial"/>
                <w:sz w:val="16"/>
                <w:szCs w:val="16"/>
              </w:rPr>
              <w:t xml:space="preserve">   Associated with greater age</w:t>
            </w:r>
          </w:p>
          <w:p w14:paraId="1034B260" w14:textId="77777777" w:rsidR="00D73A17" w:rsidRDefault="00D73A17" w:rsidP="00353DEF">
            <w:pPr>
              <w:rPr>
                <w:rFonts w:ascii="Arial" w:eastAsia="Arial" w:hAnsi="Arial" w:cs="Arial"/>
                <w:sz w:val="16"/>
                <w:szCs w:val="16"/>
              </w:rPr>
            </w:pPr>
            <w:r>
              <w:rPr>
                <w:rFonts w:ascii="Symbol" w:eastAsia="Symbol" w:hAnsi="Symbol" w:cs="Symbol"/>
                <w:sz w:val="16"/>
                <w:szCs w:val="16"/>
              </w:rPr>
              <w:t>↓</w:t>
            </w:r>
            <w:r>
              <w:rPr>
                <w:rFonts w:ascii="Arial" w:eastAsia="Arial" w:hAnsi="Arial" w:cs="Arial"/>
                <w:sz w:val="16"/>
                <w:szCs w:val="16"/>
              </w:rPr>
              <w:t xml:space="preserve">   Associated with younger age </w:t>
            </w:r>
          </w:p>
          <w:p w14:paraId="50ABCAD7" w14:textId="77777777" w:rsidR="00D73A17" w:rsidRDefault="00D73A17" w:rsidP="00353DEF">
            <w:pPr>
              <w:rPr>
                <w:rFonts w:ascii="Arial" w:eastAsia="Arial" w:hAnsi="Arial" w:cs="Arial"/>
                <w:sz w:val="16"/>
                <w:szCs w:val="16"/>
              </w:rPr>
            </w:pPr>
            <w:r>
              <w:rPr>
                <w:rFonts w:ascii="Arial" w:eastAsia="Arial" w:hAnsi="Arial" w:cs="Arial"/>
                <w:sz w:val="16"/>
                <w:szCs w:val="16"/>
              </w:rPr>
              <w:t>M  Associated with being male</w:t>
            </w:r>
          </w:p>
          <w:p w14:paraId="69917C42" w14:textId="77777777" w:rsidR="00D73A17" w:rsidRDefault="00D73A17" w:rsidP="00353DEF">
            <w:pPr>
              <w:rPr>
                <w:rFonts w:ascii="Arial" w:eastAsia="Arial" w:hAnsi="Arial" w:cs="Arial"/>
                <w:sz w:val="16"/>
                <w:szCs w:val="16"/>
              </w:rPr>
            </w:pPr>
            <w:r>
              <w:rPr>
                <w:rFonts w:ascii="Arial" w:eastAsia="Arial" w:hAnsi="Arial" w:cs="Arial"/>
                <w:sz w:val="16"/>
                <w:szCs w:val="16"/>
              </w:rPr>
              <w:t xml:space="preserve">F    Associated with being female </w:t>
            </w:r>
          </w:p>
          <w:p w14:paraId="0D58EE3C" w14:textId="77777777" w:rsidR="00D73A17" w:rsidRDefault="00D73A17" w:rsidP="00353DEF">
            <w:pPr>
              <w:rPr>
                <w:rFonts w:ascii="Arial" w:eastAsia="Arial" w:hAnsi="Arial" w:cs="Arial"/>
                <w:sz w:val="18"/>
                <w:szCs w:val="18"/>
              </w:rPr>
            </w:pPr>
            <w:r>
              <w:rPr>
                <w:rFonts w:ascii="Arial" w:eastAsia="Arial" w:hAnsi="Arial" w:cs="Arial"/>
                <w:sz w:val="16"/>
                <w:szCs w:val="16"/>
              </w:rPr>
              <w:t>-    No association</w:t>
            </w:r>
          </w:p>
        </w:tc>
      </w:tr>
    </w:tbl>
    <w:p w14:paraId="47BF283F" w14:textId="77777777" w:rsidR="00D73A17" w:rsidRDefault="00D73A17" w:rsidP="00D73A17">
      <w:pPr>
        <w:spacing w:line="360" w:lineRule="auto"/>
        <w:jc w:val="both"/>
        <w:rPr>
          <w:b/>
          <w:i/>
        </w:rPr>
      </w:pPr>
    </w:p>
    <w:p w14:paraId="6553E861" w14:textId="1F325D69" w:rsidR="00D73A17" w:rsidRPr="00D73A17" w:rsidRDefault="00D73A17" w:rsidP="00D73A17">
      <w:pPr>
        <w:spacing w:line="360" w:lineRule="auto"/>
        <w:jc w:val="both"/>
        <w:rPr>
          <w:b/>
          <w:iCs/>
        </w:rPr>
      </w:pPr>
      <w:r>
        <w:rPr>
          <w:noProof/>
        </w:rPr>
        <w:drawing>
          <wp:anchor distT="114300" distB="114300" distL="114300" distR="114300" simplePos="0" relativeHeight="251661312" behindDoc="0" locked="0" layoutInCell="1" hidden="0" allowOverlap="1" wp14:anchorId="465812EC" wp14:editId="242FBE3D">
            <wp:simplePos x="0" y="0"/>
            <wp:positionH relativeFrom="column">
              <wp:posOffset>-628015</wp:posOffset>
            </wp:positionH>
            <wp:positionV relativeFrom="paragraph">
              <wp:posOffset>483182</wp:posOffset>
            </wp:positionV>
            <wp:extent cx="7212330" cy="3165475"/>
            <wp:effectExtent l="0" t="0" r="0" b="0"/>
            <wp:wrapSquare wrapText="bothSides" distT="114300" distB="114300" distL="114300" distR="114300"/>
            <wp:docPr id="1"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Diagram&#10;&#10;Description automatically generated"/>
                    <pic:cNvPicPr preferRelativeResize="0"/>
                  </pic:nvPicPr>
                  <pic:blipFill>
                    <a:blip r:embed="rId22"/>
                    <a:srcRect/>
                    <a:stretch>
                      <a:fillRect/>
                    </a:stretch>
                  </pic:blipFill>
                  <pic:spPr>
                    <a:xfrm>
                      <a:off x="0" y="0"/>
                      <a:ext cx="7212330" cy="3165475"/>
                    </a:xfrm>
                    <a:prstGeom prst="rect">
                      <a:avLst/>
                    </a:prstGeom>
                    <a:ln/>
                  </pic:spPr>
                </pic:pic>
              </a:graphicData>
            </a:graphic>
          </wp:anchor>
        </w:drawing>
      </w:r>
      <w:r w:rsidRPr="00D73A17">
        <w:rPr>
          <w:b/>
          <w:iCs/>
        </w:rPr>
        <w:t>Figure</w:t>
      </w:r>
      <w:r w:rsidR="00191DA7">
        <w:rPr>
          <w:b/>
          <w:iCs/>
        </w:rPr>
        <w:t xml:space="preserve"> </w:t>
      </w:r>
      <w:r w:rsidRPr="00D73A17">
        <w:rPr>
          <w:b/>
          <w:iCs/>
        </w:rPr>
        <w:t>legends</w:t>
      </w:r>
    </w:p>
    <w:p w14:paraId="7B59FD51" w14:textId="606A8416" w:rsidR="00D73A17" w:rsidRDefault="00D73A17" w:rsidP="00D73A17">
      <w:pPr>
        <w:spacing w:line="360" w:lineRule="auto"/>
        <w:jc w:val="both"/>
        <w:rPr>
          <w:b/>
        </w:rPr>
      </w:pPr>
      <w:r>
        <w:rPr>
          <w:b/>
          <w:i/>
        </w:rPr>
        <w:t xml:space="preserve">Figure 1. </w:t>
      </w:r>
      <w:r>
        <w:rPr>
          <w:i/>
        </w:rPr>
        <w:t xml:space="preserve">Exploratory factor analysis of GAD-7 and PHQ-9 items in the (GLAD) Study (N=35637; 15 items). Panel A shows the path diagram, item factor loadings and between-factor correlations for the four factors of worry symptoms, mood symptoms, somatic symptoms and motor symptoms. Panel B shows the loading strength for every item on each of the identified factors. Dark blue indicates a positive factor loading, white indicates no factor loading and red indicates a negative factor loading. </w:t>
      </w:r>
    </w:p>
    <w:p w14:paraId="13136186" w14:textId="2D7AEBE9" w:rsidR="004D3A22" w:rsidRDefault="004D3A22" w:rsidP="00D73A17">
      <w:pPr>
        <w:widowControl w:val="0"/>
        <w:pBdr>
          <w:top w:val="nil"/>
          <w:left w:val="nil"/>
          <w:bottom w:val="nil"/>
          <w:right w:val="nil"/>
          <w:between w:val="nil"/>
        </w:pBdr>
        <w:spacing w:before="0" w:after="0" w:line="480" w:lineRule="auto"/>
        <w:rPr>
          <w:rFonts w:ascii="Calibri" w:eastAsia="Calibri" w:hAnsi="Calibri" w:cs="Calibri"/>
          <w:sz w:val="16"/>
          <w:szCs w:val="16"/>
        </w:rPr>
      </w:pPr>
    </w:p>
    <w:p w14:paraId="5C931DB8" w14:textId="77777777" w:rsidR="00D73A17" w:rsidRDefault="00D73A17" w:rsidP="00D73A17">
      <w:pPr>
        <w:spacing w:line="360" w:lineRule="auto"/>
        <w:jc w:val="both"/>
      </w:pPr>
    </w:p>
    <w:p w14:paraId="12E7F53C" w14:textId="77777777" w:rsidR="00D73A17" w:rsidRDefault="00D73A17" w:rsidP="00D73A17">
      <w:pPr>
        <w:spacing w:line="360" w:lineRule="auto"/>
        <w:jc w:val="both"/>
      </w:pPr>
      <w:r>
        <w:rPr>
          <w:noProof/>
        </w:rPr>
        <w:lastRenderedPageBreak/>
        <w:drawing>
          <wp:anchor distT="0" distB="0" distL="114300" distR="114300" simplePos="0" relativeHeight="251663360" behindDoc="0" locked="0" layoutInCell="1" hidden="0" allowOverlap="1" wp14:anchorId="11412AEF" wp14:editId="0C18DECE">
            <wp:simplePos x="0" y="0"/>
            <wp:positionH relativeFrom="column">
              <wp:posOffset>-495299</wp:posOffset>
            </wp:positionH>
            <wp:positionV relativeFrom="paragraph">
              <wp:posOffset>9525</wp:posOffset>
            </wp:positionV>
            <wp:extent cx="6478270" cy="3239770"/>
            <wp:effectExtent l="0" t="0" r="0" b="0"/>
            <wp:wrapSquare wrapText="bothSides" distT="0" distB="0" distL="114300" distR="114300"/>
            <wp:docPr id="2" name="image1.jp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Chart, scatter chart&#10;&#10;Description automatically generated"/>
                    <pic:cNvPicPr preferRelativeResize="0"/>
                  </pic:nvPicPr>
                  <pic:blipFill>
                    <a:blip r:embed="rId23"/>
                    <a:srcRect/>
                    <a:stretch>
                      <a:fillRect/>
                    </a:stretch>
                  </pic:blipFill>
                  <pic:spPr>
                    <a:xfrm>
                      <a:off x="0" y="0"/>
                      <a:ext cx="6478270" cy="3239770"/>
                    </a:xfrm>
                    <a:prstGeom prst="rect">
                      <a:avLst/>
                    </a:prstGeom>
                    <a:ln/>
                  </pic:spPr>
                </pic:pic>
              </a:graphicData>
            </a:graphic>
          </wp:anchor>
        </w:drawing>
      </w:r>
    </w:p>
    <w:p w14:paraId="67B7CD05" w14:textId="77777777" w:rsidR="00D73A17" w:rsidRDefault="00D73A17" w:rsidP="00D73A17">
      <w:pPr>
        <w:spacing w:line="360" w:lineRule="auto"/>
        <w:jc w:val="both"/>
        <w:rPr>
          <w:b/>
        </w:rPr>
      </w:pPr>
      <w:r>
        <w:rPr>
          <w:b/>
          <w:i/>
        </w:rPr>
        <w:t xml:space="preserve">Figure 2. </w:t>
      </w:r>
      <w:r>
        <w:rPr>
          <w:i/>
        </w:rPr>
        <w:t>Age-and sex-related variation in generalised anxiety and depression in the Genetic Links to Anxiety and Depression (GLAD study; N=35,637). Panel A shows odds ratios (OR) and 95% confidence intervals (CI) for the association between all GAD-7 and PHQ-9 items and age (per 10 years) in blue and sex in yellow. Panel B shows standardised estimates and 95% confidence intervals for the association between four factors of GAD-7 and PHQ-9 symptoms and age (in blue) and sex (in yellow). For age, points on the right of each panel indicate an association with older age per 10 years and points to the left indicate an association with younger age per 10 years. For sex, points to the right of each panel indicate an association with being female, to the left indicate an association with being male. Filled circle points indicate significant associations while accounting for multiple testing using FDR correction. Transparent circle points indicate non-significant associations while accounting for multiple testing using FDR correction.</w:t>
      </w:r>
    </w:p>
    <w:p w14:paraId="5FB9237B" w14:textId="77777777" w:rsidR="00D73A17" w:rsidRDefault="00D73A17" w:rsidP="00D73A17">
      <w:pPr>
        <w:widowControl w:val="0"/>
        <w:pBdr>
          <w:top w:val="nil"/>
          <w:left w:val="nil"/>
          <w:bottom w:val="nil"/>
          <w:right w:val="nil"/>
          <w:between w:val="nil"/>
        </w:pBdr>
        <w:spacing w:before="0" w:after="0" w:line="480" w:lineRule="auto"/>
        <w:rPr>
          <w:rFonts w:ascii="Calibri" w:eastAsia="Calibri" w:hAnsi="Calibri" w:cs="Calibri"/>
          <w:sz w:val="16"/>
          <w:szCs w:val="16"/>
        </w:rPr>
      </w:pPr>
    </w:p>
    <w:sectPr w:rsidR="00D73A17">
      <w:headerReference w:type="default" r:id="rId24"/>
      <w:footerReference w:type="default" r:id="rId2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05F253" w14:textId="77777777" w:rsidR="008614E9" w:rsidRDefault="008614E9">
      <w:pPr>
        <w:spacing w:before="0" w:after="0" w:line="240" w:lineRule="auto"/>
      </w:pPr>
      <w:r>
        <w:separator/>
      </w:r>
    </w:p>
  </w:endnote>
  <w:endnote w:type="continuationSeparator" w:id="0">
    <w:p w14:paraId="118B0B9C" w14:textId="77777777" w:rsidR="008614E9" w:rsidRDefault="008614E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93" w14:textId="1BF56E56" w:rsidR="00C20959" w:rsidRDefault="00FA1AA2">
    <w:pPr>
      <w:jc w:val="right"/>
    </w:pPr>
    <w:r>
      <w:fldChar w:fldCharType="begin"/>
    </w:r>
    <w:r>
      <w:instrText>PAGE</w:instrText>
    </w:r>
    <w:r>
      <w:fldChar w:fldCharType="separate"/>
    </w:r>
    <w:r w:rsidR="003519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BE7F6" w14:textId="77777777" w:rsidR="008614E9" w:rsidRDefault="008614E9">
      <w:pPr>
        <w:spacing w:before="0" w:after="0" w:line="240" w:lineRule="auto"/>
      </w:pPr>
      <w:r>
        <w:separator/>
      </w:r>
    </w:p>
  </w:footnote>
  <w:footnote w:type="continuationSeparator" w:id="0">
    <w:p w14:paraId="339B862A" w14:textId="77777777" w:rsidR="008614E9" w:rsidRDefault="008614E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92" w14:textId="77777777" w:rsidR="00C20959" w:rsidRDefault="00C2095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959"/>
    <w:rsid w:val="000D5829"/>
    <w:rsid w:val="00191DA7"/>
    <w:rsid w:val="003519EF"/>
    <w:rsid w:val="004D3A22"/>
    <w:rsid w:val="0079005B"/>
    <w:rsid w:val="008614E9"/>
    <w:rsid w:val="009317BB"/>
    <w:rsid w:val="00C20959"/>
    <w:rsid w:val="00D73A17"/>
    <w:rsid w:val="00FA1A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9161D7C"/>
  <w15:docId w15:val="{B5CB667D-BF39-1140-9E88-0885F84CC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GB" w:eastAsia="en-GB" w:bidi="ar-SA"/>
      </w:rPr>
    </w:rPrDefault>
    <w:pPrDefault>
      <w:pPr>
        <w:spacing w:before="120" w:after="240" w:line="32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color w:val="666666"/>
      <w:sz w:val="30"/>
      <w:szCs w:val="30"/>
    </w:rPr>
  </w:style>
  <w:style w:type="table" w:customStyle="1" w:styleId="a">
    <w:basedOn w:val="TableNormal"/>
    <w:pPr>
      <w:spacing w:before="0" w:after="200" w:line="240" w:lineRule="auto"/>
    </w:pPr>
    <w:rPr>
      <w:rFonts w:ascii="Cambria" w:eastAsia="Cambria" w:hAnsi="Cambria" w:cs="Cambria"/>
      <w:sz w:val="24"/>
      <w:szCs w:val="24"/>
    </w:rPr>
    <w:tblPr>
      <w:tblStyleRowBandSize w:val="1"/>
      <w:tblStyleColBandSize w:val="1"/>
    </w:tblPr>
  </w:style>
  <w:style w:type="table" w:customStyle="1" w:styleId="a0">
    <w:basedOn w:val="TableNormal"/>
    <w:pPr>
      <w:spacing w:before="0" w:after="0" w:line="240" w:lineRule="auto"/>
    </w:pPr>
    <w:rPr>
      <w:rFonts w:ascii="Cambria" w:eastAsia="Cambria" w:hAnsi="Cambria" w:cs="Cambria"/>
      <w:sz w:val="24"/>
      <w:szCs w:val="24"/>
    </w:rPr>
    <w:tblPr>
      <w:tblStyleRowBandSize w:val="1"/>
      <w:tblStyleColBandSize w:val="1"/>
    </w:tblPr>
  </w:style>
  <w:style w:type="table" w:customStyle="1" w:styleId="a1">
    <w:basedOn w:val="TableNormal"/>
    <w:pPr>
      <w:spacing w:before="0" w:after="0" w:line="240" w:lineRule="auto"/>
    </w:pPr>
    <w:rPr>
      <w:rFonts w:ascii="Cambria" w:eastAsia="Cambria" w:hAnsi="Cambria" w:cs="Cambria"/>
      <w:sz w:val="24"/>
      <w:szCs w:val="24"/>
    </w:rPr>
    <w:tblPr>
      <w:tblStyleRowBandSize w:val="1"/>
      <w:tblStyleColBandSize w:val="1"/>
    </w:tblPr>
  </w:style>
  <w:style w:type="character" w:styleId="Hyperlink">
    <w:name w:val="Hyperlink"/>
    <w:basedOn w:val="DefaultParagraphFont"/>
    <w:uiPriority w:val="99"/>
    <w:unhideWhenUsed/>
    <w:rsid w:val="004D3A22"/>
    <w:rPr>
      <w:color w:val="0000FF" w:themeColor="hyperlink"/>
      <w:u w:val="single"/>
    </w:rPr>
  </w:style>
  <w:style w:type="character" w:styleId="UnresolvedMention">
    <w:name w:val="Unresolved Mention"/>
    <w:basedOn w:val="DefaultParagraphFont"/>
    <w:uiPriority w:val="99"/>
    <w:semiHidden/>
    <w:unhideWhenUsed/>
    <w:rsid w:val="004D3A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ithub.com/knthompson26/Age-sex-GAD7-PHQ9-GLAD" TargetMode="External"/><Relationship Id="rId18" Type="http://schemas.openxmlformats.org/officeDocument/2006/relationships/hyperlink" Target="https://doi.org/10.1037//0021-843X.100.3.316"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oi.org/10.1016/j.comppsych.2018.08.013" TargetMode="External"/><Relationship Id="rId7" Type="http://schemas.openxmlformats.org/officeDocument/2006/relationships/footnotes" Target="footnotes.xml"/><Relationship Id="rId12" Type="http://schemas.openxmlformats.org/officeDocument/2006/relationships/hyperlink" Target="http://brc.slam.nhs.uk/about/core-facilities/bioresource" TargetMode="External"/><Relationship Id="rId17" Type="http://schemas.openxmlformats.org/officeDocument/2006/relationships/hyperlink" Target="https://www.zotero.org/google-docs/?55Y64C"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ocs.google.com/document/d/1qZGjQOn_3D98hdtcwTmt4LVTpzKxXY7OQt7A6jKJUnM/edit?usp=sharing" TargetMode="External"/><Relationship Id="rId20" Type="http://schemas.openxmlformats.org/officeDocument/2006/relationships/hyperlink" Target="https://doi.org/10.1097/MLR.0b013e318160d09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cid.org/0000-0001-6458-0700"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docs.google.com/document/d/1qZGjQOn_3D98hdtcwTmt4LVTpzKxXY7OQt7A6jKJUnM/edit?usp=sharing" TargetMode="External"/><Relationship Id="rId23" Type="http://schemas.openxmlformats.org/officeDocument/2006/relationships/image" Target="media/image2.jpg"/><Relationship Id="rId10" Type="http://schemas.openxmlformats.org/officeDocument/2006/relationships/hyperlink" Target="http://orcid.org/0000-0003-2053-1792" TargetMode="External"/><Relationship Id="rId19" Type="http://schemas.openxmlformats.org/officeDocument/2006/relationships/hyperlink" Target="https://doi.org/10.1080/13607863.2015.1043617" TargetMode="External"/><Relationship Id="rId4" Type="http://schemas.openxmlformats.org/officeDocument/2006/relationships/styles" Target="styles.xml"/><Relationship Id="rId9" Type="http://schemas.openxmlformats.org/officeDocument/2006/relationships/hyperlink" Target="https://orcid.org/0000-0002-1267-8287" TargetMode="External"/><Relationship Id="rId14" Type="http://schemas.openxmlformats.org/officeDocument/2006/relationships/hyperlink" Target="https://docs.google.com/document/d/1qZGjQOn_3D98hdtcwTmt4LVTpzKxXY7OQt7A6jKJUnM/edit?usp=sharing" TargetMode="External"/><Relationship Id="rId22" Type="http://schemas.openxmlformats.org/officeDocument/2006/relationships/image" Target="media/image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B950716C640D4D9F62E48B11E72E26" ma:contentTypeVersion="10" ma:contentTypeDescription="Create a new document." ma:contentTypeScope="" ma:versionID="29c28e9f685995ce1a8d25d85fca423e">
  <xsd:schema xmlns:xsd="http://www.w3.org/2001/XMLSchema" xmlns:xs="http://www.w3.org/2001/XMLSchema" xmlns:p="http://schemas.microsoft.com/office/2006/metadata/properties" xmlns:ns2="f0615b77-e8c6-4b6b-8832-5943ef6d2761" xmlns:ns3="e4bde2f2-4531-4a1e-bd1e-94422927e1cf" targetNamespace="http://schemas.microsoft.com/office/2006/metadata/properties" ma:root="true" ma:fieldsID="e36db2f34d3b0b36dc81d1709f678a06" ns2:_="" ns3:_="">
    <xsd:import namespace="f0615b77-e8c6-4b6b-8832-5943ef6d2761"/>
    <xsd:import namespace="e4bde2f2-4531-4a1e-bd1e-94422927e1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15b77-e8c6-4b6b-8832-5943ef6d27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de2f2-4531-4a1e-bd1e-94422927e1c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364292-9BE0-42DF-B53D-1458A43F23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7B8875-ED30-4C21-9C4A-B7085D440239}">
  <ds:schemaRefs>
    <ds:schemaRef ds:uri="http://schemas.microsoft.com/sharepoint/v3/contenttype/forms"/>
  </ds:schemaRefs>
</ds:datastoreItem>
</file>

<file path=customXml/itemProps3.xml><?xml version="1.0" encoding="utf-8"?>
<ds:datastoreItem xmlns:ds="http://schemas.openxmlformats.org/officeDocument/2006/customXml" ds:itemID="{E08850DC-5FB7-42CC-898B-D964425D9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15b77-e8c6-4b6b-8832-5943ef6d2761"/>
    <ds:schemaRef ds:uri="e4bde2f2-4531-4a1e-bd1e-94422927e1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7788</Words>
  <Characters>44397</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Thompson</cp:lastModifiedBy>
  <cp:revision>4</cp:revision>
  <dcterms:created xsi:type="dcterms:W3CDTF">2021-07-06T16:16:00Z</dcterms:created>
  <dcterms:modified xsi:type="dcterms:W3CDTF">2021-07-06T17:20:00Z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0x0101000EB950716C640D4D9F62E48B11E72E26</vt:lpwstr>
  </property>
</Properties>
</file>