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E6415" w14:textId="77777777" w:rsidR="00063971" w:rsidRDefault="00063971">
      <w:pPr>
        <w:rPr>
          <w:sz w:val="32"/>
          <w:szCs w:val="32"/>
        </w:rPr>
      </w:pPr>
    </w:p>
    <w:p w14:paraId="1DB55423" w14:textId="77777777" w:rsidR="00063971" w:rsidRDefault="00063971">
      <w:pPr>
        <w:rPr>
          <w:sz w:val="32"/>
          <w:szCs w:val="32"/>
        </w:rPr>
      </w:pPr>
    </w:p>
    <w:p w14:paraId="410FB9F3" w14:textId="77777777" w:rsidR="004937FD" w:rsidRPr="00DB2AB3" w:rsidRDefault="004937FD">
      <w:pPr>
        <w:rPr>
          <w:sz w:val="32"/>
          <w:szCs w:val="32"/>
        </w:rPr>
      </w:pPr>
    </w:p>
    <w:p w14:paraId="0F2F875D" w14:textId="6A35C5C4" w:rsidR="00EA344F" w:rsidRDefault="00F572EC" w:rsidP="00472EE0">
      <w:pPr>
        <w:spacing w:after="0" w:line="360" w:lineRule="auto"/>
        <w:jc w:val="both"/>
        <w:rPr>
          <w:sz w:val="32"/>
          <w:szCs w:val="32"/>
        </w:rPr>
      </w:pPr>
      <w:r>
        <w:rPr>
          <w:sz w:val="32"/>
          <w:szCs w:val="32"/>
        </w:rPr>
        <w:t>Reliability</w:t>
      </w:r>
      <w:r w:rsidR="00EA344F" w:rsidRPr="00DB2AB3">
        <w:rPr>
          <w:sz w:val="32"/>
          <w:szCs w:val="32"/>
        </w:rPr>
        <w:t xml:space="preserve"> of </w:t>
      </w:r>
      <w:r w:rsidR="00F45C7C">
        <w:rPr>
          <w:sz w:val="32"/>
          <w:szCs w:val="32"/>
        </w:rPr>
        <w:t xml:space="preserve">structural </w:t>
      </w:r>
      <w:r w:rsidR="003E04DB">
        <w:rPr>
          <w:sz w:val="32"/>
          <w:szCs w:val="32"/>
        </w:rPr>
        <w:t>MRI</w:t>
      </w:r>
      <w:r w:rsidR="00EA344F" w:rsidRPr="00DB2AB3">
        <w:rPr>
          <w:sz w:val="32"/>
          <w:szCs w:val="32"/>
        </w:rPr>
        <w:t xml:space="preserve"> </w:t>
      </w:r>
      <w:r w:rsidR="00A122F4">
        <w:rPr>
          <w:sz w:val="32"/>
          <w:szCs w:val="32"/>
        </w:rPr>
        <w:t>measurements</w:t>
      </w:r>
      <w:r w:rsidR="00EA344F" w:rsidRPr="00DB2AB3">
        <w:rPr>
          <w:sz w:val="32"/>
          <w:szCs w:val="32"/>
        </w:rPr>
        <w:t xml:space="preserve">: The effects of scan session, head </w:t>
      </w:r>
      <w:r w:rsidR="00DE002E">
        <w:rPr>
          <w:sz w:val="32"/>
          <w:szCs w:val="32"/>
        </w:rPr>
        <w:t>tilt</w:t>
      </w:r>
      <w:r w:rsidR="00EA344F" w:rsidRPr="00DB2AB3">
        <w:rPr>
          <w:sz w:val="32"/>
          <w:szCs w:val="32"/>
        </w:rPr>
        <w:t xml:space="preserve">, </w:t>
      </w:r>
      <w:r w:rsidR="006A4454">
        <w:rPr>
          <w:sz w:val="32"/>
          <w:szCs w:val="32"/>
        </w:rPr>
        <w:t xml:space="preserve">inter-scan interval, </w:t>
      </w:r>
      <w:r w:rsidR="00EA344F" w:rsidRPr="00DB2AB3">
        <w:rPr>
          <w:sz w:val="32"/>
          <w:szCs w:val="32"/>
        </w:rPr>
        <w:t>acquisition sequence</w:t>
      </w:r>
      <w:r w:rsidR="00657BE1">
        <w:rPr>
          <w:sz w:val="32"/>
          <w:szCs w:val="32"/>
        </w:rPr>
        <w:t>,</w:t>
      </w:r>
      <w:r w:rsidR="006E1C70">
        <w:rPr>
          <w:sz w:val="32"/>
          <w:szCs w:val="32"/>
        </w:rPr>
        <w:t xml:space="preserve"> </w:t>
      </w:r>
      <w:r w:rsidR="006A4454">
        <w:rPr>
          <w:sz w:val="32"/>
          <w:szCs w:val="32"/>
        </w:rPr>
        <w:t>FreeSurfer</w:t>
      </w:r>
      <w:r w:rsidR="001A2571" w:rsidRPr="00DB2AB3">
        <w:rPr>
          <w:sz w:val="32"/>
          <w:szCs w:val="32"/>
        </w:rPr>
        <w:t xml:space="preserve"> </w:t>
      </w:r>
      <w:r w:rsidR="00657BE1">
        <w:rPr>
          <w:sz w:val="32"/>
          <w:szCs w:val="32"/>
        </w:rPr>
        <w:t>version and processing stream</w:t>
      </w:r>
    </w:p>
    <w:p w14:paraId="711A49A4" w14:textId="77777777" w:rsidR="002D76C6" w:rsidRDefault="002D76C6" w:rsidP="00472EE0">
      <w:pPr>
        <w:spacing w:line="360" w:lineRule="auto"/>
      </w:pPr>
    </w:p>
    <w:p w14:paraId="0136397E" w14:textId="346A8E49" w:rsidR="00063971" w:rsidRPr="00010B07" w:rsidRDefault="00063971" w:rsidP="00472EE0">
      <w:pPr>
        <w:spacing w:line="360" w:lineRule="auto"/>
        <w:rPr>
          <w:sz w:val="22"/>
        </w:rPr>
      </w:pPr>
      <w:r w:rsidRPr="00B742E4">
        <w:rPr>
          <w:sz w:val="22"/>
        </w:rPr>
        <w:t>Emily P Hedges</w:t>
      </w:r>
      <w:r w:rsidR="006661AF" w:rsidRPr="00B742E4">
        <w:rPr>
          <w:sz w:val="22"/>
          <w:vertAlign w:val="superscript"/>
        </w:rPr>
        <w:t>1</w:t>
      </w:r>
      <w:r w:rsidR="006661AF">
        <w:rPr>
          <w:sz w:val="22"/>
        </w:rPr>
        <w:t xml:space="preserve">, </w:t>
      </w:r>
      <w:r w:rsidR="00C95878">
        <w:rPr>
          <w:sz w:val="22"/>
        </w:rPr>
        <w:t>Mihail</w:t>
      </w:r>
      <w:r w:rsidR="00E26944">
        <w:rPr>
          <w:sz w:val="22"/>
        </w:rPr>
        <w:t xml:space="preserve"> Dimitrov</w:t>
      </w:r>
      <w:r w:rsidR="00E26944">
        <w:rPr>
          <w:sz w:val="22"/>
          <w:vertAlign w:val="superscript"/>
        </w:rPr>
        <w:t>2</w:t>
      </w:r>
      <w:r w:rsidR="00E26944">
        <w:rPr>
          <w:sz w:val="22"/>
        </w:rPr>
        <w:t>, Uzma Zahid</w:t>
      </w:r>
      <w:r w:rsidR="00E26944">
        <w:rPr>
          <w:sz w:val="22"/>
          <w:vertAlign w:val="superscript"/>
        </w:rPr>
        <w:t>1</w:t>
      </w:r>
      <w:r w:rsidR="00E26944">
        <w:rPr>
          <w:sz w:val="22"/>
        </w:rPr>
        <w:t>, Barbara Brito Vega</w:t>
      </w:r>
      <w:r w:rsidR="0012593A">
        <w:rPr>
          <w:sz w:val="22"/>
          <w:vertAlign w:val="superscript"/>
        </w:rPr>
        <w:t>1</w:t>
      </w:r>
      <w:r w:rsidR="0012593A">
        <w:rPr>
          <w:sz w:val="22"/>
        </w:rPr>
        <w:t>, Shuqing Si</w:t>
      </w:r>
      <w:r w:rsidR="0012593A">
        <w:rPr>
          <w:sz w:val="22"/>
          <w:vertAlign w:val="superscript"/>
        </w:rPr>
        <w:t>1</w:t>
      </w:r>
      <w:r w:rsidR="0012593A">
        <w:rPr>
          <w:sz w:val="22"/>
        </w:rPr>
        <w:t>, Hannah Dickson</w:t>
      </w:r>
      <w:r w:rsidR="0012593A">
        <w:rPr>
          <w:sz w:val="22"/>
          <w:vertAlign w:val="superscript"/>
        </w:rPr>
        <w:t>2</w:t>
      </w:r>
      <w:r w:rsidR="0012593A">
        <w:rPr>
          <w:sz w:val="22"/>
        </w:rPr>
        <w:t>, Philip McGuire</w:t>
      </w:r>
      <w:r w:rsidR="00724DC0">
        <w:rPr>
          <w:sz w:val="22"/>
          <w:vertAlign w:val="superscript"/>
        </w:rPr>
        <w:t>1</w:t>
      </w:r>
      <w:r w:rsidR="00724DC0">
        <w:rPr>
          <w:sz w:val="22"/>
        </w:rPr>
        <w:t>, Steve</w:t>
      </w:r>
      <w:r w:rsidR="00F53AF3">
        <w:rPr>
          <w:sz w:val="22"/>
        </w:rPr>
        <w:t>n</w:t>
      </w:r>
      <w:r w:rsidR="00724DC0">
        <w:rPr>
          <w:sz w:val="22"/>
        </w:rPr>
        <w:t xml:space="preserve"> Williams</w:t>
      </w:r>
      <w:r w:rsidR="00724DC0">
        <w:rPr>
          <w:sz w:val="22"/>
          <w:vertAlign w:val="superscript"/>
        </w:rPr>
        <w:t>3</w:t>
      </w:r>
      <w:r w:rsidR="00724DC0">
        <w:rPr>
          <w:sz w:val="22"/>
        </w:rPr>
        <w:t>, Gareth J Barker</w:t>
      </w:r>
      <w:r w:rsidR="00724DC0">
        <w:rPr>
          <w:sz w:val="22"/>
          <w:vertAlign w:val="superscript"/>
        </w:rPr>
        <w:t>3</w:t>
      </w:r>
      <w:r w:rsidR="00724DC0">
        <w:rPr>
          <w:sz w:val="22"/>
        </w:rPr>
        <w:t xml:space="preserve">, </w:t>
      </w:r>
      <w:r w:rsidR="006661AF">
        <w:rPr>
          <w:sz w:val="22"/>
        </w:rPr>
        <w:t>Matthew J Kempton</w:t>
      </w:r>
      <w:r w:rsidR="006661AF">
        <w:rPr>
          <w:sz w:val="22"/>
          <w:vertAlign w:val="superscript"/>
        </w:rPr>
        <w:t>1</w:t>
      </w:r>
    </w:p>
    <w:p w14:paraId="22794E6C" w14:textId="10FA2DCC" w:rsidR="00163A77" w:rsidRDefault="00163A77" w:rsidP="00250E56">
      <w:pPr>
        <w:spacing w:after="120" w:line="360" w:lineRule="auto"/>
        <w:rPr>
          <w:color w:val="FF0000"/>
          <w:sz w:val="22"/>
        </w:rPr>
      </w:pPr>
    </w:p>
    <w:p w14:paraId="68BBAC85" w14:textId="77777777" w:rsidR="002A4F9C" w:rsidRPr="00163A77" w:rsidRDefault="002A4F9C" w:rsidP="00250E56">
      <w:pPr>
        <w:spacing w:after="120" w:line="360" w:lineRule="auto"/>
        <w:rPr>
          <w:color w:val="FF0000"/>
          <w:sz w:val="22"/>
        </w:rPr>
      </w:pPr>
    </w:p>
    <w:p w14:paraId="4BA662CD" w14:textId="23228A59" w:rsidR="00063971" w:rsidRPr="00B742E4" w:rsidRDefault="00063971" w:rsidP="00472EE0">
      <w:pPr>
        <w:spacing w:line="360" w:lineRule="auto"/>
        <w:rPr>
          <w:b/>
          <w:bCs/>
          <w:sz w:val="22"/>
        </w:rPr>
      </w:pPr>
      <w:r w:rsidRPr="00B742E4">
        <w:rPr>
          <w:b/>
          <w:bCs/>
          <w:sz w:val="22"/>
        </w:rPr>
        <w:t>Affiliations</w:t>
      </w:r>
    </w:p>
    <w:p w14:paraId="64C28D9F" w14:textId="16EAE0A4" w:rsidR="00063971" w:rsidRPr="00B742E4" w:rsidRDefault="00063971" w:rsidP="0047231C">
      <w:pPr>
        <w:spacing w:after="0" w:line="360" w:lineRule="auto"/>
        <w:jc w:val="both"/>
        <w:rPr>
          <w:sz w:val="22"/>
        </w:rPr>
      </w:pPr>
      <w:r w:rsidRPr="00B742E4">
        <w:rPr>
          <w:sz w:val="22"/>
          <w:vertAlign w:val="superscript"/>
        </w:rPr>
        <w:t xml:space="preserve">1 </w:t>
      </w:r>
      <w:r w:rsidRPr="00B742E4">
        <w:rPr>
          <w:sz w:val="22"/>
        </w:rPr>
        <w:t>Department of Psychosis Studies, Institute of Psychiatry, Psychology &amp; Neuroscience, King’s College London, United Kingdom</w:t>
      </w:r>
      <w:r w:rsidR="005A4A60">
        <w:rPr>
          <w:sz w:val="22"/>
        </w:rPr>
        <w:t xml:space="preserve"> SE5 8A</w:t>
      </w:r>
      <w:r w:rsidR="007436AD">
        <w:rPr>
          <w:sz w:val="22"/>
        </w:rPr>
        <w:t>F</w:t>
      </w:r>
    </w:p>
    <w:p w14:paraId="0984FD26" w14:textId="09EFC798" w:rsidR="00063971" w:rsidRPr="00BD6A2D" w:rsidRDefault="001079F7" w:rsidP="0047231C">
      <w:pPr>
        <w:spacing w:after="0" w:line="360" w:lineRule="auto"/>
        <w:jc w:val="both"/>
        <w:rPr>
          <w:sz w:val="22"/>
        </w:rPr>
      </w:pPr>
      <w:r w:rsidRPr="001079F7">
        <w:rPr>
          <w:sz w:val="22"/>
          <w:vertAlign w:val="superscript"/>
        </w:rPr>
        <w:t>2</w:t>
      </w:r>
      <w:r>
        <w:rPr>
          <w:sz w:val="22"/>
        </w:rPr>
        <w:t xml:space="preserve"> </w:t>
      </w:r>
      <w:r w:rsidR="00BD6A2D">
        <w:rPr>
          <w:sz w:val="22"/>
        </w:rPr>
        <w:t xml:space="preserve">Department of Forensic and Neurodevelopmental Sciences, </w:t>
      </w:r>
      <w:r w:rsidR="00BD6A2D" w:rsidRPr="00071678">
        <w:rPr>
          <w:sz w:val="22"/>
        </w:rPr>
        <w:t>Institute of Psychiatry, Psychology &amp; Neuroscience, King’s College London, United Kingdom</w:t>
      </w:r>
      <w:r w:rsidR="00BD6A2D">
        <w:rPr>
          <w:sz w:val="22"/>
        </w:rPr>
        <w:t xml:space="preserve"> </w:t>
      </w:r>
      <w:r w:rsidR="005A4A60">
        <w:rPr>
          <w:sz w:val="22"/>
        </w:rPr>
        <w:t>SE5 8A</w:t>
      </w:r>
      <w:r w:rsidR="007436AD">
        <w:rPr>
          <w:sz w:val="22"/>
        </w:rPr>
        <w:t>F</w:t>
      </w:r>
    </w:p>
    <w:p w14:paraId="7B67B647" w14:textId="77777777" w:rsidR="005A421F" w:rsidRDefault="001079F7" w:rsidP="0047231C">
      <w:pPr>
        <w:spacing w:line="360" w:lineRule="auto"/>
        <w:jc w:val="both"/>
        <w:rPr>
          <w:sz w:val="22"/>
        </w:rPr>
      </w:pPr>
      <w:r>
        <w:rPr>
          <w:sz w:val="22"/>
          <w:vertAlign w:val="superscript"/>
        </w:rPr>
        <w:t>3</w:t>
      </w:r>
      <w:r>
        <w:rPr>
          <w:sz w:val="22"/>
        </w:rPr>
        <w:t xml:space="preserve"> Department of Neuroimaging</w:t>
      </w:r>
      <w:r w:rsidR="007436AD">
        <w:rPr>
          <w:sz w:val="22"/>
        </w:rPr>
        <w:t>, Centre for Neuroimaging Sciences</w:t>
      </w:r>
      <w:r w:rsidR="008C19B9">
        <w:rPr>
          <w:sz w:val="22"/>
        </w:rPr>
        <w:t xml:space="preserve">, </w:t>
      </w:r>
      <w:r w:rsidR="008C19B9" w:rsidRPr="00071678">
        <w:rPr>
          <w:sz w:val="22"/>
        </w:rPr>
        <w:t>Institute of Psychiatry, Psychology &amp; Neuroscience, King’s College London, United Kingdom</w:t>
      </w:r>
      <w:r w:rsidR="008C19B9">
        <w:rPr>
          <w:sz w:val="22"/>
        </w:rPr>
        <w:t xml:space="preserve"> SE5 8AF</w:t>
      </w:r>
    </w:p>
    <w:p w14:paraId="32997E79" w14:textId="4555DCA3" w:rsidR="005A421F" w:rsidRDefault="00B12E91" w:rsidP="00B12E91">
      <w:pPr>
        <w:tabs>
          <w:tab w:val="left" w:pos="2311"/>
        </w:tabs>
        <w:spacing w:line="360" w:lineRule="auto"/>
        <w:rPr>
          <w:sz w:val="22"/>
        </w:rPr>
      </w:pPr>
      <w:r>
        <w:rPr>
          <w:sz w:val="22"/>
        </w:rPr>
        <w:tab/>
      </w:r>
    </w:p>
    <w:p w14:paraId="2353F1F9" w14:textId="6676A576" w:rsidR="002A4F9C" w:rsidRDefault="002A4F9C" w:rsidP="00472EE0">
      <w:pPr>
        <w:spacing w:line="360" w:lineRule="auto"/>
        <w:rPr>
          <w:sz w:val="22"/>
        </w:rPr>
      </w:pPr>
    </w:p>
    <w:p w14:paraId="70B68F0F" w14:textId="77777777" w:rsidR="002A4F9C" w:rsidRDefault="002A4F9C" w:rsidP="00472EE0">
      <w:pPr>
        <w:spacing w:line="360" w:lineRule="auto"/>
        <w:rPr>
          <w:sz w:val="22"/>
        </w:rPr>
      </w:pPr>
    </w:p>
    <w:p w14:paraId="5DB92FAC" w14:textId="54C8B375" w:rsidR="002D76C6" w:rsidRPr="001079F7" w:rsidRDefault="007436AD" w:rsidP="00472EE0">
      <w:pPr>
        <w:spacing w:line="360" w:lineRule="auto"/>
        <w:rPr>
          <w:sz w:val="22"/>
        </w:rPr>
      </w:pPr>
      <w:r>
        <w:rPr>
          <w:sz w:val="22"/>
        </w:rPr>
        <w:t xml:space="preserve"> </w:t>
      </w:r>
    </w:p>
    <w:p w14:paraId="28639FE7" w14:textId="1FDF79C7" w:rsidR="002A4F9C" w:rsidRPr="00250E56" w:rsidRDefault="00063971" w:rsidP="00250E56">
      <w:pPr>
        <w:spacing w:line="360" w:lineRule="auto"/>
      </w:pPr>
      <w:r w:rsidRPr="00071678">
        <w:rPr>
          <w:sz w:val="22"/>
        </w:rPr>
        <w:t>Corresponding author: Emily P. Hedges; Department of Psychosis Studies, Institute of Psychiatry, Psychology &amp; Neuroscience, King’s College London, 16 De Crespigny Park, SE5 8AF; emily.p.hedges@kcl.ac.uk</w:t>
      </w:r>
      <w:r w:rsidR="002A4F9C">
        <w:br w:type="page"/>
      </w:r>
    </w:p>
    <w:p w14:paraId="77D03455" w14:textId="269B2192" w:rsidR="004937FD" w:rsidRDefault="004937FD" w:rsidP="00250E56">
      <w:pPr>
        <w:pStyle w:val="Heading1"/>
        <w:spacing w:after="120" w:line="360" w:lineRule="auto"/>
      </w:pPr>
      <w:r>
        <w:lastRenderedPageBreak/>
        <w:t>Abstract</w:t>
      </w:r>
    </w:p>
    <w:p w14:paraId="741914F4" w14:textId="483DF4FC" w:rsidR="00A61631" w:rsidRDefault="00B47DEF" w:rsidP="00472EE0">
      <w:pPr>
        <w:spacing w:after="0" w:line="360" w:lineRule="auto"/>
        <w:jc w:val="both"/>
        <w:rPr>
          <w:sz w:val="22"/>
        </w:rPr>
      </w:pPr>
      <w:r w:rsidRPr="00B47DEF">
        <w:rPr>
          <w:b/>
          <w:bCs/>
          <w:sz w:val="22"/>
        </w:rPr>
        <w:t xml:space="preserve">Background: </w:t>
      </w:r>
      <w:r w:rsidRPr="00B47DEF">
        <w:rPr>
          <w:sz w:val="22"/>
        </w:rPr>
        <w:t>L</w:t>
      </w:r>
      <w:r w:rsidR="003C7928">
        <w:rPr>
          <w:sz w:val="22"/>
        </w:rPr>
        <w:t>arge-scale l</w:t>
      </w:r>
      <w:r w:rsidRPr="00B47DEF">
        <w:rPr>
          <w:sz w:val="22"/>
        </w:rPr>
        <w:t>ongitudinal and multi</w:t>
      </w:r>
      <w:r w:rsidR="00D27C8D">
        <w:rPr>
          <w:sz w:val="22"/>
        </w:rPr>
        <w:t>-</w:t>
      </w:r>
      <w:r w:rsidR="00C20C50">
        <w:rPr>
          <w:sz w:val="22"/>
        </w:rPr>
        <w:t>centre</w:t>
      </w:r>
      <w:r w:rsidRPr="00B47DEF">
        <w:rPr>
          <w:sz w:val="22"/>
        </w:rPr>
        <w:t xml:space="preserve"> studies</w:t>
      </w:r>
      <w:r w:rsidR="00DB62EC">
        <w:rPr>
          <w:sz w:val="22"/>
        </w:rPr>
        <w:t xml:space="preserve"> </w:t>
      </w:r>
      <w:r w:rsidR="004B2B20">
        <w:rPr>
          <w:sz w:val="22"/>
        </w:rPr>
        <w:t>are used</w:t>
      </w:r>
      <w:r w:rsidRPr="00B47DEF">
        <w:rPr>
          <w:sz w:val="22"/>
        </w:rPr>
        <w:t xml:space="preserve"> to explore neuroimaging markers of normal aging, </w:t>
      </w:r>
      <w:r w:rsidR="006C1763">
        <w:rPr>
          <w:sz w:val="22"/>
        </w:rPr>
        <w:t xml:space="preserve">and </w:t>
      </w:r>
      <w:r w:rsidRPr="00B47DEF">
        <w:rPr>
          <w:sz w:val="22"/>
        </w:rPr>
        <w:t xml:space="preserve">neurodegenerative and mental health disorders. </w:t>
      </w:r>
      <w:r w:rsidR="00C20C50">
        <w:rPr>
          <w:sz w:val="22"/>
        </w:rPr>
        <w:t xml:space="preserve">Longitudinal </w:t>
      </w:r>
      <w:r w:rsidR="00300C5D">
        <w:rPr>
          <w:sz w:val="22"/>
        </w:rPr>
        <w:t>changes in brain structure are typically small</w:t>
      </w:r>
      <w:r w:rsidR="00D84CCD">
        <w:rPr>
          <w:sz w:val="22"/>
        </w:rPr>
        <w:t xml:space="preserve">, therefore </w:t>
      </w:r>
      <w:r w:rsidR="00300C5D">
        <w:rPr>
          <w:sz w:val="22"/>
        </w:rPr>
        <w:t xml:space="preserve">the reliability of automated techniques is crucial. </w:t>
      </w:r>
      <w:r w:rsidR="00D3656E">
        <w:rPr>
          <w:sz w:val="22"/>
        </w:rPr>
        <w:t xml:space="preserve">Determining the effects of different factors </w:t>
      </w:r>
      <w:r w:rsidR="008B78B1">
        <w:rPr>
          <w:sz w:val="22"/>
        </w:rPr>
        <w:t>on reliability allow</w:t>
      </w:r>
      <w:r w:rsidR="00126D03">
        <w:rPr>
          <w:sz w:val="22"/>
        </w:rPr>
        <w:t>s</w:t>
      </w:r>
      <w:r w:rsidR="008B78B1">
        <w:rPr>
          <w:sz w:val="22"/>
        </w:rPr>
        <w:t xml:space="preserve"> investigators to control those adversely </w:t>
      </w:r>
      <w:r w:rsidR="00A84656">
        <w:rPr>
          <w:sz w:val="22"/>
        </w:rPr>
        <w:t xml:space="preserve">affecting reliability, </w:t>
      </w:r>
      <w:r w:rsidR="004425D3">
        <w:rPr>
          <w:sz w:val="22"/>
        </w:rPr>
        <w:t>calculate statistical power, or even avoid particular brain measures</w:t>
      </w:r>
      <w:r w:rsidR="00BF00F9">
        <w:rPr>
          <w:sz w:val="22"/>
        </w:rPr>
        <w:t xml:space="preserve"> with low reliability. This study examined the impact of </w:t>
      </w:r>
      <w:r w:rsidR="000A5595">
        <w:rPr>
          <w:sz w:val="22"/>
        </w:rPr>
        <w:t xml:space="preserve">several </w:t>
      </w:r>
      <w:r w:rsidR="00BF00F9">
        <w:rPr>
          <w:sz w:val="22"/>
        </w:rPr>
        <w:t>image acquisition and processing factors</w:t>
      </w:r>
      <w:r w:rsidR="001D1410">
        <w:rPr>
          <w:sz w:val="22"/>
        </w:rPr>
        <w:t xml:space="preserve"> and document</w:t>
      </w:r>
      <w:r w:rsidR="00B70C7D">
        <w:rPr>
          <w:sz w:val="22"/>
        </w:rPr>
        <w:t>ed</w:t>
      </w:r>
      <w:r w:rsidR="001D1410">
        <w:rPr>
          <w:sz w:val="22"/>
        </w:rPr>
        <w:t xml:space="preserve"> the test-retest reliability of structural MRI measurements. </w:t>
      </w:r>
    </w:p>
    <w:p w14:paraId="6B5F8304" w14:textId="19F0F880" w:rsidR="00301939" w:rsidRDefault="00B47DEF" w:rsidP="00472EE0">
      <w:pPr>
        <w:spacing w:after="0" w:line="360" w:lineRule="auto"/>
        <w:jc w:val="both"/>
        <w:rPr>
          <w:sz w:val="22"/>
        </w:rPr>
      </w:pPr>
      <w:r w:rsidRPr="00B47DEF">
        <w:rPr>
          <w:b/>
          <w:bCs/>
          <w:sz w:val="22"/>
        </w:rPr>
        <w:t xml:space="preserve">Methods: </w:t>
      </w:r>
      <w:r w:rsidR="00301939">
        <w:rPr>
          <w:sz w:val="22"/>
        </w:rPr>
        <w:t xml:space="preserve">In Phase I, 20 healthy </w:t>
      </w:r>
      <w:r w:rsidR="00CB343D">
        <w:rPr>
          <w:sz w:val="22"/>
        </w:rPr>
        <w:t>adults</w:t>
      </w:r>
      <w:r w:rsidR="00301939">
        <w:rPr>
          <w:sz w:val="22"/>
        </w:rPr>
        <w:t xml:space="preserve"> </w:t>
      </w:r>
      <w:r w:rsidR="008B69EF" w:rsidRPr="00B47DEF">
        <w:rPr>
          <w:sz w:val="22"/>
        </w:rPr>
        <w:t>(11 female</w:t>
      </w:r>
      <w:r w:rsidR="008B69EF">
        <w:rPr>
          <w:sz w:val="22"/>
        </w:rPr>
        <w:t>s</w:t>
      </w:r>
      <w:r w:rsidR="008B69EF" w:rsidRPr="00B47DEF">
        <w:rPr>
          <w:sz w:val="22"/>
        </w:rPr>
        <w:t>; age</w:t>
      </w:r>
      <w:r w:rsidR="008B69EF">
        <w:rPr>
          <w:sz w:val="22"/>
        </w:rPr>
        <w:t>d</w:t>
      </w:r>
      <w:r w:rsidR="008B69EF" w:rsidRPr="00B47DEF">
        <w:rPr>
          <w:sz w:val="22"/>
        </w:rPr>
        <w:t xml:space="preserve"> 20-30 years)</w:t>
      </w:r>
      <w:r w:rsidR="008B69EF">
        <w:rPr>
          <w:sz w:val="22"/>
        </w:rPr>
        <w:t xml:space="preserve"> were scanned </w:t>
      </w:r>
      <w:r w:rsidR="0099400A">
        <w:rPr>
          <w:sz w:val="22"/>
        </w:rPr>
        <w:t xml:space="preserve">on two occasions </w:t>
      </w:r>
      <w:r w:rsidR="006D0B2E">
        <w:rPr>
          <w:sz w:val="22"/>
        </w:rPr>
        <w:t xml:space="preserve">three weeks apart </w:t>
      </w:r>
      <w:r w:rsidR="0099400A">
        <w:rPr>
          <w:sz w:val="22"/>
        </w:rPr>
        <w:t>on the same scanner using the ADNI-3 protocol</w:t>
      </w:r>
      <w:r w:rsidR="008455E0">
        <w:rPr>
          <w:sz w:val="22"/>
        </w:rPr>
        <w:t xml:space="preserve">. </w:t>
      </w:r>
      <w:r w:rsidR="00233DA4">
        <w:rPr>
          <w:sz w:val="22"/>
        </w:rPr>
        <w:t>On each occasion</w:t>
      </w:r>
      <w:r w:rsidR="002929B7">
        <w:rPr>
          <w:sz w:val="22"/>
        </w:rPr>
        <w:t>, individuals were scanned twice</w:t>
      </w:r>
      <w:r w:rsidR="00EA7F3C">
        <w:rPr>
          <w:sz w:val="22"/>
        </w:rPr>
        <w:t xml:space="preserve"> (repetition)</w:t>
      </w:r>
      <w:r w:rsidR="004E327C">
        <w:rPr>
          <w:sz w:val="22"/>
        </w:rPr>
        <w:t xml:space="preserve">, </w:t>
      </w:r>
      <w:r w:rsidR="00A85347">
        <w:rPr>
          <w:sz w:val="22"/>
        </w:rPr>
        <w:t xml:space="preserve">after re-entering the scanner </w:t>
      </w:r>
      <w:r w:rsidR="00EA7F3C">
        <w:rPr>
          <w:sz w:val="22"/>
        </w:rPr>
        <w:t xml:space="preserve">(reposition) </w:t>
      </w:r>
      <w:r w:rsidR="00A85347">
        <w:rPr>
          <w:sz w:val="22"/>
        </w:rPr>
        <w:t xml:space="preserve">and </w:t>
      </w:r>
      <w:r w:rsidR="004E327C">
        <w:rPr>
          <w:sz w:val="22"/>
        </w:rPr>
        <w:t>after tilting the</w:t>
      </w:r>
      <w:r w:rsidR="00782F2B">
        <w:rPr>
          <w:sz w:val="22"/>
        </w:rPr>
        <w:t>ir</w:t>
      </w:r>
      <w:r w:rsidR="004E327C">
        <w:rPr>
          <w:sz w:val="22"/>
        </w:rPr>
        <w:t xml:space="preserve"> head forward. </w:t>
      </w:r>
      <w:r w:rsidR="00F37207">
        <w:rPr>
          <w:sz w:val="22"/>
        </w:rPr>
        <w:t>A</w:t>
      </w:r>
      <w:r w:rsidR="00744BF7">
        <w:rPr>
          <w:sz w:val="22"/>
        </w:rPr>
        <w:t>t</w:t>
      </w:r>
      <w:r w:rsidR="00F37207">
        <w:rPr>
          <w:sz w:val="22"/>
        </w:rPr>
        <w:t xml:space="preserve"> one</w:t>
      </w:r>
      <w:r w:rsidR="00EA7F3C">
        <w:rPr>
          <w:sz w:val="22"/>
        </w:rPr>
        <w:t xml:space="preserve"> </w:t>
      </w:r>
      <w:r w:rsidR="00F37207">
        <w:rPr>
          <w:sz w:val="22"/>
        </w:rPr>
        <w:t>year</w:t>
      </w:r>
      <w:r w:rsidR="00744BF7">
        <w:rPr>
          <w:sz w:val="22"/>
        </w:rPr>
        <w:t xml:space="preserve"> follow-up</w:t>
      </w:r>
      <w:r w:rsidR="00F37207">
        <w:rPr>
          <w:sz w:val="22"/>
        </w:rPr>
        <w:t>, nine returning individuals and 11 new volunteers were recruited for Phase II</w:t>
      </w:r>
      <w:r w:rsidR="00B2564D">
        <w:rPr>
          <w:sz w:val="22"/>
        </w:rPr>
        <w:t xml:space="preserve"> (11 females; aged 22-31 years). </w:t>
      </w:r>
      <w:r w:rsidR="00E77ACC">
        <w:rPr>
          <w:sz w:val="22"/>
        </w:rPr>
        <w:t>S</w:t>
      </w:r>
      <w:r w:rsidR="00FB61D7">
        <w:rPr>
          <w:sz w:val="22"/>
        </w:rPr>
        <w:t xml:space="preserve">cans were acquired on two </w:t>
      </w:r>
      <w:r w:rsidR="00513AD1">
        <w:rPr>
          <w:sz w:val="22"/>
        </w:rPr>
        <w:t xml:space="preserve">different </w:t>
      </w:r>
      <w:r w:rsidR="00FB61D7">
        <w:rPr>
          <w:sz w:val="22"/>
        </w:rPr>
        <w:t>scanners using the ADNI</w:t>
      </w:r>
      <w:r w:rsidR="00D90466">
        <w:rPr>
          <w:sz w:val="22"/>
        </w:rPr>
        <w:t>-</w:t>
      </w:r>
      <w:r w:rsidR="00FB61D7">
        <w:rPr>
          <w:sz w:val="22"/>
        </w:rPr>
        <w:t>2 and ADNI-3 protocols. Structural images were processed using FreeSurfer</w:t>
      </w:r>
      <w:r w:rsidR="00894327">
        <w:rPr>
          <w:sz w:val="22"/>
        </w:rPr>
        <w:t xml:space="preserve"> (v5.3.0, 6.0.0 and 7.1.0)</w:t>
      </w:r>
      <w:r w:rsidR="00384B43">
        <w:rPr>
          <w:sz w:val="22"/>
        </w:rPr>
        <w:t xml:space="preserve"> to provide subcortical and cortical volume, cortical surface area and thickness </w:t>
      </w:r>
      <w:r w:rsidR="009D543B">
        <w:rPr>
          <w:sz w:val="22"/>
        </w:rPr>
        <w:t xml:space="preserve">measurements. </w:t>
      </w:r>
      <w:r w:rsidR="00D777EE" w:rsidRPr="00B47DEF">
        <w:rPr>
          <w:sz w:val="22"/>
        </w:rPr>
        <w:t>Intra-class correlation coefficients (ICC) were calculated to estimate test-retest reliability.</w:t>
      </w:r>
      <w:r w:rsidR="00B037B0">
        <w:rPr>
          <w:sz w:val="22"/>
        </w:rPr>
        <w:t xml:space="preserve"> We examined the effect of </w:t>
      </w:r>
      <w:r w:rsidR="00CB343D">
        <w:rPr>
          <w:sz w:val="22"/>
        </w:rPr>
        <w:t xml:space="preserve">repetition, reposition, </w:t>
      </w:r>
      <w:r w:rsidR="00B000C6">
        <w:rPr>
          <w:sz w:val="22"/>
        </w:rPr>
        <w:t xml:space="preserve">head tilt, time between scans, </w:t>
      </w:r>
      <w:r w:rsidR="009A57DB">
        <w:rPr>
          <w:sz w:val="22"/>
        </w:rPr>
        <w:t xml:space="preserve">MRI sequence and scanner on reliability of </w:t>
      </w:r>
      <w:r w:rsidR="00A122F4">
        <w:rPr>
          <w:sz w:val="22"/>
        </w:rPr>
        <w:t xml:space="preserve">structural </w:t>
      </w:r>
      <w:r w:rsidR="009A57DB">
        <w:rPr>
          <w:sz w:val="22"/>
        </w:rPr>
        <w:t xml:space="preserve">brain </w:t>
      </w:r>
      <w:r w:rsidR="00A122F4">
        <w:rPr>
          <w:sz w:val="22"/>
        </w:rPr>
        <w:t>measurements</w:t>
      </w:r>
      <w:r w:rsidR="00876E2A">
        <w:rPr>
          <w:sz w:val="22"/>
        </w:rPr>
        <w:t>.</w:t>
      </w:r>
      <w:r w:rsidR="00EF49DD">
        <w:rPr>
          <w:sz w:val="22"/>
        </w:rPr>
        <w:t xml:space="preserve"> </w:t>
      </w:r>
      <w:r w:rsidR="006E3900">
        <w:rPr>
          <w:sz w:val="22"/>
        </w:rPr>
        <w:t>M</w:t>
      </w:r>
      <w:r w:rsidR="00EF49DD">
        <w:rPr>
          <w:sz w:val="22"/>
        </w:rPr>
        <w:t>ean percentage differences</w:t>
      </w:r>
      <w:r w:rsidR="006E3900">
        <w:rPr>
          <w:sz w:val="22"/>
        </w:rPr>
        <w:t xml:space="preserve"> were also calculated in supplementary analyses. </w:t>
      </w:r>
    </w:p>
    <w:p w14:paraId="58A4D601" w14:textId="23C2B9E9" w:rsidR="00F16608" w:rsidRDefault="00B47DEF" w:rsidP="0098174D">
      <w:pPr>
        <w:spacing w:after="0" w:line="360" w:lineRule="auto"/>
        <w:jc w:val="both"/>
        <w:rPr>
          <w:sz w:val="22"/>
        </w:rPr>
      </w:pPr>
      <w:r w:rsidRPr="00B47DEF">
        <w:rPr>
          <w:b/>
          <w:bCs/>
          <w:sz w:val="22"/>
        </w:rPr>
        <w:t xml:space="preserve">Results: </w:t>
      </w:r>
      <w:r w:rsidR="00701665" w:rsidRPr="008D2BAE">
        <w:rPr>
          <w:sz w:val="22"/>
        </w:rPr>
        <w:t xml:space="preserve">Using the </w:t>
      </w:r>
      <w:r w:rsidR="00C7266E">
        <w:rPr>
          <w:sz w:val="22"/>
        </w:rPr>
        <w:t xml:space="preserve">FreeSurfer </w:t>
      </w:r>
      <w:r w:rsidR="003F22AB">
        <w:rPr>
          <w:sz w:val="22"/>
        </w:rPr>
        <w:t xml:space="preserve">v7.1.0 </w:t>
      </w:r>
      <w:r w:rsidR="00B000C6" w:rsidRPr="008D2BAE">
        <w:rPr>
          <w:sz w:val="22"/>
        </w:rPr>
        <w:t xml:space="preserve">longitudinal </w:t>
      </w:r>
      <w:r w:rsidR="00701665" w:rsidRPr="008D2BAE">
        <w:rPr>
          <w:sz w:val="22"/>
        </w:rPr>
        <w:t>pipeline</w:t>
      </w:r>
      <w:r w:rsidR="00701665">
        <w:rPr>
          <w:sz w:val="22"/>
        </w:rPr>
        <w:t>,</w:t>
      </w:r>
      <w:r w:rsidR="00701665">
        <w:rPr>
          <w:b/>
          <w:bCs/>
          <w:sz w:val="22"/>
        </w:rPr>
        <w:t xml:space="preserve"> </w:t>
      </w:r>
      <w:r w:rsidR="00701665">
        <w:rPr>
          <w:sz w:val="22"/>
        </w:rPr>
        <w:t>w</w:t>
      </w:r>
      <w:r w:rsidR="00701665" w:rsidRPr="00B47DEF">
        <w:rPr>
          <w:sz w:val="22"/>
        </w:rPr>
        <w:t xml:space="preserve">e </w:t>
      </w:r>
      <w:r w:rsidR="00950D3F">
        <w:rPr>
          <w:sz w:val="22"/>
        </w:rPr>
        <w:t xml:space="preserve">observed </w:t>
      </w:r>
      <w:r w:rsidR="00701665">
        <w:rPr>
          <w:sz w:val="22"/>
        </w:rPr>
        <w:t>high</w:t>
      </w:r>
      <w:r w:rsidR="00701665" w:rsidRPr="00B47DEF">
        <w:rPr>
          <w:sz w:val="22"/>
        </w:rPr>
        <w:t xml:space="preserve"> reliability </w:t>
      </w:r>
      <w:r w:rsidR="00701665">
        <w:rPr>
          <w:sz w:val="22"/>
        </w:rPr>
        <w:t>for subcortical and cortical volumes, and cortical surface area</w:t>
      </w:r>
      <w:r w:rsidR="00395AFB">
        <w:rPr>
          <w:sz w:val="22"/>
        </w:rPr>
        <w:t>s</w:t>
      </w:r>
      <w:r w:rsidR="00701665">
        <w:rPr>
          <w:sz w:val="22"/>
        </w:rPr>
        <w:t xml:space="preserve"> at re</w:t>
      </w:r>
      <w:r w:rsidR="00EA7F3C">
        <w:rPr>
          <w:sz w:val="22"/>
        </w:rPr>
        <w:t>petition</w:t>
      </w:r>
      <w:r w:rsidR="00701665">
        <w:rPr>
          <w:sz w:val="22"/>
        </w:rPr>
        <w:t xml:space="preserve">, reposition, </w:t>
      </w:r>
      <w:r w:rsidR="00EA7F3C">
        <w:rPr>
          <w:sz w:val="22"/>
        </w:rPr>
        <w:t>three</w:t>
      </w:r>
      <w:r w:rsidR="00701665">
        <w:rPr>
          <w:sz w:val="22"/>
        </w:rPr>
        <w:t xml:space="preserve"> weeks and </w:t>
      </w:r>
      <w:r w:rsidR="00EA7F3C">
        <w:rPr>
          <w:sz w:val="22"/>
        </w:rPr>
        <w:t xml:space="preserve">one </w:t>
      </w:r>
      <w:r w:rsidR="00701665">
        <w:rPr>
          <w:sz w:val="22"/>
        </w:rPr>
        <w:t>year (mean ICCs&gt;0.97)</w:t>
      </w:r>
      <w:r w:rsidR="00701665" w:rsidRPr="00B47DEF">
        <w:rPr>
          <w:sz w:val="22"/>
        </w:rPr>
        <w:t xml:space="preserve">. </w:t>
      </w:r>
      <w:r w:rsidR="00701665">
        <w:rPr>
          <w:sz w:val="22"/>
        </w:rPr>
        <w:t xml:space="preserve">Cortical thickness reliability was lower (mean ICCs&gt;0.82). </w:t>
      </w:r>
      <w:r w:rsidR="00B80AE8">
        <w:rPr>
          <w:sz w:val="22"/>
        </w:rPr>
        <w:t>H</w:t>
      </w:r>
      <w:r w:rsidR="00701665" w:rsidRPr="00B47DEF">
        <w:rPr>
          <w:sz w:val="22"/>
        </w:rPr>
        <w:t>ead tilt</w:t>
      </w:r>
      <w:r w:rsidR="00701665">
        <w:rPr>
          <w:sz w:val="22"/>
        </w:rPr>
        <w:t xml:space="preserve"> had</w:t>
      </w:r>
      <w:r w:rsidR="00701665" w:rsidRPr="00B47DEF">
        <w:rPr>
          <w:sz w:val="22"/>
        </w:rPr>
        <w:t xml:space="preserve"> the greatest </w:t>
      </w:r>
      <w:r w:rsidR="00701665">
        <w:rPr>
          <w:sz w:val="22"/>
        </w:rPr>
        <w:t xml:space="preserve">adverse </w:t>
      </w:r>
      <w:r w:rsidR="00701665" w:rsidRPr="00B47DEF">
        <w:rPr>
          <w:sz w:val="22"/>
        </w:rPr>
        <w:t>impact on ICC estimates</w:t>
      </w:r>
      <w:r w:rsidR="00701665">
        <w:rPr>
          <w:sz w:val="22"/>
        </w:rPr>
        <w:t>, for example reducing mean right cortical thickness to ICC=0.7</w:t>
      </w:r>
      <w:r w:rsidR="004E5954">
        <w:rPr>
          <w:sz w:val="22"/>
        </w:rPr>
        <w:t>4</w:t>
      </w:r>
      <w:r w:rsidR="00701665">
        <w:rPr>
          <w:sz w:val="22"/>
        </w:rPr>
        <w:t xml:space="preserve">. </w:t>
      </w:r>
      <w:r w:rsidR="00701665" w:rsidRPr="00B47DEF">
        <w:rPr>
          <w:sz w:val="22"/>
        </w:rPr>
        <w:t xml:space="preserve"> </w:t>
      </w:r>
      <w:r w:rsidR="00701665">
        <w:rPr>
          <w:sz w:val="22"/>
        </w:rPr>
        <w:t xml:space="preserve">In contrast, </w:t>
      </w:r>
      <w:r w:rsidR="002A1A54">
        <w:rPr>
          <w:sz w:val="22"/>
        </w:rPr>
        <w:t>change</w:t>
      </w:r>
      <w:r w:rsidR="0049401C">
        <w:rPr>
          <w:sz w:val="22"/>
        </w:rPr>
        <w:t>s</w:t>
      </w:r>
      <w:r w:rsidR="002A1A54">
        <w:rPr>
          <w:sz w:val="22"/>
        </w:rPr>
        <w:t xml:space="preserve"> in ADNI</w:t>
      </w:r>
      <w:r w:rsidR="00F16608">
        <w:rPr>
          <w:sz w:val="22"/>
        </w:rPr>
        <w:t xml:space="preserve"> </w:t>
      </w:r>
      <w:r w:rsidR="002A1A54">
        <w:rPr>
          <w:sz w:val="22"/>
        </w:rPr>
        <w:t>sequence</w:t>
      </w:r>
      <w:r w:rsidR="00F16608">
        <w:rPr>
          <w:sz w:val="22"/>
        </w:rPr>
        <w:t xml:space="preserve"> or MRI scanner had a minimal effect. </w:t>
      </w:r>
      <w:r w:rsidR="00AB5BAC">
        <w:rPr>
          <w:sz w:val="22"/>
        </w:rPr>
        <w:t xml:space="preserve">We observed an increase in reliability for updated FreeSurfer versions, with the longitudinal </w:t>
      </w:r>
      <w:r w:rsidR="00C9192F">
        <w:rPr>
          <w:sz w:val="22"/>
        </w:rPr>
        <w:t xml:space="preserve">pipeline consistently having a higher reliability than the cross-sectional pipeline. </w:t>
      </w:r>
    </w:p>
    <w:p w14:paraId="3D06C4C2" w14:textId="5038F987" w:rsidR="002D76C6" w:rsidRDefault="00B47DEF" w:rsidP="005B403D">
      <w:pPr>
        <w:spacing w:after="0" w:line="360" w:lineRule="auto"/>
        <w:jc w:val="both"/>
        <w:rPr>
          <w:sz w:val="22"/>
        </w:rPr>
      </w:pPr>
      <w:r w:rsidRPr="00B47DEF">
        <w:rPr>
          <w:b/>
          <w:bCs/>
          <w:sz w:val="22"/>
        </w:rPr>
        <w:t xml:space="preserve">Discussion: </w:t>
      </w:r>
      <w:r w:rsidR="00900F73">
        <w:rPr>
          <w:sz w:val="22"/>
        </w:rPr>
        <w:t xml:space="preserve">Longitudinal studies should monitor or control head tilt to maximise reliability. </w:t>
      </w:r>
      <w:r w:rsidR="00C9192F">
        <w:rPr>
          <w:sz w:val="22"/>
        </w:rPr>
        <w:t xml:space="preserve">We </w:t>
      </w:r>
      <w:r w:rsidR="000640B3">
        <w:rPr>
          <w:sz w:val="22"/>
        </w:rPr>
        <w:t>provide</w:t>
      </w:r>
      <w:r w:rsidR="00B70C7D">
        <w:rPr>
          <w:sz w:val="22"/>
        </w:rPr>
        <w:t>d</w:t>
      </w:r>
      <w:r w:rsidR="000640B3">
        <w:rPr>
          <w:sz w:val="22"/>
        </w:rPr>
        <w:t xml:space="preserve"> the ICC estimates</w:t>
      </w:r>
      <w:r w:rsidR="00D34316">
        <w:rPr>
          <w:sz w:val="22"/>
        </w:rPr>
        <w:t xml:space="preserve"> and mean percentage </w:t>
      </w:r>
      <w:r w:rsidR="00D223FA">
        <w:rPr>
          <w:sz w:val="22"/>
        </w:rPr>
        <w:t>difference</w:t>
      </w:r>
      <w:r w:rsidR="00413978">
        <w:rPr>
          <w:sz w:val="22"/>
        </w:rPr>
        <w:t>s</w:t>
      </w:r>
      <w:r w:rsidR="000640B3">
        <w:rPr>
          <w:sz w:val="22"/>
        </w:rPr>
        <w:t xml:space="preserve"> for all FreeSurfer brain regions</w:t>
      </w:r>
      <w:r w:rsidR="00B70C7D">
        <w:rPr>
          <w:sz w:val="22"/>
        </w:rPr>
        <w:t xml:space="preserve">, which may inform power analyses for clinical studies and have implications for the design of </w:t>
      </w:r>
      <w:r w:rsidR="00C01378">
        <w:rPr>
          <w:sz w:val="22"/>
        </w:rPr>
        <w:t xml:space="preserve">future longitudinal studies. </w:t>
      </w:r>
    </w:p>
    <w:p w14:paraId="1729289C" w14:textId="77777777" w:rsidR="00C01378" w:rsidRDefault="00C01378" w:rsidP="00133EA4">
      <w:pPr>
        <w:jc w:val="both"/>
      </w:pPr>
    </w:p>
    <w:p w14:paraId="3C546B99" w14:textId="1A2FEF19" w:rsidR="00C01378" w:rsidRPr="005B403D" w:rsidRDefault="002D76C6" w:rsidP="005B403D">
      <w:pPr>
        <w:jc w:val="both"/>
        <w:rPr>
          <w:sz w:val="22"/>
        </w:rPr>
      </w:pPr>
      <w:r w:rsidRPr="002D76C6">
        <w:rPr>
          <w:i/>
          <w:iCs/>
          <w:sz w:val="22"/>
        </w:rPr>
        <w:t>Key words:</w:t>
      </w:r>
      <w:r>
        <w:rPr>
          <w:sz w:val="22"/>
        </w:rPr>
        <w:t xml:space="preserve"> Structural MRI, </w:t>
      </w:r>
      <w:r w:rsidR="00ED3257">
        <w:rPr>
          <w:sz w:val="22"/>
        </w:rPr>
        <w:t xml:space="preserve">Longitudinal, </w:t>
      </w:r>
      <w:r>
        <w:rPr>
          <w:sz w:val="22"/>
        </w:rPr>
        <w:t>Reproducibility</w:t>
      </w:r>
      <w:r w:rsidRPr="00F32E60">
        <w:rPr>
          <w:sz w:val="22"/>
        </w:rPr>
        <w:t>, Morphology</w:t>
      </w:r>
      <w:r w:rsidR="00C01378">
        <w:br w:type="page"/>
      </w:r>
    </w:p>
    <w:p w14:paraId="421055E9" w14:textId="21079E66" w:rsidR="007D38CE" w:rsidRDefault="007D38CE" w:rsidP="00017837">
      <w:pPr>
        <w:pStyle w:val="Heading1"/>
        <w:numPr>
          <w:ilvl w:val="0"/>
          <w:numId w:val="10"/>
        </w:numPr>
        <w:spacing w:after="120" w:line="360" w:lineRule="auto"/>
        <w:ind w:left="714" w:hanging="357"/>
      </w:pPr>
      <w:r>
        <w:lastRenderedPageBreak/>
        <w:t>Introduction</w:t>
      </w:r>
    </w:p>
    <w:p w14:paraId="07052042" w14:textId="5E9CC7FB" w:rsidR="004F739E" w:rsidRDefault="007D38CE" w:rsidP="0098174D">
      <w:pPr>
        <w:spacing w:after="120" w:line="360" w:lineRule="auto"/>
        <w:jc w:val="both"/>
        <w:rPr>
          <w:sz w:val="22"/>
        </w:rPr>
      </w:pPr>
      <w:r>
        <w:rPr>
          <w:sz w:val="22"/>
        </w:rPr>
        <w:t>Longitudinal and multi-</w:t>
      </w:r>
      <w:r w:rsidR="00884EE0">
        <w:rPr>
          <w:sz w:val="22"/>
        </w:rPr>
        <w:t>centre</w:t>
      </w:r>
      <w:r w:rsidRPr="004B2A66">
        <w:rPr>
          <w:sz w:val="22"/>
        </w:rPr>
        <w:t xml:space="preserve"> studies have become increasingly popular </w:t>
      </w:r>
      <w:r>
        <w:rPr>
          <w:sz w:val="22"/>
        </w:rPr>
        <w:t xml:space="preserve">to explore neuroimaging markers of normal aging, </w:t>
      </w:r>
      <w:r w:rsidR="00C27D85">
        <w:rPr>
          <w:sz w:val="22"/>
        </w:rPr>
        <w:t xml:space="preserve">and </w:t>
      </w:r>
      <w:r>
        <w:rPr>
          <w:sz w:val="22"/>
        </w:rPr>
        <w:t xml:space="preserve">neurodegenerative and mental health disorders </w:t>
      </w:r>
      <w:r w:rsidR="009A1FF5">
        <w:rPr>
          <w:noProof/>
          <w:sz w:val="22"/>
        </w:rPr>
        <w:t>(Misra et al., 2009, Scahill et al., 2003, van Erp et al., 2016)</w:t>
      </w:r>
      <w:r w:rsidR="009A1FF5">
        <w:rPr>
          <w:sz w:val="22"/>
        </w:rPr>
        <w:t xml:space="preserve">. </w:t>
      </w:r>
      <w:r w:rsidR="00547061">
        <w:rPr>
          <w:sz w:val="22"/>
        </w:rPr>
        <w:t xml:space="preserve">Due to </w:t>
      </w:r>
      <w:r w:rsidR="00C7266E">
        <w:rPr>
          <w:sz w:val="22"/>
        </w:rPr>
        <w:t xml:space="preserve">the </w:t>
      </w:r>
      <w:r w:rsidR="00547061">
        <w:rPr>
          <w:sz w:val="22"/>
        </w:rPr>
        <w:t>large</w:t>
      </w:r>
      <w:r w:rsidR="00C7266E">
        <w:rPr>
          <w:sz w:val="22"/>
        </w:rPr>
        <w:t xml:space="preserve"> number of participants</w:t>
      </w:r>
      <w:r w:rsidR="00A60832">
        <w:rPr>
          <w:sz w:val="22"/>
        </w:rPr>
        <w:t xml:space="preserve"> in such studies</w:t>
      </w:r>
      <w:r w:rsidR="0099419F">
        <w:rPr>
          <w:sz w:val="22"/>
        </w:rPr>
        <w:t xml:space="preserve">, </w:t>
      </w:r>
      <w:r w:rsidR="00A71A16">
        <w:rPr>
          <w:sz w:val="22"/>
        </w:rPr>
        <w:t xml:space="preserve">quantifying brain </w:t>
      </w:r>
      <w:r w:rsidR="0021235B">
        <w:rPr>
          <w:sz w:val="22"/>
        </w:rPr>
        <w:t xml:space="preserve">structures by time-consuming manual tracing methods </w:t>
      </w:r>
      <w:r w:rsidR="007242C9">
        <w:rPr>
          <w:sz w:val="22"/>
        </w:rPr>
        <w:t>become</w:t>
      </w:r>
      <w:r w:rsidR="006443AE">
        <w:rPr>
          <w:sz w:val="22"/>
        </w:rPr>
        <w:t>s</w:t>
      </w:r>
      <w:r w:rsidR="0021235B">
        <w:rPr>
          <w:sz w:val="22"/>
        </w:rPr>
        <w:t xml:space="preserve"> unfeasible</w:t>
      </w:r>
      <w:r w:rsidR="009A1FF5">
        <w:rPr>
          <w:sz w:val="22"/>
        </w:rPr>
        <w:t xml:space="preserve"> </w:t>
      </w:r>
      <w:r w:rsidR="007E492A">
        <w:rPr>
          <w:noProof/>
          <w:sz w:val="22"/>
        </w:rPr>
        <w:t>(Morey et al., 2009)</w:t>
      </w:r>
      <w:r w:rsidR="001E0C02">
        <w:rPr>
          <w:sz w:val="22"/>
        </w:rPr>
        <w:t xml:space="preserve">. </w:t>
      </w:r>
      <w:r w:rsidR="00BE4715">
        <w:rPr>
          <w:sz w:val="22"/>
        </w:rPr>
        <w:t xml:space="preserve">Instead, </w:t>
      </w:r>
      <w:r w:rsidR="004A7452">
        <w:rPr>
          <w:sz w:val="22"/>
        </w:rPr>
        <w:t>automated brain segmentation techniques</w:t>
      </w:r>
      <w:r w:rsidR="003D3B53">
        <w:rPr>
          <w:sz w:val="22"/>
        </w:rPr>
        <w:t xml:space="preserve"> are </w:t>
      </w:r>
      <w:r w:rsidR="004A115E">
        <w:rPr>
          <w:sz w:val="22"/>
        </w:rPr>
        <w:t>used to</w:t>
      </w:r>
      <w:r w:rsidR="003D3B53">
        <w:rPr>
          <w:sz w:val="22"/>
        </w:rPr>
        <w:t xml:space="preserve"> process magnetic resonance imaging (MRI) </w:t>
      </w:r>
      <w:r w:rsidR="00546F2E">
        <w:rPr>
          <w:sz w:val="22"/>
        </w:rPr>
        <w:t>scans</w:t>
      </w:r>
      <w:r w:rsidR="00685BA1">
        <w:rPr>
          <w:sz w:val="22"/>
        </w:rPr>
        <w:t xml:space="preserve"> </w:t>
      </w:r>
      <w:r w:rsidR="001E0C02">
        <w:rPr>
          <w:noProof/>
          <w:sz w:val="22"/>
        </w:rPr>
        <w:t>(Jovicich et al., 2013, Morey et al., 2010)</w:t>
      </w:r>
      <w:r w:rsidR="001E0C02">
        <w:rPr>
          <w:sz w:val="22"/>
        </w:rPr>
        <w:t xml:space="preserve">. </w:t>
      </w:r>
      <w:r w:rsidR="006B628B">
        <w:rPr>
          <w:sz w:val="22"/>
        </w:rPr>
        <w:t>FreeSurfer is an open</w:t>
      </w:r>
      <w:r w:rsidR="00336A46">
        <w:rPr>
          <w:sz w:val="22"/>
        </w:rPr>
        <w:t>-</w:t>
      </w:r>
      <w:r w:rsidR="006B628B">
        <w:rPr>
          <w:sz w:val="22"/>
        </w:rPr>
        <w:t xml:space="preserve">source automated segmentation software package (Martinos Center for Biomedical Imaging, Harvard-MIT, Boston; </w:t>
      </w:r>
      <w:hyperlink r:id="rId8" w:history="1">
        <w:r w:rsidR="006B628B" w:rsidRPr="00525E4E">
          <w:rPr>
            <w:rStyle w:val="Hyperlink"/>
            <w:color w:val="auto"/>
            <w:sz w:val="22"/>
          </w:rPr>
          <w:t>https://surfer.nmr.mgh.harvard.edu/</w:t>
        </w:r>
      </w:hyperlink>
      <w:r w:rsidR="006B628B" w:rsidRPr="00525E4E">
        <w:rPr>
          <w:sz w:val="22"/>
        </w:rPr>
        <w:t xml:space="preserve">) that has </w:t>
      </w:r>
      <w:r w:rsidR="006B628B">
        <w:rPr>
          <w:sz w:val="22"/>
        </w:rPr>
        <w:t xml:space="preserve">been widely used in brain volume studies, such as UK Biobank </w:t>
      </w:r>
      <w:r w:rsidR="001E0C02">
        <w:rPr>
          <w:noProof/>
          <w:sz w:val="22"/>
        </w:rPr>
        <w:t>(Elliott et al., 2018)</w:t>
      </w:r>
      <w:r w:rsidR="001E0C02">
        <w:rPr>
          <w:sz w:val="22"/>
        </w:rPr>
        <w:t xml:space="preserve">, ENIGMA Consortium </w:t>
      </w:r>
      <w:r w:rsidR="009B72B3">
        <w:rPr>
          <w:noProof/>
          <w:sz w:val="22"/>
        </w:rPr>
        <w:t>(Thompson et al., 2014)</w:t>
      </w:r>
      <w:r w:rsidR="009B72B3">
        <w:rPr>
          <w:sz w:val="22"/>
        </w:rPr>
        <w:t xml:space="preserve"> and Lifebrain </w:t>
      </w:r>
      <w:r w:rsidR="009B72B3">
        <w:rPr>
          <w:noProof/>
          <w:sz w:val="22"/>
        </w:rPr>
        <w:t>(Walhovd et al., 2018)</w:t>
      </w:r>
      <w:r w:rsidR="009B72B3">
        <w:rPr>
          <w:sz w:val="22"/>
        </w:rPr>
        <w:t xml:space="preserve">. </w:t>
      </w:r>
      <w:r w:rsidR="000A08D3">
        <w:rPr>
          <w:sz w:val="22"/>
        </w:rPr>
        <w:t>FreeSurfer is appealing</w:t>
      </w:r>
      <w:r w:rsidR="00CB3328">
        <w:rPr>
          <w:sz w:val="22"/>
        </w:rPr>
        <w:t xml:space="preserve"> to longitudinal and multi-</w:t>
      </w:r>
      <w:r w:rsidR="00B2676A">
        <w:rPr>
          <w:sz w:val="22"/>
        </w:rPr>
        <w:t>centre</w:t>
      </w:r>
      <w:r w:rsidR="00CB3328">
        <w:rPr>
          <w:sz w:val="22"/>
        </w:rPr>
        <w:t xml:space="preserve"> studies as</w:t>
      </w:r>
      <w:r w:rsidR="00F67731">
        <w:rPr>
          <w:sz w:val="22"/>
        </w:rPr>
        <w:t xml:space="preserve"> it offers a </w:t>
      </w:r>
      <w:r w:rsidR="00664CCF">
        <w:rPr>
          <w:sz w:val="22"/>
        </w:rPr>
        <w:t>fully automated</w:t>
      </w:r>
      <w:r w:rsidR="00F67731">
        <w:rPr>
          <w:sz w:val="22"/>
        </w:rPr>
        <w:t xml:space="preserve"> longitudinal processing stream </w:t>
      </w:r>
      <w:r w:rsidR="00D55F8F">
        <w:rPr>
          <w:sz w:val="22"/>
        </w:rPr>
        <w:t>for structural MRI images</w:t>
      </w:r>
      <w:r w:rsidR="009B72B3">
        <w:rPr>
          <w:sz w:val="22"/>
        </w:rPr>
        <w:t xml:space="preserve"> </w:t>
      </w:r>
      <w:r w:rsidR="00193385">
        <w:rPr>
          <w:noProof/>
          <w:sz w:val="22"/>
        </w:rPr>
        <w:t>(Reuter et al., 2012)</w:t>
      </w:r>
      <w:r w:rsidR="00193385">
        <w:rPr>
          <w:sz w:val="22"/>
        </w:rPr>
        <w:t xml:space="preserve"> </w:t>
      </w:r>
      <w:r w:rsidR="00E173B3">
        <w:rPr>
          <w:sz w:val="22"/>
        </w:rPr>
        <w:t xml:space="preserve">that extracts reliable brain </w:t>
      </w:r>
      <w:r w:rsidR="0051692F">
        <w:rPr>
          <w:sz w:val="22"/>
        </w:rPr>
        <w:t xml:space="preserve">morphometry </w:t>
      </w:r>
      <w:r w:rsidR="00E173B3">
        <w:rPr>
          <w:sz w:val="22"/>
        </w:rPr>
        <w:t>estimates</w:t>
      </w:r>
      <w:r w:rsidR="0076355B">
        <w:rPr>
          <w:sz w:val="22"/>
        </w:rPr>
        <w:t xml:space="preserve"> </w:t>
      </w:r>
      <w:r w:rsidR="00193385">
        <w:rPr>
          <w:noProof/>
          <w:sz w:val="22"/>
        </w:rPr>
        <w:t>(Jovicich et al., 2013, McCarthy et al., 2015)</w:t>
      </w:r>
      <w:r w:rsidR="00193385">
        <w:rPr>
          <w:sz w:val="22"/>
        </w:rPr>
        <w:t xml:space="preserve">. </w:t>
      </w:r>
      <w:r w:rsidR="005635AC">
        <w:rPr>
          <w:sz w:val="22"/>
        </w:rPr>
        <w:t xml:space="preserve">In addition, </w:t>
      </w:r>
      <w:r w:rsidR="00817351">
        <w:rPr>
          <w:sz w:val="22"/>
        </w:rPr>
        <w:t xml:space="preserve">by using the same template system, </w:t>
      </w:r>
      <w:r w:rsidR="005635AC">
        <w:rPr>
          <w:sz w:val="22"/>
        </w:rPr>
        <w:t xml:space="preserve">FreeSurfer provides consistent results </w:t>
      </w:r>
      <w:r w:rsidR="004C2F50">
        <w:rPr>
          <w:sz w:val="22"/>
        </w:rPr>
        <w:t xml:space="preserve">as </w:t>
      </w:r>
      <w:r w:rsidR="005635AC">
        <w:rPr>
          <w:sz w:val="22"/>
        </w:rPr>
        <w:t>i</w:t>
      </w:r>
      <w:r w:rsidR="00864E28">
        <w:rPr>
          <w:sz w:val="22"/>
        </w:rPr>
        <w:t>t i</w:t>
      </w:r>
      <w:r w:rsidR="005635AC">
        <w:rPr>
          <w:sz w:val="22"/>
        </w:rPr>
        <w:t xml:space="preserve">s not subject to </w:t>
      </w:r>
      <w:r w:rsidR="000D417D">
        <w:rPr>
          <w:sz w:val="22"/>
        </w:rPr>
        <w:t>i</w:t>
      </w:r>
      <w:r w:rsidR="00E745E8">
        <w:rPr>
          <w:sz w:val="22"/>
        </w:rPr>
        <w:t>n</w:t>
      </w:r>
      <w:r w:rsidR="000D417D">
        <w:rPr>
          <w:sz w:val="22"/>
        </w:rPr>
        <w:t>ter</w:t>
      </w:r>
      <w:r w:rsidR="005824D4">
        <w:rPr>
          <w:sz w:val="22"/>
        </w:rPr>
        <w:t>-</w:t>
      </w:r>
      <w:r w:rsidR="005635AC">
        <w:rPr>
          <w:sz w:val="22"/>
        </w:rPr>
        <w:t>rater variability</w:t>
      </w:r>
      <w:r w:rsidR="00817351">
        <w:rPr>
          <w:sz w:val="22"/>
        </w:rPr>
        <w:t>,</w:t>
      </w:r>
      <w:r w:rsidR="00E54633">
        <w:rPr>
          <w:sz w:val="22"/>
        </w:rPr>
        <w:t xml:space="preserve"> unlike manual tracing</w:t>
      </w:r>
      <w:r w:rsidR="00864E28">
        <w:rPr>
          <w:sz w:val="22"/>
        </w:rPr>
        <w:t xml:space="preserve"> </w:t>
      </w:r>
      <w:r w:rsidR="007011B3">
        <w:rPr>
          <w:noProof/>
          <w:sz w:val="22"/>
        </w:rPr>
        <w:t>(Lehmann et al., 2010, Morey et al., 2009)</w:t>
      </w:r>
      <w:r w:rsidR="007011B3">
        <w:rPr>
          <w:sz w:val="22"/>
        </w:rPr>
        <w:t xml:space="preserve">. </w:t>
      </w:r>
      <w:r w:rsidR="00694252">
        <w:rPr>
          <w:sz w:val="22"/>
        </w:rPr>
        <w:t xml:space="preserve">Nevertheless, combining data </w:t>
      </w:r>
      <w:r w:rsidR="007F5E14">
        <w:rPr>
          <w:sz w:val="22"/>
        </w:rPr>
        <w:t xml:space="preserve">in longitudinal studies </w:t>
      </w:r>
      <w:r w:rsidR="00674034">
        <w:rPr>
          <w:sz w:val="22"/>
        </w:rPr>
        <w:t xml:space="preserve">may contribute additional sources of </w:t>
      </w:r>
      <w:r w:rsidR="009E6279">
        <w:rPr>
          <w:sz w:val="22"/>
        </w:rPr>
        <w:t>variance</w:t>
      </w:r>
      <w:r w:rsidR="00F923DF">
        <w:rPr>
          <w:sz w:val="22"/>
        </w:rPr>
        <w:t xml:space="preserve">, such as </w:t>
      </w:r>
      <w:r w:rsidR="00270D4F">
        <w:rPr>
          <w:sz w:val="22"/>
        </w:rPr>
        <w:t>changes in MRI sequence,</w:t>
      </w:r>
      <w:r w:rsidR="009E6279">
        <w:rPr>
          <w:sz w:val="22"/>
        </w:rPr>
        <w:t xml:space="preserve"> that </w:t>
      </w:r>
      <w:r w:rsidR="00A70CFF">
        <w:rPr>
          <w:sz w:val="22"/>
        </w:rPr>
        <w:t>could</w:t>
      </w:r>
      <w:r w:rsidR="009E6279">
        <w:rPr>
          <w:sz w:val="22"/>
        </w:rPr>
        <w:t xml:space="preserve"> limit the re</w:t>
      </w:r>
      <w:r w:rsidR="007F5E14">
        <w:rPr>
          <w:sz w:val="22"/>
        </w:rPr>
        <w:t xml:space="preserve">liability of brain </w:t>
      </w:r>
      <w:r w:rsidR="00EA525B">
        <w:rPr>
          <w:sz w:val="22"/>
        </w:rPr>
        <w:t>measurements</w:t>
      </w:r>
      <w:r w:rsidR="007F5E14">
        <w:rPr>
          <w:sz w:val="22"/>
        </w:rPr>
        <w:t>.</w:t>
      </w:r>
      <w:r w:rsidR="00270D4F">
        <w:rPr>
          <w:sz w:val="22"/>
        </w:rPr>
        <w:t xml:space="preserve"> </w:t>
      </w:r>
      <w:r w:rsidR="00EA422C">
        <w:rPr>
          <w:sz w:val="22"/>
        </w:rPr>
        <w:t xml:space="preserve">Therefore, </w:t>
      </w:r>
      <w:r w:rsidR="00460908">
        <w:rPr>
          <w:sz w:val="22"/>
        </w:rPr>
        <w:t xml:space="preserve">it is important for clinical neuropsychiatric research to determine factors that may affect the reliability of </w:t>
      </w:r>
      <w:r w:rsidR="009207A3">
        <w:rPr>
          <w:sz w:val="22"/>
        </w:rPr>
        <w:t>FreeSurfer</w:t>
      </w:r>
      <w:r w:rsidR="00460908">
        <w:rPr>
          <w:sz w:val="22"/>
        </w:rPr>
        <w:t xml:space="preserve">-derived measurements so we can increase the sensitivity of longitudinal MRI </w:t>
      </w:r>
      <w:r w:rsidR="002D68AF">
        <w:rPr>
          <w:sz w:val="22"/>
        </w:rPr>
        <w:t xml:space="preserve">to real disease-related changes </w:t>
      </w:r>
      <w:r w:rsidR="007011B3">
        <w:rPr>
          <w:noProof/>
          <w:sz w:val="22"/>
        </w:rPr>
        <w:t>(Jovicich et al., 2006)</w:t>
      </w:r>
      <w:r w:rsidR="007011B3">
        <w:rPr>
          <w:sz w:val="22"/>
        </w:rPr>
        <w:t xml:space="preserve">. </w:t>
      </w:r>
      <w:r w:rsidR="002D68AF">
        <w:rPr>
          <w:sz w:val="22"/>
        </w:rPr>
        <w:t xml:space="preserve"> </w:t>
      </w:r>
    </w:p>
    <w:p w14:paraId="1675F066" w14:textId="0E0C6A0B" w:rsidR="00DC1E51" w:rsidRDefault="007D38CE" w:rsidP="0098174D">
      <w:pPr>
        <w:spacing w:after="120" w:line="360" w:lineRule="auto"/>
        <w:jc w:val="both"/>
        <w:rPr>
          <w:sz w:val="22"/>
        </w:rPr>
      </w:pPr>
      <w:r>
        <w:rPr>
          <w:sz w:val="22"/>
        </w:rPr>
        <w:t xml:space="preserve">Previous reliability studies of structural MRI have demonstrated that changes in image acquisition variables, such as scan session, MRI sequence </w:t>
      </w:r>
      <w:r w:rsidR="004E16AD">
        <w:rPr>
          <w:noProof/>
          <w:sz w:val="22"/>
        </w:rPr>
        <w:t>(Jovicich et al., 2009)</w:t>
      </w:r>
      <w:r w:rsidR="004E16AD">
        <w:rPr>
          <w:sz w:val="22"/>
        </w:rPr>
        <w:t xml:space="preserve"> and head motion during scanning </w:t>
      </w:r>
      <w:r w:rsidR="004E16AD">
        <w:rPr>
          <w:noProof/>
          <w:sz w:val="22"/>
        </w:rPr>
        <w:t>(Alexander‐Bloch et al., 2016, Reuter et al., 2015)</w:t>
      </w:r>
      <w:r w:rsidR="004E16AD">
        <w:rPr>
          <w:sz w:val="22"/>
        </w:rPr>
        <w:t xml:space="preserve"> may affect </w:t>
      </w:r>
      <w:r w:rsidR="004E16AD" w:rsidRPr="008E6E0D">
        <w:rPr>
          <w:sz w:val="22"/>
        </w:rPr>
        <w:t xml:space="preserve">brain </w:t>
      </w:r>
      <w:r w:rsidR="00EA525B">
        <w:rPr>
          <w:sz w:val="22"/>
        </w:rPr>
        <w:t>measurement</w:t>
      </w:r>
      <w:r w:rsidR="00EA525B" w:rsidRPr="008E6E0D">
        <w:rPr>
          <w:sz w:val="22"/>
        </w:rPr>
        <w:t xml:space="preserve"> </w:t>
      </w:r>
      <w:r w:rsidR="004E16AD" w:rsidRPr="008E6E0D">
        <w:rPr>
          <w:sz w:val="22"/>
        </w:rPr>
        <w:t xml:space="preserve">reliability. </w:t>
      </w:r>
      <w:r w:rsidR="00FF29CA">
        <w:rPr>
          <w:sz w:val="22"/>
        </w:rPr>
        <w:t xml:space="preserve">Moreover, </w:t>
      </w:r>
      <w:r w:rsidR="004E16AD" w:rsidRPr="008E6E0D">
        <w:rPr>
          <w:sz w:val="22"/>
        </w:rPr>
        <w:t>changes in FreeSurfer segmentation methods, such as inter-version variation</w:t>
      </w:r>
      <w:r w:rsidR="004E16AD">
        <w:rPr>
          <w:sz w:val="22"/>
        </w:rPr>
        <w:t xml:space="preserve"> </w:t>
      </w:r>
      <w:r w:rsidR="002D47B2">
        <w:rPr>
          <w:noProof/>
          <w:sz w:val="22"/>
        </w:rPr>
        <w:t>(Chepkoech et al., 2016, Whelan et al., 2016)</w:t>
      </w:r>
      <w:r w:rsidR="002D47B2" w:rsidRPr="002D47B2">
        <w:rPr>
          <w:sz w:val="22"/>
        </w:rPr>
        <w:t xml:space="preserve"> </w:t>
      </w:r>
      <w:r w:rsidR="002D47B2" w:rsidRPr="008E6E0D">
        <w:rPr>
          <w:sz w:val="22"/>
        </w:rPr>
        <w:t>and processing stream</w:t>
      </w:r>
      <w:r w:rsidR="002D47B2">
        <w:rPr>
          <w:sz w:val="22"/>
        </w:rPr>
        <w:t xml:space="preserve"> </w:t>
      </w:r>
      <w:r w:rsidR="00882A3B">
        <w:rPr>
          <w:noProof/>
          <w:sz w:val="22"/>
        </w:rPr>
        <w:t>(Jovicich et al., 2013)</w:t>
      </w:r>
      <w:r w:rsidR="00882A3B">
        <w:rPr>
          <w:sz w:val="22"/>
        </w:rPr>
        <w:t xml:space="preserve">, </w:t>
      </w:r>
      <w:r w:rsidR="00882A3B" w:rsidRPr="008E6E0D">
        <w:rPr>
          <w:sz w:val="22"/>
        </w:rPr>
        <w:t xml:space="preserve">may also </w:t>
      </w:r>
      <w:r w:rsidR="00882A3B">
        <w:rPr>
          <w:sz w:val="22"/>
        </w:rPr>
        <w:t>affect the reproducibility</w:t>
      </w:r>
      <w:r w:rsidR="00882A3B" w:rsidRPr="008E6E0D">
        <w:rPr>
          <w:sz w:val="22"/>
        </w:rPr>
        <w:t xml:space="preserve"> of brain</w:t>
      </w:r>
      <w:r w:rsidR="00882A3B">
        <w:rPr>
          <w:sz w:val="22"/>
        </w:rPr>
        <w:t xml:space="preserve"> </w:t>
      </w:r>
      <w:r w:rsidR="00882A3B" w:rsidRPr="008E6E0D">
        <w:rPr>
          <w:sz w:val="22"/>
        </w:rPr>
        <w:t>measurements.</w:t>
      </w:r>
      <w:r w:rsidR="00882A3B">
        <w:rPr>
          <w:sz w:val="22"/>
        </w:rPr>
        <w:t xml:space="preserve"> </w:t>
      </w:r>
      <w:r w:rsidR="00882A3B" w:rsidRPr="00E90619">
        <w:rPr>
          <w:sz w:val="22"/>
        </w:rPr>
        <w:t>To assess the reliability of repeated measures, intra-class correlation coefficients</w:t>
      </w:r>
      <w:r w:rsidR="00882A3B">
        <w:rPr>
          <w:sz w:val="22"/>
        </w:rPr>
        <w:t xml:space="preserve"> (ICC) </w:t>
      </w:r>
      <w:r w:rsidR="00882A3B">
        <w:rPr>
          <w:noProof/>
          <w:sz w:val="22"/>
        </w:rPr>
        <w:t>(McGraw and Wong, 1996)</w:t>
      </w:r>
      <w:r w:rsidR="00882A3B">
        <w:rPr>
          <w:sz w:val="22"/>
        </w:rPr>
        <w:t xml:space="preserve"> </w:t>
      </w:r>
      <w:r w:rsidR="00F50E24">
        <w:rPr>
          <w:sz w:val="22"/>
        </w:rPr>
        <w:t>are a</w:t>
      </w:r>
      <w:r w:rsidR="00F50E24" w:rsidRPr="00E90619">
        <w:rPr>
          <w:sz w:val="22"/>
        </w:rPr>
        <w:t xml:space="preserve"> favourable metric that ha</w:t>
      </w:r>
      <w:r w:rsidR="00AD63CC">
        <w:rPr>
          <w:sz w:val="22"/>
        </w:rPr>
        <w:t>ve</w:t>
      </w:r>
      <w:r w:rsidR="00F50E24" w:rsidRPr="00E90619">
        <w:rPr>
          <w:sz w:val="22"/>
        </w:rPr>
        <w:t xml:space="preserve"> been widely used in research from genetics </w:t>
      </w:r>
      <w:r w:rsidR="00D43543">
        <w:rPr>
          <w:noProof/>
          <w:sz w:val="22"/>
        </w:rPr>
        <w:t>(Gibert et al., 1998)</w:t>
      </w:r>
      <w:r w:rsidR="00D43543" w:rsidRPr="00D43543">
        <w:rPr>
          <w:sz w:val="22"/>
        </w:rPr>
        <w:t xml:space="preserve"> </w:t>
      </w:r>
      <w:r w:rsidR="00D43543" w:rsidRPr="00E90619">
        <w:rPr>
          <w:sz w:val="22"/>
        </w:rPr>
        <w:t>to clinical rating scales</w:t>
      </w:r>
      <w:r w:rsidR="00D43543">
        <w:rPr>
          <w:sz w:val="22"/>
        </w:rPr>
        <w:t xml:space="preserve"> </w:t>
      </w:r>
      <w:r w:rsidR="00D43543">
        <w:rPr>
          <w:noProof/>
          <w:sz w:val="22"/>
        </w:rPr>
        <w:t>(Nuechterlein et al., 2008)</w:t>
      </w:r>
      <w:r w:rsidR="00D43543">
        <w:rPr>
          <w:sz w:val="22"/>
        </w:rPr>
        <w:t xml:space="preserve">, </w:t>
      </w:r>
      <w:r w:rsidR="00D43543" w:rsidRPr="00E90619">
        <w:rPr>
          <w:sz w:val="22"/>
        </w:rPr>
        <w:t>as well as in neuroimaging studies</w:t>
      </w:r>
      <w:r w:rsidR="00D43543">
        <w:rPr>
          <w:sz w:val="22"/>
        </w:rPr>
        <w:t xml:space="preserve"> </w:t>
      </w:r>
      <w:r w:rsidR="00EE1CDC">
        <w:rPr>
          <w:noProof/>
          <w:sz w:val="22"/>
        </w:rPr>
        <w:t>(Du et al., 2020, Morey et al., 2010, Sederevičius et al., 2021, Takao et al., 2021)</w:t>
      </w:r>
      <w:r w:rsidR="00EE1CDC">
        <w:rPr>
          <w:sz w:val="22"/>
        </w:rPr>
        <w:t xml:space="preserve">. </w:t>
      </w:r>
      <w:r w:rsidR="000B2F9F" w:rsidRPr="008E6E0D">
        <w:rPr>
          <w:sz w:val="22"/>
        </w:rPr>
        <w:t>However,</w:t>
      </w:r>
      <w:r w:rsidR="0008521D" w:rsidRPr="008E6E0D">
        <w:rPr>
          <w:sz w:val="22"/>
        </w:rPr>
        <w:t xml:space="preserve"> reliability</w:t>
      </w:r>
      <w:r w:rsidR="000B2F9F" w:rsidRPr="008E6E0D">
        <w:rPr>
          <w:sz w:val="22"/>
        </w:rPr>
        <w:t xml:space="preserve"> studies to date are significantly limited: studies have focused on older versions of FreeSurfer </w:t>
      </w:r>
      <w:r w:rsidR="000B2F9F">
        <w:rPr>
          <w:sz w:val="22"/>
        </w:rPr>
        <w:t xml:space="preserve">software and commonly report on only a few regional volume or thickness estimates. </w:t>
      </w:r>
      <w:r w:rsidR="006E7FAD">
        <w:rPr>
          <w:sz w:val="22"/>
        </w:rPr>
        <w:t>Yet, i</w:t>
      </w:r>
      <w:r w:rsidR="000B7A80">
        <w:rPr>
          <w:sz w:val="22"/>
        </w:rPr>
        <w:t>t is imperative to quant</w:t>
      </w:r>
      <w:r w:rsidR="006E7FAD">
        <w:rPr>
          <w:sz w:val="22"/>
        </w:rPr>
        <w:t>ify and report the reliability of all segmented brain regions, as well as examining the effects of a range of image acquisition and processing factors</w:t>
      </w:r>
      <w:r w:rsidR="00995124">
        <w:rPr>
          <w:sz w:val="22"/>
        </w:rPr>
        <w:t xml:space="preserve"> on reliability.</w:t>
      </w:r>
      <w:r w:rsidR="00233526">
        <w:rPr>
          <w:sz w:val="22"/>
        </w:rPr>
        <w:t xml:space="preserve"> T</w:t>
      </w:r>
      <w:r w:rsidR="00131E34">
        <w:rPr>
          <w:sz w:val="22"/>
        </w:rPr>
        <w:t xml:space="preserve">his will allow future studies to address factors that may reduce the reliability of MRI-derived </w:t>
      </w:r>
      <w:r w:rsidR="00131E34">
        <w:rPr>
          <w:sz w:val="22"/>
        </w:rPr>
        <w:lastRenderedPageBreak/>
        <w:t>measurements and so increase sensitivity of longitudinal MRI to real changes of interest</w:t>
      </w:r>
      <w:r w:rsidR="0019025C">
        <w:rPr>
          <w:sz w:val="22"/>
        </w:rPr>
        <w:t xml:space="preserve">. </w:t>
      </w:r>
      <w:r w:rsidR="005258A1">
        <w:rPr>
          <w:sz w:val="22"/>
        </w:rPr>
        <w:t xml:space="preserve">In addition, ICC reliability values may be used to inform power analyses to </w:t>
      </w:r>
      <w:r w:rsidR="00B2468A">
        <w:rPr>
          <w:sz w:val="22"/>
        </w:rPr>
        <w:t>ensure</w:t>
      </w:r>
      <w:r w:rsidR="00296F65">
        <w:rPr>
          <w:sz w:val="22"/>
        </w:rPr>
        <w:t xml:space="preserve"> clinical studies</w:t>
      </w:r>
      <w:r w:rsidR="00DC1E51">
        <w:rPr>
          <w:sz w:val="22"/>
        </w:rPr>
        <w:t xml:space="preserve"> have sufficient statistical power to detect small group differences</w:t>
      </w:r>
      <w:r w:rsidR="00EE1CDC">
        <w:rPr>
          <w:sz w:val="22"/>
        </w:rPr>
        <w:t xml:space="preserve"> </w:t>
      </w:r>
      <w:r w:rsidR="00DE05C6">
        <w:rPr>
          <w:noProof/>
          <w:sz w:val="22"/>
        </w:rPr>
        <w:t>(Liem et al., 2015)</w:t>
      </w:r>
      <w:r w:rsidR="00DC1E51">
        <w:rPr>
          <w:sz w:val="22"/>
        </w:rPr>
        <w:t>.</w:t>
      </w:r>
      <w:r w:rsidR="00233526">
        <w:rPr>
          <w:sz w:val="22"/>
        </w:rPr>
        <w:t xml:space="preserve"> </w:t>
      </w:r>
    </w:p>
    <w:p w14:paraId="2494A1A5" w14:textId="60C4C70C" w:rsidR="000D69D1" w:rsidRPr="00017837" w:rsidRDefault="007D38CE" w:rsidP="00017837">
      <w:pPr>
        <w:spacing w:after="120" w:line="360" w:lineRule="auto"/>
        <w:jc w:val="both"/>
        <w:rPr>
          <w:sz w:val="22"/>
        </w:rPr>
      </w:pPr>
      <w:r w:rsidRPr="00E90619">
        <w:rPr>
          <w:sz w:val="22"/>
        </w:rPr>
        <w:t xml:space="preserve">The purpose of the present study was to examine the effects of image acquisition variables (i.e., scan session, </w:t>
      </w:r>
      <w:r w:rsidR="00361B06">
        <w:rPr>
          <w:sz w:val="22"/>
        </w:rPr>
        <w:t xml:space="preserve">subject </w:t>
      </w:r>
      <w:r w:rsidRPr="00E90619">
        <w:rPr>
          <w:sz w:val="22"/>
        </w:rPr>
        <w:t xml:space="preserve">positioning and head </w:t>
      </w:r>
      <w:r w:rsidR="00CA59C3">
        <w:rPr>
          <w:sz w:val="22"/>
        </w:rPr>
        <w:t>tilt</w:t>
      </w:r>
      <w:r w:rsidRPr="00E90619">
        <w:rPr>
          <w:sz w:val="22"/>
        </w:rPr>
        <w:t xml:space="preserve">, MRI sequence and </w:t>
      </w:r>
      <w:r w:rsidRPr="006C7BD0">
        <w:rPr>
          <w:sz w:val="22"/>
        </w:rPr>
        <w:t xml:space="preserve">scanner) and FreeSurfer processing variables (i.e., </w:t>
      </w:r>
      <w:r w:rsidR="00571938" w:rsidRPr="006C7BD0">
        <w:rPr>
          <w:sz w:val="22"/>
        </w:rPr>
        <w:t xml:space="preserve">software </w:t>
      </w:r>
      <w:r w:rsidRPr="006C7BD0">
        <w:rPr>
          <w:sz w:val="22"/>
        </w:rPr>
        <w:t>version</w:t>
      </w:r>
      <w:r w:rsidR="00F66558" w:rsidRPr="006C7BD0">
        <w:rPr>
          <w:sz w:val="22"/>
        </w:rPr>
        <w:t xml:space="preserve"> and processing stream</w:t>
      </w:r>
      <w:r w:rsidRPr="006C7BD0">
        <w:rPr>
          <w:sz w:val="22"/>
        </w:rPr>
        <w:t xml:space="preserve">) on brain morphometry estimates. </w:t>
      </w:r>
      <w:r w:rsidR="00BF3704" w:rsidRPr="006C7BD0">
        <w:rPr>
          <w:sz w:val="22"/>
        </w:rPr>
        <w:t>For</w:t>
      </w:r>
      <w:r w:rsidR="00FA3B78">
        <w:rPr>
          <w:sz w:val="22"/>
        </w:rPr>
        <w:t xml:space="preserve"> the Precision in Neuroimaging </w:t>
      </w:r>
      <w:r w:rsidR="00BF3704" w:rsidRPr="006C7BD0">
        <w:rPr>
          <w:sz w:val="22"/>
        </w:rPr>
        <w:t>study, w</w:t>
      </w:r>
      <w:r w:rsidRPr="006C7BD0">
        <w:rPr>
          <w:sz w:val="22"/>
        </w:rPr>
        <w:t xml:space="preserve">e adopted a prospective, longitudinal design where healthy participants were scanned </w:t>
      </w:r>
      <w:r w:rsidR="002219C8" w:rsidRPr="006C7BD0">
        <w:rPr>
          <w:sz w:val="22"/>
        </w:rPr>
        <w:t xml:space="preserve">at baseline, three weeks and one year. </w:t>
      </w:r>
      <w:r w:rsidRPr="006C7BD0">
        <w:rPr>
          <w:sz w:val="22"/>
        </w:rPr>
        <w:t>For MRI acquisition, we chose to use the third generation of the Alzheimer’s Disease Neuroimaging Iniative (ADNI) protocol (</w:t>
      </w:r>
      <w:hyperlink r:id="rId9" w:history="1">
        <w:r w:rsidRPr="006C7BD0">
          <w:rPr>
            <w:rStyle w:val="Hyperlink"/>
            <w:color w:val="auto"/>
            <w:sz w:val="22"/>
          </w:rPr>
          <w:t>http://adni.loni.usc.edu/</w:t>
        </w:r>
      </w:hyperlink>
      <w:r w:rsidRPr="006C7BD0">
        <w:rPr>
          <w:sz w:val="22"/>
        </w:rPr>
        <w:t>) as the ADNI-</w:t>
      </w:r>
      <w:r w:rsidR="00720E7F" w:rsidRPr="006C7BD0">
        <w:rPr>
          <w:sz w:val="22"/>
        </w:rPr>
        <w:t>3</w:t>
      </w:r>
      <w:r w:rsidRPr="006C7BD0">
        <w:rPr>
          <w:sz w:val="22"/>
        </w:rPr>
        <w:t xml:space="preserve"> sequence was specifically developed for longitudinal multi-centre studies</w:t>
      </w:r>
      <w:r w:rsidR="00DE05C6" w:rsidRPr="006C7BD0">
        <w:rPr>
          <w:sz w:val="22"/>
        </w:rPr>
        <w:t xml:space="preserve"> </w:t>
      </w:r>
      <w:r w:rsidR="00DE05C6" w:rsidRPr="006C7BD0">
        <w:rPr>
          <w:noProof/>
          <w:sz w:val="22"/>
        </w:rPr>
        <w:t>(Jack Jr et al., 2008)</w:t>
      </w:r>
      <w:r w:rsidRPr="006C7BD0">
        <w:rPr>
          <w:sz w:val="22"/>
        </w:rPr>
        <w:t>. However, for comparison, we also collected MRI data using the second generation of the ADNI protocol as the ADNI-</w:t>
      </w:r>
      <w:r w:rsidR="00720E7F" w:rsidRPr="006C7BD0">
        <w:rPr>
          <w:sz w:val="22"/>
        </w:rPr>
        <w:t>2</w:t>
      </w:r>
      <w:r w:rsidRPr="006C7BD0">
        <w:rPr>
          <w:sz w:val="22"/>
        </w:rPr>
        <w:t xml:space="preserve"> sequence has already been used in </w:t>
      </w:r>
      <w:r w:rsidR="007F0CF5" w:rsidRPr="006C7BD0">
        <w:rPr>
          <w:sz w:val="22"/>
        </w:rPr>
        <w:t xml:space="preserve">the ADNI consortium and </w:t>
      </w:r>
      <w:r w:rsidRPr="006C7BD0">
        <w:rPr>
          <w:sz w:val="22"/>
        </w:rPr>
        <w:t>several international studies of mental health disorders [e.g., EU-GEI High Risk Study</w:t>
      </w:r>
      <w:r w:rsidR="00657E79" w:rsidRPr="006C7BD0">
        <w:rPr>
          <w:sz w:val="22"/>
        </w:rPr>
        <w:t xml:space="preserve"> </w:t>
      </w:r>
      <w:r w:rsidR="00657E79" w:rsidRPr="006C7BD0">
        <w:rPr>
          <w:noProof/>
          <w:sz w:val="22"/>
        </w:rPr>
        <w:t>(Modinos et al., 2020)</w:t>
      </w:r>
      <w:r w:rsidR="00DE05C6" w:rsidRPr="006C7BD0">
        <w:rPr>
          <w:sz w:val="22"/>
        </w:rPr>
        <w:t xml:space="preserve"> </w:t>
      </w:r>
      <w:r w:rsidR="00CC6254" w:rsidRPr="006C7BD0">
        <w:rPr>
          <w:sz w:val="22"/>
        </w:rPr>
        <w:t>and PSYSCAN</w:t>
      </w:r>
      <w:r w:rsidR="00781BA8" w:rsidRPr="006C7BD0">
        <w:rPr>
          <w:sz w:val="22"/>
        </w:rPr>
        <w:t xml:space="preserve"> </w:t>
      </w:r>
      <w:r w:rsidR="00781BA8" w:rsidRPr="006C7BD0">
        <w:rPr>
          <w:noProof/>
          <w:sz w:val="22"/>
        </w:rPr>
        <w:t>(Tognin et al., 2020)</w:t>
      </w:r>
      <w:r w:rsidR="00781BA8" w:rsidRPr="006C7BD0">
        <w:rPr>
          <w:sz w:val="22"/>
        </w:rPr>
        <w:t>].</w:t>
      </w:r>
      <w:r w:rsidR="00CC6254" w:rsidRPr="006C7BD0">
        <w:rPr>
          <w:sz w:val="22"/>
        </w:rPr>
        <w:t xml:space="preserve"> </w:t>
      </w:r>
      <w:r w:rsidRPr="006C7BD0">
        <w:rPr>
          <w:sz w:val="22"/>
        </w:rPr>
        <w:t xml:space="preserve">Processing of structural MRI data was </w:t>
      </w:r>
      <w:r w:rsidR="00A51247" w:rsidRPr="006C7BD0">
        <w:rPr>
          <w:sz w:val="22"/>
        </w:rPr>
        <w:t xml:space="preserve">independently </w:t>
      </w:r>
      <w:r w:rsidRPr="006C7BD0">
        <w:rPr>
          <w:sz w:val="22"/>
        </w:rPr>
        <w:t xml:space="preserve">carried out </w:t>
      </w:r>
      <w:r w:rsidR="00A51247" w:rsidRPr="006C7BD0">
        <w:rPr>
          <w:sz w:val="22"/>
        </w:rPr>
        <w:t>for the</w:t>
      </w:r>
      <w:r w:rsidRPr="006C7BD0">
        <w:rPr>
          <w:sz w:val="22"/>
        </w:rPr>
        <w:t xml:space="preserve"> cross-sectional and longitudinal streams of three FreeSurfer</w:t>
      </w:r>
      <w:r w:rsidR="00527F56">
        <w:rPr>
          <w:sz w:val="22"/>
        </w:rPr>
        <w:t xml:space="preserve"> versions</w:t>
      </w:r>
      <w:r w:rsidRPr="006C7BD0">
        <w:rPr>
          <w:sz w:val="22"/>
        </w:rPr>
        <w:t xml:space="preserve"> (v5.3.0, v6.0.0, v7.1.0).</w:t>
      </w:r>
      <w:r w:rsidR="00F50E24" w:rsidRPr="006C7BD0">
        <w:rPr>
          <w:sz w:val="22"/>
        </w:rPr>
        <w:t xml:space="preserve"> </w:t>
      </w:r>
      <w:r w:rsidR="00BC6253" w:rsidRPr="006C7BD0">
        <w:rPr>
          <w:sz w:val="22"/>
        </w:rPr>
        <w:t xml:space="preserve">We </w:t>
      </w:r>
      <w:r w:rsidRPr="006C7BD0">
        <w:rPr>
          <w:sz w:val="22"/>
        </w:rPr>
        <w:t xml:space="preserve">have </w:t>
      </w:r>
      <w:r w:rsidR="00917902" w:rsidRPr="006C7BD0">
        <w:rPr>
          <w:sz w:val="22"/>
        </w:rPr>
        <w:t>conducte</w:t>
      </w:r>
      <w:r w:rsidRPr="006C7BD0">
        <w:rPr>
          <w:sz w:val="22"/>
        </w:rPr>
        <w:t>d a comprehensive assessment of reliability for all FreeSurfer</w:t>
      </w:r>
      <w:r w:rsidRPr="00E90619">
        <w:rPr>
          <w:sz w:val="22"/>
        </w:rPr>
        <w:t xml:space="preserve">-segmented cortical and subcortical volumes, cortical </w:t>
      </w:r>
      <w:r w:rsidR="00E0687B">
        <w:rPr>
          <w:sz w:val="22"/>
        </w:rPr>
        <w:t xml:space="preserve">surface </w:t>
      </w:r>
      <w:r w:rsidRPr="00E90619">
        <w:rPr>
          <w:sz w:val="22"/>
        </w:rPr>
        <w:t xml:space="preserve">area, and cortical thickness estimates. Results were derived from ICC estimates of individual brain regions </w:t>
      </w:r>
      <w:r w:rsidR="00910E42">
        <w:rPr>
          <w:sz w:val="22"/>
        </w:rPr>
        <w:t>that</w:t>
      </w:r>
      <w:r w:rsidRPr="00E90619">
        <w:rPr>
          <w:sz w:val="22"/>
        </w:rPr>
        <w:t xml:space="preserve"> are freely available in a supplement to this paper. </w:t>
      </w:r>
      <w:r w:rsidR="0090111C">
        <w:rPr>
          <w:sz w:val="22"/>
        </w:rPr>
        <w:t xml:space="preserve">Furthermore, </w:t>
      </w:r>
      <w:r w:rsidR="00C531EA">
        <w:rPr>
          <w:sz w:val="22"/>
        </w:rPr>
        <w:t xml:space="preserve">the </w:t>
      </w:r>
      <w:r w:rsidR="007D0DBD">
        <w:rPr>
          <w:sz w:val="22"/>
        </w:rPr>
        <w:t>defaced neuroimaging</w:t>
      </w:r>
      <w:r w:rsidR="00C531EA">
        <w:rPr>
          <w:sz w:val="22"/>
        </w:rPr>
        <w:t xml:space="preserve"> data </w:t>
      </w:r>
      <w:r w:rsidR="00522B64">
        <w:rPr>
          <w:sz w:val="22"/>
        </w:rPr>
        <w:t>for a subset of participants who provided consent</w:t>
      </w:r>
      <w:r w:rsidR="002F4FAE">
        <w:rPr>
          <w:sz w:val="22"/>
        </w:rPr>
        <w:t xml:space="preserve"> has been made</w:t>
      </w:r>
      <w:r w:rsidR="00C531EA">
        <w:rPr>
          <w:sz w:val="22"/>
        </w:rPr>
        <w:t xml:space="preserve"> publicly available</w:t>
      </w:r>
      <w:r w:rsidR="008E4B28">
        <w:rPr>
          <w:sz w:val="22"/>
        </w:rPr>
        <w:t xml:space="preserve"> for researchers</w:t>
      </w:r>
      <w:r w:rsidR="002F4FAE">
        <w:rPr>
          <w:sz w:val="22"/>
        </w:rPr>
        <w:t xml:space="preserve"> to download</w:t>
      </w:r>
      <w:r w:rsidR="00C531EA">
        <w:rPr>
          <w:sz w:val="22"/>
        </w:rPr>
        <w:t xml:space="preserve"> </w:t>
      </w:r>
      <w:r w:rsidR="00522B64">
        <w:rPr>
          <w:sz w:val="22"/>
        </w:rPr>
        <w:t>(</w:t>
      </w:r>
      <w:hyperlink r:id="rId10" w:history="1">
        <w:r w:rsidR="00DC0304">
          <w:rPr>
            <w:rStyle w:val="Hyperlink"/>
            <w:sz w:val="22"/>
          </w:rPr>
          <w:t>https://sites.google.com/view/pinstudy</w:t>
        </w:r>
      </w:hyperlink>
      <w:r w:rsidR="00522B64">
        <w:rPr>
          <w:sz w:val="22"/>
        </w:rPr>
        <w:t xml:space="preserve">). </w:t>
      </w:r>
      <w:r w:rsidR="000D69D1">
        <w:br w:type="page"/>
      </w:r>
    </w:p>
    <w:p w14:paraId="50F5B3DA" w14:textId="7AC64D69" w:rsidR="00D53E7D" w:rsidRPr="0098174D" w:rsidRDefault="005D2D59" w:rsidP="0098174D">
      <w:pPr>
        <w:pStyle w:val="Heading1"/>
        <w:numPr>
          <w:ilvl w:val="0"/>
          <w:numId w:val="10"/>
        </w:numPr>
        <w:spacing w:after="120" w:line="360" w:lineRule="auto"/>
        <w:ind w:left="714" w:hanging="357"/>
      </w:pPr>
      <w:r w:rsidRPr="0098174D">
        <w:lastRenderedPageBreak/>
        <w:t>Me</w:t>
      </w:r>
      <w:r w:rsidR="00D53E7D" w:rsidRPr="0098174D">
        <w:t>thods</w:t>
      </w:r>
    </w:p>
    <w:p w14:paraId="7D019360" w14:textId="2E3A93D2" w:rsidR="00D53E7D" w:rsidRDefault="00F02D48" w:rsidP="0098174D">
      <w:pPr>
        <w:pStyle w:val="Heading2"/>
        <w:spacing w:after="120" w:line="360" w:lineRule="auto"/>
        <w:jc w:val="both"/>
      </w:pPr>
      <w:r>
        <w:t xml:space="preserve">2.1 </w:t>
      </w:r>
      <w:r w:rsidR="00EA5683">
        <w:t>Participants</w:t>
      </w:r>
    </w:p>
    <w:p w14:paraId="5DB3A2B1" w14:textId="0B992327" w:rsidR="00922E39" w:rsidRPr="00C0364F" w:rsidRDefault="00F24375" w:rsidP="0098174D">
      <w:pPr>
        <w:spacing w:after="120" w:line="360" w:lineRule="auto"/>
        <w:jc w:val="both"/>
        <w:rPr>
          <w:sz w:val="22"/>
        </w:rPr>
      </w:pPr>
      <w:r w:rsidRPr="00C0364F">
        <w:rPr>
          <w:sz w:val="22"/>
        </w:rPr>
        <w:t xml:space="preserve">The </w:t>
      </w:r>
      <w:r w:rsidR="00C65CE6">
        <w:rPr>
          <w:sz w:val="22"/>
        </w:rPr>
        <w:t xml:space="preserve">Precision in Neuroimaging (PIN) </w:t>
      </w:r>
      <w:r w:rsidRPr="00C0364F">
        <w:rPr>
          <w:sz w:val="22"/>
        </w:rPr>
        <w:t>study</w:t>
      </w:r>
      <w:r w:rsidR="00762F09" w:rsidRPr="00C0364F">
        <w:rPr>
          <w:sz w:val="22"/>
        </w:rPr>
        <w:t xml:space="preserve"> consisted </w:t>
      </w:r>
      <w:r w:rsidR="00692589" w:rsidRPr="00C0364F">
        <w:rPr>
          <w:sz w:val="22"/>
        </w:rPr>
        <w:t xml:space="preserve">of </w:t>
      </w:r>
      <w:r w:rsidR="00F21C33">
        <w:rPr>
          <w:sz w:val="22"/>
        </w:rPr>
        <w:t>two phases</w:t>
      </w:r>
      <w:r w:rsidR="00A25C56" w:rsidRPr="00C0364F">
        <w:rPr>
          <w:sz w:val="22"/>
        </w:rPr>
        <w:t>.</w:t>
      </w:r>
      <w:r w:rsidR="00692589" w:rsidRPr="00C0364F">
        <w:rPr>
          <w:sz w:val="22"/>
        </w:rPr>
        <w:t xml:space="preserve"> </w:t>
      </w:r>
      <w:r w:rsidR="00A23CF4" w:rsidRPr="00C0364F">
        <w:rPr>
          <w:sz w:val="22"/>
        </w:rPr>
        <w:t xml:space="preserve">Participant recruitment for Phase 1 began in </w:t>
      </w:r>
      <w:r w:rsidR="001B5B7D" w:rsidRPr="00C0364F">
        <w:rPr>
          <w:sz w:val="22"/>
        </w:rPr>
        <w:t xml:space="preserve">December 2017 </w:t>
      </w:r>
      <w:r w:rsidR="00060B5A" w:rsidRPr="00C0364F">
        <w:rPr>
          <w:sz w:val="22"/>
        </w:rPr>
        <w:t>and Phase II in March 2019.</w:t>
      </w:r>
      <w:r w:rsidRPr="00C0364F">
        <w:rPr>
          <w:sz w:val="22"/>
        </w:rPr>
        <w:t xml:space="preserve"> </w:t>
      </w:r>
      <w:r w:rsidR="00D363D4" w:rsidRPr="00C0364F">
        <w:rPr>
          <w:sz w:val="22"/>
        </w:rPr>
        <w:t>At</w:t>
      </w:r>
      <w:r w:rsidR="004C7BE2" w:rsidRPr="00C0364F">
        <w:rPr>
          <w:sz w:val="22"/>
        </w:rPr>
        <w:t xml:space="preserve"> Phase I, twenty p</w:t>
      </w:r>
      <w:r w:rsidR="00374765" w:rsidRPr="00C0364F">
        <w:rPr>
          <w:sz w:val="22"/>
        </w:rPr>
        <w:t>articipants</w:t>
      </w:r>
      <w:r w:rsidR="00B734B4" w:rsidRPr="00C0364F">
        <w:rPr>
          <w:sz w:val="22"/>
        </w:rPr>
        <w:t xml:space="preserve"> were recruited </w:t>
      </w:r>
      <w:r w:rsidR="009912E6" w:rsidRPr="00C0364F">
        <w:rPr>
          <w:sz w:val="22"/>
        </w:rPr>
        <w:t xml:space="preserve">from </w:t>
      </w:r>
      <w:r w:rsidR="007D1B07" w:rsidRPr="00C0364F">
        <w:rPr>
          <w:sz w:val="22"/>
        </w:rPr>
        <w:t>King’s College London</w:t>
      </w:r>
      <w:r w:rsidR="00437040" w:rsidRPr="00C0364F">
        <w:rPr>
          <w:sz w:val="22"/>
        </w:rPr>
        <w:t xml:space="preserve"> </w:t>
      </w:r>
      <w:r w:rsidR="007D1B07" w:rsidRPr="00C0364F">
        <w:rPr>
          <w:sz w:val="22"/>
        </w:rPr>
        <w:t xml:space="preserve">and from the general public. </w:t>
      </w:r>
      <w:r w:rsidR="005533B7" w:rsidRPr="00C0364F">
        <w:rPr>
          <w:sz w:val="22"/>
        </w:rPr>
        <w:t>At</w:t>
      </w:r>
      <w:r w:rsidR="00D87F5B" w:rsidRPr="00C0364F">
        <w:rPr>
          <w:sz w:val="22"/>
        </w:rPr>
        <w:t xml:space="preserve"> Phase II, </w:t>
      </w:r>
      <w:r w:rsidR="00B9704A" w:rsidRPr="00C0364F">
        <w:rPr>
          <w:sz w:val="22"/>
        </w:rPr>
        <w:t xml:space="preserve">nine </w:t>
      </w:r>
      <w:r w:rsidR="005A6650" w:rsidRPr="00C0364F">
        <w:rPr>
          <w:sz w:val="22"/>
        </w:rPr>
        <w:t xml:space="preserve">Phase I </w:t>
      </w:r>
      <w:r w:rsidR="00D87F5B" w:rsidRPr="00C0364F">
        <w:rPr>
          <w:sz w:val="22"/>
        </w:rPr>
        <w:t xml:space="preserve">participants were </w:t>
      </w:r>
      <w:r w:rsidR="00B9704A" w:rsidRPr="00C0364F">
        <w:rPr>
          <w:sz w:val="22"/>
        </w:rPr>
        <w:t xml:space="preserve">successfully </w:t>
      </w:r>
      <w:r w:rsidR="00D87F5B" w:rsidRPr="00C0364F">
        <w:rPr>
          <w:sz w:val="22"/>
        </w:rPr>
        <w:t>re-recruited</w:t>
      </w:r>
      <w:r w:rsidR="00B9704A" w:rsidRPr="00C0364F">
        <w:rPr>
          <w:sz w:val="22"/>
        </w:rPr>
        <w:t xml:space="preserve">. </w:t>
      </w:r>
      <w:r w:rsidR="000B4A77" w:rsidRPr="00C0364F">
        <w:rPr>
          <w:sz w:val="22"/>
        </w:rPr>
        <w:t>P</w:t>
      </w:r>
      <w:r w:rsidR="008F6553" w:rsidRPr="00C0364F">
        <w:rPr>
          <w:sz w:val="22"/>
        </w:rPr>
        <w:t>hase I p</w:t>
      </w:r>
      <w:r w:rsidR="00B9704A" w:rsidRPr="00C0364F">
        <w:rPr>
          <w:sz w:val="22"/>
        </w:rPr>
        <w:t>articipants who did not wish to take part in Phase II</w:t>
      </w:r>
      <w:r w:rsidR="000B4A77" w:rsidRPr="00C0364F">
        <w:rPr>
          <w:sz w:val="22"/>
        </w:rPr>
        <w:t xml:space="preserve"> were replaced</w:t>
      </w:r>
      <w:r w:rsidR="00B66914" w:rsidRPr="00C0364F">
        <w:rPr>
          <w:sz w:val="22"/>
        </w:rPr>
        <w:t xml:space="preserve"> </w:t>
      </w:r>
      <w:r w:rsidR="00967564">
        <w:rPr>
          <w:sz w:val="22"/>
        </w:rPr>
        <w:t>with</w:t>
      </w:r>
      <w:r w:rsidR="000F4539">
        <w:rPr>
          <w:sz w:val="22"/>
        </w:rPr>
        <w:t xml:space="preserve"> new</w:t>
      </w:r>
      <w:r w:rsidR="005D09D0" w:rsidRPr="00C0364F">
        <w:rPr>
          <w:sz w:val="22"/>
        </w:rPr>
        <w:t xml:space="preserve"> </w:t>
      </w:r>
      <w:r w:rsidR="000B4A77" w:rsidRPr="00C0364F">
        <w:rPr>
          <w:sz w:val="22"/>
        </w:rPr>
        <w:t>participants</w:t>
      </w:r>
      <w:r w:rsidR="00B66914" w:rsidRPr="00C0364F">
        <w:rPr>
          <w:sz w:val="22"/>
        </w:rPr>
        <w:t xml:space="preserve">. </w:t>
      </w:r>
    </w:p>
    <w:p w14:paraId="0764C502" w14:textId="1C05A5C6" w:rsidR="00437040" w:rsidRPr="00C0364F" w:rsidRDefault="00CA6295" w:rsidP="00D421AE">
      <w:pPr>
        <w:spacing w:after="240" w:line="360" w:lineRule="auto"/>
        <w:jc w:val="both"/>
        <w:rPr>
          <w:sz w:val="22"/>
        </w:rPr>
      </w:pPr>
      <w:r w:rsidRPr="00C0364F">
        <w:rPr>
          <w:sz w:val="22"/>
        </w:rPr>
        <w:t>For Phase I and Phase II, p</w:t>
      </w:r>
      <w:r w:rsidR="00BE611C" w:rsidRPr="00C0364F">
        <w:rPr>
          <w:sz w:val="22"/>
        </w:rPr>
        <w:t xml:space="preserve">articipants were screened </w:t>
      </w:r>
      <w:r w:rsidR="00B92D07" w:rsidRPr="00C0364F">
        <w:rPr>
          <w:sz w:val="22"/>
        </w:rPr>
        <w:t>to determ</w:t>
      </w:r>
      <w:r w:rsidR="003E37B9" w:rsidRPr="00C0364F">
        <w:rPr>
          <w:sz w:val="22"/>
        </w:rPr>
        <w:t>ine study eligibility</w:t>
      </w:r>
      <w:r w:rsidR="00DE006E" w:rsidRPr="00C0364F">
        <w:rPr>
          <w:sz w:val="22"/>
        </w:rPr>
        <w:t xml:space="preserve"> which consisted of the following criteria</w:t>
      </w:r>
      <w:r w:rsidR="003E37B9" w:rsidRPr="00C0364F">
        <w:rPr>
          <w:sz w:val="22"/>
        </w:rPr>
        <w:t>: (1) aged 18-3</w:t>
      </w:r>
      <w:r w:rsidR="00B9444A" w:rsidRPr="00C0364F">
        <w:rPr>
          <w:sz w:val="22"/>
        </w:rPr>
        <w:t>1</w:t>
      </w:r>
      <w:r w:rsidR="003E37B9" w:rsidRPr="00C0364F">
        <w:rPr>
          <w:sz w:val="22"/>
        </w:rPr>
        <w:t xml:space="preserve"> years old</w:t>
      </w:r>
      <w:r w:rsidR="00DE006E" w:rsidRPr="00C0364F">
        <w:rPr>
          <w:sz w:val="22"/>
        </w:rPr>
        <w:t xml:space="preserve">; (2) mentally and physically healthy; (3) </w:t>
      </w:r>
      <w:r w:rsidR="00F51C50">
        <w:rPr>
          <w:sz w:val="22"/>
        </w:rPr>
        <w:t xml:space="preserve">no contraindication to MRI </w:t>
      </w:r>
      <w:r w:rsidR="00A07F71" w:rsidRPr="00C0364F">
        <w:rPr>
          <w:sz w:val="22"/>
        </w:rPr>
        <w:t>(e.g., no pacemaker or metal in the body)</w:t>
      </w:r>
      <w:r w:rsidR="00D13793" w:rsidRPr="00C0364F">
        <w:rPr>
          <w:sz w:val="22"/>
        </w:rPr>
        <w:t>, and (4) registered with a general practitioner in the UK.</w:t>
      </w:r>
      <w:r w:rsidR="006C7BD0">
        <w:rPr>
          <w:sz w:val="22"/>
        </w:rPr>
        <w:t xml:space="preserve"> </w:t>
      </w:r>
      <w:r w:rsidR="00437040" w:rsidRPr="00C0364F">
        <w:rPr>
          <w:sz w:val="22"/>
        </w:rPr>
        <w:t>Ethical approval was obtained fr</w:t>
      </w:r>
      <w:r w:rsidR="00507C28" w:rsidRPr="00C0364F">
        <w:rPr>
          <w:sz w:val="22"/>
        </w:rPr>
        <w:t>om K</w:t>
      </w:r>
      <w:r w:rsidR="00C35A25">
        <w:rPr>
          <w:sz w:val="22"/>
        </w:rPr>
        <w:t>ing’s College London</w:t>
      </w:r>
      <w:r w:rsidR="00507C28" w:rsidRPr="00C0364F">
        <w:rPr>
          <w:sz w:val="22"/>
        </w:rPr>
        <w:t xml:space="preserve"> Research Ethics Committee and participants gave written informed consent </w:t>
      </w:r>
      <w:r w:rsidR="00FD1146" w:rsidRPr="00C0364F">
        <w:rPr>
          <w:sz w:val="22"/>
        </w:rPr>
        <w:t>to take part in the study</w:t>
      </w:r>
      <w:r w:rsidRPr="00C0364F">
        <w:rPr>
          <w:sz w:val="22"/>
        </w:rPr>
        <w:t>.</w:t>
      </w:r>
      <w:r w:rsidR="00A160A2">
        <w:rPr>
          <w:sz w:val="22"/>
        </w:rPr>
        <w:t xml:space="preserve"> In addition, a subset of participants </w:t>
      </w:r>
      <w:r w:rsidR="00CB11FC">
        <w:rPr>
          <w:sz w:val="22"/>
        </w:rPr>
        <w:t>provided consent for their</w:t>
      </w:r>
      <w:r w:rsidR="00B135E5">
        <w:rPr>
          <w:sz w:val="22"/>
        </w:rPr>
        <w:t xml:space="preserve"> demographic and</w:t>
      </w:r>
      <w:r w:rsidR="00CB11FC">
        <w:rPr>
          <w:sz w:val="22"/>
        </w:rPr>
        <w:t xml:space="preserve"> defaced neuroimaging data to be made publicly available to other researchers at the end of the study. </w:t>
      </w:r>
    </w:p>
    <w:p w14:paraId="157BE5EF" w14:textId="2429E279" w:rsidR="00D53E7D" w:rsidRDefault="009816A9" w:rsidP="0098174D">
      <w:pPr>
        <w:pStyle w:val="Heading2"/>
        <w:spacing w:after="120" w:line="360" w:lineRule="auto"/>
        <w:jc w:val="both"/>
      </w:pPr>
      <w:r>
        <w:t xml:space="preserve">2.2 </w:t>
      </w:r>
      <w:r w:rsidR="00E2332B">
        <w:t>Experimental</w:t>
      </w:r>
      <w:r w:rsidR="00EA5683">
        <w:t xml:space="preserve"> </w:t>
      </w:r>
      <w:r w:rsidR="00A409E1">
        <w:t>d</w:t>
      </w:r>
      <w:r w:rsidR="00EA5683">
        <w:t>esign</w:t>
      </w:r>
    </w:p>
    <w:p w14:paraId="2576AC82" w14:textId="7151CEE0" w:rsidR="00E03560" w:rsidRDefault="008669EE" w:rsidP="0098174D">
      <w:pPr>
        <w:spacing w:after="120" w:line="360" w:lineRule="auto"/>
        <w:jc w:val="both"/>
        <w:rPr>
          <w:sz w:val="22"/>
        </w:rPr>
      </w:pPr>
      <w:r w:rsidRPr="00C0364F">
        <w:rPr>
          <w:sz w:val="22"/>
        </w:rPr>
        <w:t>At</w:t>
      </w:r>
      <w:r w:rsidR="00EC1275" w:rsidRPr="00C0364F">
        <w:rPr>
          <w:sz w:val="22"/>
        </w:rPr>
        <w:t xml:space="preserve"> </w:t>
      </w:r>
      <w:r w:rsidR="003B03CB">
        <w:rPr>
          <w:sz w:val="22"/>
        </w:rPr>
        <w:t>Phase I and II</w:t>
      </w:r>
      <w:r w:rsidR="00EC1275" w:rsidRPr="00C0364F">
        <w:rPr>
          <w:sz w:val="22"/>
        </w:rPr>
        <w:t>, participants attended K</w:t>
      </w:r>
      <w:r w:rsidR="00C35A25">
        <w:rPr>
          <w:sz w:val="22"/>
        </w:rPr>
        <w:t>ing’s College London</w:t>
      </w:r>
      <w:r w:rsidR="00EC1275" w:rsidRPr="00C0364F">
        <w:rPr>
          <w:sz w:val="22"/>
        </w:rPr>
        <w:t xml:space="preserve"> </w:t>
      </w:r>
      <w:r w:rsidRPr="00C0364F">
        <w:rPr>
          <w:sz w:val="22"/>
        </w:rPr>
        <w:t xml:space="preserve">for two </w:t>
      </w:r>
      <w:r w:rsidR="006B2822" w:rsidRPr="00C0364F">
        <w:rPr>
          <w:sz w:val="22"/>
        </w:rPr>
        <w:t>visit</w:t>
      </w:r>
      <w:r w:rsidRPr="00C0364F">
        <w:rPr>
          <w:sz w:val="22"/>
        </w:rPr>
        <w:t>s</w:t>
      </w:r>
      <w:r w:rsidR="00093FED" w:rsidRPr="00C0364F">
        <w:rPr>
          <w:sz w:val="22"/>
        </w:rPr>
        <w:t xml:space="preserve"> approximately t</w:t>
      </w:r>
      <w:r w:rsidR="00E16280">
        <w:rPr>
          <w:sz w:val="22"/>
        </w:rPr>
        <w:t>hree</w:t>
      </w:r>
      <w:r w:rsidR="00093FED" w:rsidRPr="00C0364F">
        <w:rPr>
          <w:sz w:val="22"/>
        </w:rPr>
        <w:t xml:space="preserve"> weeks apart </w:t>
      </w:r>
      <w:r w:rsidR="002F01B8" w:rsidRPr="00C0364F">
        <w:rPr>
          <w:sz w:val="22"/>
        </w:rPr>
        <w:t>for a</w:t>
      </w:r>
      <w:r w:rsidR="00D60211" w:rsidRPr="00C0364F">
        <w:rPr>
          <w:sz w:val="22"/>
        </w:rPr>
        <w:t>n</w:t>
      </w:r>
      <w:r w:rsidR="002F01B8" w:rsidRPr="00C0364F">
        <w:rPr>
          <w:sz w:val="22"/>
        </w:rPr>
        <w:t xml:space="preserve"> </w:t>
      </w:r>
      <w:r w:rsidR="00EC4102" w:rsidRPr="00C0364F">
        <w:rPr>
          <w:sz w:val="22"/>
        </w:rPr>
        <w:t>MRI</w:t>
      </w:r>
      <w:r w:rsidR="002F01B8" w:rsidRPr="00C0364F">
        <w:rPr>
          <w:sz w:val="22"/>
        </w:rPr>
        <w:t xml:space="preserve"> scan</w:t>
      </w:r>
      <w:r w:rsidR="00731483" w:rsidRPr="00C0364F">
        <w:rPr>
          <w:sz w:val="22"/>
        </w:rPr>
        <w:t xml:space="preserve">. </w:t>
      </w:r>
    </w:p>
    <w:p w14:paraId="230CBEFF" w14:textId="46F5E130" w:rsidR="00125427" w:rsidRPr="00C0364F" w:rsidRDefault="00186BBF" w:rsidP="0098174D">
      <w:pPr>
        <w:spacing w:after="120" w:line="360" w:lineRule="auto"/>
        <w:jc w:val="both"/>
        <w:rPr>
          <w:sz w:val="22"/>
        </w:rPr>
      </w:pPr>
      <w:r>
        <w:rPr>
          <w:sz w:val="22"/>
        </w:rPr>
        <w:t>At</w:t>
      </w:r>
      <w:r w:rsidR="007119EC" w:rsidRPr="00C0364F">
        <w:rPr>
          <w:sz w:val="22"/>
        </w:rPr>
        <w:t xml:space="preserve"> Phase I, all s</w:t>
      </w:r>
      <w:r w:rsidR="00581A52" w:rsidRPr="00C0364F">
        <w:rPr>
          <w:sz w:val="22"/>
        </w:rPr>
        <w:t>can</w:t>
      </w:r>
      <w:r w:rsidR="0057221C" w:rsidRPr="00C0364F">
        <w:rPr>
          <w:sz w:val="22"/>
        </w:rPr>
        <w:t xml:space="preserve">s were acquired </w:t>
      </w:r>
      <w:r w:rsidR="00686399">
        <w:rPr>
          <w:sz w:val="22"/>
        </w:rPr>
        <w:t>on Scanner 1</w:t>
      </w:r>
      <w:r w:rsidR="00C7266E">
        <w:rPr>
          <w:sz w:val="22"/>
        </w:rPr>
        <w:t xml:space="preserve"> (details below)</w:t>
      </w:r>
      <w:r w:rsidR="0010199D" w:rsidRPr="00C0364F">
        <w:rPr>
          <w:sz w:val="22"/>
        </w:rPr>
        <w:t>.</w:t>
      </w:r>
      <w:r w:rsidR="00581A52" w:rsidRPr="00C0364F">
        <w:rPr>
          <w:sz w:val="22"/>
        </w:rPr>
        <w:t xml:space="preserve"> </w:t>
      </w:r>
      <w:r w:rsidR="00607FD1" w:rsidRPr="00C0364F">
        <w:rPr>
          <w:sz w:val="22"/>
        </w:rPr>
        <w:t xml:space="preserve">Participants </w:t>
      </w:r>
      <w:r w:rsidR="00A651C4" w:rsidRPr="00C0364F">
        <w:rPr>
          <w:sz w:val="22"/>
        </w:rPr>
        <w:t xml:space="preserve">first received two </w:t>
      </w:r>
      <w:r w:rsidR="00F7694B" w:rsidRPr="00C0364F">
        <w:rPr>
          <w:sz w:val="22"/>
        </w:rPr>
        <w:t xml:space="preserve">identical </w:t>
      </w:r>
      <w:r w:rsidR="007549B3" w:rsidRPr="00C0364F">
        <w:rPr>
          <w:sz w:val="22"/>
        </w:rPr>
        <w:t xml:space="preserve">MRI </w:t>
      </w:r>
      <w:r w:rsidR="006E2092" w:rsidRPr="00C0364F">
        <w:rPr>
          <w:sz w:val="22"/>
        </w:rPr>
        <w:t>scans</w:t>
      </w:r>
      <w:r w:rsidR="00540619" w:rsidRPr="00C0364F">
        <w:rPr>
          <w:sz w:val="22"/>
        </w:rPr>
        <w:t xml:space="preserve"> (A1 </w:t>
      </w:r>
      <w:r w:rsidR="004443BE" w:rsidRPr="00C0364F">
        <w:rPr>
          <w:sz w:val="22"/>
        </w:rPr>
        <w:t>&amp;</w:t>
      </w:r>
      <w:r w:rsidR="00540619" w:rsidRPr="00C0364F">
        <w:rPr>
          <w:sz w:val="22"/>
        </w:rPr>
        <w:t xml:space="preserve"> A2)</w:t>
      </w:r>
      <w:r w:rsidR="006E2092" w:rsidRPr="00C0364F">
        <w:rPr>
          <w:sz w:val="22"/>
        </w:rPr>
        <w:t xml:space="preserve">. </w:t>
      </w:r>
      <w:r w:rsidR="00DC1054" w:rsidRPr="00C0364F">
        <w:rPr>
          <w:sz w:val="22"/>
        </w:rPr>
        <w:t xml:space="preserve">Participants were then asked to </w:t>
      </w:r>
      <w:r w:rsidR="009D4EC5" w:rsidRPr="00C0364F">
        <w:rPr>
          <w:sz w:val="22"/>
        </w:rPr>
        <w:t>get out and immediately re-enter the scanner</w:t>
      </w:r>
      <w:r w:rsidR="00540619" w:rsidRPr="00C0364F">
        <w:rPr>
          <w:sz w:val="22"/>
        </w:rPr>
        <w:t xml:space="preserve"> (A3)</w:t>
      </w:r>
      <w:r w:rsidR="00C63F45" w:rsidRPr="00C0364F">
        <w:rPr>
          <w:sz w:val="22"/>
        </w:rPr>
        <w:t xml:space="preserve">, </w:t>
      </w:r>
      <w:r w:rsidR="00AD588E" w:rsidRPr="00C0364F">
        <w:rPr>
          <w:sz w:val="22"/>
        </w:rPr>
        <w:t>which intended to replicate longitudinal study designs</w:t>
      </w:r>
      <w:r w:rsidR="00EA5D24" w:rsidRPr="00C0364F">
        <w:rPr>
          <w:sz w:val="22"/>
        </w:rPr>
        <w:t xml:space="preserve"> where </w:t>
      </w:r>
      <w:r w:rsidR="00D37068" w:rsidRPr="00C0364F">
        <w:rPr>
          <w:sz w:val="22"/>
        </w:rPr>
        <w:t xml:space="preserve">each scan might be associated with persons’ positioning within the scanner. </w:t>
      </w:r>
      <w:r w:rsidR="00553DD1" w:rsidRPr="00C0364F">
        <w:rPr>
          <w:sz w:val="22"/>
        </w:rPr>
        <w:t>For</w:t>
      </w:r>
      <w:r w:rsidR="00085522" w:rsidRPr="00C0364F">
        <w:rPr>
          <w:sz w:val="22"/>
        </w:rPr>
        <w:t xml:space="preserve"> the </w:t>
      </w:r>
      <w:r w:rsidR="00EC41E6" w:rsidRPr="00C0364F">
        <w:rPr>
          <w:sz w:val="22"/>
        </w:rPr>
        <w:t>last scan</w:t>
      </w:r>
      <w:r w:rsidR="009377F4" w:rsidRPr="00C0364F">
        <w:rPr>
          <w:sz w:val="22"/>
        </w:rPr>
        <w:t>, participants were instructed to tilt their head</w:t>
      </w:r>
      <w:r w:rsidR="00085522" w:rsidRPr="00C0364F">
        <w:rPr>
          <w:sz w:val="22"/>
        </w:rPr>
        <w:t xml:space="preserve"> down by </w:t>
      </w:r>
      <w:r w:rsidR="0010199D" w:rsidRPr="00C0364F">
        <w:rPr>
          <w:sz w:val="22"/>
        </w:rPr>
        <w:t xml:space="preserve">approximately </w:t>
      </w:r>
      <w:r w:rsidR="00085522" w:rsidRPr="00C0364F">
        <w:rPr>
          <w:sz w:val="22"/>
        </w:rPr>
        <w:t>ten degrees</w:t>
      </w:r>
      <w:r w:rsidR="00540619" w:rsidRPr="00C0364F">
        <w:rPr>
          <w:sz w:val="22"/>
        </w:rPr>
        <w:t xml:space="preserve"> (A4)</w:t>
      </w:r>
      <w:r w:rsidR="00622F23">
        <w:rPr>
          <w:sz w:val="22"/>
        </w:rPr>
        <w:t xml:space="preserve">; </w:t>
      </w:r>
      <w:r w:rsidR="005305B6" w:rsidRPr="00C0364F">
        <w:rPr>
          <w:i/>
          <w:iCs/>
          <w:sz w:val="22"/>
        </w:rPr>
        <w:t>see</w:t>
      </w:r>
      <w:r w:rsidR="002F3929">
        <w:rPr>
          <w:i/>
          <w:iCs/>
          <w:sz w:val="22"/>
        </w:rPr>
        <w:t xml:space="preserve"> </w:t>
      </w:r>
      <w:r w:rsidR="002F3929">
        <w:rPr>
          <w:sz w:val="22"/>
        </w:rPr>
        <w:t xml:space="preserve">Supplementary </w:t>
      </w:r>
      <w:r w:rsidR="0084400C">
        <w:rPr>
          <w:sz w:val="22"/>
        </w:rPr>
        <w:t>S1 e</w:t>
      </w:r>
      <w:r w:rsidR="002F3929">
        <w:rPr>
          <w:sz w:val="22"/>
        </w:rPr>
        <w:t xml:space="preserve">Figure </w:t>
      </w:r>
      <w:r w:rsidR="00266140">
        <w:rPr>
          <w:sz w:val="22"/>
        </w:rPr>
        <w:t>1</w:t>
      </w:r>
      <w:r w:rsidR="005305B6" w:rsidRPr="00C0364F">
        <w:rPr>
          <w:i/>
          <w:iCs/>
          <w:sz w:val="22"/>
        </w:rPr>
        <w:t xml:space="preserve"> </w:t>
      </w:r>
      <w:r w:rsidR="00266140">
        <w:rPr>
          <w:sz w:val="22"/>
        </w:rPr>
        <w:t>f</w:t>
      </w:r>
      <w:r w:rsidR="00C232AA" w:rsidRPr="00C0364F">
        <w:rPr>
          <w:sz w:val="22"/>
        </w:rPr>
        <w:t xml:space="preserve">or graph </w:t>
      </w:r>
      <w:r w:rsidR="0077023E" w:rsidRPr="00C0364F">
        <w:rPr>
          <w:sz w:val="22"/>
        </w:rPr>
        <w:t>showing</w:t>
      </w:r>
      <w:r w:rsidR="00C232AA" w:rsidRPr="00C0364F">
        <w:rPr>
          <w:sz w:val="22"/>
        </w:rPr>
        <w:t xml:space="preserve"> </w:t>
      </w:r>
      <w:r w:rsidR="0091470E">
        <w:rPr>
          <w:sz w:val="22"/>
        </w:rPr>
        <w:t>mean</w:t>
      </w:r>
      <w:r w:rsidR="009B65CC" w:rsidRPr="00C0364F">
        <w:rPr>
          <w:sz w:val="22"/>
        </w:rPr>
        <w:t xml:space="preserve"> </w:t>
      </w:r>
      <w:r w:rsidR="0077023E" w:rsidRPr="00C0364F">
        <w:rPr>
          <w:sz w:val="22"/>
        </w:rPr>
        <w:t xml:space="preserve">head tilt </w:t>
      </w:r>
      <w:r w:rsidR="00D92E00">
        <w:rPr>
          <w:sz w:val="22"/>
        </w:rPr>
        <w:t xml:space="preserve">(pitch) </w:t>
      </w:r>
      <w:r w:rsidR="0077023E" w:rsidRPr="00C0364F">
        <w:rPr>
          <w:sz w:val="22"/>
        </w:rPr>
        <w:t>movement</w:t>
      </w:r>
      <w:r w:rsidR="009B65CC" w:rsidRPr="00C0364F">
        <w:rPr>
          <w:sz w:val="22"/>
        </w:rPr>
        <w:t xml:space="preserve"> of 7.61</w:t>
      </w:r>
      <w:r w:rsidR="009B65CC" w:rsidRPr="00C0364F">
        <w:rPr>
          <w:sz w:val="22"/>
          <w:vertAlign w:val="superscript"/>
        </w:rPr>
        <w:t>o</w:t>
      </w:r>
      <w:r w:rsidR="009A37F5" w:rsidRPr="00C0364F">
        <w:rPr>
          <w:sz w:val="22"/>
        </w:rPr>
        <w:t xml:space="preserve">. </w:t>
      </w:r>
      <w:r w:rsidR="00441B3A">
        <w:rPr>
          <w:sz w:val="22"/>
        </w:rPr>
        <w:t xml:space="preserve">This movement in pitch, and the resulting change in vertical translation of the head, </w:t>
      </w:r>
      <w:r w:rsidR="004D53BF">
        <w:rPr>
          <w:sz w:val="22"/>
        </w:rPr>
        <w:t>has been reported as</w:t>
      </w:r>
      <w:r w:rsidR="00441B3A">
        <w:rPr>
          <w:sz w:val="22"/>
        </w:rPr>
        <w:t xml:space="preserve"> the most common head movement of adults during an MRI scan (Cusack et al., 2017). </w:t>
      </w:r>
      <w:r w:rsidR="00233853">
        <w:rPr>
          <w:sz w:val="22"/>
        </w:rPr>
        <w:t xml:space="preserve">Localizer scans were </w:t>
      </w:r>
      <w:r w:rsidR="00B740EE">
        <w:rPr>
          <w:sz w:val="22"/>
        </w:rPr>
        <w:t>administer</w:t>
      </w:r>
      <w:r w:rsidR="0037337A">
        <w:rPr>
          <w:sz w:val="22"/>
        </w:rPr>
        <w:t xml:space="preserve">ed </w:t>
      </w:r>
      <w:r w:rsidR="00B740EE">
        <w:rPr>
          <w:sz w:val="22"/>
        </w:rPr>
        <w:t xml:space="preserve">prior to </w:t>
      </w:r>
      <w:r w:rsidR="00BD7FA1">
        <w:rPr>
          <w:sz w:val="22"/>
        </w:rPr>
        <w:t xml:space="preserve">the </w:t>
      </w:r>
      <w:r w:rsidR="00B740EE">
        <w:rPr>
          <w:sz w:val="22"/>
        </w:rPr>
        <w:t xml:space="preserve">A1 and A3 scans. </w:t>
      </w:r>
      <w:r w:rsidR="003D202E" w:rsidRPr="00C0364F">
        <w:rPr>
          <w:sz w:val="22"/>
        </w:rPr>
        <w:t xml:space="preserve">This procedure was repeated </w:t>
      </w:r>
      <w:r w:rsidR="00825AC3" w:rsidRPr="00C0364F">
        <w:rPr>
          <w:sz w:val="22"/>
        </w:rPr>
        <w:t xml:space="preserve">at the second </w:t>
      </w:r>
      <w:r w:rsidR="001C6D0B" w:rsidRPr="00C0364F">
        <w:rPr>
          <w:sz w:val="22"/>
        </w:rPr>
        <w:t>visit</w:t>
      </w:r>
      <w:r w:rsidR="00540619" w:rsidRPr="00C0364F">
        <w:rPr>
          <w:sz w:val="22"/>
        </w:rPr>
        <w:t xml:space="preserve"> (B1 – B4)</w:t>
      </w:r>
      <w:r w:rsidR="00825AC3" w:rsidRPr="00C0364F">
        <w:rPr>
          <w:sz w:val="22"/>
        </w:rPr>
        <w:t xml:space="preserve">. </w:t>
      </w:r>
    </w:p>
    <w:p w14:paraId="231C71F8" w14:textId="4037BF1F" w:rsidR="00F54E5E" w:rsidRPr="00840EDE" w:rsidRDefault="009A7F32" w:rsidP="00840EDE">
      <w:pPr>
        <w:spacing w:after="240" w:line="360" w:lineRule="auto"/>
        <w:jc w:val="both"/>
        <w:rPr>
          <w:sz w:val="22"/>
        </w:rPr>
      </w:pPr>
      <w:r w:rsidRPr="00C0364F">
        <w:rPr>
          <w:sz w:val="22"/>
        </w:rPr>
        <w:t>For</w:t>
      </w:r>
      <w:r w:rsidR="0059412C" w:rsidRPr="00C0364F">
        <w:rPr>
          <w:sz w:val="22"/>
        </w:rPr>
        <w:t xml:space="preserve"> Phase II</w:t>
      </w:r>
      <w:r w:rsidR="00E765A8">
        <w:rPr>
          <w:sz w:val="22"/>
        </w:rPr>
        <w:t xml:space="preserve"> visits</w:t>
      </w:r>
      <w:r w:rsidR="0059412C" w:rsidRPr="00C0364F">
        <w:rPr>
          <w:sz w:val="22"/>
        </w:rPr>
        <w:t xml:space="preserve">, participants received </w:t>
      </w:r>
      <w:r w:rsidR="00177B2B">
        <w:rPr>
          <w:sz w:val="22"/>
        </w:rPr>
        <w:t>three</w:t>
      </w:r>
      <w:r w:rsidR="00177B2B" w:rsidRPr="00C0364F">
        <w:rPr>
          <w:sz w:val="22"/>
        </w:rPr>
        <w:t xml:space="preserve"> </w:t>
      </w:r>
      <w:r w:rsidR="0059412C" w:rsidRPr="00C0364F">
        <w:rPr>
          <w:sz w:val="22"/>
        </w:rPr>
        <w:t xml:space="preserve">MRI scans </w:t>
      </w:r>
      <w:r w:rsidR="00D92E00">
        <w:rPr>
          <w:sz w:val="22"/>
        </w:rPr>
        <w:t xml:space="preserve">on </w:t>
      </w:r>
      <w:r w:rsidR="00243D0F">
        <w:rPr>
          <w:sz w:val="22"/>
        </w:rPr>
        <w:t xml:space="preserve">both </w:t>
      </w:r>
      <w:r w:rsidR="00D92E00">
        <w:rPr>
          <w:sz w:val="22"/>
        </w:rPr>
        <w:t>Scanner 1</w:t>
      </w:r>
      <w:r w:rsidR="0059412C" w:rsidRPr="00C0364F">
        <w:rPr>
          <w:sz w:val="22"/>
        </w:rPr>
        <w:t xml:space="preserve"> (</w:t>
      </w:r>
      <w:r w:rsidR="00177B2B">
        <w:rPr>
          <w:sz w:val="22"/>
        </w:rPr>
        <w:t>C1 – C3</w:t>
      </w:r>
      <w:r w:rsidR="0059412C" w:rsidRPr="00C0364F">
        <w:rPr>
          <w:sz w:val="22"/>
        </w:rPr>
        <w:t xml:space="preserve">) and </w:t>
      </w:r>
      <w:r w:rsidR="00EB70F8">
        <w:rPr>
          <w:sz w:val="22"/>
        </w:rPr>
        <w:t>Scanner 2</w:t>
      </w:r>
      <w:r w:rsidR="00D448E9" w:rsidRPr="00C0364F">
        <w:rPr>
          <w:sz w:val="22"/>
        </w:rPr>
        <w:t xml:space="preserve"> (</w:t>
      </w:r>
      <w:r w:rsidR="00177B2B">
        <w:rPr>
          <w:sz w:val="22"/>
        </w:rPr>
        <w:t>D1 – D3</w:t>
      </w:r>
      <w:r w:rsidR="00D448E9" w:rsidRPr="00C0364F">
        <w:rPr>
          <w:sz w:val="22"/>
        </w:rPr>
        <w:t>)</w:t>
      </w:r>
      <w:r w:rsidR="00EB70F8">
        <w:rPr>
          <w:sz w:val="22"/>
        </w:rPr>
        <w:t xml:space="preserve">. </w:t>
      </w:r>
      <w:r w:rsidR="002F3929">
        <w:rPr>
          <w:sz w:val="22"/>
        </w:rPr>
        <w:t>Scanners</w:t>
      </w:r>
      <w:r w:rsidR="00EB70F8">
        <w:rPr>
          <w:sz w:val="22"/>
        </w:rPr>
        <w:t xml:space="preserve"> 1 and 2 were different scanners but the same model</w:t>
      </w:r>
      <w:r w:rsidR="00C7266E">
        <w:rPr>
          <w:sz w:val="22"/>
        </w:rPr>
        <w:t xml:space="preserve"> (details below)</w:t>
      </w:r>
      <w:r w:rsidR="00EB70F8">
        <w:rPr>
          <w:sz w:val="22"/>
        </w:rPr>
        <w:t>.</w:t>
      </w:r>
      <w:r w:rsidR="005A5C08" w:rsidRPr="00C0364F">
        <w:rPr>
          <w:sz w:val="22"/>
        </w:rPr>
        <w:t xml:space="preserve"> </w:t>
      </w:r>
      <w:r w:rsidR="00381F6D" w:rsidRPr="00C0364F">
        <w:rPr>
          <w:sz w:val="22"/>
        </w:rPr>
        <w:t xml:space="preserve">The </w:t>
      </w:r>
      <w:r w:rsidR="00C500EB" w:rsidRPr="00C0364F">
        <w:rPr>
          <w:sz w:val="22"/>
        </w:rPr>
        <w:t xml:space="preserve">order of scanner used </w:t>
      </w:r>
      <w:r w:rsidR="00B2143A">
        <w:rPr>
          <w:sz w:val="22"/>
        </w:rPr>
        <w:t>first</w:t>
      </w:r>
      <w:r w:rsidR="00C500EB" w:rsidRPr="00C0364F">
        <w:rPr>
          <w:sz w:val="22"/>
        </w:rPr>
        <w:t xml:space="preserve"> was </w:t>
      </w:r>
      <w:r w:rsidR="00CE0509">
        <w:rPr>
          <w:sz w:val="22"/>
        </w:rPr>
        <w:t xml:space="preserve">manually </w:t>
      </w:r>
      <w:r w:rsidR="00C500EB" w:rsidRPr="00C0364F">
        <w:rPr>
          <w:sz w:val="22"/>
        </w:rPr>
        <w:t xml:space="preserve">balanced for the participants. </w:t>
      </w:r>
      <w:r w:rsidR="007C08BD" w:rsidRPr="00C0364F">
        <w:rPr>
          <w:sz w:val="22"/>
        </w:rPr>
        <w:t>This procedure aimed</w:t>
      </w:r>
      <w:r w:rsidR="00E55A3C">
        <w:rPr>
          <w:sz w:val="22"/>
        </w:rPr>
        <w:t xml:space="preserve"> to</w:t>
      </w:r>
      <w:r w:rsidR="007C08BD" w:rsidRPr="00C0364F">
        <w:rPr>
          <w:sz w:val="22"/>
        </w:rPr>
        <w:t xml:space="preserve"> examine </w:t>
      </w:r>
      <w:r w:rsidR="00E55A3C">
        <w:rPr>
          <w:sz w:val="22"/>
        </w:rPr>
        <w:t>inter</w:t>
      </w:r>
      <w:r w:rsidR="007C08BD" w:rsidRPr="00C0364F">
        <w:rPr>
          <w:sz w:val="22"/>
        </w:rPr>
        <w:t>-scanner variability</w:t>
      </w:r>
      <w:r w:rsidR="007C08BD" w:rsidRPr="006D77AB">
        <w:rPr>
          <w:sz w:val="22"/>
        </w:rPr>
        <w:t>.</w:t>
      </w:r>
      <w:r w:rsidR="005845B1" w:rsidRPr="006D77AB">
        <w:rPr>
          <w:sz w:val="22"/>
        </w:rPr>
        <w:t xml:space="preserve"> The </w:t>
      </w:r>
      <w:r w:rsidR="00041735">
        <w:rPr>
          <w:sz w:val="22"/>
        </w:rPr>
        <w:t>third</w:t>
      </w:r>
      <w:r w:rsidR="00041735" w:rsidRPr="006D77AB">
        <w:rPr>
          <w:sz w:val="22"/>
        </w:rPr>
        <w:t xml:space="preserve"> </w:t>
      </w:r>
      <w:r w:rsidR="005845B1" w:rsidRPr="006D77AB">
        <w:rPr>
          <w:sz w:val="22"/>
        </w:rPr>
        <w:t xml:space="preserve">scan </w:t>
      </w:r>
      <w:r w:rsidR="006D77AB" w:rsidRPr="006D77AB">
        <w:rPr>
          <w:sz w:val="22"/>
        </w:rPr>
        <w:t>of each visit (</w:t>
      </w:r>
      <w:r w:rsidR="00041735">
        <w:rPr>
          <w:sz w:val="22"/>
        </w:rPr>
        <w:t>C3 &amp; D3</w:t>
      </w:r>
      <w:r w:rsidR="006D77AB" w:rsidRPr="006D77AB">
        <w:rPr>
          <w:sz w:val="22"/>
        </w:rPr>
        <w:t>)</w:t>
      </w:r>
      <w:r w:rsidR="005845B1" w:rsidRPr="006D77AB">
        <w:rPr>
          <w:sz w:val="22"/>
        </w:rPr>
        <w:t xml:space="preserve"> </w:t>
      </w:r>
      <w:r w:rsidR="002B777A" w:rsidRPr="006D77AB">
        <w:rPr>
          <w:sz w:val="22"/>
        </w:rPr>
        <w:t>w</w:t>
      </w:r>
      <w:r w:rsidR="00C24DB9">
        <w:rPr>
          <w:sz w:val="22"/>
        </w:rPr>
        <w:t>as</w:t>
      </w:r>
      <w:r w:rsidR="002B777A" w:rsidRPr="006D77AB">
        <w:rPr>
          <w:sz w:val="22"/>
        </w:rPr>
        <w:t xml:space="preserve"> acquired using a different MRI sequence compared to </w:t>
      </w:r>
      <w:r w:rsidR="002F6F2C" w:rsidRPr="006D77AB">
        <w:rPr>
          <w:sz w:val="22"/>
        </w:rPr>
        <w:t>all</w:t>
      </w:r>
      <w:r w:rsidR="00562709" w:rsidRPr="006D77AB">
        <w:rPr>
          <w:sz w:val="22"/>
        </w:rPr>
        <w:t xml:space="preserve"> </w:t>
      </w:r>
      <w:r w:rsidR="007D707B">
        <w:rPr>
          <w:sz w:val="22"/>
        </w:rPr>
        <w:t xml:space="preserve">other </w:t>
      </w:r>
      <w:r w:rsidR="00562709" w:rsidRPr="006D77AB">
        <w:rPr>
          <w:sz w:val="22"/>
        </w:rPr>
        <w:t>scans</w:t>
      </w:r>
      <w:r w:rsidR="006D77AB">
        <w:rPr>
          <w:sz w:val="22"/>
        </w:rPr>
        <w:t xml:space="preserve"> </w:t>
      </w:r>
      <w:r w:rsidR="002841B9">
        <w:rPr>
          <w:sz w:val="22"/>
        </w:rPr>
        <w:t xml:space="preserve">to explore </w:t>
      </w:r>
      <w:r w:rsidR="00E55A3C">
        <w:rPr>
          <w:sz w:val="22"/>
        </w:rPr>
        <w:t>inter</w:t>
      </w:r>
      <w:r w:rsidR="002841B9">
        <w:rPr>
          <w:sz w:val="22"/>
        </w:rPr>
        <w:t>-sequence variability</w:t>
      </w:r>
      <w:r w:rsidR="007D707B">
        <w:rPr>
          <w:sz w:val="22"/>
        </w:rPr>
        <w:t xml:space="preserve"> (</w:t>
      </w:r>
      <w:r w:rsidR="007D707B">
        <w:rPr>
          <w:i/>
          <w:iCs/>
          <w:sz w:val="22"/>
        </w:rPr>
        <w:t xml:space="preserve">see </w:t>
      </w:r>
      <w:r w:rsidR="007D707B">
        <w:rPr>
          <w:sz w:val="22"/>
        </w:rPr>
        <w:t>Figure 1 for data acquisition process)</w:t>
      </w:r>
      <w:r w:rsidR="002841B9">
        <w:rPr>
          <w:sz w:val="22"/>
        </w:rPr>
        <w:t xml:space="preserve">. </w:t>
      </w:r>
    </w:p>
    <w:p w14:paraId="33946F66" w14:textId="0FC76D2F" w:rsidR="00840EDE" w:rsidRDefault="00500A10" w:rsidP="0098174D">
      <w:pPr>
        <w:pStyle w:val="Heading2"/>
        <w:spacing w:after="120" w:line="360" w:lineRule="auto"/>
        <w:jc w:val="both"/>
      </w:pPr>
      <w:r>
        <w:rPr>
          <w:noProof/>
        </w:rPr>
        <w:lastRenderedPageBreak/>
        <w:drawing>
          <wp:anchor distT="0" distB="0" distL="114300" distR="114300" simplePos="0" relativeHeight="251712512" behindDoc="0" locked="0" layoutInCell="1" allowOverlap="1" wp14:anchorId="42DEC6AF" wp14:editId="4FE89074">
            <wp:simplePos x="0" y="0"/>
            <wp:positionH relativeFrom="column">
              <wp:posOffset>352263</wp:posOffset>
            </wp:positionH>
            <wp:positionV relativeFrom="paragraph">
              <wp:posOffset>13335</wp:posOffset>
            </wp:positionV>
            <wp:extent cx="4352925" cy="3626485"/>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52925" cy="3626485"/>
                    </a:xfrm>
                    <a:prstGeom prst="rect">
                      <a:avLst/>
                    </a:prstGeom>
                    <a:noFill/>
                  </pic:spPr>
                </pic:pic>
              </a:graphicData>
            </a:graphic>
            <wp14:sizeRelH relativeFrom="margin">
              <wp14:pctWidth>0</wp14:pctWidth>
            </wp14:sizeRelH>
            <wp14:sizeRelV relativeFrom="margin">
              <wp14:pctHeight>0</wp14:pctHeight>
            </wp14:sizeRelV>
          </wp:anchor>
        </w:drawing>
      </w:r>
    </w:p>
    <w:p w14:paraId="04BE68BA" w14:textId="4C4F0D8B" w:rsidR="00840EDE" w:rsidRDefault="00840EDE" w:rsidP="0098174D">
      <w:pPr>
        <w:pStyle w:val="Heading2"/>
        <w:spacing w:after="120" w:line="360" w:lineRule="auto"/>
        <w:jc w:val="both"/>
      </w:pPr>
    </w:p>
    <w:p w14:paraId="5E92701B" w14:textId="0BEF1F16" w:rsidR="00B810E2" w:rsidRDefault="00B810E2" w:rsidP="0098174D">
      <w:pPr>
        <w:pStyle w:val="Heading2"/>
        <w:spacing w:after="120" w:line="360" w:lineRule="auto"/>
        <w:jc w:val="both"/>
      </w:pPr>
    </w:p>
    <w:p w14:paraId="57229C66" w14:textId="6D43EAC8" w:rsidR="003E6E09" w:rsidRDefault="003E6E09" w:rsidP="002B5469"/>
    <w:p w14:paraId="7C841C18" w14:textId="4B866FA8" w:rsidR="003E6E09" w:rsidRDefault="003E6E09" w:rsidP="002B5469"/>
    <w:p w14:paraId="2AC2B10E" w14:textId="7427D260" w:rsidR="002B5469" w:rsidRDefault="002B5469" w:rsidP="002B5469"/>
    <w:p w14:paraId="6551F635" w14:textId="2E8E12E9" w:rsidR="003E6E09" w:rsidRPr="002B5469" w:rsidRDefault="003E6E09" w:rsidP="002B5469"/>
    <w:p w14:paraId="1E184041" w14:textId="7D292216" w:rsidR="00840EDE" w:rsidRDefault="00840EDE" w:rsidP="0098174D">
      <w:pPr>
        <w:pStyle w:val="Heading2"/>
        <w:spacing w:after="120" w:line="360" w:lineRule="auto"/>
        <w:jc w:val="both"/>
      </w:pPr>
    </w:p>
    <w:p w14:paraId="1301E618" w14:textId="6AC06ECF" w:rsidR="00840EDE" w:rsidRDefault="00840EDE" w:rsidP="0098174D">
      <w:pPr>
        <w:pStyle w:val="Heading2"/>
        <w:spacing w:after="120" w:line="360" w:lineRule="auto"/>
        <w:jc w:val="both"/>
      </w:pPr>
    </w:p>
    <w:p w14:paraId="4A70AC5E" w14:textId="0BC2409D" w:rsidR="00840EDE" w:rsidRDefault="00840EDE" w:rsidP="0098174D">
      <w:pPr>
        <w:pStyle w:val="Heading2"/>
        <w:spacing w:after="120" w:line="360" w:lineRule="auto"/>
        <w:jc w:val="both"/>
      </w:pPr>
    </w:p>
    <w:p w14:paraId="69CE903C" w14:textId="7ECAF785" w:rsidR="00840EDE" w:rsidRDefault="00840EDE" w:rsidP="0098174D">
      <w:pPr>
        <w:pStyle w:val="Heading2"/>
        <w:spacing w:after="120" w:line="360" w:lineRule="auto"/>
        <w:jc w:val="both"/>
      </w:pPr>
    </w:p>
    <w:p w14:paraId="35C20FC4" w14:textId="1F49F789" w:rsidR="00840EDE" w:rsidRDefault="00840EDE" w:rsidP="0098174D">
      <w:pPr>
        <w:pStyle w:val="Heading2"/>
        <w:spacing w:after="120" w:line="360" w:lineRule="auto"/>
        <w:jc w:val="both"/>
      </w:pPr>
      <w:r w:rsidRPr="00F54E5E">
        <w:rPr>
          <w:noProof/>
        </w:rPr>
        <mc:AlternateContent>
          <mc:Choice Requires="wps">
            <w:drawing>
              <wp:anchor distT="45720" distB="45720" distL="114300" distR="114300" simplePos="0" relativeHeight="251705344" behindDoc="0" locked="0" layoutInCell="1" allowOverlap="1" wp14:anchorId="2EABB50A" wp14:editId="4A977BAB">
                <wp:simplePos x="0" y="0"/>
                <wp:positionH relativeFrom="margin">
                  <wp:align>left</wp:align>
                </wp:positionH>
                <wp:positionV relativeFrom="paragraph">
                  <wp:posOffset>287049</wp:posOffset>
                </wp:positionV>
                <wp:extent cx="5715000" cy="8064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6450"/>
                        </a:xfrm>
                        <a:prstGeom prst="rect">
                          <a:avLst/>
                        </a:prstGeom>
                        <a:noFill/>
                        <a:ln w="9525">
                          <a:noFill/>
                          <a:miter lim="800000"/>
                          <a:headEnd/>
                          <a:tailEnd/>
                        </a:ln>
                      </wps:spPr>
                      <wps:txbx>
                        <w:txbxContent>
                          <w:p w14:paraId="75E18050" w14:textId="272DAE6C" w:rsidR="00F45C7C" w:rsidRPr="0098174D" w:rsidRDefault="00F45C7C" w:rsidP="00B3720E">
                            <w:pPr>
                              <w:spacing w:after="0" w:line="240" w:lineRule="auto"/>
                              <w:jc w:val="both"/>
                              <w:rPr>
                                <w:i/>
                                <w:iCs/>
                                <w:sz w:val="22"/>
                              </w:rPr>
                            </w:pPr>
                            <w:r w:rsidRPr="0098174D">
                              <w:rPr>
                                <w:i/>
                                <w:iCs/>
                                <w:sz w:val="22"/>
                              </w:rPr>
                              <w:t xml:space="preserve">Figure 1: Illustration of the structural MRI data acquisition process in Phase I and II of the </w:t>
                            </w:r>
                            <w:r w:rsidR="003F5744">
                              <w:rPr>
                                <w:i/>
                                <w:iCs/>
                                <w:sz w:val="22"/>
                              </w:rPr>
                              <w:t xml:space="preserve">PIN </w:t>
                            </w:r>
                            <w:r w:rsidRPr="0098174D">
                              <w:rPr>
                                <w:i/>
                                <w:iCs/>
                                <w:sz w:val="22"/>
                              </w:rPr>
                              <w:t>study</w:t>
                            </w:r>
                            <w:r>
                              <w:rPr>
                                <w:i/>
                                <w:iCs/>
                                <w:sz w:val="22"/>
                              </w:rPr>
                              <w:t xml:space="preserve">. In Phase II, the order of visits was balanced for participants so the </w:t>
                            </w:r>
                            <w:r w:rsidR="008F2A8E">
                              <w:rPr>
                                <w:i/>
                                <w:iCs/>
                                <w:sz w:val="22"/>
                              </w:rPr>
                              <w:t>D1 – D3</w:t>
                            </w:r>
                            <w:r>
                              <w:rPr>
                                <w:i/>
                                <w:iCs/>
                                <w:sz w:val="22"/>
                              </w:rPr>
                              <w:t xml:space="preserve"> scans (on Scanner 2) were acquired first for ten participants. </w:t>
                            </w:r>
                            <w:r w:rsidR="008F2A8E">
                              <w:rPr>
                                <w:i/>
                                <w:iCs/>
                                <w:sz w:val="22"/>
                              </w:rPr>
                              <w:t>C3 and D3</w:t>
                            </w:r>
                            <w:r>
                              <w:rPr>
                                <w:i/>
                                <w:iCs/>
                                <w:sz w:val="22"/>
                              </w:rPr>
                              <w:t xml:space="preserve"> scans were acquired using a different MRI sequence.  </w:t>
                            </w:r>
                            <w:r w:rsidRPr="0098174D">
                              <w:rPr>
                                <w:i/>
                                <w:iCs/>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BB50A" id="_x0000_t202" coordsize="21600,21600" o:spt="202" path="m,l,21600r21600,l21600,xe">
                <v:stroke joinstyle="miter"/>
                <v:path gradientshapeok="t" o:connecttype="rect"/>
              </v:shapetype>
              <v:shape id="Text Box 2" o:spid="_x0000_s1026" type="#_x0000_t202" style="position:absolute;left:0;text-align:left;margin-left:0;margin-top:22.6pt;width:450pt;height:63.5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" filled="f" stroked="f">
                <v:textbox>
                  <w:txbxContent>
                    <w:p w14:paraId="75E18050" w14:textId="272DAE6C" w:rsidR="00F45C7C" w:rsidRPr="0098174D" w:rsidRDefault="00F45C7C" w:rsidP="00B3720E">
                      <w:pPr>
                        <w:spacing w:after="0" w:line="240" w:lineRule="auto"/>
                        <w:jc w:val="both"/>
                        <w:rPr>
                          <w:i/>
                          <w:iCs/>
                          <w:sz w:val="22"/>
                        </w:rPr>
                      </w:pPr>
                      <w:r w:rsidRPr="0098174D">
                        <w:rPr>
                          <w:i/>
                          <w:iCs/>
                          <w:sz w:val="22"/>
                        </w:rPr>
                        <w:t xml:space="preserve">Figure 1: Illustration of the structural MRI data acquisition process in Phase I and II of the </w:t>
                      </w:r>
                      <w:r w:rsidR="003F5744">
                        <w:rPr>
                          <w:i/>
                          <w:iCs/>
                          <w:sz w:val="22"/>
                        </w:rPr>
                        <w:t xml:space="preserve">PIN </w:t>
                      </w:r>
                      <w:r w:rsidRPr="0098174D">
                        <w:rPr>
                          <w:i/>
                          <w:iCs/>
                          <w:sz w:val="22"/>
                        </w:rPr>
                        <w:t>study</w:t>
                      </w:r>
                      <w:r>
                        <w:rPr>
                          <w:i/>
                          <w:iCs/>
                          <w:sz w:val="22"/>
                        </w:rPr>
                        <w:t xml:space="preserve">. In Phase II, the order of visits was balanced for participants so the </w:t>
                      </w:r>
                      <w:r w:rsidR="008F2A8E">
                        <w:rPr>
                          <w:i/>
                          <w:iCs/>
                          <w:sz w:val="22"/>
                        </w:rPr>
                        <w:t>D1 – D3</w:t>
                      </w:r>
                      <w:r>
                        <w:rPr>
                          <w:i/>
                          <w:iCs/>
                          <w:sz w:val="22"/>
                        </w:rPr>
                        <w:t xml:space="preserve"> scans (on Scanner 2) were acquired first for ten participants. </w:t>
                      </w:r>
                      <w:r w:rsidR="008F2A8E">
                        <w:rPr>
                          <w:i/>
                          <w:iCs/>
                          <w:sz w:val="22"/>
                        </w:rPr>
                        <w:t>C3 and D3</w:t>
                      </w:r>
                      <w:r>
                        <w:rPr>
                          <w:i/>
                          <w:iCs/>
                          <w:sz w:val="22"/>
                        </w:rPr>
                        <w:t xml:space="preserve"> scans were acquired using a different MRI sequence.  </w:t>
                      </w:r>
                      <w:r w:rsidRPr="0098174D">
                        <w:rPr>
                          <w:i/>
                          <w:iCs/>
                          <w:sz w:val="22"/>
                        </w:rPr>
                        <w:t xml:space="preserve"> </w:t>
                      </w:r>
                    </w:p>
                  </w:txbxContent>
                </v:textbox>
                <w10:wrap type="square" anchorx="margin"/>
              </v:shape>
            </w:pict>
          </mc:Fallback>
        </mc:AlternateContent>
      </w:r>
    </w:p>
    <w:p w14:paraId="4AC9AB0F" w14:textId="77777777" w:rsidR="005B6D49" w:rsidRDefault="005B6D49" w:rsidP="0098174D">
      <w:pPr>
        <w:pStyle w:val="Heading2"/>
        <w:spacing w:after="120" w:line="360" w:lineRule="auto"/>
        <w:jc w:val="both"/>
      </w:pPr>
    </w:p>
    <w:p w14:paraId="028297B0" w14:textId="61F33874" w:rsidR="00477FD2" w:rsidRPr="00477FD2" w:rsidRDefault="009816A9" w:rsidP="0098174D">
      <w:pPr>
        <w:pStyle w:val="Heading2"/>
        <w:spacing w:after="120" w:line="360" w:lineRule="auto"/>
        <w:jc w:val="both"/>
      </w:pPr>
      <w:r>
        <w:t xml:space="preserve">2.3 </w:t>
      </w:r>
      <w:r w:rsidR="00477FD2">
        <w:t xml:space="preserve">MRI </w:t>
      </w:r>
      <w:r w:rsidR="00A409E1">
        <w:t>d</w:t>
      </w:r>
      <w:r w:rsidR="00477FD2">
        <w:t xml:space="preserve">ata </w:t>
      </w:r>
      <w:r w:rsidR="00A409E1">
        <w:t>a</w:t>
      </w:r>
      <w:r w:rsidR="00477FD2">
        <w:t>cquisition</w:t>
      </w:r>
    </w:p>
    <w:p w14:paraId="5FF5CBF7" w14:textId="369E68E7" w:rsidR="00391198" w:rsidRDefault="00E9739B" w:rsidP="0098174D">
      <w:pPr>
        <w:spacing w:after="120" w:line="360" w:lineRule="auto"/>
        <w:jc w:val="both"/>
        <w:rPr>
          <w:sz w:val="22"/>
        </w:rPr>
      </w:pPr>
      <w:r w:rsidRPr="00C0364F">
        <w:rPr>
          <w:sz w:val="22"/>
        </w:rPr>
        <w:t>S</w:t>
      </w:r>
      <w:r w:rsidR="00B72C28" w:rsidRPr="00C0364F">
        <w:rPr>
          <w:sz w:val="22"/>
        </w:rPr>
        <w:t xml:space="preserve">tructural MRI data were acquired using </w:t>
      </w:r>
      <w:r w:rsidR="00A55E34">
        <w:rPr>
          <w:sz w:val="22"/>
        </w:rPr>
        <w:t xml:space="preserve">3T MR750 Discovery GE </w:t>
      </w:r>
      <w:r w:rsidR="006B43AC" w:rsidRPr="00C0364F">
        <w:rPr>
          <w:sz w:val="22"/>
        </w:rPr>
        <w:t>(GE Healthcare, Chicago, USA</w:t>
      </w:r>
      <w:r w:rsidR="006B43AC">
        <w:rPr>
          <w:sz w:val="22"/>
        </w:rPr>
        <w:t xml:space="preserve">) </w:t>
      </w:r>
      <w:r w:rsidR="00A55E34">
        <w:rPr>
          <w:sz w:val="22"/>
        </w:rPr>
        <w:t xml:space="preserve">scanners: </w:t>
      </w:r>
      <w:r w:rsidR="006B43AC">
        <w:rPr>
          <w:sz w:val="22"/>
        </w:rPr>
        <w:t>Scanner 1 (</w:t>
      </w:r>
      <w:r w:rsidR="006B43AC" w:rsidRPr="00C0364F">
        <w:rPr>
          <w:sz w:val="22"/>
        </w:rPr>
        <w:t>Software Version DV25.0_R02)</w:t>
      </w:r>
      <w:r w:rsidR="006B43AC">
        <w:rPr>
          <w:sz w:val="22"/>
        </w:rPr>
        <w:t xml:space="preserve"> and Scanner 2 </w:t>
      </w:r>
      <w:r w:rsidR="006B43AC" w:rsidRPr="00C0364F">
        <w:rPr>
          <w:sz w:val="22"/>
        </w:rPr>
        <w:t>(Software Version DV25.1_R02)</w:t>
      </w:r>
      <w:r w:rsidR="006B43AC">
        <w:rPr>
          <w:sz w:val="22"/>
        </w:rPr>
        <w:t xml:space="preserve">. </w:t>
      </w:r>
      <w:r w:rsidR="009A0CB7">
        <w:rPr>
          <w:sz w:val="22"/>
        </w:rPr>
        <w:t xml:space="preserve">MRI scanners did not undergo software updates during the course of the study </w:t>
      </w:r>
      <w:r w:rsidR="003A3C83">
        <w:rPr>
          <w:sz w:val="22"/>
        </w:rPr>
        <w:t>and t</w:t>
      </w:r>
      <w:r w:rsidR="00F10AD4">
        <w:rPr>
          <w:sz w:val="22"/>
        </w:rPr>
        <w:t xml:space="preserve">he </w:t>
      </w:r>
      <w:r w:rsidR="007571E9">
        <w:rPr>
          <w:sz w:val="22"/>
        </w:rPr>
        <w:t xml:space="preserve">GE </w:t>
      </w:r>
      <w:r w:rsidR="00F10AD4">
        <w:rPr>
          <w:sz w:val="22"/>
        </w:rPr>
        <w:t>standard distortion correction</w:t>
      </w:r>
      <w:r w:rsidR="00D327AC">
        <w:rPr>
          <w:sz w:val="22"/>
        </w:rPr>
        <w:t>, “Gradwarp”,</w:t>
      </w:r>
      <w:r w:rsidR="00F10AD4">
        <w:rPr>
          <w:sz w:val="22"/>
        </w:rPr>
        <w:t xml:space="preserve"> was enabled on the scanners. </w:t>
      </w:r>
    </w:p>
    <w:p w14:paraId="380649DE" w14:textId="294D9E0C" w:rsidR="00F176A5" w:rsidRPr="005B6D49" w:rsidRDefault="009C048B" w:rsidP="00013151">
      <w:pPr>
        <w:spacing w:after="120" w:line="360" w:lineRule="auto"/>
        <w:jc w:val="both"/>
        <w:rPr>
          <w:sz w:val="22"/>
        </w:rPr>
      </w:pPr>
      <w:r w:rsidRPr="005B6D49">
        <w:rPr>
          <w:sz w:val="22"/>
        </w:rPr>
        <w:t>The primary acquisition used was</w:t>
      </w:r>
      <w:r w:rsidR="00410442" w:rsidRPr="005B6D49">
        <w:rPr>
          <w:sz w:val="22"/>
        </w:rPr>
        <w:t xml:space="preserve"> the </w:t>
      </w:r>
      <w:r w:rsidR="009C0E22" w:rsidRPr="005B6D49">
        <w:rPr>
          <w:sz w:val="22"/>
        </w:rPr>
        <w:t>T1 ADNI-3 sequence</w:t>
      </w:r>
      <w:r w:rsidR="00D31777" w:rsidRPr="005B6D49">
        <w:rPr>
          <w:sz w:val="22"/>
        </w:rPr>
        <w:t xml:space="preserve">; </w:t>
      </w:r>
      <w:r w:rsidR="007017E5" w:rsidRPr="005B6D49">
        <w:rPr>
          <w:sz w:val="22"/>
        </w:rPr>
        <w:t>an accelerated sagittal IR-FSPGR</w:t>
      </w:r>
      <w:r w:rsidR="00643885" w:rsidRPr="005B6D49">
        <w:rPr>
          <w:sz w:val="22"/>
        </w:rPr>
        <w:t xml:space="preserve"> (Repetition Time (</w:t>
      </w:r>
      <w:r w:rsidR="009114EB" w:rsidRPr="005B6D49">
        <w:rPr>
          <w:sz w:val="22"/>
        </w:rPr>
        <w:t>TR</w:t>
      </w:r>
      <w:r w:rsidR="00643885" w:rsidRPr="005B6D49">
        <w:rPr>
          <w:sz w:val="22"/>
        </w:rPr>
        <w:t>) = 7.36ms, Echo Time (TE) = 3.05ms, Inversion Time</w:t>
      </w:r>
      <w:r w:rsidR="00717353" w:rsidRPr="005B6D49">
        <w:rPr>
          <w:sz w:val="22"/>
        </w:rPr>
        <w:t xml:space="preserve"> (TI)</w:t>
      </w:r>
      <w:r w:rsidR="00643885" w:rsidRPr="005B6D49">
        <w:rPr>
          <w:sz w:val="22"/>
        </w:rPr>
        <w:t xml:space="preserve"> = 400ms, Flip Angle (FA) = 11</w:t>
      </w:r>
      <w:r w:rsidR="009E2565" w:rsidRPr="005B6D49">
        <w:rPr>
          <w:sz w:val="22"/>
          <w:vertAlign w:val="superscript"/>
        </w:rPr>
        <w:t>o</w:t>
      </w:r>
      <w:r w:rsidR="00E0572B" w:rsidRPr="005B6D49">
        <w:rPr>
          <w:sz w:val="22"/>
        </w:rPr>
        <w:t xml:space="preserve">, Voxel Size (VS) = </w:t>
      </w:r>
      <w:r w:rsidR="00594F49" w:rsidRPr="005B6D49">
        <w:rPr>
          <w:sz w:val="22"/>
        </w:rPr>
        <w:t>1x1x1mm</w:t>
      </w:r>
      <w:r w:rsidR="005D3B5C" w:rsidRPr="005B6D49">
        <w:rPr>
          <w:sz w:val="22"/>
        </w:rPr>
        <w:t xml:space="preserve">, </w:t>
      </w:r>
      <w:r w:rsidR="006301E3" w:rsidRPr="005B6D49">
        <w:rPr>
          <w:sz w:val="22"/>
        </w:rPr>
        <w:t>Matrix Size = 256 x 256, Field of View (FOV) = 256</w:t>
      </w:r>
      <w:r w:rsidR="00AE3939" w:rsidRPr="005B6D49">
        <w:rPr>
          <w:sz w:val="22"/>
        </w:rPr>
        <w:t>, 196</w:t>
      </w:r>
      <w:r w:rsidR="00263448" w:rsidRPr="005B6D49">
        <w:rPr>
          <w:sz w:val="22"/>
        </w:rPr>
        <w:t xml:space="preserve"> slices</w:t>
      </w:r>
      <w:r w:rsidR="00AE3939" w:rsidRPr="005B6D49">
        <w:rPr>
          <w:sz w:val="22"/>
        </w:rPr>
        <w:t>)</w:t>
      </w:r>
      <w:r w:rsidR="00643885" w:rsidRPr="005B6D49">
        <w:rPr>
          <w:sz w:val="22"/>
        </w:rPr>
        <w:t>.</w:t>
      </w:r>
      <w:r w:rsidR="00716474" w:rsidRPr="005B6D49">
        <w:rPr>
          <w:sz w:val="22"/>
        </w:rPr>
        <w:t xml:space="preserve"> </w:t>
      </w:r>
      <w:r w:rsidR="002E0FB2" w:rsidRPr="005B6D49">
        <w:rPr>
          <w:sz w:val="22"/>
        </w:rPr>
        <w:t>The ADNI</w:t>
      </w:r>
      <w:r w:rsidR="009615F4" w:rsidRPr="005B6D49">
        <w:rPr>
          <w:sz w:val="22"/>
        </w:rPr>
        <w:t>-</w:t>
      </w:r>
      <w:r w:rsidR="00720E7F" w:rsidRPr="005B6D49">
        <w:rPr>
          <w:sz w:val="22"/>
        </w:rPr>
        <w:t>3</w:t>
      </w:r>
      <w:r w:rsidR="002E0FB2" w:rsidRPr="005B6D49">
        <w:rPr>
          <w:sz w:val="22"/>
        </w:rPr>
        <w:t xml:space="preserve"> sequence was chosen </w:t>
      </w:r>
      <w:r w:rsidR="00B3787D" w:rsidRPr="005B6D49">
        <w:rPr>
          <w:sz w:val="22"/>
        </w:rPr>
        <w:t xml:space="preserve">as it </w:t>
      </w:r>
      <w:r w:rsidR="008408FC" w:rsidRPr="005B6D49">
        <w:rPr>
          <w:sz w:val="22"/>
        </w:rPr>
        <w:t xml:space="preserve">has been specifically </w:t>
      </w:r>
      <w:r w:rsidR="00B3787D" w:rsidRPr="005B6D49">
        <w:rPr>
          <w:sz w:val="22"/>
        </w:rPr>
        <w:t>developed</w:t>
      </w:r>
      <w:r w:rsidR="00254A47" w:rsidRPr="005B6D49">
        <w:rPr>
          <w:sz w:val="22"/>
        </w:rPr>
        <w:t xml:space="preserve"> for longitudinal multi</w:t>
      </w:r>
      <w:r w:rsidR="00D27C8D" w:rsidRPr="005B6D49">
        <w:rPr>
          <w:sz w:val="22"/>
        </w:rPr>
        <w:t>-</w:t>
      </w:r>
      <w:r w:rsidR="00254A47" w:rsidRPr="005B6D49">
        <w:rPr>
          <w:sz w:val="22"/>
        </w:rPr>
        <w:t>centre studies</w:t>
      </w:r>
      <w:r w:rsidR="009052C0" w:rsidRPr="005B6D49">
        <w:rPr>
          <w:sz w:val="22"/>
        </w:rPr>
        <w:t xml:space="preserve"> where </w:t>
      </w:r>
      <w:r w:rsidR="00AB3BBC" w:rsidRPr="005B6D49">
        <w:rPr>
          <w:sz w:val="22"/>
        </w:rPr>
        <w:t xml:space="preserve">similar </w:t>
      </w:r>
      <w:r w:rsidR="009052C0" w:rsidRPr="005B6D49">
        <w:rPr>
          <w:sz w:val="22"/>
        </w:rPr>
        <w:t>image qualities</w:t>
      </w:r>
      <w:r w:rsidR="008408FC" w:rsidRPr="005B6D49">
        <w:rPr>
          <w:sz w:val="22"/>
        </w:rPr>
        <w:t xml:space="preserve">, such as </w:t>
      </w:r>
      <w:r w:rsidR="007A0291" w:rsidRPr="005B6D49">
        <w:rPr>
          <w:sz w:val="22"/>
        </w:rPr>
        <w:t>reliability, contrast-to-</w:t>
      </w:r>
      <w:r w:rsidR="00F32D3A" w:rsidRPr="005B6D49">
        <w:rPr>
          <w:sz w:val="22"/>
        </w:rPr>
        <w:t>noise</w:t>
      </w:r>
      <w:r w:rsidR="00C15B8B" w:rsidRPr="005B6D49">
        <w:rPr>
          <w:sz w:val="22"/>
        </w:rPr>
        <w:t>,</w:t>
      </w:r>
      <w:r w:rsidR="007A0291" w:rsidRPr="005B6D49">
        <w:rPr>
          <w:sz w:val="22"/>
        </w:rPr>
        <w:t xml:space="preserve"> and spatial resolution,</w:t>
      </w:r>
      <w:r w:rsidR="00AB3BBC" w:rsidRPr="005B6D49">
        <w:rPr>
          <w:sz w:val="22"/>
        </w:rPr>
        <w:t xml:space="preserve"> must be achieved </w:t>
      </w:r>
      <w:r w:rsidR="00024793" w:rsidRPr="005B6D49">
        <w:rPr>
          <w:sz w:val="22"/>
        </w:rPr>
        <w:t xml:space="preserve">across sites </w:t>
      </w:r>
      <w:r w:rsidR="007A0291" w:rsidRPr="005B6D49">
        <w:rPr>
          <w:sz w:val="22"/>
        </w:rPr>
        <w:t xml:space="preserve">and </w:t>
      </w:r>
      <w:r w:rsidR="00024793" w:rsidRPr="005B6D49">
        <w:rPr>
          <w:sz w:val="22"/>
        </w:rPr>
        <w:t>over time</w:t>
      </w:r>
      <w:r w:rsidR="003C508A" w:rsidRPr="005B6D49">
        <w:rPr>
          <w:sz w:val="22"/>
        </w:rPr>
        <w:t xml:space="preserve"> </w:t>
      </w:r>
      <w:r w:rsidR="003C508A" w:rsidRPr="005B6D49">
        <w:rPr>
          <w:noProof/>
          <w:sz w:val="22"/>
        </w:rPr>
        <w:t>(Jack Jr et al., 2008)</w:t>
      </w:r>
      <w:r w:rsidR="003C508A" w:rsidRPr="005B6D49">
        <w:rPr>
          <w:sz w:val="22"/>
        </w:rPr>
        <w:t>.</w:t>
      </w:r>
      <w:r w:rsidR="00024793" w:rsidRPr="005B6D49">
        <w:rPr>
          <w:sz w:val="22"/>
        </w:rPr>
        <w:t xml:space="preserve"> </w:t>
      </w:r>
    </w:p>
    <w:p w14:paraId="17C60B23" w14:textId="5BDA68C7" w:rsidR="003C508A" w:rsidRPr="005B6D49" w:rsidRDefault="00A23461" w:rsidP="00D421AE">
      <w:pPr>
        <w:spacing w:after="240" w:line="360" w:lineRule="auto"/>
        <w:jc w:val="both"/>
        <w:rPr>
          <w:sz w:val="22"/>
        </w:rPr>
      </w:pPr>
      <w:r w:rsidRPr="005B6D49">
        <w:rPr>
          <w:sz w:val="22"/>
        </w:rPr>
        <w:t xml:space="preserve">At Phase II, </w:t>
      </w:r>
      <w:r w:rsidR="00041735">
        <w:rPr>
          <w:sz w:val="22"/>
        </w:rPr>
        <w:t>C3 and D3</w:t>
      </w:r>
      <w:r w:rsidR="00391198" w:rsidRPr="005B6D49">
        <w:rPr>
          <w:sz w:val="22"/>
        </w:rPr>
        <w:t xml:space="preserve"> scans were acquired </w:t>
      </w:r>
      <w:r w:rsidR="00056B01" w:rsidRPr="005B6D49">
        <w:rPr>
          <w:sz w:val="22"/>
        </w:rPr>
        <w:t xml:space="preserve">using </w:t>
      </w:r>
      <w:r w:rsidR="00AB55E2" w:rsidRPr="005B6D49">
        <w:rPr>
          <w:sz w:val="22"/>
        </w:rPr>
        <w:t>the ADNI-2 non</w:t>
      </w:r>
      <w:r w:rsidR="00192821" w:rsidRPr="005B6D49">
        <w:rPr>
          <w:sz w:val="22"/>
        </w:rPr>
        <w:t xml:space="preserve">-accelerated </w:t>
      </w:r>
      <w:r w:rsidR="00D97814" w:rsidRPr="005B6D49">
        <w:rPr>
          <w:sz w:val="22"/>
        </w:rPr>
        <w:t>s</w:t>
      </w:r>
      <w:r w:rsidR="00056B01" w:rsidRPr="005B6D49">
        <w:rPr>
          <w:sz w:val="22"/>
        </w:rPr>
        <w:t xml:space="preserve">agittal </w:t>
      </w:r>
      <w:r w:rsidR="00EF78EF" w:rsidRPr="005B6D49">
        <w:rPr>
          <w:sz w:val="22"/>
        </w:rPr>
        <w:t>T1-weighted sequence (TR</w:t>
      </w:r>
      <w:r w:rsidR="00FC4D5C" w:rsidRPr="005B6D49">
        <w:rPr>
          <w:sz w:val="22"/>
        </w:rPr>
        <w:t xml:space="preserve"> = </w:t>
      </w:r>
      <w:r w:rsidR="005E644C" w:rsidRPr="005B6D49">
        <w:rPr>
          <w:sz w:val="22"/>
        </w:rPr>
        <w:t>7.34</w:t>
      </w:r>
      <w:r w:rsidR="00717353" w:rsidRPr="005B6D49">
        <w:rPr>
          <w:sz w:val="22"/>
        </w:rPr>
        <w:t>ms, TE = 3.04ms, TI = 400ms, FA = 11</w:t>
      </w:r>
      <w:r w:rsidR="00717353" w:rsidRPr="005B6D49">
        <w:rPr>
          <w:sz w:val="22"/>
          <w:vertAlign w:val="superscript"/>
        </w:rPr>
        <w:t>o</w:t>
      </w:r>
      <w:r w:rsidR="00717353" w:rsidRPr="005B6D49">
        <w:rPr>
          <w:sz w:val="22"/>
        </w:rPr>
        <w:t xml:space="preserve">, </w:t>
      </w:r>
      <w:r w:rsidR="005334EA" w:rsidRPr="005B6D49">
        <w:rPr>
          <w:sz w:val="22"/>
        </w:rPr>
        <w:t xml:space="preserve">VS = </w:t>
      </w:r>
      <w:r w:rsidR="008943CA" w:rsidRPr="005B6D49">
        <w:rPr>
          <w:sz w:val="22"/>
        </w:rPr>
        <w:t>1x1x1.2mm</w:t>
      </w:r>
      <w:r w:rsidR="004B3E7A" w:rsidRPr="005B6D49">
        <w:rPr>
          <w:sz w:val="22"/>
        </w:rPr>
        <w:t>, Matrix Size = 256 x 256, FOV = 260</w:t>
      </w:r>
      <w:r w:rsidR="00151068" w:rsidRPr="005B6D49">
        <w:rPr>
          <w:sz w:val="22"/>
        </w:rPr>
        <w:t>, 196 slices</w:t>
      </w:r>
      <w:r w:rsidR="008943CA" w:rsidRPr="005B6D49">
        <w:rPr>
          <w:sz w:val="22"/>
        </w:rPr>
        <w:t>).</w:t>
      </w:r>
      <w:r w:rsidR="00737A7B" w:rsidRPr="005B6D49">
        <w:rPr>
          <w:sz w:val="22"/>
        </w:rPr>
        <w:t xml:space="preserve"> </w:t>
      </w:r>
      <w:r w:rsidR="007A1992" w:rsidRPr="005B6D49">
        <w:rPr>
          <w:sz w:val="22"/>
        </w:rPr>
        <w:t>In addition to the ADNI consortium, t</w:t>
      </w:r>
      <w:r w:rsidR="00737A7B" w:rsidRPr="005B6D49">
        <w:rPr>
          <w:sz w:val="22"/>
        </w:rPr>
        <w:t>he ADNI-</w:t>
      </w:r>
      <w:r w:rsidR="00720E7F" w:rsidRPr="005B6D49">
        <w:rPr>
          <w:sz w:val="22"/>
        </w:rPr>
        <w:t>2</w:t>
      </w:r>
      <w:r w:rsidR="00737A7B" w:rsidRPr="005B6D49">
        <w:rPr>
          <w:sz w:val="22"/>
        </w:rPr>
        <w:t xml:space="preserve"> </w:t>
      </w:r>
      <w:r w:rsidR="002C0C44" w:rsidRPr="005B6D49">
        <w:rPr>
          <w:sz w:val="22"/>
        </w:rPr>
        <w:t xml:space="preserve">sequence has </w:t>
      </w:r>
      <w:r w:rsidR="000C78A4" w:rsidRPr="005B6D49">
        <w:rPr>
          <w:sz w:val="22"/>
        </w:rPr>
        <w:t xml:space="preserve">previously been </w:t>
      </w:r>
      <w:r w:rsidR="000C78A4" w:rsidRPr="005B6D49">
        <w:rPr>
          <w:sz w:val="22"/>
        </w:rPr>
        <w:lastRenderedPageBreak/>
        <w:t xml:space="preserve">used in </w:t>
      </w:r>
      <w:r w:rsidR="001617E7" w:rsidRPr="005B6D49">
        <w:rPr>
          <w:sz w:val="22"/>
        </w:rPr>
        <w:t xml:space="preserve">several </w:t>
      </w:r>
      <w:r w:rsidR="0006676F" w:rsidRPr="005B6D49">
        <w:rPr>
          <w:sz w:val="22"/>
        </w:rPr>
        <w:t>international studies of mental health disorders</w:t>
      </w:r>
      <w:r w:rsidR="00431BB1" w:rsidRPr="005B6D49">
        <w:rPr>
          <w:sz w:val="22"/>
        </w:rPr>
        <w:t xml:space="preserve"> [e.g.,</w:t>
      </w:r>
      <w:r w:rsidR="005F4635" w:rsidRPr="005B6D49">
        <w:rPr>
          <w:sz w:val="22"/>
        </w:rPr>
        <w:t xml:space="preserve"> EU-GEI</w:t>
      </w:r>
      <w:r w:rsidR="00657E79" w:rsidRPr="005B6D49">
        <w:rPr>
          <w:sz w:val="22"/>
        </w:rPr>
        <w:t xml:space="preserve"> </w:t>
      </w:r>
      <w:r w:rsidR="00657E79" w:rsidRPr="005B6D49">
        <w:rPr>
          <w:noProof/>
          <w:sz w:val="22"/>
        </w:rPr>
        <w:t>(Modinos et al., 2020)</w:t>
      </w:r>
      <w:r w:rsidR="005F4635" w:rsidRPr="005B6D49">
        <w:rPr>
          <w:sz w:val="22"/>
        </w:rPr>
        <w:t xml:space="preserve"> </w:t>
      </w:r>
      <w:r w:rsidR="0031663A" w:rsidRPr="005B6D49">
        <w:rPr>
          <w:sz w:val="22"/>
        </w:rPr>
        <w:t xml:space="preserve">and PSYSCAN </w:t>
      </w:r>
      <w:r w:rsidR="0031663A" w:rsidRPr="005B6D49">
        <w:rPr>
          <w:noProof/>
          <w:sz w:val="22"/>
        </w:rPr>
        <w:t>(Tognin et al., 2020)</w:t>
      </w:r>
      <w:r w:rsidR="0031663A" w:rsidRPr="005B6D49">
        <w:rPr>
          <w:sz w:val="22"/>
        </w:rPr>
        <w:t xml:space="preserve">]. </w:t>
      </w:r>
    </w:p>
    <w:p w14:paraId="1DD766D0" w14:textId="0990E23D" w:rsidR="00477FD2" w:rsidRDefault="009816A9" w:rsidP="0098174D">
      <w:pPr>
        <w:pStyle w:val="Heading2"/>
        <w:spacing w:after="120" w:line="360" w:lineRule="auto"/>
        <w:jc w:val="both"/>
      </w:pPr>
      <w:r>
        <w:t xml:space="preserve">2.4 </w:t>
      </w:r>
      <w:r w:rsidR="00477FD2">
        <w:t xml:space="preserve">MRI </w:t>
      </w:r>
      <w:r w:rsidR="00A409E1">
        <w:t>d</w:t>
      </w:r>
      <w:r w:rsidR="00477FD2">
        <w:t xml:space="preserve">ata </w:t>
      </w:r>
      <w:r w:rsidR="00A409E1">
        <w:t>p</w:t>
      </w:r>
      <w:r w:rsidR="00477FD2">
        <w:t>rocessing</w:t>
      </w:r>
    </w:p>
    <w:p w14:paraId="0645542F" w14:textId="030DC77F" w:rsidR="00310FDA" w:rsidRPr="00D6750F" w:rsidRDefault="00F253BC" w:rsidP="0098174D">
      <w:pPr>
        <w:spacing w:after="120" w:line="360" w:lineRule="auto"/>
        <w:jc w:val="both"/>
        <w:rPr>
          <w:sz w:val="22"/>
        </w:rPr>
      </w:pPr>
      <w:r w:rsidRPr="00C0364F">
        <w:rPr>
          <w:sz w:val="22"/>
        </w:rPr>
        <w:t xml:space="preserve">To examine the effect of software version, </w:t>
      </w:r>
      <w:r w:rsidR="00F47A7F" w:rsidRPr="00C0364F">
        <w:rPr>
          <w:sz w:val="22"/>
        </w:rPr>
        <w:t xml:space="preserve">FreeSurfer v5.3.0, </w:t>
      </w:r>
      <w:r w:rsidR="00331869">
        <w:rPr>
          <w:sz w:val="22"/>
        </w:rPr>
        <w:t>v</w:t>
      </w:r>
      <w:r w:rsidR="00F47A7F" w:rsidRPr="00C0364F">
        <w:rPr>
          <w:sz w:val="22"/>
        </w:rPr>
        <w:t xml:space="preserve">6.0.0 and </w:t>
      </w:r>
      <w:r w:rsidR="00331869">
        <w:rPr>
          <w:sz w:val="22"/>
        </w:rPr>
        <w:t>v</w:t>
      </w:r>
      <w:r w:rsidR="00F47A7F" w:rsidRPr="00C0364F">
        <w:rPr>
          <w:sz w:val="22"/>
        </w:rPr>
        <w:t xml:space="preserve">7.1.0 </w:t>
      </w:r>
      <w:r w:rsidR="001F0A4E" w:rsidRPr="00C0364F">
        <w:rPr>
          <w:sz w:val="22"/>
        </w:rPr>
        <w:t xml:space="preserve">(Martinos Center for </w:t>
      </w:r>
      <w:r w:rsidR="001F0A4E" w:rsidRPr="00D6750F">
        <w:rPr>
          <w:sz w:val="22"/>
        </w:rPr>
        <w:t xml:space="preserve">Biomedical Imaging) </w:t>
      </w:r>
      <w:r w:rsidR="00782967" w:rsidRPr="00D6750F">
        <w:rPr>
          <w:sz w:val="22"/>
        </w:rPr>
        <w:t xml:space="preserve">were used for structural MRI data pre-processing, segmentation and parcellation. </w:t>
      </w:r>
      <w:r w:rsidR="00743638" w:rsidRPr="00D6750F">
        <w:rPr>
          <w:sz w:val="22"/>
        </w:rPr>
        <w:t xml:space="preserve">The FreeSurfer automated stream consists of several processing steps, such as skull stripping, </w:t>
      </w:r>
      <w:r w:rsidR="00C7266E" w:rsidRPr="00D6750F">
        <w:rPr>
          <w:sz w:val="22"/>
        </w:rPr>
        <w:t>T</w:t>
      </w:r>
      <w:r w:rsidR="00743638" w:rsidRPr="00D6750F">
        <w:rPr>
          <w:sz w:val="22"/>
        </w:rPr>
        <w:t xml:space="preserve">alairach transformation, subcortical structure labelling, surface extraction, spherical registration and cortical parcellation. </w:t>
      </w:r>
      <w:r w:rsidR="00BD709E" w:rsidRPr="00D6750F">
        <w:rPr>
          <w:sz w:val="22"/>
        </w:rPr>
        <w:t xml:space="preserve">For each subject, </w:t>
      </w:r>
      <w:r w:rsidR="0064687A" w:rsidRPr="00D6750F">
        <w:rPr>
          <w:sz w:val="22"/>
        </w:rPr>
        <w:t xml:space="preserve">we used </w:t>
      </w:r>
      <w:r w:rsidR="007D5C42" w:rsidRPr="00D6750F">
        <w:rPr>
          <w:sz w:val="22"/>
        </w:rPr>
        <w:t xml:space="preserve">the </w:t>
      </w:r>
      <w:r w:rsidR="0064687A" w:rsidRPr="00D6750F">
        <w:rPr>
          <w:sz w:val="22"/>
        </w:rPr>
        <w:t xml:space="preserve">FreeSurfer cross-sectional and longitudinal </w:t>
      </w:r>
      <w:r w:rsidR="00310FDA" w:rsidRPr="00D6750F">
        <w:rPr>
          <w:sz w:val="22"/>
        </w:rPr>
        <w:t>stream</w:t>
      </w:r>
      <w:r w:rsidR="0064687A" w:rsidRPr="00D6750F">
        <w:rPr>
          <w:sz w:val="22"/>
        </w:rPr>
        <w:t xml:space="preserve">s. </w:t>
      </w:r>
      <w:r w:rsidR="00743638" w:rsidRPr="00D6750F">
        <w:rPr>
          <w:sz w:val="22"/>
        </w:rPr>
        <w:t>For cross-sectional analysis,</w:t>
      </w:r>
      <w:r w:rsidR="007D257A" w:rsidRPr="00D6750F">
        <w:rPr>
          <w:sz w:val="22"/>
        </w:rPr>
        <w:t xml:space="preserve"> </w:t>
      </w:r>
      <w:r w:rsidR="00A334B0" w:rsidRPr="00D6750F">
        <w:rPr>
          <w:sz w:val="22"/>
        </w:rPr>
        <w:t>the</w:t>
      </w:r>
      <w:r w:rsidR="007D257A" w:rsidRPr="00D6750F">
        <w:rPr>
          <w:sz w:val="22"/>
        </w:rPr>
        <w:t xml:space="preserve"> scan</w:t>
      </w:r>
      <w:r w:rsidR="00A334B0" w:rsidRPr="00D6750F">
        <w:rPr>
          <w:sz w:val="22"/>
        </w:rPr>
        <w:t>s</w:t>
      </w:r>
      <w:r w:rsidR="007D257A" w:rsidRPr="00D6750F">
        <w:rPr>
          <w:sz w:val="22"/>
        </w:rPr>
        <w:t xml:space="preserve"> at e</w:t>
      </w:r>
      <w:r w:rsidR="00A334B0" w:rsidRPr="00D6750F">
        <w:rPr>
          <w:sz w:val="22"/>
        </w:rPr>
        <w:t>very</w:t>
      </w:r>
      <w:r w:rsidR="007D257A" w:rsidRPr="00D6750F">
        <w:rPr>
          <w:sz w:val="22"/>
        </w:rPr>
        <w:t xml:space="preserve"> time point </w:t>
      </w:r>
      <w:r w:rsidR="00A334B0" w:rsidRPr="00D6750F">
        <w:rPr>
          <w:sz w:val="22"/>
        </w:rPr>
        <w:t>are</w:t>
      </w:r>
      <w:r w:rsidR="007D257A" w:rsidRPr="00D6750F">
        <w:rPr>
          <w:sz w:val="22"/>
        </w:rPr>
        <w:t xml:space="preserve"> processed independently </w:t>
      </w:r>
      <w:r w:rsidR="00A334B0" w:rsidRPr="00D6750F">
        <w:rPr>
          <w:sz w:val="22"/>
        </w:rPr>
        <w:t xml:space="preserve">for each subject. </w:t>
      </w:r>
      <w:r w:rsidR="00AC52C7" w:rsidRPr="00D6750F">
        <w:rPr>
          <w:sz w:val="22"/>
        </w:rPr>
        <w:t>For</w:t>
      </w:r>
      <w:r w:rsidR="004A0E46" w:rsidRPr="00D6750F">
        <w:rPr>
          <w:sz w:val="22"/>
        </w:rPr>
        <w:t xml:space="preserve"> longitudinal analysis</w:t>
      </w:r>
      <w:r w:rsidR="00AC52C7" w:rsidRPr="00D6750F">
        <w:rPr>
          <w:sz w:val="22"/>
        </w:rPr>
        <w:t xml:space="preserve">, FreeSurfer </w:t>
      </w:r>
      <w:r w:rsidR="00A561CF" w:rsidRPr="00D6750F">
        <w:rPr>
          <w:sz w:val="22"/>
        </w:rPr>
        <w:t xml:space="preserve">uses results from the cross-sectional analysis </w:t>
      </w:r>
      <w:r w:rsidR="009C7CED" w:rsidRPr="00D6750F">
        <w:rPr>
          <w:sz w:val="22"/>
        </w:rPr>
        <w:t xml:space="preserve">of all time points </w:t>
      </w:r>
      <w:r w:rsidR="00937F45" w:rsidRPr="00D6750F">
        <w:rPr>
          <w:sz w:val="22"/>
        </w:rPr>
        <w:t>to create</w:t>
      </w:r>
      <w:r w:rsidR="00A8128B" w:rsidRPr="00D6750F">
        <w:rPr>
          <w:sz w:val="22"/>
        </w:rPr>
        <w:t xml:space="preserve"> an unbiased within-subject template</w:t>
      </w:r>
      <w:r w:rsidR="00C55250" w:rsidRPr="00D6750F">
        <w:rPr>
          <w:sz w:val="22"/>
        </w:rPr>
        <w:t xml:space="preserve">; both of which </w:t>
      </w:r>
      <w:r w:rsidR="00BC728C" w:rsidRPr="00D6750F">
        <w:rPr>
          <w:sz w:val="22"/>
        </w:rPr>
        <w:t xml:space="preserve">are </w:t>
      </w:r>
      <w:r w:rsidR="00C55250" w:rsidRPr="00D6750F">
        <w:rPr>
          <w:sz w:val="22"/>
        </w:rPr>
        <w:t xml:space="preserve">then </w:t>
      </w:r>
      <w:r w:rsidR="00BC728C" w:rsidRPr="00D6750F">
        <w:rPr>
          <w:sz w:val="22"/>
        </w:rPr>
        <w:t>used to initialise the final longitudinal processing stage</w:t>
      </w:r>
      <w:r w:rsidR="001B5E40" w:rsidRPr="00D6750F">
        <w:rPr>
          <w:sz w:val="22"/>
        </w:rPr>
        <w:t xml:space="preserve"> </w:t>
      </w:r>
      <w:r w:rsidR="00536300" w:rsidRPr="00D6750F">
        <w:rPr>
          <w:noProof/>
          <w:sz w:val="22"/>
        </w:rPr>
        <w:t>(Reuter et al., 2010, Reuter et al., 2012)</w:t>
      </w:r>
      <w:r w:rsidR="00536300" w:rsidRPr="00D6750F">
        <w:rPr>
          <w:sz w:val="22"/>
        </w:rPr>
        <w:t xml:space="preserve">. </w:t>
      </w:r>
      <w:r w:rsidR="00477669" w:rsidRPr="00D6750F">
        <w:rPr>
          <w:sz w:val="22"/>
        </w:rPr>
        <w:t>This three-stage procedure reduce</w:t>
      </w:r>
      <w:r w:rsidR="004850D8" w:rsidRPr="00D6750F">
        <w:rPr>
          <w:sz w:val="22"/>
        </w:rPr>
        <w:t>s</w:t>
      </w:r>
      <w:r w:rsidR="00477669" w:rsidRPr="00D6750F">
        <w:rPr>
          <w:sz w:val="22"/>
        </w:rPr>
        <w:t xml:space="preserve"> variability </w:t>
      </w:r>
      <w:r w:rsidR="00310FDA" w:rsidRPr="00D6750F">
        <w:rPr>
          <w:sz w:val="22"/>
        </w:rPr>
        <w:t xml:space="preserve">and increases </w:t>
      </w:r>
      <w:r w:rsidR="001535CC" w:rsidRPr="00D6750F">
        <w:rPr>
          <w:sz w:val="22"/>
        </w:rPr>
        <w:t>morphometry reproducibility</w:t>
      </w:r>
      <w:r w:rsidR="00310FDA" w:rsidRPr="00D6750F">
        <w:rPr>
          <w:sz w:val="22"/>
        </w:rPr>
        <w:t xml:space="preserve"> compared to </w:t>
      </w:r>
      <w:r w:rsidR="0051783E" w:rsidRPr="00D6750F">
        <w:rPr>
          <w:sz w:val="22"/>
        </w:rPr>
        <w:t xml:space="preserve">the </w:t>
      </w:r>
      <w:r w:rsidR="00310FDA" w:rsidRPr="00D6750F">
        <w:rPr>
          <w:sz w:val="22"/>
        </w:rPr>
        <w:t>cross-sectional analysis</w:t>
      </w:r>
      <w:r w:rsidR="00536300" w:rsidRPr="00D6750F">
        <w:rPr>
          <w:sz w:val="22"/>
        </w:rPr>
        <w:t xml:space="preserve"> </w:t>
      </w:r>
      <w:r w:rsidR="00536300" w:rsidRPr="00D6750F">
        <w:rPr>
          <w:noProof/>
          <w:sz w:val="22"/>
        </w:rPr>
        <w:t>(Reuter et al., 2012)</w:t>
      </w:r>
      <w:r w:rsidR="00536300" w:rsidRPr="00D6750F">
        <w:rPr>
          <w:sz w:val="22"/>
        </w:rPr>
        <w:t>.</w:t>
      </w:r>
      <w:r w:rsidR="00310FDA" w:rsidRPr="00D6750F">
        <w:rPr>
          <w:sz w:val="22"/>
        </w:rPr>
        <w:t xml:space="preserve"> </w:t>
      </w:r>
      <w:r w:rsidR="004438DD" w:rsidRPr="00D6750F">
        <w:rPr>
          <w:sz w:val="22"/>
        </w:rPr>
        <w:t>Scans were proc</w:t>
      </w:r>
      <w:r w:rsidR="00C424AD" w:rsidRPr="00D6750F">
        <w:rPr>
          <w:sz w:val="22"/>
        </w:rPr>
        <w:t xml:space="preserve">essed for the longitudinal stream in four </w:t>
      </w:r>
      <w:r w:rsidR="00522DB4" w:rsidRPr="00D6750F">
        <w:rPr>
          <w:sz w:val="22"/>
        </w:rPr>
        <w:t xml:space="preserve">groups: (1) Phase I (A1 – B4); (2) </w:t>
      </w:r>
      <w:r w:rsidR="00353B9B" w:rsidRPr="00D6750F">
        <w:rPr>
          <w:sz w:val="22"/>
        </w:rPr>
        <w:t xml:space="preserve">Phase I and II for nine participants (A1 </w:t>
      </w:r>
      <w:r w:rsidR="004B1D64" w:rsidRPr="00D6750F">
        <w:rPr>
          <w:sz w:val="22"/>
        </w:rPr>
        <w:t>–</w:t>
      </w:r>
      <w:r w:rsidR="00353B9B" w:rsidRPr="00D6750F">
        <w:rPr>
          <w:sz w:val="22"/>
        </w:rPr>
        <w:t xml:space="preserve"> </w:t>
      </w:r>
      <w:r w:rsidR="004B1D64" w:rsidRPr="00D6750F">
        <w:rPr>
          <w:sz w:val="22"/>
        </w:rPr>
        <w:t>C</w:t>
      </w:r>
      <w:r w:rsidR="009B1F22">
        <w:rPr>
          <w:sz w:val="22"/>
        </w:rPr>
        <w:t>2</w:t>
      </w:r>
      <w:r w:rsidR="004B1D64" w:rsidRPr="00D6750F">
        <w:rPr>
          <w:sz w:val="22"/>
        </w:rPr>
        <w:t>); (3) Phase II</w:t>
      </w:r>
      <w:r w:rsidR="007C1B63" w:rsidRPr="00D6750F">
        <w:rPr>
          <w:sz w:val="22"/>
        </w:rPr>
        <w:t xml:space="preserve"> </w:t>
      </w:r>
      <w:r w:rsidR="001F4B9C">
        <w:rPr>
          <w:sz w:val="22"/>
        </w:rPr>
        <w:t>C1 and C3</w:t>
      </w:r>
      <w:r w:rsidR="00500C5E" w:rsidRPr="00D6750F">
        <w:rPr>
          <w:sz w:val="22"/>
        </w:rPr>
        <w:t xml:space="preserve"> data</w:t>
      </w:r>
      <w:r w:rsidR="007C1B63" w:rsidRPr="00D6750F">
        <w:rPr>
          <w:sz w:val="22"/>
        </w:rPr>
        <w:t xml:space="preserve">; and (4) Phase II </w:t>
      </w:r>
      <w:r w:rsidR="009F09ED" w:rsidRPr="00D6750F">
        <w:rPr>
          <w:sz w:val="22"/>
        </w:rPr>
        <w:t>ADNI-</w:t>
      </w:r>
      <w:r w:rsidR="00720E7F" w:rsidRPr="00D6750F">
        <w:rPr>
          <w:sz w:val="22"/>
        </w:rPr>
        <w:t xml:space="preserve">3 </w:t>
      </w:r>
      <w:r w:rsidR="009F09ED" w:rsidRPr="00D6750F">
        <w:rPr>
          <w:sz w:val="22"/>
        </w:rPr>
        <w:t>scans (</w:t>
      </w:r>
      <w:r w:rsidR="008D14DA">
        <w:rPr>
          <w:sz w:val="22"/>
        </w:rPr>
        <w:t>C1, C2, D1 &amp; D2</w:t>
      </w:r>
      <w:r w:rsidR="009F09ED" w:rsidRPr="00D6750F">
        <w:rPr>
          <w:sz w:val="22"/>
        </w:rPr>
        <w:t xml:space="preserve">). </w:t>
      </w:r>
    </w:p>
    <w:p w14:paraId="1FEA2AB7" w14:textId="648A795F" w:rsidR="004A580D" w:rsidRPr="00D6750F" w:rsidRDefault="00D62366" w:rsidP="0098174D">
      <w:pPr>
        <w:spacing w:after="120" w:line="360" w:lineRule="auto"/>
        <w:jc w:val="both"/>
        <w:rPr>
          <w:sz w:val="22"/>
        </w:rPr>
      </w:pPr>
      <w:r w:rsidRPr="00D6750F">
        <w:rPr>
          <w:sz w:val="22"/>
        </w:rPr>
        <w:t>The d</w:t>
      </w:r>
      <w:r w:rsidR="009B53FE" w:rsidRPr="00D6750F">
        <w:rPr>
          <w:sz w:val="22"/>
        </w:rPr>
        <w:t xml:space="preserve">ata </w:t>
      </w:r>
      <w:r w:rsidR="00ED22E5" w:rsidRPr="00D6750F">
        <w:rPr>
          <w:sz w:val="22"/>
        </w:rPr>
        <w:t>was</w:t>
      </w:r>
      <w:r w:rsidR="009B53FE" w:rsidRPr="00D6750F">
        <w:rPr>
          <w:sz w:val="22"/>
        </w:rPr>
        <w:t xml:space="preserve"> inspected for hard failures (i.e., where pre-processing is aborted</w:t>
      </w:r>
      <w:r w:rsidR="00C37214" w:rsidRPr="00D6750F">
        <w:rPr>
          <w:sz w:val="22"/>
        </w:rPr>
        <w:t xml:space="preserve">) </w:t>
      </w:r>
      <w:r w:rsidR="009B53FE" w:rsidRPr="00D6750F">
        <w:rPr>
          <w:sz w:val="22"/>
        </w:rPr>
        <w:t xml:space="preserve">and </w:t>
      </w:r>
      <w:r w:rsidR="009526F6" w:rsidRPr="00D6750F">
        <w:rPr>
          <w:sz w:val="22"/>
        </w:rPr>
        <w:t>screened for the presence of soft failures</w:t>
      </w:r>
      <w:r w:rsidR="00164DEC" w:rsidRPr="00D6750F">
        <w:rPr>
          <w:sz w:val="22"/>
        </w:rPr>
        <w:t xml:space="preserve"> by manual visual inspection</w:t>
      </w:r>
      <w:r w:rsidR="00E47A05" w:rsidRPr="00D6750F">
        <w:rPr>
          <w:sz w:val="22"/>
        </w:rPr>
        <w:t xml:space="preserve"> following the protocol of Iscan and colleagues (2015)</w:t>
      </w:r>
      <w:r w:rsidR="00C37214" w:rsidRPr="00D6750F">
        <w:rPr>
          <w:sz w:val="22"/>
        </w:rPr>
        <w:t>.</w:t>
      </w:r>
      <w:r w:rsidR="00A944E7" w:rsidRPr="00D6750F">
        <w:rPr>
          <w:sz w:val="22"/>
        </w:rPr>
        <w:t xml:space="preserve"> No </w:t>
      </w:r>
      <w:r w:rsidR="00D6750F">
        <w:rPr>
          <w:sz w:val="22"/>
        </w:rPr>
        <w:t xml:space="preserve">hard failures were </w:t>
      </w:r>
      <w:r w:rsidR="007D2B28">
        <w:rPr>
          <w:sz w:val="22"/>
        </w:rPr>
        <w:t>seen,</w:t>
      </w:r>
      <w:r w:rsidR="00D6750F">
        <w:rPr>
          <w:sz w:val="22"/>
        </w:rPr>
        <w:t xml:space="preserve"> and no </w:t>
      </w:r>
      <w:r w:rsidR="00A944E7" w:rsidRPr="00D6750F">
        <w:rPr>
          <w:sz w:val="22"/>
        </w:rPr>
        <w:t xml:space="preserve">manual edits were made. </w:t>
      </w:r>
      <w:r w:rsidR="009475FF">
        <w:rPr>
          <w:sz w:val="22"/>
        </w:rPr>
        <w:t xml:space="preserve">Structural </w:t>
      </w:r>
      <w:r w:rsidR="00246E9D">
        <w:rPr>
          <w:sz w:val="22"/>
        </w:rPr>
        <w:t xml:space="preserve">brain measurements were not impacted by normal variation in </w:t>
      </w:r>
      <w:r w:rsidR="00ED751F">
        <w:rPr>
          <w:sz w:val="22"/>
        </w:rPr>
        <w:t>physiological variables, including</w:t>
      </w:r>
      <w:r w:rsidR="00251CB7">
        <w:rPr>
          <w:sz w:val="22"/>
        </w:rPr>
        <w:t xml:space="preserve"> the</w:t>
      </w:r>
      <w:r w:rsidR="00ED751F">
        <w:rPr>
          <w:sz w:val="22"/>
        </w:rPr>
        <w:t xml:space="preserve"> time of day of scans, </w:t>
      </w:r>
      <w:r w:rsidR="005054E8">
        <w:rPr>
          <w:sz w:val="22"/>
        </w:rPr>
        <w:t>blood pressure and hydration levels (</w:t>
      </w:r>
      <w:r w:rsidR="005054E8" w:rsidRPr="00AC1277">
        <w:rPr>
          <w:sz w:val="22"/>
        </w:rPr>
        <w:t>Zahid et al., in press</w:t>
      </w:r>
      <w:r w:rsidR="005054E8">
        <w:rPr>
          <w:sz w:val="22"/>
        </w:rPr>
        <w:t xml:space="preserve">). </w:t>
      </w:r>
    </w:p>
    <w:p w14:paraId="382371B7" w14:textId="18644B6F" w:rsidR="00D53E7D" w:rsidRPr="00771CAF" w:rsidRDefault="00B714F1" w:rsidP="00D421AE">
      <w:pPr>
        <w:spacing w:after="240" w:line="360" w:lineRule="auto"/>
        <w:jc w:val="both"/>
        <w:rPr>
          <w:sz w:val="22"/>
        </w:rPr>
      </w:pPr>
      <w:r w:rsidRPr="00C0364F">
        <w:rPr>
          <w:sz w:val="22"/>
        </w:rPr>
        <w:t xml:space="preserve">For the </w:t>
      </w:r>
      <w:r w:rsidR="001737AA" w:rsidRPr="00C0364F">
        <w:rPr>
          <w:sz w:val="22"/>
        </w:rPr>
        <w:t>reliability</w:t>
      </w:r>
      <w:r w:rsidRPr="00C0364F">
        <w:rPr>
          <w:sz w:val="22"/>
        </w:rPr>
        <w:t xml:space="preserve"> analysis, </w:t>
      </w:r>
      <w:r w:rsidR="00692EF7">
        <w:rPr>
          <w:sz w:val="22"/>
        </w:rPr>
        <w:t xml:space="preserve">we analysed </w:t>
      </w:r>
      <w:r w:rsidR="007B27AF">
        <w:rPr>
          <w:sz w:val="22"/>
        </w:rPr>
        <w:t xml:space="preserve">volume, surface area and thickness </w:t>
      </w:r>
      <w:r w:rsidR="004A580D" w:rsidRPr="00C0364F">
        <w:rPr>
          <w:sz w:val="22"/>
        </w:rPr>
        <w:t>morphometry measurements generated from FreeSurfer’s subcortical segmentation (</w:t>
      </w:r>
      <w:r w:rsidR="005F6942">
        <w:rPr>
          <w:sz w:val="22"/>
        </w:rPr>
        <w:t>ASEG</w:t>
      </w:r>
      <w:r w:rsidR="004A580D" w:rsidRPr="00C0364F">
        <w:rPr>
          <w:sz w:val="22"/>
        </w:rPr>
        <w:t>) and cortical parcellation (</w:t>
      </w:r>
      <w:r w:rsidR="005F6942">
        <w:rPr>
          <w:sz w:val="22"/>
        </w:rPr>
        <w:t>APARC</w:t>
      </w:r>
      <w:r w:rsidR="004A580D" w:rsidRPr="00C0364F">
        <w:rPr>
          <w:sz w:val="22"/>
        </w:rPr>
        <w:t>).</w:t>
      </w:r>
      <w:r w:rsidR="004F1621" w:rsidRPr="00C0364F">
        <w:rPr>
          <w:sz w:val="22"/>
        </w:rPr>
        <w:t xml:space="preserve"> </w:t>
      </w:r>
      <w:r w:rsidR="00231CAB">
        <w:rPr>
          <w:sz w:val="22"/>
        </w:rPr>
        <w:t>W</w:t>
      </w:r>
      <w:r w:rsidR="00F547D2">
        <w:rPr>
          <w:sz w:val="22"/>
        </w:rPr>
        <w:t xml:space="preserve">e excluded </w:t>
      </w:r>
      <w:r w:rsidR="00231CAB">
        <w:rPr>
          <w:sz w:val="22"/>
        </w:rPr>
        <w:t>some subcortical structures</w:t>
      </w:r>
      <w:r w:rsidR="00F547D2">
        <w:rPr>
          <w:sz w:val="22"/>
        </w:rPr>
        <w:t xml:space="preserve"> that </w:t>
      </w:r>
      <w:r w:rsidR="006C5208">
        <w:rPr>
          <w:sz w:val="22"/>
        </w:rPr>
        <w:t>were highly skewed</w:t>
      </w:r>
      <w:r w:rsidR="00CB3C9B">
        <w:rPr>
          <w:sz w:val="22"/>
        </w:rPr>
        <w:t>, such as WM-hypointensities</w:t>
      </w:r>
      <w:r w:rsidR="00985BD6">
        <w:rPr>
          <w:sz w:val="22"/>
        </w:rPr>
        <w:t xml:space="preserve"> and </w:t>
      </w:r>
      <w:r w:rsidR="006D1A3F">
        <w:rPr>
          <w:sz w:val="22"/>
        </w:rPr>
        <w:t>5</w:t>
      </w:r>
      <w:r w:rsidR="006D1A3F" w:rsidRPr="00D220F9">
        <w:rPr>
          <w:sz w:val="22"/>
          <w:vertAlign w:val="superscript"/>
        </w:rPr>
        <w:t>th</w:t>
      </w:r>
      <w:r w:rsidR="006D1A3F">
        <w:rPr>
          <w:sz w:val="22"/>
        </w:rPr>
        <w:t xml:space="preserve"> ventricle </w:t>
      </w:r>
      <w:r w:rsidR="006F0CD6">
        <w:rPr>
          <w:sz w:val="22"/>
        </w:rPr>
        <w:t>(cavum septum pellucidum)</w:t>
      </w:r>
      <w:r w:rsidR="00DE74D9">
        <w:rPr>
          <w:sz w:val="22"/>
        </w:rPr>
        <w:t xml:space="preserve">. Further, we did not include </w:t>
      </w:r>
      <w:r w:rsidR="00DA6059">
        <w:rPr>
          <w:sz w:val="22"/>
        </w:rPr>
        <w:t xml:space="preserve">the </w:t>
      </w:r>
      <w:r w:rsidR="00DE74D9">
        <w:rPr>
          <w:sz w:val="22"/>
        </w:rPr>
        <w:t xml:space="preserve">estimated total intracranial volume as this </w:t>
      </w:r>
      <w:r w:rsidR="00E14233">
        <w:rPr>
          <w:sz w:val="22"/>
        </w:rPr>
        <w:t>measur</w:t>
      </w:r>
      <w:r w:rsidR="00AF0320">
        <w:rPr>
          <w:sz w:val="22"/>
        </w:rPr>
        <w:t xml:space="preserve">e remains fixed </w:t>
      </w:r>
      <w:r w:rsidR="00EE286A">
        <w:rPr>
          <w:sz w:val="22"/>
        </w:rPr>
        <w:t>for a given subject during the longitudinal processing stream</w:t>
      </w:r>
      <w:r w:rsidR="00771CAF">
        <w:rPr>
          <w:sz w:val="22"/>
        </w:rPr>
        <w:t xml:space="preserve"> (</w:t>
      </w:r>
      <w:r w:rsidR="00771CAF">
        <w:rPr>
          <w:i/>
          <w:iCs/>
          <w:sz w:val="22"/>
        </w:rPr>
        <w:t>see</w:t>
      </w:r>
      <w:r w:rsidR="00771CAF">
        <w:rPr>
          <w:sz w:val="22"/>
        </w:rPr>
        <w:t xml:space="preserve"> Supplementary Materials S2 and S3 for </w:t>
      </w:r>
      <w:r w:rsidR="00666628">
        <w:rPr>
          <w:sz w:val="22"/>
        </w:rPr>
        <w:t>brain regions included</w:t>
      </w:r>
      <w:r w:rsidR="00771CAF">
        <w:rPr>
          <w:sz w:val="22"/>
        </w:rPr>
        <w:t xml:space="preserve">). </w:t>
      </w:r>
      <w:r w:rsidR="005D2B2E">
        <w:rPr>
          <w:sz w:val="22"/>
        </w:rPr>
        <w:t xml:space="preserve">In the Results </w:t>
      </w:r>
      <w:r w:rsidR="00974070">
        <w:rPr>
          <w:sz w:val="22"/>
        </w:rPr>
        <w:t xml:space="preserve">Section 3.2.1, we determined that the head tilt condition was associated with reduced cortical thickness. </w:t>
      </w:r>
      <w:r w:rsidR="003D466E">
        <w:rPr>
          <w:sz w:val="22"/>
        </w:rPr>
        <w:t>To investigate this further, we used local values</w:t>
      </w:r>
      <w:r w:rsidR="00C1070A">
        <w:rPr>
          <w:sz w:val="22"/>
        </w:rPr>
        <w:t xml:space="preserve"> of </w:t>
      </w:r>
      <w:r w:rsidR="007F7107">
        <w:rPr>
          <w:sz w:val="22"/>
        </w:rPr>
        <w:t xml:space="preserve">the </w:t>
      </w:r>
      <w:r w:rsidR="00C1070A">
        <w:rPr>
          <w:sz w:val="22"/>
        </w:rPr>
        <w:t>contrast-to-noise ratio</w:t>
      </w:r>
      <w:r w:rsidR="00516487">
        <w:rPr>
          <w:sz w:val="22"/>
        </w:rPr>
        <w:t xml:space="preserve"> </w:t>
      </w:r>
      <w:r w:rsidR="003041B5">
        <w:rPr>
          <w:sz w:val="22"/>
        </w:rPr>
        <w:t>and</w:t>
      </w:r>
      <w:r w:rsidR="00FA7598">
        <w:rPr>
          <w:sz w:val="22"/>
        </w:rPr>
        <w:t xml:space="preserve"> the number of surface holes</w:t>
      </w:r>
      <w:r w:rsidR="00EF29AD">
        <w:rPr>
          <w:sz w:val="22"/>
        </w:rPr>
        <w:t xml:space="preserve"> (which indicate topological defects in the segmentation of the cortex); both of which are reported by FreeSurfer. </w:t>
      </w:r>
    </w:p>
    <w:p w14:paraId="7EB8B578" w14:textId="54620624" w:rsidR="00D53E7D" w:rsidRDefault="009816A9" w:rsidP="0098174D">
      <w:pPr>
        <w:pStyle w:val="Heading2"/>
        <w:spacing w:after="120" w:line="360" w:lineRule="auto"/>
        <w:jc w:val="both"/>
      </w:pPr>
      <w:r>
        <w:lastRenderedPageBreak/>
        <w:t xml:space="preserve">2.5 </w:t>
      </w:r>
      <w:r w:rsidR="00D53E7D">
        <w:t>Statistical analyses</w:t>
      </w:r>
    </w:p>
    <w:p w14:paraId="061A43CB" w14:textId="28BFA01D" w:rsidR="00266B86" w:rsidRDefault="00015A01" w:rsidP="0098174D">
      <w:pPr>
        <w:spacing w:after="120" w:line="360" w:lineRule="auto"/>
        <w:jc w:val="both"/>
        <w:rPr>
          <w:sz w:val="22"/>
        </w:rPr>
      </w:pPr>
      <w:r w:rsidRPr="00C0364F">
        <w:rPr>
          <w:sz w:val="22"/>
        </w:rPr>
        <w:t xml:space="preserve">Reliability analysis of morphometric measurements </w:t>
      </w:r>
      <w:r w:rsidR="00D404F0" w:rsidRPr="00C0364F">
        <w:rPr>
          <w:sz w:val="22"/>
        </w:rPr>
        <w:t>w</w:t>
      </w:r>
      <w:r w:rsidR="006A18BF" w:rsidRPr="00C0364F">
        <w:rPr>
          <w:sz w:val="22"/>
        </w:rPr>
        <w:t>as</w:t>
      </w:r>
      <w:r w:rsidR="00D404F0" w:rsidRPr="00C0364F">
        <w:rPr>
          <w:sz w:val="22"/>
        </w:rPr>
        <w:t xml:space="preserve"> </w:t>
      </w:r>
      <w:r w:rsidRPr="00C0364F">
        <w:rPr>
          <w:sz w:val="22"/>
        </w:rPr>
        <w:t>conducted in R</w:t>
      </w:r>
      <w:r w:rsidR="00BD49E6" w:rsidRPr="00C0364F">
        <w:rPr>
          <w:sz w:val="22"/>
        </w:rPr>
        <w:t xml:space="preserve">Studio </w:t>
      </w:r>
      <w:r w:rsidR="00A6100F">
        <w:rPr>
          <w:noProof/>
          <w:sz w:val="22"/>
        </w:rPr>
        <w:t>(RStudio Team, 2021)</w:t>
      </w:r>
      <w:r w:rsidR="00A6100F">
        <w:rPr>
          <w:sz w:val="22"/>
        </w:rPr>
        <w:t xml:space="preserve"> </w:t>
      </w:r>
      <w:r w:rsidR="00491879">
        <w:rPr>
          <w:sz w:val="22"/>
        </w:rPr>
        <w:t>using</w:t>
      </w:r>
      <w:r w:rsidR="00E72EB7">
        <w:rPr>
          <w:sz w:val="22"/>
        </w:rPr>
        <w:t xml:space="preserve"> the</w:t>
      </w:r>
      <w:r w:rsidR="00491879">
        <w:rPr>
          <w:sz w:val="22"/>
        </w:rPr>
        <w:t xml:space="preserve"> </w:t>
      </w:r>
      <w:r w:rsidR="00491879">
        <w:rPr>
          <w:i/>
          <w:iCs/>
          <w:sz w:val="22"/>
        </w:rPr>
        <w:t xml:space="preserve">irr </w:t>
      </w:r>
      <w:r w:rsidR="00E72EB7">
        <w:rPr>
          <w:sz w:val="22"/>
        </w:rPr>
        <w:t xml:space="preserve">(Gamer et al., 2019) </w:t>
      </w:r>
      <w:r w:rsidR="00491879">
        <w:rPr>
          <w:sz w:val="22"/>
        </w:rPr>
        <w:t xml:space="preserve">and </w:t>
      </w:r>
      <w:r w:rsidR="00491879">
        <w:rPr>
          <w:i/>
          <w:iCs/>
          <w:sz w:val="22"/>
        </w:rPr>
        <w:t>ggseg</w:t>
      </w:r>
      <w:r w:rsidR="00E72EB7">
        <w:rPr>
          <w:i/>
          <w:iCs/>
          <w:sz w:val="22"/>
        </w:rPr>
        <w:t xml:space="preserve"> </w:t>
      </w:r>
      <w:r w:rsidR="00E72EB7">
        <w:rPr>
          <w:sz w:val="22"/>
        </w:rPr>
        <w:t>(</w:t>
      </w:r>
      <w:r w:rsidR="00164FEA">
        <w:rPr>
          <w:sz w:val="22"/>
        </w:rPr>
        <w:t>Mowinckel and Vidal-</w:t>
      </w:r>
      <w:r w:rsidR="00164FEA" w:rsidRPr="00164FEA">
        <w:rPr>
          <w:sz w:val="22"/>
        </w:rPr>
        <w:t>Piñeiro</w:t>
      </w:r>
      <w:r w:rsidR="00164FEA">
        <w:rPr>
          <w:sz w:val="22"/>
        </w:rPr>
        <w:t>, 20</w:t>
      </w:r>
      <w:r w:rsidR="00B841E7">
        <w:rPr>
          <w:sz w:val="22"/>
        </w:rPr>
        <w:t>20</w:t>
      </w:r>
      <w:r w:rsidR="00164FEA">
        <w:rPr>
          <w:sz w:val="22"/>
        </w:rPr>
        <w:t xml:space="preserve">) </w:t>
      </w:r>
      <w:r w:rsidR="00E72EB7">
        <w:rPr>
          <w:sz w:val="22"/>
        </w:rPr>
        <w:t>packages</w:t>
      </w:r>
      <w:r w:rsidR="00973FE7">
        <w:rPr>
          <w:sz w:val="22"/>
        </w:rPr>
        <w:t xml:space="preserve">. </w:t>
      </w:r>
      <w:r w:rsidR="00164FEA">
        <w:rPr>
          <w:sz w:val="22"/>
        </w:rPr>
        <w:t>W</w:t>
      </w:r>
      <w:r w:rsidR="00973FE7">
        <w:rPr>
          <w:sz w:val="22"/>
        </w:rPr>
        <w:t>e calculated</w:t>
      </w:r>
      <w:r w:rsidR="007A45CD">
        <w:rPr>
          <w:sz w:val="22"/>
        </w:rPr>
        <w:t xml:space="preserve"> </w:t>
      </w:r>
      <w:r w:rsidR="00DD6789" w:rsidRPr="00C0364F">
        <w:rPr>
          <w:sz w:val="22"/>
        </w:rPr>
        <w:t>two-way mixed model intra-class correlation coefficients with absolute agreement of single measurements</w:t>
      </w:r>
      <w:r w:rsidR="00A6100F">
        <w:rPr>
          <w:sz w:val="22"/>
        </w:rPr>
        <w:t xml:space="preserve"> </w:t>
      </w:r>
      <w:r w:rsidR="00A6100F">
        <w:rPr>
          <w:noProof/>
          <w:sz w:val="22"/>
        </w:rPr>
        <w:t>(McGraw and Wong, 1996)</w:t>
      </w:r>
      <w:r w:rsidR="00266B86">
        <w:rPr>
          <w:sz w:val="22"/>
        </w:rPr>
        <w:t>:</w:t>
      </w:r>
    </w:p>
    <w:p w14:paraId="27C5B03A" w14:textId="3F0092C1" w:rsidR="00B44116" w:rsidRPr="00BD0F5A" w:rsidRDefault="00B44116" w:rsidP="00B44116">
      <w:pPr>
        <w:spacing w:after="120" w:line="360" w:lineRule="auto"/>
        <w:jc w:val="center"/>
        <w:rPr>
          <w:rFonts w:eastAsiaTheme="minorEastAsia"/>
          <w:sz w:val="24"/>
          <w:szCs w:val="24"/>
        </w:rPr>
      </w:pPr>
      <w:r w:rsidRPr="00BD0F5A">
        <w:rPr>
          <w:rFonts w:eastAsiaTheme="minorEastAsia"/>
          <w:sz w:val="24"/>
          <w:szCs w:val="24"/>
        </w:rPr>
        <w:t xml:space="preserve">ICC = </w:t>
      </w:r>
      <m:oMath>
        <m:f>
          <m:fPr>
            <m:ctrlPr>
              <w:rPr>
                <w:rFonts w:ascii="Cambria Math" w:hAnsi="Cambria Math"/>
                <w:i/>
                <w:sz w:val="24"/>
                <w:szCs w:val="24"/>
              </w:rPr>
            </m:ctrlPr>
          </m:fPr>
          <m:num>
            <m:r>
              <w:rPr>
                <w:rFonts w:ascii="Cambria Math" w:hAnsi="Cambria Math"/>
                <w:sz w:val="24"/>
                <w:szCs w:val="24"/>
              </w:rPr>
              <m:t>MSr-MSe</m:t>
            </m:r>
          </m:num>
          <m:den>
            <m:r>
              <w:rPr>
                <w:rFonts w:ascii="Cambria Math" w:hAnsi="Cambria Math"/>
                <w:sz w:val="24"/>
                <w:szCs w:val="24"/>
              </w:rPr>
              <m:t>MSr+</m:t>
            </m:r>
            <m:d>
              <m:dPr>
                <m:ctrlPr>
                  <w:rPr>
                    <w:rFonts w:ascii="Cambria Math" w:hAnsi="Cambria Math"/>
                    <w:i/>
                    <w:sz w:val="24"/>
                    <w:szCs w:val="24"/>
                  </w:rPr>
                </m:ctrlPr>
              </m:dPr>
              <m:e>
                <m:r>
                  <w:rPr>
                    <w:rFonts w:ascii="Cambria Math" w:hAnsi="Cambria Math"/>
                    <w:sz w:val="24"/>
                    <w:szCs w:val="24"/>
                  </w:rPr>
                  <m:t>k-1</m:t>
                </m:r>
              </m:e>
            </m:d>
            <m:r>
              <w:rPr>
                <w:rFonts w:ascii="Cambria Math" w:hAnsi="Cambria Math"/>
                <w:sz w:val="24"/>
                <w:szCs w:val="24"/>
              </w:rPr>
              <m:t>MSe+</m:t>
            </m:r>
            <m:f>
              <m:fPr>
                <m:ctrlPr>
                  <w:rPr>
                    <w:rFonts w:ascii="Cambria Math" w:hAnsi="Cambria Math"/>
                    <w:i/>
                    <w:sz w:val="24"/>
                    <w:szCs w:val="24"/>
                  </w:rPr>
                </m:ctrlPr>
              </m:fPr>
              <m:num>
                <m:r>
                  <w:rPr>
                    <w:rFonts w:ascii="Cambria Math" w:hAnsi="Cambria Math"/>
                    <w:sz w:val="24"/>
                    <w:szCs w:val="24"/>
                  </w:rPr>
                  <m:t>k</m:t>
                </m:r>
              </m:num>
              <m:den>
                <m:r>
                  <w:rPr>
                    <w:rFonts w:ascii="Cambria Math" w:hAnsi="Cambria Math"/>
                    <w:sz w:val="24"/>
                    <w:szCs w:val="24"/>
                  </w:rPr>
                  <m:t>n</m:t>
                </m:r>
              </m:den>
            </m:f>
            <m:r>
              <w:rPr>
                <w:rFonts w:ascii="Cambria Math" w:hAnsi="Cambria Math"/>
                <w:sz w:val="24"/>
                <w:szCs w:val="24"/>
              </w:rPr>
              <m:t xml:space="preserve">(MSc-MSe) </m:t>
            </m:r>
          </m:den>
        </m:f>
      </m:oMath>
      <w:r w:rsidRPr="00BD0F5A">
        <w:rPr>
          <w:rFonts w:eastAsiaTheme="minorEastAsia"/>
          <w:sz w:val="24"/>
          <w:szCs w:val="24"/>
        </w:rPr>
        <w:t xml:space="preserve"> </w:t>
      </w:r>
    </w:p>
    <w:p w14:paraId="0F1D2417" w14:textId="04ACA9B6" w:rsidR="00B714F1" w:rsidRDefault="00546B96" w:rsidP="0098174D">
      <w:pPr>
        <w:spacing w:after="120" w:line="360" w:lineRule="auto"/>
        <w:jc w:val="both"/>
        <w:rPr>
          <w:sz w:val="22"/>
        </w:rPr>
      </w:pPr>
      <w:r w:rsidRPr="00546B96">
        <w:rPr>
          <w:sz w:val="22"/>
        </w:rPr>
        <w:t xml:space="preserve">where </w:t>
      </w:r>
      <w:r w:rsidRPr="00546B96">
        <w:rPr>
          <w:rFonts w:eastAsiaTheme="minorEastAsia"/>
          <w:b/>
          <w:bCs/>
          <w:sz w:val="22"/>
        </w:rPr>
        <w:t xml:space="preserve">MSr </w:t>
      </w:r>
      <w:r w:rsidRPr="00546B96">
        <w:rPr>
          <w:rFonts w:eastAsiaTheme="minorEastAsia"/>
          <w:sz w:val="22"/>
        </w:rPr>
        <w:t>is the mean square for rows</w:t>
      </w:r>
      <w:r w:rsidR="00811B6D">
        <w:rPr>
          <w:rFonts w:eastAsiaTheme="minorEastAsia"/>
          <w:sz w:val="22"/>
        </w:rPr>
        <w:t xml:space="preserve"> (i.e., </w:t>
      </w:r>
      <w:r w:rsidR="00E91466">
        <w:rPr>
          <w:rFonts w:eastAsiaTheme="minorEastAsia"/>
          <w:sz w:val="22"/>
        </w:rPr>
        <w:t>between-</w:t>
      </w:r>
      <w:r w:rsidR="00811B6D">
        <w:rPr>
          <w:rFonts w:eastAsiaTheme="minorEastAsia"/>
          <w:sz w:val="22"/>
        </w:rPr>
        <w:t>scan</w:t>
      </w:r>
      <w:r w:rsidR="00E72654">
        <w:rPr>
          <w:rFonts w:eastAsiaTheme="minorEastAsia"/>
          <w:sz w:val="22"/>
        </w:rPr>
        <w:t xml:space="preserve"> measurement</w:t>
      </w:r>
      <w:r w:rsidR="00811B6D">
        <w:rPr>
          <w:rFonts w:eastAsiaTheme="minorEastAsia"/>
          <w:sz w:val="22"/>
        </w:rPr>
        <w:t>s)</w:t>
      </w:r>
      <w:r w:rsidRPr="00546B96">
        <w:rPr>
          <w:rFonts w:eastAsiaTheme="minorEastAsia"/>
          <w:sz w:val="22"/>
        </w:rPr>
        <w:t xml:space="preserve">, </w:t>
      </w:r>
      <w:r w:rsidRPr="00546B96">
        <w:rPr>
          <w:rFonts w:eastAsiaTheme="minorEastAsia"/>
          <w:b/>
          <w:bCs/>
          <w:sz w:val="22"/>
        </w:rPr>
        <w:t>MSe</w:t>
      </w:r>
      <w:r w:rsidRPr="00546B96">
        <w:rPr>
          <w:rFonts w:eastAsiaTheme="minorEastAsia"/>
          <w:sz w:val="22"/>
        </w:rPr>
        <w:t xml:space="preserve"> is the mean square for error, </w:t>
      </w:r>
      <w:r w:rsidRPr="00546B96">
        <w:rPr>
          <w:rFonts w:eastAsiaTheme="minorEastAsia"/>
          <w:b/>
          <w:bCs/>
          <w:sz w:val="22"/>
        </w:rPr>
        <w:t>MSc</w:t>
      </w:r>
      <w:r w:rsidRPr="00546B96">
        <w:rPr>
          <w:rFonts w:eastAsiaTheme="minorEastAsia"/>
          <w:sz w:val="22"/>
        </w:rPr>
        <w:t xml:space="preserve"> is the mean square for columns </w:t>
      </w:r>
      <w:r w:rsidR="00811B6D">
        <w:rPr>
          <w:rFonts w:eastAsiaTheme="minorEastAsia"/>
          <w:sz w:val="22"/>
        </w:rPr>
        <w:t xml:space="preserve">(i.e., </w:t>
      </w:r>
      <w:r w:rsidR="00E91466">
        <w:rPr>
          <w:rFonts w:eastAsiaTheme="minorEastAsia"/>
          <w:sz w:val="22"/>
        </w:rPr>
        <w:t>within-scan</w:t>
      </w:r>
      <w:r w:rsidR="00E72654">
        <w:rPr>
          <w:rFonts w:eastAsiaTheme="minorEastAsia"/>
          <w:sz w:val="22"/>
        </w:rPr>
        <w:t xml:space="preserve"> measurement</w:t>
      </w:r>
      <w:r w:rsidR="00E91466">
        <w:rPr>
          <w:rFonts w:eastAsiaTheme="minorEastAsia"/>
          <w:sz w:val="22"/>
        </w:rPr>
        <w:t>s</w:t>
      </w:r>
      <w:r w:rsidR="00811B6D">
        <w:rPr>
          <w:rFonts w:eastAsiaTheme="minorEastAsia"/>
          <w:sz w:val="22"/>
        </w:rPr>
        <w:t xml:space="preserve">) </w:t>
      </w:r>
      <w:r w:rsidRPr="00546B96">
        <w:rPr>
          <w:rFonts w:eastAsiaTheme="minorEastAsia"/>
          <w:sz w:val="22"/>
        </w:rPr>
        <w:t xml:space="preserve">and </w:t>
      </w:r>
      <w:r w:rsidRPr="00546B96">
        <w:rPr>
          <w:rFonts w:eastAsiaTheme="minorEastAsia"/>
          <w:b/>
          <w:bCs/>
          <w:sz w:val="22"/>
        </w:rPr>
        <w:t>k</w:t>
      </w:r>
      <w:r w:rsidRPr="00546B96">
        <w:rPr>
          <w:rFonts w:eastAsiaTheme="minorEastAsia"/>
          <w:sz w:val="22"/>
        </w:rPr>
        <w:t xml:space="preserve"> is the number of measurements</w:t>
      </w:r>
      <w:r w:rsidRPr="00546B96">
        <w:rPr>
          <w:sz w:val="22"/>
        </w:rPr>
        <w:t>.</w:t>
      </w:r>
      <w:r>
        <w:rPr>
          <w:sz w:val="22"/>
        </w:rPr>
        <w:t xml:space="preserve"> </w:t>
      </w:r>
      <w:r w:rsidR="0083500D" w:rsidRPr="00C0364F">
        <w:rPr>
          <w:sz w:val="22"/>
        </w:rPr>
        <w:t>Identical brain volumes</w:t>
      </w:r>
      <w:r w:rsidR="00E058D6" w:rsidRPr="00C0364F">
        <w:rPr>
          <w:sz w:val="22"/>
        </w:rPr>
        <w:t xml:space="preserve"> </w:t>
      </w:r>
      <w:r w:rsidR="0083500D" w:rsidRPr="00C0364F">
        <w:rPr>
          <w:sz w:val="22"/>
        </w:rPr>
        <w:t>produce an ICC value of 1.0. For volumetric studies, an ICC value greater than 0.9 indicates excellent reliability</w:t>
      </w:r>
      <w:r w:rsidR="00A6100F">
        <w:rPr>
          <w:sz w:val="22"/>
        </w:rPr>
        <w:t xml:space="preserve"> </w:t>
      </w:r>
      <w:r w:rsidR="00C46888">
        <w:rPr>
          <w:noProof/>
          <w:sz w:val="22"/>
        </w:rPr>
        <w:t>(Schnack et al., 2004)</w:t>
      </w:r>
      <w:r w:rsidR="00C46888">
        <w:rPr>
          <w:sz w:val="22"/>
        </w:rPr>
        <w:t xml:space="preserve">. </w:t>
      </w:r>
    </w:p>
    <w:p w14:paraId="37FDE9B7" w14:textId="7FCE31C8" w:rsidR="00222B0A" w:rsidRDefault="00222B0A" w:rsidP="00222B0A">
      <w:pPr>
        <w:spacing w:after="120" w:line="360" w:lineRule="auto"/>
        <w:jc w:val="both"/>
        <w:rPr>
          <w:sz w:val="22"/>
        </w:rPr>
      </w:pPr>
      <w:r>
        <w:rPr>
          <w:sz w:val="22"/>
        </w:rPr>
        <w:t>S</w:t>
      </w:r>
      <w:r w:rsidRPr="00934097">
        <w:rPr>
          <w:sz w:val="22"/>
        </w:rPr>
        <w:t xml:space="preserve">upplementary analyses were </w:t>
      </w:r>
      <w:r w:rsidR="001437CB">
        <w:rPr>
          <w:sz w:val="22"/>
        </w:rPr>
        <w:t xml:space="preserve">also </w:t>
      </w:r>
      <w:r w:rsidRPr="00934097">
        <w:rPr>
          <w:sz w:val="22"/>
        </w:rPr>
        <w:t>carried ou</w:t>
      </w:r>
      <w:r>
        <w:rPr>
          <w:sz w:val="22"/>
        </w:rPr>
        <w:t>t to calculate the mean absolute percentage differences (MPD) using the following equation:</w:t>
      </w:r>
    </w:p>
    <w:p w14:paraId="22FBF19E" w14:textId="5B9FD76C" w:rsidR="00222B0A" w:rsidRDefault="00222B0A" w:rsidP="00222B0A">
      <w:pPr>
        <w:spacing w:after="120" w:line="360" w:lineRule="auto"/>
        <w:jc w:val="center"/>
        <w:rPr>
          <w:rFonts w:eastAsiaTheme="minorEastAsia"/>
          <w:bCs/>
          <w:sz w:val="24"/>
          <w:szCs w:val="24"/>
        </w:rPr>
      </w:pPr>
      <w:r w:rsidRPr="00924855">
        <w:rPr>
          <w:sz w:val="22"/>
        </w:rPr>
        <w:t>MPD =</w:t>
      </w:r>
      <w:r w:rsidRPr="00924855">
        <w:rPr>
          <w:rFonts w:eastAsiaTheme="minorEastAsia"/>
          <w:bCs/>
        </w:rPr>
        <w:t xml:space="preserve"> </w:t>
      </w:r>
      <m:oMath>
        <m:f>
          <m:fPr>
            <m:ctrlPr>
              <w:rPr>
                <w:rFonts w:ascii="Cambria Math" w:hAnsi="Cambria Math"/>
                <w:bCs/>
                <w:i/>
                <w:sz w:val="24"/>
                <w:szCs w:val="24"/>
              </w:rPr>
            </m:ctrlPr>
          </m:fPr>
          <m:num>
            <m:nary>
              <m:naryPr>
                <m:chr m:val="∑"/>
                <m:limLoc m:val="subSup"/>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m:t>
                </m:r>
              </m:sup>
              <m:e>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x</m:t>
                        </m:r>
                      </m:e>
                      <m:sub>
                        <m:r>
                          <w:rPr>
                            <w:rFonts w:ascii="Cambria Math" w:hAnsi="Cambria Math"/>
                            <w:sz w:val="24"/>
                            <w:szCs w:val="24"/>
                          </w:rPr>
                          <m:t>j</m:t>
                        </m:r>
                      </m:sub>
                    </m:sSub>
                    <m:r>
                      <w:rPr>
                        <w:rFonts w:ascii="Cambria Math" w:hAnsi="Cambria Math"/>
                        <w:sz w:val="24"/>
                        <w:szCs w:val="24"/>
                      </w:rPr>
                      <m:t xml:space="preserve">- </m:t>
                    </m:r>
                    <m:sSub>
                      <m:sSubPr>
                        <m:ctrlPr>
                          <w:rPr>
                            <w:rFonts w:ascii="Cambria Math" w:hAnsi="Cambria Math"/>
                            <w:bCs/>
                            <w:i/>
                            <w:sz w:val="24"/>
                            <w:szCs w:val="24"/>
                          </w:rPr>
                        </m:ctrlPr>
                      </m:sSubPr>
                      <m:e>
                        <m:r>
                          <w:rPr>
                            <w:rFonts w:ascii="Cambria Math" w:hAnsi="Cambria Math"/>
                            <w:sz w:val="24"/>
                            <w:szCs w:val="24"/>
                          </w:rPr>
                          <m:t>y</m:t>
                        </m:r>
                      </m:e>
                      <m:sub>
                        <m:r>
                          <w:rPr>
                            <w:rFonts w:ascii="Cambria Math" w:hAnsi="Cambria Math"/>
                            <w:sz w:val="24"/>
                            <w:szCs w:val="24"/>
                          </w:rPr>
                          <m:t>j</m:t>
                        </m:r>
                      </m:sub>
                    </m:sSub>
                    <m:r>
                      <w:rPr>
                        <w:rFonts w:ascii="Cambria Math" w:hAnsi="Cambria Math"/>
                        <w:sz w:val="24"/>
                        <w:szCs w:val="24"/>
                      </w:rPr>
                      <m:t>)</m:t>
                    </m:r>
                  </m:num>
                  <m:den>
                    <m:sSub>
                      <m:sSubPr>
                        <m:ctrlPr>
                          <w:rPr>
                            <w:rFonts w:ascii="Cambria Math" w:hAnsi="Cambria Math"/>
                            <w:bCs/>
                            <w:i/>
                            <w:sz w:val="24"/>
                            <w:szCs w:val="24"/>
                          </w:rPr>
                        </m:ctrlPr>
                      </m:sSubPr>
                      <m:e>
                        <m:r>
                          <w:rPr>
                            <w:rFonts w:ascii="Cambria Math" w:hAnsi="Cambria Math"/>
                            <w:sz w:val="24"/>
                            <w:szCs w:val="24"/>
                          </w:rPr>
                          <m:t>x</m:t>
                        </m:r>
                      </m:e>
                      <m:sub>
                        <m:r>
                          <w:rPr>
                            <w:rFonts w:ascii="Cambria Math" w:hAnsi="Cambria Math"/>
                            <w:sz w:val="24"/>
                            <w:szCs w:val="24"/>
                          </w:rPr>
                          <m:t>j</m:t>
                        </m:r>
                      </m:sub>
                    </m:sSub>
                  </m:den>
                </m:f>
                <m:r>
                  <w:rPr>
                    <w:rFonts w:ascii="Cambria Math" w:hAnsi="Cambria Math"/>
                    <w:sz w:val="24"/>
                    <w:szCs w:val="24"/>
                  </w:rPr>
                  <m:t>|</m:t>
                </m:r>
              </m:e>
            </m:nary>
          </m:num>
          <m:den>
            <m:r>
              <w:rPr>
                <w:rFonts w:ascii="Cambria Math" w:hAnsi="Cambria Math"/>
                <w:sz w:val="24"/>
                <w:szCs w:val="24"/>
              </w:rPr>
              <m:t>n</m:t>
            </m:r>
          </m:den>
        </m:f>
        <m:r>
          <w:rPr>
            <w:rFonts w:ascii="Cambria Math" w:hAnsi="Cambria Math"/>
            <w:sz w:val="24"/>
            <w:szCs w:val="24"/>
          </w:rPr>
          <m:t>×100</m:t>
        </m:r>
      </m:oMath>
    </w:p>
    <w:p w14:paraId="73B726F6" w14:textId="69B08C81" w:rsidR="00CE1141" w:rsidRPr="00C0364F" w:rsidRDefault="00222B0A" w:rsidP="0098174D">
      <w:pPr>
        <w:spacing w:after="120" w:line="360" w:lineRule="auto"/>
        <w:jc w:val="both"/>
        <w:rPr>
          <w:sz w:val="22"/>
        </w:rPr>
      </w:pPr>
      <w:r w:rsidRPr="005E2BBE">
        <w:rPr>
          <w:bCs/>
          <w:sz w:val="22"/>
        </w:rPr>
        <w:t xml:space="preserve">where </w:t>
      </w:r>
      <w:r w:rsidRPr="005E2BBE">
        <w:rPr>
          <w:b/>
          <w:sz w:val="22"/>
        </w:rPr>
        <w:t xml:space="preserve">x </w:t>
      </w:r>
      <w:r w:rsidRPr="005E2BBE">
        <w:rPr>
          <w:bCs/>
          <w:sz w:val="22"/>
        </w:rPr>
        <w:t xml:space="preserve">is the reference scan, i.e., A1, </w:t>
      </w:r>
      <w:r w:rsidRPr="005E2BBE">
        <w:rPr>
          <w:b/>
          <w:sz w:val="22"/>
        </w:rPr>
        <w:t>b</w:t>
      </w:r>
      <w:r w:rsidRPr="005E2BBE">
        <w:rPr>
          <w:bCs/>
          <w:sz w:val="22"/>
        </w:rPr>
        <w:t xml:space="preserve"> is the scan of interest, i.e., A2, and </w:t>
      </w:r>
      <w:r w:rsidRPr="005E2BBE">
        <w:rPr>
          <w:b/>
          <w:sz w:val="22"/>
        </w:rPr>
        <w:t>j</w:t>
      </w:r>
      <w:r w:rsidRPr="005E2BBE">
        <w:rPr>
          <w:bCs/>
          <w:sz w:val="22"/>
        </w:rPr>
        <w:t xml:space="preserve"> represents the participant. </w:t>
      </w:r>
      <w:r>
        <w:rPr>
          <w:bCs/>
          <w:sz w:val="22"/>
        </w:rPr>
        <w:t>Low MPD values indicate low variability and therefore, values closest to 0 are considered to be the most reproducible (McGuire et al., 2017).</w:t>
      </w:r>
      <w:r w:rsidR="00F17BC1">
        <w:rPr>
          <w:bCs/>
          <w:sz w:val="22"/>
        </w:rPr>
        <w:t xml:space="preserve"> A random sample of ICCs </w:t>
      </w:r>
      <w:r w:rsidR="00802890">
        <w:rPr>
          <w:bCs/>
          <w:sz w:val="22"/>
        </w:rPr>
        <w:t xml:space="preserve">and MPDs </w:t>
      </w:r>
      <w:r w:rsidR="00F17BC1">
        <w:rPr>
          <w:bCs/>
          <w:sz w:val="22"/>
        </w:rPr>
        <w:t>were validated in IBM S</w:t>
      </w:r>
      <w:r w:rsidR="001437CB">
        <w:rPr>
          <w:bCs/>
          <w:sz w:val="22"/>
        </w:rPr>
        <w:t>P</w:t>
      </w:r>
      <w:r w:rsidR="00F17BC1">
        <w:rPr>
          <w:bCs/>
          <w:sz w:val="22"/>
        </w:rPr>
        <w:t>SS Statistics 26 (IBM) to verify accuracy.</w:t>
      </w:r>
    </w:p>
    <w:p w14:paraId="6B4CE026" w14:textId="465599BF" w:rsidR="007F3B33" w:rsidRDefault="00925EE8" w:rsidP="00437564">
      <w:pPr>
        <w:spacing w:after="120" w:line="360" w:lineRule="auto"/>
        <w:jc w:val="both"/>
        <w:rPr>
          <w:sz w:val="22"/>
        </w:rPr>
      </w:pPr>
      <w:r w:rsidRPr="00C0364F">
        <w:rPr>
          <w:sz w:val="22"/>
        </w:rPr>
        <w:t>To compare the reliability of FreeSurfer processing, ICC</w:t>
      </w:r>
      <w:r w:rsidR="00676400">
        <w:rPr>
          <w:sz w:val="22"/>
        </w:rPr>
        <w:t xml:space="preserve"> and MPD</w:t>
      </w:r>
      <w:r w:rsidRPr="00C0364F">
        <w:rPr>
          <w:sz w:val="22"/>
        </w:rPr>
        <w:t xml:space="preserve"> values were</w:t>
      </w:r>
      <w:r w:rsidR="00D95659">
        <w:rPr>
          <w:sz w:val="22"/>
        </w:rPr>
        <w:t xml:space="preserve"> </w:t>
      </w:r>
      <w:r w:rsidRPr="00C0364F">
        <w:rPr>
          <w:sz w:val="22"/>
        </w:rPr>
        <w:t xml:space="preserve">calculated for data generated from </w:t>
      </w:r>
      <w:r w:rsidR="000F25F1">
        <w:rPr>
          <w:sz w:val="22"/>
        </w:rPr>
        <w:t xml:space="preserve">both </w:t>
      </w:r>
      <w:r w:rsidRPr="00C0364F">
        <w:rPr>
          <w:sz w:val="22"/>
        </w:rPr>
        <w:t xml:space="preserve">the cross-sectional and longitudinal streams </w:t>
      </w:r>
      <w:r w:rsidR="00265906">
        <w:rPr>
          <w:sz w:val="22"/>
        </w:rPr>
        <w:t xml:space="preserve">of </w:t>
      </w:r>
      <w:r w:rsidRPr="00C0364F">
        <w:rPr>
          <w:sz w:val="22"/>
        </w:rPr>
        <w:t>each FreeSurfer</w:t>
      </w:r>
      <w:r w:rsidR="00C46888">
        <w:rPr>
          <w:sz w:val="22"/>
        </w:rPr>
        <w:t xml:space="preserve"> version</w:t>
      </w:r>
      <w:r w:rsidRPr="00C0364F">
        <w:rPr>
          <w:sz w:val="22"/>
        </w:rPr>
        <w:t xml:space="preserve">. </w:t>
      </w:r>
      <w:r w:rsidR="009C0BEB" w:rsidRPr="00C0364F">
        <w:rPr>
          <w:sz w:val="22"/>
        </w:rPr>
        <w:t>For each morphometric measure</w:t>
      </w:r>
      <w:r w:rsidR="0006357F" w:rsidRPr="00C0364F">
        <w:rPr>
          <w:sz w:val="22"/>
        </w:rPr>
        <w:t xml:space="preserve">, </w:t>
      </w:r>
      <w:r w:rsidR="00A850F3" w:rsidRPr="00C0364F">
        <w:rPr>
          <w:sz w:val="22"/>
        </w:rPr>
        <w:t>s</w:t>
      </w:r>
      <w:r w:rsidR="00CC4267">
        <w:rPr>
          <w:sz w:val="22"/>
        </w:rPr>
        <w:t>even</w:t>
      </w:r>
      <w:r w:rsidR="00A850F3" w:rsidRPr="00C0364F">
        <w:rPr>
          <w:sz w:val="22"/>
        </w:rPr>
        <w:t xml:space="preserve"> reliability estimates were calculated</w:t>
      </w:r>
      <w:r w:rsidR="00FD27AE" w:rsidRPr="00C0364F">
        <w:rPr>
          <w:sz w:val="22"/>
        </w:rPr>
        <w:t>. S</w:t>
      </w:r>
      <w:r w:rsidR="00866724" w:rsidRPr="00C0364F">
        <w:rPr>
          <w:sz w:val="22"/>
        </w:rPr>
        <w:t>tructural T1-weight</w:t>
      </w:r>
      <w:r w:rsidR="008F4D0C" w:rsidRPr="00C0364F">
        <w:rPr>
          <w:sz w:val="22"/>
        </w:rPr>
        <w:t>ed</w:t>
      </w:r>
      <w:r w:rsidR="00866724" w:rsidRPr="00C0364F">
        <w:rPr>
          <w:sz w:val="22"/>
        </w:rPr>
        <w:t xml:space="preserve"> ADNI</w:t>
      </w:r>
      <w:r w:rsidR="009615F4" w:rsidRPr="00C0364F">
        <w:rPr>
          <w:sz w:val="22"/>
        </w:rPr>
        <w:t>-</w:t>
      </w:r>
      <w:r w:rsidR="00720E7F">
        <w:rPr>
          <w:sz w:val="22"/>
        </w:rPr>
        <w:t>3</w:t>
      </w:r>
      <w:r w:rsidR="00866724" w:rsidRPr="00C0364F">
        <w:rPr>
          <w:sz w:val="22"/>
        </w:rPr>
        <w:t xml:space="preserve"> A1 data was compared to</w:t>
      </w:r>
      <w:r w:rsidR="00B2516C" w:rsidRPr="00C0364F">
        <w:rPr>
          <w:sz w:val="22"/>
        </w:rPr>
        <w:t>: (1) A2 (referred to as repetition), (2) A</w:t>
      </w:r>
      <w:r w:rsidR="001745C8" w:rsidRPr="00C0364F">
        <w:rPr>
          <w:sz w:val="22"/>
        </w:rPr>
        <w:t>3 (</w:t>
      </w:r>
      <w:r w:rsidR="00206C89" w:rsidRPr="00C0364F">
        <w:rPr>
          <w:sz w:val="22"/>
        </w:rPr>
        <w:t>reposition), (3) B1</w:t>
      </w:r>
      <w:r w:rsidR="00AF69E8" w:rsidRPr="00C0364F">
        <w:rPr>
          <w:sz w:val="22"/>
        </w:rPr>
        <w:t xml:space="preserve"> (t</w:t>
      </w:r>
      <w:r w:rsidR="005B136B">
        <w:rPr>
          <w:sz w:val="22"/>
        </w:rPr>
        <w:t>hree</w:t>
      </w:r>
      <w:r w:rsidR="00AF69E8" w:rsidRPr="00C0364F">
        <w:rPr>
          <w:sz w:val="22"/>
        </w:rPr>
        <w:t>-week</w:t>
      </w:r>
      <w:r w:rsidR="00D262D9">
        <w:rPr>
          <w:sz w:val="22"/>
        </w:rPr>
        <w:t>s</w:t>
      </w:r>
      <w:r w:rsidR="00AF69E8" w:rsidRPr="00C0364F">
        <w:rPr>
          <w:sz w:val="22"/>
        </w:rPr>
        <w:t>), (4) C1 (one-year)</w:t>
      </w:r>
      <w:r w:rsidR="00925A8D" w:rsidRPr="00C0364F">
        <w:rPr>
          <w:sz w:val="22"/>
        </w:rPr>
        <w:t xml:space="preserve">. </w:t>
      </w:r>
      <w:r w:rsidR="00935A30" w:rsidRPr="00C0364F">
        <w:rPr>
          <w:sz w:val="22"/>
        </w:rPr>
        <w:t>In addition</w:t>
      </w:r>
      <w:r w:rsidR="00925A8D" w:rsidRPr="00C0364F">
        <w:rPr>
          <w:sz w:val="22"/>
        </w:rPr>
        <w:t>, A3 data was compared to A4 data (head tilt)</w:t>
      </w:r>
      <w:r w:rsidR="00D8148F">
        <w:rPr>
          <w:sz w:val="22"/>
        </w:rPr>
        <w:t xml:space="preserve">, </w:t>
      </w:r>
      <w:r w:rsidR="00A20DEE">
        <w:rPr>
          <w:sz w:val="22"/>
        </w:rPr>
        <w:t>C1 to C</w:t>
      </w:r>
      <w:r w:rsidR="008E226A">
        <w:rPr>
          <w:sz w:val="22"/>
        </w:rPr>
        <w:t>3</w:t>
      </w:r>
      <w:r w:rsidR="00A20DEE">
        <w:rPr>
          <w:sz w:val="22"/>
        </w:rPr>
        <w:t xml:space="preserve"> data (sequence change) and C1 to D1 data (scanner change)</w:t>
      </w:r>
      <w:r w:rsidR="00AD0C87" w:rsidRPr="00C0364F">
        <w:rPr>
          <w:sz w:val="22"/>
        </w:rPr>
        <w:t xml:space="preserve"> (</w:t>
      </w:r>
      <w:r w:rsidR="00AD0C87" w:rsidRPr="00C46888">
        <w:rPr>
          <w:i/>
          <w:iCs/>
          <w:sz w:val="22"/>
        </w:rPr>
        <w:t>refer</w:t>
      </w:r>
      <w:r w:rsidR="00AD0C87" w:rsidRPr="00C0364F">
        <w:rPr>
          <w:sz w:val="22"/>
        </w:rPr>
        <w:t xml:space="preserve"> back to Figure 1)</w:t>
      </w:r>
      <w:r w:rsidR="007D1E83" w:rsidRPr="00C0364F">
        <w:rPr>
          <w:sz w:val="22"/>
        </w:rPr>
        <w:t>.</w:t>
      </w:r>
      <w:r w:rsidR="00F22A1F">
        <w:rPr>
          <w:sz w:val="22"/>
        </w:rPr>
        <w:t xml:space="preserve"> </w:t>
      </w:r>
      <w:r w:rsidR="003C4148">
        <w:rPr>
          <w:sz w:val="22"/>
        </w:rPr>
        <w:t>To reduce the number of analyses, w</w:t>
      </w:r>
      <w:r w:rsidR="00C34EBF">
        <w:rPr>
          <w:sz w:val="22"/>
        </w:rPr>
        <w:t>e focused on comparisons that may have implications for longitudinal studies, therefore B2–B4</w:t>
      </w:r>
      <w:r w:rsidR="006A5FEC">
        <w:rPr>
          <w:sz w:val="22"/>
        </w:rPr>
        <w:t>, C2</w:t>
      </w:r>
      <w:r w:rsidR="00C34EBF">
        <w:rPr>
          <w:sz w:val="22"/>
        </w:rPr>
        <w:t xml:space="preserve"> and D2</w:t>
      </w:r>
      <w:r w:rsidR="006A5FEC">
        <w:rPr>
          <w:sz w:val="22"/>
        </w:rPr>
        <w:t>-D3</w:t>
      </w:r>
      <w:r w:rsidR="00C34EBF">
        <w:rPr>
          <w:sz w:val="22"/>
        </w:rPr>
        <w:t xml:space="preserve"> scans were not </w:t>
      </w:r>
      <w:r w:rsidR="002505DD">
        <w:rPr>
          <w:sz w:val="22"/>
        </w:rPr>
        <w:t>compared</w:t>
      </w:r>
      <w:r w:rsidR="00770CC5" w:rsidRPr="00770CC5">
        <w:rPr>
          <w:sz w:val="22"/>
        </w:rPr>
        <w:t xml:space="preserve"> </w:t>
      </w:r>
      <w:r w:rsidR="00770CC5">
        <w:rPr>
          <w:sz w:val="22"/>
        </w:rPr>
        <w:t>in the current paper</w:t>
      </w:r>
      <w:r w:rsidR="003C4148">
        <w:rPr>
          <w:sz w:val="22"/>
        </w:rPr>
        <w:t>.</w:t>
      </w:r>
      <w:r w:rsidR="00F60028">
        <w:rPr>
          <w:sz w:val="22"/>
        </w:rPr>
        <w:t xml:space="preserve"> </w:t>
      </w:r>
    </w:p>
    <w:p w14:paraId="7DCC8160" w14:textId="1D17923A" w:rsidR="00617864" w:rsidRPr="00300C83" w:rsidRDefault="00C02161" w:rsidP="002B623C">
      <w:pPr>
        <w:spacing w:after="120" w:line="360" w:lineRule="auto"/>
        <w:jc w:val="both"/>
        <w:rPr>
          <w:sz w:val="22"/>
        </w:rPr>
      </w:pPr>
      <w:r>
        <w:rPr>
          <w:sz w:val="22"/>
        </w:rPr>
        <w:t xml:space="preserve">Post-hoc statistical power calculations were carried out to determine the sample size required to detect longitudinal changes of predetermined magnitudes in regional thickness measurements, </w:t>
      </w:r>
      <w:r w:rsidR="00FD0E03">
        <w:rPr>
          <w:sz w:val="22"/>
        </w:rPr>
        <w:t xml:space="preserve">based on </w:t>
      </w:r>
      <w:r w:rsidR="000D294A">
        <w:rPr>
          <w:sz w:val="22"/>
        </w:rPr>
        <w:t>recent work</w:t>
      </w:r>
      <w:r w:rsidR="00FD0E03">
        <w:rPr>
          <w:sz w:val="22"/>
        </w:rPr>
        <w:t xml:space="preserve"> by Laguna and colleagues (2020). </w:t>
      </w:r>
      <w:r w:rsidR="00E96F95">
        <w:rPr>
          <w:sz w:val="22"/>
        </w:rPr>
        <w:t>Specifically, we calculated the minimum number of participants needed to detect 0.5%, 1.0% and 2</w:t>
      </w:r>
      <w:r w:rsidR="00174D99">
        <w:rPr>
          <w:sz w:val="22"/>
        </w:rPr>
        <w:t>.0</w:t>
      </w:r>
      <w:r w:rsidR="00E96F95">
        <w:rPr>
          <w:sz w:val="22"/>
        </w:rPr>
        <w:t xml:space="preserve">% </w:t>
      </w:r>
      <w:r w:rsidR="00007642">
        <w:rPr>
          <w:sz w:val="22"/>
        </w:rPr>
        <w:t>group-level changes from baseline to (a) three-weeks and (b) after head tilt. The</w:t>
      </w:r>
      <w:r w:rsidR="00D36337">
        <w:rPr>
          <w:sz w:val="22"/>
        </w:rPr>
        <w:t xml:space="preserve">se percentage changes are in line with those reported in </w:t>
      </w:r>
      <w:r w:rsidR="0034787F">
        <w:rPr>
          <w:sz w:val="22"/>
        </w:rPr>
        <w:t xml:space="preserve">examples </w:t>
      </w:r>
      <w:r w:rsidR="0034787F">
        <w:rPr>
          <w:sz w:val="22"/>
        </w:rPr>
        <w:lastRenderedPageBreak/>
        <w:t>of</w:t>
      </w:r>
      <w:r w:rsidR="00D36337">
        <w:rPr>
          <w:sz w:val="22"/>
        </w:rPr>
        <w:t xml:space="preserve"> </w:t>
      </w:r>
      <w:r w:rsidR="00A25E9C">
        <w:rPr>
          <w:sz w:val="22"/>
        </w:rPr>
        <w:t xml:space="preserve">neurological </w:t>
      </w:r>
      <w:r w:rsidR="003C43AE">
        <w:rPr>
          <w:sz w:val="22"/>
        </w:rPr>
        <w:t xml:space="preserve">and </w:t>
      </w:r>
      <w:r w:rsidR="003C43AE" w:rsidRPr="00A40AAE">
        <w:rPr>
          <w:sz w:val="22"/>
        </w:rPr>
        <w:t xml:space="preserve">psychiatric </w:t>
      </w:r>
      <w:r w:rsidR="00A25E9C" w:rsidRPr="00A40AAE">
        <w:rPr>
          <w:sz w:val="22"/>
        </w:rPr>
        <w:t>disorders (</w:t>
      </w:r>
      <w:r w:rsidR="002A6D1E" w:rsidRPr="00A40AAE">
        <w:rPr>
          <w:sz w:val="22"/>
        </w:rPr>
        <w:t>Olabi et al., 2011;</w:t>
      </w:r>
      <w:r w:rsidR="003C43AE" w:rsidRPr="00A40AAE">
        <w:rPr>
          <w:sz w:val="22"/>
        </w:rPr>
        <w:t xml:space="preserve"> Fring</w:t>
      </w:r>
      <w:r w:rsidR="00E81A90" w:rsidRPr="00A40AAE">
        <w:rPr>
          <w:sz w:val="22"/>
        </w:rPr>
        <w:t>s et al., 2014).</w:t>
      </w:r>
      <w:r w:rsidR="002A6D1E" w:rsidRPr="008610D4">
        <w:rPr>
          <w:sz w:val="22"/>
        </w:rPr>
        <w:t xml:space="preserve"> </w:t>
      </w:r>
      <w:r w:rsidR="00A40AAE" w:rsidRPr="00A40AAE">
        <w:rPr>
          <w:sz w:val="22"/>
        </w:rPr>
        <w:t>To note, the selected values relate to 0.5%, 1.0% and 2.0% changes in FreeSurfer measurement and may not directly correspond to the same biological change.</w:t>
      </w:r>
      <w:r w:rsidR="00A40AAE">
        <w:rPr>
          <w:sz w:val="22"/>
        </w:rPr>
        <w:t xml:space="preserve"> </w:t>
      </w:r>
      <w:r w:rsidR="00617864">
        <w:rPr>
          <w:sz w:val="22"/>
        </w:rPr>
        <w:t xml:space="preserve">For the power calculations, we </w:t>
      </w:r>
      <w:r w:rsidR="0018391B">
        <w:rPr>
          <w:sz w:val="22"/>
        </w:rPr>
        <w:t xml:space="preserve">obtained the effect size relating to a paired </w:t>
      </w:r>
      <w:r w:rsidR="0018391B">
        <w:rPr>
          <w:i/>
          <w:iCs/>
          <w:sz w:val="22"/>
        </w:rPr>
        <w:t>t</w:t>
      </w:r>
      <w:r w:rsidR="0018391B">
        <w:rPr>
          <w:sz w:val="22"/>
        </w:rPr>
        <w:t xml:space="preserve">-test on the difference between two dependent </w:t>
      </w:r>
      <w:r w:rsidR="008C0588">
        <w:rPr>
          <w:sz w:val="22"/>
        </w:rPr>
        <w:t xml:space="preserve">means (Cohen, 1988). We used the </w:t>
      </w:r>
      <w:r w:rsidR="008C0588">
        <w:rPr>
          <w:i/>
          <w:iCs/>
          <w:sz w:val="22"/>
        </w:rPr>
        <w:t>in-vivo</w:t>
      </w:r>
      <w:r w:rsidR="008C0588">
        <w:rPr>
          <w:sz w:val="22"/>
        </w:rPr>
        <w:t xml:space="preserve"> MRI data for (a) A1 and B1 scans for three weeks and (b) A3 and A4 scans for head tilt</w:t>
      </w:r>
      <w:r w:rsidR="00633B7E">
        <w:rPr>
          <w:sz w:val="22"/>
        </w:rPr>
        <w:t xml:space="preserve"> to estimate the population means (</w:t>
      </w:r>
      <w:r w:rsidR="00633B7E" w:rsidRPr="00B30A43">
        <w:rPr>
          <w:sz w:val="22"/>
        </w:rPr>
        <w:t>μ</w:t>
      </w:r>
      <w:r w:rsidR="00633B7E" w:rsidRPr="00B30A43">
        <w:rPr>
          <w:sz w:val="22"/>
          <w:vertAlign w:val="subscript"/>
        </w:rPr>
        <w:t>x</w:t>
      </w:r>
      <w:r w:rsidR="00633B7E">
        <w:rPr>
          <w:sz w:val="22"/>
          <w:vertAlign w:val="subscript"/>
        </w:rPr>
        <w:t xml:space="preserve"> </w:t>
      </w:r>
      <w:r w:rsidR="00633B7E">
        <w:rPr>
          <w:sz w:val="22"/>
        </w:rPr>
        <w:t xml:space="preserve">and </w:t>
      </w:r>
      <w:r w:rsidR="00633B7E" w:rsidRPr="00B30A43">
        <w:rPr>
          <w:sz w:val="22"/>
        </w:rPr>
        <w:t>μ</w:t>
      </w:r>
      <w:r w:rsidR="00633B7E">
        <w:rPr>
          <w:sz w:val="22"/>
          <w:vertAlign w:val="subscript"/>
        </w:rPr>
        <w:t>y</w:t>
      </w:r>
      <w:r w:rsidR="00633B7E">
        <w:rPr>
          <w:sz w:val="22"/>
        </w:rPr>
        <w:t>), population variances (</w:t>
      </w:r>
      <w:r w:rsidR="00633B7E" w:rsidRPr="00EF7F82">
        <w:rPr>
          <w:sz w:val="22"/>
        </w:rPr>
        <w:t>σ</w:t>
      </w:r>
      <w:r w:rsidR="00633B7E" w:rsidRPr="00EF7F82">
        <w:rPr>
          <w:sz w:val="22"/>
          <w:vertAlign w:val="subscript"/>
        </w:rPr>
        <w:t>x</w:t>
      </w:r>
      <w:r w:rsidR="00633B7E">
        <w:rPr>
          <w:sz w:val="22"/>
          <w:vertAlign w:val="superscript"/>
        </w:rPr>
        <w:t xml:space="preserve">2 </w:t>
      </w:r>
      <w:r w:rsidR="00633B7E">
        <w:rPr>
          <w:sz w:val="22"/>
        </w:rPr>
        <w:t xml:space="preserve">and </w:t>
      </w:r>
      <w:r w:rsidR="00633B7E" w:rsidRPr="00ED4FA8">
        <w:rPr>
          <w:sz w:val="22"/>
        </w:rPr>
        <w:t>σ</w:t>
      </w:r>
      <w:r w:rsidR="00633B7E" w:rsidRPr="00ED4FA8">
        <w:rPr>
          <w:sz w:val="22"/>
          <w:vertAlign w:val="subscript"/>
        </w:rPr>
        <w:t>y</w:t>
      </w:r>
      <w:r w:rsidR="00633B7E" w:rsidRPr="00ED4FA8">
        <w:rPr>
          <w:sz w:val="22"/>
          <w:vertAlign w:val="superscript"/>
        </w:rPr>
        <w:t>2</w:t>
      </w:r>
      <w:r w:rsidR="00633B7E">
        <w:rPr>
          <w:sz w:val="22"/>
        </w:rPr>
        <w:t xml:space="preserve">) </w:t>
      </w:r>
      <w:r w:rsidR="00633B7E" w:rsidRPr="00ED4FA8">
        <w:rPr>
          <w:sz w:val="22"/>
        </w:rPr>
        <w:t>and</w:t>
      </w:r>
      <w:r w:rsidR="00633B7E">
        <w:rPr>
          <w:sz w:val="22"/>
        </w:rPr>
        <w:t xml:space="preserve"> the correlation between the observations (</w:t>
      </w:r>
      <w:r w:rsidR="00633B7E" w:rsidRPr="00D516EA">
        <w:rPr>
          <w:sz w:val="22"/>
        </w:rPr>
        <w:t>ρ</w:t>
      </w:r>
      <w:r w:rsidR="00633B7E" w:rsidRPr="00D516EA">
        <w:rPr>
          <w:sz w:val="22"/>
          <w:vertAlign w:val="subscript"/>
        </w:rPr>
        <w:t>xy</w:t>
      </w:r>
      <w:r w:rsidR="00633B7E" w:rsidRPr="00130C42">
        <w:rPr>
          <w:sz w:val="22"/>
        </w:rPr>
        <w:t>).</w:t>
      </w:r>
      <w:r w:rsidR="00AA2FBE">
        <w:rPr>
          <w:sz w:val="22"/>
        </w:rPr>
        <w:t xml:space="preserve"> </w:t>
      </w:r>
      <w:r w:rsidR="00EC5D4D">
        <w:rPr>
          <w:sz w:val="22"/>
        </w:rPr>
        <w:t xml:space="preserve">To calculate </w:t>
      </w:r>
      <w:r w:rsidR="000B7103">
        <w:rPr>
          <w:sz w:val="22"/>
        </w:rPr>
        <w:t>changes of a predetermined magnitude, w</w:t>
      </w:r>
      <w:r w:rsidR="00AA2FBE">
        <w:rPr>
          <w:sz w:val="22"/>
        </w:rPr>
        <w:t xml:space="preserve">e replaced </w:t>
      </w:r>
      <w:r w:rsidR="00AA2FBE" w:rsidRPr="00130C42">
        <w:rPr>
          <w:sz w:val="22"/>
        </w:rPr>
        <w:t>| μ</w:t>
      </w:r>
      <w:r w:rsidR="00AA2FBE" w:rsidRPr="00130C42">
        <w:rPr>
          <w:sz w:val="22"/>
          <w:vertAlign w:val="subscript"/>
        </w:rPr>
        <w:t xml:space="preserve">x </w:t>
      </w:r>
      <w:r w:rsidR="00AA2FBE" w:rsidRPr="00130C42">
        <w:rPr>
          <w:sz w:val="22"/>
        </w:rPr>
        <w:t>- μ</w:t>
      </w:r>
      <w:r w:rsidR="00AA2FBE" w:rsidRPr="00130C42">
        <w:rPr>
          <w:sz w:val="22"/>
          <w:vertAlign w:val="subscript"/>
        </w:rPr>
        <w:t xml:space="preserve">y </w:t>
      </w:r>
      <w:r w:rsidR="00AA2FBE" w:rsidRPr="00130C42">
        <w:rPr>
          <w:sz w:val="22"/>
        </w:rPr>
        <w:t xml:space="preserve">| </w:t>
      </w:r>
      <w:r w:rsidR="00C15555">
        <w:rPr>
          <w:sz w:val="22"/>
        </w:rPr>
        <w:t xml:space="preserve">with </w:t>
      </w:r>
      <w:r w:rsidR="00C15555" w:rsidRPr="00130C42">
        <w:rPr>
          <w:sz w:val="22"/>
        </w:rPr>
        <w:t>| μ</w:t>
      </w:r>
      <w:r w:rsidR="00C15555" w:rsidRPr="00130C42">
        <w:rPr>
          <w:sz w:val="22"/>
          <w:vertAlign w:val="subscript"/>
        </w:rPr>
        <w:t xml:space="preserve">x </w:t>
      </w:r>
      <w:r w:rsidR="00C15555">
        <w:rPr>
          <w:sz w:val="22"/>
        </w:rPr>
        <w:t xml:space="preserve">* </w:t>
      </w:r>
      <w:r w:rsidR="00C15555" w:rsidRPr="00DB4E3C">
        <w:rPr>
          <w:i/>
          <w:iCs/>
          <w:sz w:val="22"/>
        </w:rPr>
        <w:t>pc</w:t>
      </w:r>
      <w:r w:rsidR="00C15555" w:rsidRPr="00130C42">
        <w:rPr>
          <w:sz w:val="22"/>
          <w:vertAlign w:val="subscript"/>
        </w:rPr>
        <w:t xml:space="preserve"> </w:t>
      </w:r>
      <w:r w:rsidR="00C15555" w:rsidRPr="00130C42">
        <w:rPr>
          <w:sz w:val="22"/>
        </w:rPr>
        <w:t>|</w:t>
      </w:r>
      <w:r w:rsidR="00533869">
        <w:rPr>
          <w:sz w:val="22"/>
        </w:rPr>
        <w:t xml:space="preserve"> </w:t>
      </w:r>
      <w:r w:rsidR="00CD12CD">
        <w:rPr>
          <w:sz w:val="22"/>
        </w:rPr>
        <w:t xml:space="preserve">(for more details </w:t>
      </w:r>
      <w:r w:rsidR="00CD12CD">
        <w:rPr>
          <w:i/>
          <w:iCs/>
          <w:sz w:val="22"/>
        </w:rPr>
        <w:t>see</w:t>
      </w:r>
      <w:r w:rsidR="00CD12CD">
        <w:rPr>
          <w:sz w:val="22"/>
        </w:rPr>
        <w:t xml:space="preserve"> Laguna et al., 2020)</w:t>
      </w:r>
      <w:r w:rsidR="00DB4E3C">
        <w:rPr>
          <w:sz w:val="22"/>
        </w:rPr>
        <w:t xml:space="preserve"> so that</w:t>
      </w:r>
      <w:r w:rsidR="00CD12CD">
        <w:rPr>
          <w:sz w:val="22"/>
        </w:rPr>
        <w:t xml:space="preserve">: </w:t>
      </w:r>
      <w:r w:rsidR="00533869">
        <w:rPr>
          <w:sz w:val="22"/>
        </w:rPr>
        <w:t xml:space="preserve"> </w:t>
      </w:r>
    </w:p>
    <w:p w14:paraId="1185152D" w14:textId="09C5ABAC" w:rsidR="00DB7A59" w:rsidRPr="00BD0F5A" w:rsidRDefault="00DB7A59" w:rsidP="00DB7A59">
      <w:pPr>
        <w:spacing w:after="120" w:line="360" w:lineRule="auto"/>
        <w:jc w:val="center"/>
        <w:rPr>
          <w:sz w:val="24"/>
          <w:szCs w:val="24"/>
        </w:rPr>
      </w:pPr>
      <w:r w:rsidRPr="00BD0F5A">
        <w:rPr>
          <w:i/>
          <w:iCs/>
          <w:sz w:val="24"/>
          <w:szCs w:val="24"/>
        </w:rPr>
        <w:t>d</w:t>
      </w:r>
      <w:r w:rsidRPr="00BD0F5A">
        <w:rPr>
          <w:sz w:val="24"/>
          <w:szCs w:val="24"/>
          <w:vertAlign w:val="subscript"/>
        </w:rPr>
        <w:t xml:space="preserve">z </w:t>
      </w:r>
      <w:r w:rsidRPr="00BD0F5A">
        <w:rPr>
          <w:sz w:val="24"/>
          <w:szCs w:val="24"/>
        </w:rPr>
        <w:t>=</w:t>
      </w:r>
      <w:r w:rsidR="007D789E">
        <w:rPr>
          <w:rFonts w:eastAsiaTheme="minorEastAsia"/>
          <w:sz w:val="24"/>
          <w:szCs w:val="24"/>
        </w:rPr>
        <w:t xml:space="preserve"> </w:t>
      </w:r>
      <m:oMath>
        <m:f>
          <m:fPr>
            <m:ctrlPr>
              <w:rPr>
                <w:rFonts w:ascii="Cambria Math" w:hAnsi="Cambria Math"/>
                <w:i/>
                <w:sz w:val="24"/>
                <w:szCs w:val="24"/>
              </w:rPr>
            </m:ctrlPr>
          </m:fPr>
          <m:num>
            <m:r>
              <w:rPr>
                <w:rFonts w:ascii="Cambria Math" w:hAnsi="Cambria Math"/>
                <w:sz w:val="24"/>
                <w:szCs w:val="24"/>
              </w:rPr>
              <m:t xml:space="preserve">| </m:t>
            </m:r>
            <m:sSub>
              <m:sSubPr>
                <m:ctrlPr>
                  <w:rPr>
                    <w:rFonts w:ascii="Cambria Math" w:hAnsi="Cambria Math"/>
                    <w:sz w:val="24"/>
                    <w:szCs w:val="24"/>
                    <w:vertAlign w:val="subscript"/>
                  </w:rPr>
                </m:ctrlPr>
              </m:sSubPr>
              <m:e>
                <m:r>
                  <m:rPr>
                    <m:sty m:val="p"/>
                  </m:rPr>
                  <w:rPr>
                    <w:rFonts w:ascii="Cambria Math" w:hAnsi="Cambria Math"/>
                    <w:sz w:val="24"/>
                    <w:szCs w:val="24"/>
                  </w:rPr>
                  <m:t>μ</m:t>
                </m:r>
              </m:e>
              <m:sub>
                <m:r>
                  <m:rPr>
                    <m:sty m:val="p"/>
                  </m:rPr>
                  <w:rPr>
                    <w:rFonts w:ascii="Cambria Math" w:hAnsi="Cambria Math"/>
                    <w:sz w:val="24"/>
                    <w:szCs w:val="24"/>
                    <w:vertAlign w:val="subscript"/>
                  </w:rPr>
                  <m:t>x</m:t>
                </m:r>
              </m:sub>
            </m:sSub>
            <m:r>
              <w:rPr>
                <w:rFonts w:ascii="Cambria Math" w:hAnsi="Cambria Math"/>
                <w:sz w:val="24"/>
                <w:szCs w:val="24"/>
              </w:rPr>
              <m:t xml:space="preserve"> * pc  | </m:t>
            </m:r>
          </m:num>
          <m:den>
            <m:rad>
              <m:radPr>
                <m:degHide m:val="1"/>
                <m:ctrlPr>
                  <w:rPr>
                    <w:rFonts w:ascii="Cambria Math" w:hAnsi="Cambria Math"/>
                    <w:i/>
                    <w:sz w:val="24"/>
                    <w:szCs w:val="24"/>
                  </w:rPr>
                </m:ctrlPr>
              </m:radPr>
              <m:deg/>
              <m:e>
                <m:sSubSup>
                  <m:sSubSupPr>
                    <m:ctrlPr>
                      <w:rPr>
                        <w:rFonts w:ascii="Cambria Math" w:hAnsi="Cambria Math"/>
                        <w:sz w:val="24"/>
                        <w:szCs w:val="24"/>
                      </w:rPr>
                    </m:ctrlPr>
                  </m:sSubSupPr>
                  <m:e>
                    <m:r>
                      <m:rPr>
                        <m:sty m:val="p"/>
                      </m:rPr>
                      <w:rPr>
                        <w:rFonts w:ascii="Cambria Math" w:hAnsi="Cambria Math"/>
                        <w:sz w:val="24"/>
                        <w:szCs w:val="24"/>
                      </w:rPr>
                      <m:t>σ</m:t>
                    </m:r>
                  </m:e>
                  <m:sub>
                    <m:r>
                      <m:rPr>
                        <m:sty m:val="p"/>
                      </m:rPr>
                      <w:rPr>
                        <w:rFonts w:ascii="Cambria Math" w:hAnsi="Cambria Math"/>
                        <w:sz w:val="24"/>
                        <w:szCs w:val="24"/>
                        <w:vertAlign w:val="subscript"/>
                      </w:rPr>
                      <m:t>x</m:t>
                    </m:r>
                  </m:sub>
                  <m:sup>
                    <m:r>
                      <m:rPr>
                        <m:sty m:val="p"/>
                      </m:rPr>
                      <w:rPr>
                        <w:rFonts w:ascii="Cambria Math" w:hAnsi="Cambria Math"/>
                        <w:sz w:val="24"/>
                        <w:szCs w:val="24"/>
                        <w:vertAlign w:val="superscript"/>
                      </w:rPr>
                      <m:t>2</m:t>
                    </m:r>
                  </m:sup>
                </m:sSubSup>
                <m:r>
                  <w:rPr>
                    <w:rFonts w:ascii="Cambria Math" w:hAnsi="Cambria Math"/>
                    <w:sz w:val="24"/>
                    <w:szCs w:val="24"/>
                  </w:rPr>
                  <m:t xml:space="preserve">+ </m:t>
                </m:r>
                <m:sSubSup>
                  <m:sSubSupPr>
                    <m:ctrlPr>
                      <w:rPr>
                        <w:rFonts w:ascii="Cambria Math" w:hAnsi="Cambria Math"/>
                        <w:sz w:val="24"/>
                        <w:szCs w:val="24"/>
                      </w:rPr>
                    </m:ctrlPr>
                  </m:sSubSupPr>
                  <m:e>
                    <m:r>
                      <m:rPr>
                        <m:sty m:val="p"/>
                      </m:rPr>
                      <w:rPr>
                        <w:rFonts w:ascii="Cambria Math" w:hAnsi="Cambria Math"/>
                        <w:sz w:val="24"/>
                        <w:szCs w:val="24"/>
                      </w:rPr>
                      <m:t>σ</m:t>
                    </m:r>
                  </m:e>
                  <m:sub>
                    <m:r>
                      <m:rPr>
                        <m:sty m:val="p"/>
                      </m:rPr>
                      <w:rPr>
                        <w:rFonts w:ascii="Cambria Math" w:hAnsi="Cambria Math"/>
                        <w:sz w:val="24"/>
                        <w:szCs w:val="24"/>
                        <w:vertAlign w:val="subscript"/>
                      </w:rPr>
                      <m:t>y</m:t>
                    </m:r>
                  </m:sub>
                  <m:sup>
                    <m:r>
                      <m:rPr>
                        <m:sty m:val="p"/>
                      </m:rPr>
                      <w:rPr>
                        <w:rFonts w:ascii="Cambria Math" w:hAnsi="Cambria Math"/>
                        <w:sz w:val="24"/>
                        <w:szCs w:val="24"/>
                        <w:vertAlign w:val="superscript"/>
                      </w:rPr>
                      <m:t>2</m:t>
                    </m:r>
                  </m:sup>
                </m:sSubSup>
                <m:r>
                  <m:rPr>
                    <m:sty m:val="p"/>
                  </m:rPr>
                  <w:rPr>
                    <w:rFonts w:ascii="Cambria Math" w:hAnsi="Cambria Math"/>
                    <w:sz w:val="24"/>
                    <w:szCs w:val="24"/>
                    <w:vertAlign w:val="superscript"/>
                  </w:rPr>
                  <m:t xml:space="preserve"> – 2</m:t>
                </m:r>
                <m:sSub>
                  <m:sSubPr>
                    <m:ctrlPr>
                      <w:rPr>
                        <w:rFonts w:ascii="Cambria Math" w:hAnsi="Cambria Math"/>
                        <w:sz w:val="24"/>
                        <w:szCs w:val="24"/>
                        <w:vertAlign w:val="superscript"/>
                      </w:rPr>
                    </m:ctrlPr>
                  </m:sSubPr>
                  <m:e>
                    <m:r>
                      <m:rPr>
                        <m:sty m:val="p"/>
                      </m:rPr>
                      <w:rPr>
                        <w:rFonts w:ascii="Cambria Math" w:hAnsi="Cambria Math"/>
                        <w:sz w:val="24"/>
                        <w:szCs w:val="24"/>
                      </w:rPr>
                      <m:t>ρ</m:t>
                    </m:r>
                  </m:e>
                  <m:sub>
                    <m:r>
                      <w:rPr>
                        <w:rFonts w:ascii="Cambria Math" w:hAnsi="Cambria Math"/>
                        <w:sz w:val="24"/>
                        <w:szCs w:val="24"/>
                        <w:vertAlign w:val="superscript"/>
                      </w:rPr>
                      <m:t>xy</m:t>
                    </m:r>
                  </m:sub>
                </m:sSub>
                <m:sSubSup>
                  <m:sSubSupPr>
                    <m:ctrlPr>
                      <w:rPr>
                        <w:rFonts w:ascii="Cambria Math" w:hAnsi="Cambria Math"/>
                        <w:i/>
                        <w:iCs/>
                        <w:sz w:val="24"/>
                        <w:szCs w:val="24"/>
                        <w:vertAlign w:val="superscript"/>
                      </w:rPr>
                    </m:ctrlPr>
                  </m:sSubSupPr>
                  <m:e>
                    <m:r>
                      <m:rPr>
                        <m:sty m:val="p"/>
                      </m:rPr>
                      <w:rPr>
                        <w:rFonts w:ascii="Cambria Math" w:hAnsi="Cambria Math"/>
                        <w:sz w:val="24"/>
                        <w:szCs w:val="24"/>
                      </w:rPr>
                      <m:t>σ</m:t>
                    </m:r>
                  </m:e>
                  <m:sub>
                    <m:r>
                      <m:rPr>
                        <m:sty m:val="p"/>
                      </m:rPr>
                      <w:rPr>
                        <w:rFonts w:ascii="Cambria Math" w:hAnsi="Cambria Math"/>
                        <w:sz w:val="24"/>
                        <w:szCs w:val="24"/>
                        <w:vertAlign w:val="subscript"/>
                      </w:rPr>
                      <m:t>x</m:t>
                    </m:r>
                  </m:sub>
                  <m:sup>
                    <m:r>
                      <m:rPr>
                        <m:sty m:val="p"/>
                      </m:rPr>
                      <w:rPr>
                        <w:rFonts w:ascii="Cambria Math" w:hAnsi="Cambria Math"/>
                        <w:sz w:val="24"/>
                        <w:szCs w:val="24"/>
                        <w:vertAlign w:val="superscript"/>
                      </w:rPr>
                      <m:t>2</m:t>
                    </m:r>
                  </m:sup>
                </m:sSubSup>
                <m:sSubSup>
                  <m:sSubSupPr>
                    <m:ctrlPr>
                      <w:rPr>
                        <w:rFonts w:ascii="Cambria Math" w:hAnsi="Cambria Math"/>
                        <w:sz w:val="24"/>
                        <w:szCs w:val="24"/>
                      </w:rPr>
                    </m:ctrlPr>
                  </m:sSubSupPr>
                  <m:e>
                    <m:r>
                      <m:rPr>
                        <m:sty m:val="p"/>
                      </m:rPr>
                      <w:rPr>
                        <w:rFonts w:ascii="Cambria Math" w:hAnsi="Cambria Math"/>
                        <w:sz w:val="24"/>
                        <w:szCs w:val="24"/>
                      </w:rPr>
                      <m:t>σ</m:t>
                    </m:r>
                  </m:e>
                  <m:sub>
                    <m:r>
                      <m:rPr>
                        <m:sty m:val="p"/>
                      </m:rPr>
                      <w:rPr>
                        <w:rFonts w:ascii="Cambria Math" w:hAnsi="Cambria Math"/>
                        <w:sz w:val="24"/>
                        <w:szCs w:val="24"/>
                        <w:vertAlign w:val="subscript"/>
                      </w:rPr>
                      <m:t>y</m:t>
                    </m:r>
                  </m:sub>
                  <m:sup>
                    <m:r>
                      <m:rPr>
                        <m:sty m:val="p"/>
                      </m:rPr>
                      <w:rPr>
                        <w:rFonts w:ascii="Cambria Math" w:hAnsi="Cambria Math"/>
                        <w:sz w:val="24"/>
                        <w:szCs w:val="24"/>
                        <w:vertAlign w:val="superscript"/>
                      </w:rPr>
                      <m:t>2</m:t>
                    </m:r>
                  </m:sup>
                </m:sSubSup>
              </m:e>
            </m:rad>
          </m:den>
        </m:f>
      </m:oMath>
    </w:p>
    <w:p w14:paraId="32BE73D2" w14:textId="6821176F" w:rsidR="00770CC5" w:rsidRPr="00C97F1E" w:rsidRDefault="00C93583" w:rsidP="00E62B9B">
      <w:pPr>
        <w:spacing w:after="120" w:line="360" w:lineRule="auto"/>
        <w:jc w:val="both"/>
      </w:pPr>
      <w:r>
        <w:rPr>
          <w:sz w:val="22"/>
        </w:rPr>
        <w:t xml:space="preserve">where </w:t>
      </w:r>
      <w:r w:rsidRPr="00F145A6">
        <w:rPr>
          <w:b/>
          <w:bCs/>
          <w:i/>
          <w:iCs/>
          <w:sz w:val="22"/>
        </w:rPr>
        <w:t>pc</w:t>
      </w:r>
      <w:r w:rsidR="00F145A6">
        <w:rPr>
          <w:b/>
          <w:bCs/>
          <w:i/>
          <w:iCs/>
          <w:sz w:val="22"/>
        </w:rPr>
        <w:t xml:space="preserve"> </w:t>
      </w:r>
      <w:r w:rsidR="00F145A6">
        <w:rPr>
          <w:sz w:val="22"/>
        </w:rPr>
        <w:t>= 0.005, 0.01, 0.02.</w:t>
      </w:r>
      <w:r w:rsidR="00622039">
        <w:rPr>
          <w:b/>
          <w:bCs/>
          <w:sz w:val="22"/>
        </w:rPr>
        <w:t xml:space="preserve"> </w:t>
      </w:r>
      <w:r w:rsidR="00DB7A59" w:rsidRPr="00F145A6">
        <w:rPr>
          <w:sz w:val="22"/>
        </w:rPr>
        <w:t>In</w:t>
      </w:r>
      <w:r w:rsidR="00DB7A59" w:rsidRPr="00130C42">
        <w:rPr>
          <w:sz w:val="22"/>
        </w:rPr>
        <w:t xml:space="preserve"> G*Power (Faul et al., 2007), we entered the </w:t>
      </w:r>
      <w:r w:rsidR="001C2490">
        <w:rPr>
          <w:sz w:val="22"/>
        </w:rPr>
        <w:t xml:space="preserve">computed </w:t>
      </w:r>
      <w:r w:rsidR="00DB7A59" w:rsidRPr="00130C42">
        <w:rPr>
          <w:sz w:val="22"/>
        </w:rPr>
        <w:t>effect size</w:t>
      </w:r>
      <w:r w:rsidR="00F145A6">
        <w:rPr>
          <w:sz w:val="22"/>
        </w:rPr>
        <w:t>,</w:t>
      </w:r>
      <w:r w:rsidR="0034787F">
        <w:rPr>
          <w:sz w:val="22"/>
        </w:rPr>
        <w:t xml:space="preserve"> </w:t>
      </w:r>
      <w:r w:rsidR="0034787F" w:rsidRPr="00F145A6">
        <w:rPr>
          <w:i/>
          <w:iCs/>
          <w:sz w:val="22"/>
        </w:rPr>
        <w:t>d</w:t>
      </w:r>
      <w:r w:rsidR="0034787F">
        <w:rPr>
          <w:sz w:val="22"/>
          <w:vertAlign w:val="subscript"/>
        </w:rPr>
        <w:t>z</w:t>
      </w:r>
      <w:r w:rsidR="00DB7A59" w:rsidRPr="00130C42">
        <w:rPr>
          <w:sz w:val="22"/>
        </w:rPr>
        <w:t>, statistical</w:t>
      </w:r>
      <w:r w:rsidR="00DB7A59">
        <w:rPr>
          <w:sz w:val="22"/>
        </w:rPr>
        <w:t xml:space="preserve"> significance level</w:t>
      </w:r>
      <w:r w:rsidR="00DB7A59" w:rsidRPr="00035D29">
        <w:rPr>
          <w:sz w:val="22"/>
        </w:rPr>
        <w:t xml:space="preserve"> </w:t>
      </w:r>
      <w:r w:rsidR="00DB7A59" w:rsidRPr="00BB293C">
        <w:rPr>
          <w:sz w:val="22"/>
        </w:rPr>
        <w:t>α</w:t>
      </w:r>
      <w:r w:rsidR="00DB7A59">
        <w:rPr>
          <w:sz w:val="22"/>
        </w:rPr>
        <w:t xml:space="preserve"> = 0.05 (two-tailed)</w:t>
      </w:r>
      <w:r w:rsidR="00DB7A59">
        <w:t xml:space="preserve"> and </w:t>
      </w:r>
      <w:r w:rsidR="00DB7A59">
        <w:rPr>
          <w:sz w:val="22"/>
        </w:rPr>
        <w:t>sta</w:t>
      </w:r>
      <w:r w:rsidR="00DB7A59" w:rsidRPr="002A16FC">
        <w:rPr>
          <w:sz w:val="22"/>
        </w:rPr>
        <w:t xml:space="preserve">tistical power of at least </w:t>
      </w:r>
      <w:r w:rsidR="00DB7A59" w:rsidRPr="00AC3575">
        <w:rPr>
          <w:sz w:val="22"/>
        </w:rPr>
        <w:t xml:space="preserve">1 </w:t>
      </w:r>
      <w:r w:rsidR="00DB7A59" w:rsidRPr="00AC3575">
        <w:rPr>
          <w:rFonts w:hint="eastAsia"/>
          <w:sz w:val="22"/>
        </w:rPr>
        <w:t>−</w:t>
      </w:r>
      <w:r w:rsidR="00DB7A59" w:rsidRPr="00AC3575">
        <w:rPr>
          <w:sz w:val="22"/>
        </w:rPr>
        <w:t xml:space="preserve"> β = 0.8</w:t>
      </w:r>
      <w:r w:rsidR="00DB7A59" w:rsidRPr="002A16FC">
        <w:rPr>
          <w:sz w:val="22"/>
        </w:rPr>
        <w:t>.</w:t>
      </w:r>
      <w:r w:rsidR="00DB7A59">
        <w:t xml:space="preserve"> </w:t>
      </w:r>
      <w:r w:rsidR="00770CC5" w:rsidRPr="005E2BBE">
        <w:rPr>
          <w:bCs/>
          <w:sz w:val="22"/>
        </w:rPr>
        <w:br w:type="page"/>
      </w:r>
    </w:p>
    <w:p w14:paraId="192B3424" w14:textId="0043591E" w:rsidR="00EF2880" w:rsidRPr="00770CC5" w:rsidRDefault="009816A9" w:rsidP="00770CC5">
      <w:pPr>
        <w:pStyle w:val="Heading1"/>
        <w:spacing w:after="120" w:line="360" w:lineRule="auto"/>
        <w:rPr>
          <w:bCs/>
        </w:rPr>
      </w:pPr>
      <w:r w:rsidRPr="000B0DA1">
        <w:rPr>
          <w:bCs/>
        </w:rPr>
        <w:lastRenderedPageBreak/>
        <w:t xml:space="preserve">3. </w:t>
      </w:r>
      <w:r w:rsidR="00EF2880" w:rsidRPr="000B0DA1">
        <w:rPr>
          <w:bCs/>
        </w:rPr>
        <w:t>Results</w:t>
      </w:r>
    </w:p>
    <w:p w14:paraId="3E44678C" w14:textId="449A3316" w:rsidR="00763B24" w:rsidRDefault="00390293" w:rsidP="000B0DA1">
      <w:pPr>
        <w:pStyle w:val="Heading2"/>
        <w:spacing w:after="120" w:line="360" w:lineRule="auto"/>
        <w:jc w:val="both"/>
      </w:pPr>
      <w:r>
        <w:t xml:space="preserve">3.1 </w:t>
      </w:r>
      <w:r w:rsidR="00763B24">
        <w:t>Participants</w:t>
      </w:r>
    </w:p>
    <w:p w14:paraId="705D9C73" w14:textId="38A22837" w:rsidR="00802F86" w:rsidRPr="00074664" w:rsidRDefault="00763B24" w:rsidP="00D421AE">
      <w:pPr>
        <w:spacing w:after="240" w:line="360" w:lineRule="auto"/>
        <w:jc w:val="both"/>
        <w:rPr>
          <w:sz w:val="22"/>
        </w:rPr>
      </w:pPr>
      <w:r w:rsidRPr="00074664">
        <w:rPr>
          <w:sz w:val="22"/>
        </w:rPr>
        <w:t>Twenty healthy participants</w:t>
      </w:r>
      <w:r w:rsidR="0086422C" w:rsidRPr="00074664">
        <w:rPr>
          <w:sz w:val="22"/>
        </w:rPr>
        <w:t xml:space="preserve"> (11 female</w:t>
      </w:r>
      <w:r w:rsidR="00C775EF">
        <w:rPr>
          <w:sz w:val="22"/>
        </w:rPr>
        <w:t xml:space="preserve"> and 9 male</w:t>
      </w:r>
      <w:r w:rsidR="002C7F3A">
        <w:rPr>
          <w:sz w:val="22"/>
        </w:rPr>
        <w:t>,</w:t>
      </w:r>
      <w:r w:rsidR="0086422C" w:rsidRPr="00074664">
        <w:rPr>
          <w:sz w:val="22"/>
        </w:rPr>
        <w:t xml:space="preserve"> age</w:t>
      </w:r>
      <w:r w:rsidR="0076695B">
        <w:rPr>
          <w:sz w:val="22"/>
        </w:rPr>
        <w:t>d</w:t>
      </w:r>
      <w:r w:rsidR="00220582">
        <w:rPr>
          <w:sz w:val="22"/>
        </w:rPr>
        <w:t xml:space="preserve"> =</w:t>
      </w:r>
      <w:r w:rsidR="0086422C" w:rsidRPr="00074664">
        <w:rPr>
          <w:sz w:val="22"/>
        </w:rPr>
        <w:t xml:space="preserve"> </w:t>
      </w:r>
      <w:r w:rsidR="006C2843" w:rsidRPr="00074664">
        <w:rPr>
          <w:sz w:val="22"/>
        </w:rPr>
        <w:t>20</w:t>
      </w:r>
      <w:r w:rsidR="0086422C" w:rsidRPr="00074664">
        <w:rPr>
          <w:sz w:val="22"/>
        </w:rPr>
        <w:t>-30</w:t>
      </w:r>
      <w:r w:rsidR="002C7F3A">
        <w:rPr>
          <w:sz w:val="22"/>
        </w:rPr>
        <w:t>,</w:t>
      </w:r>
      <w:r w:rsidR="0076695B">
        <w:rPr>
          <w:sz w:val="22"/>
        </w:rPr>
        <w:t xml:space="preserve"> mean age = </w:t>
      </w:r>
      <w:r w:rsidR="00220582">
        <w:rPr>
          <w:sz w:val="22"/>
        </w:rPr>
        <w:t>24.0</w:t>
      </w:r>
      <w:r w:rsidR="00220582" w:rsidRPr="00220582">
        <w:rPr>
          <w:sz w:val="22"/>
        </w:rPr>
        <w:t>±</w:t>
      </w:r>
      <w:r w:rsidR="007F7566">
        <w:rPr>
          <w:sz w:val="22"/>
        </w:rPr>
        <w:t xml:space="preserve">2.9) </w:t>
      </w:r>
      <w:r w:rsidR="0086422C" w:rsidRPr="00074664">
        <w:rPr>
          <w:sz w:val="22"/>
        </w:rPr>
        <w:t xml:space="preserve">took part in Phase I of the study. </w:t>
      </w:r>
      <w:r w:rsidR="00D8141F" w:rsidRPr="00074664">
        <w:rPr>
          <w:sz w:val="22"/>
        </w:rPr>
        <w:t>Mean</w:t>
      </w:r>
      <w:r w:rsidR="00495392" w:rsidRPr="00074664">
        <w:rPr>
          <w:sz w:val="22"/>
        </w:rPr>
        <w:t xml:space="preserve"> </w:t>
      </w:r>
      <w:r w:rsidR="00D8141F" w:rsidRPr="00074664">
        <w:rPr>
          <w:sz w:val="22"/>
        </w:rPr>
        <w:t xml:space="preserve">interval between </w:t>
      </w:r>
      <w:r w:rsidR="008058F3" w:rsidRPr="00074664">
        <w:rPr>
          <w:sz w:val="22"/>
        </w:rPr>
        <w:t xml:space="preserve">participants’ first and second visit </w:t>
      </w:r>
      <w:r w:rsidR="00E133FA" w:rsidRPr="00074664">
        <w:rPr>
          <w:sz w:val="22"/>
        </w:rPr>
        <w:t xml:space="preserve">of Phase </w:t>
      </w:r>
      <w:r w:rsidR="00387505" w:rsidRPr="00074664">
        <w:rPr>
          <w:sz w:val="22"/>
        </w:rPr>
        <w:t xml:space="preserve">I </w:t>
      </w:r>
      <w:r w:rsidR="008058F3" w:rsidRPr="00074664">
        <w:rPr>
          <w:sz w:val="22"/>
        </w:rPr>
        <w:t>was 20.3</w:t>
      </w:r>
      <w:r w:rsidR="00B74564" w:rsidRPr="00220582">
        <w:rPr>
          <w:sz w:val="22"/>
        </w:rPr>
        <w:t>±</w:t>
      </w:r>
      <w:r w:rsidR="00495392" w:rsidRPr="00074664">
        <w:rPr>
          <w:sz w:val="22"/>
        </w:rPr>
        <w:t xml:space="preserve">16.1 </w:t>
      </w:r>
      <w:r w:rsidR="008058F3" w:rsidRPr="00074664">
        <w:rPr>
          <w:sz w:val="22"/>
        </w:rPr>
        <w:t xml:space="preserve">days. </w:t>
      </w:r>
      <w:r w:rsidR="00C47407" w:rsidRPr="00074664">
        <w:rPr>
          <w:sz w:val="22"/>
        </w:rPr>
        <w:t xml:space="preserve">Nine </w:t>
      </w:r>
      <w:r w:rsidR="00065176" w:rsidRPr="00074664">
        <w:rPr>
          <w:sz w:val="22"/>
        </w:rPr>
        <w:t>Phase I</w:t>
      </w:r>
      <w:r w:rsidR="00C47407" w:rsidRPr="00074664">
        <w:rPr>
          <w:sz w:val="22"/>
        </w:rPr>
        <w:t xml:space="preserve"> participants </w:t>
      </w:r>
      <w:r w:rsidR="00220CC1" w:rsidRPr="00074664">
        <w:rPr>
          <w:sz w:val="22"/>
        </w:rPr>
        <w:t xml:space="preserve">and 11 </w:t>
      </w:r>
      <w:r w:rsidR="00065176" w:rsidRPr="00074664">
        <w:rPr>
          <w:sz w:val="22"/>
        </w:rPr>
        <w:t xml:space="preserve">new participants completed </w:t>
      </w:r>
      <w:r w:rsidR="00207E3C" w:rsidRPr="00074664">
        <w:rPr>
          <w:sz w:val="22"/>
        </w:rPr>
        <w:t>Phase II</w:t>
      </w:r>
      <w:r w:rsidR="00D962AE" w:rsidRPr="00074664">
        <w:rPr>
          <w:sz w:val="22"/>
        </w:rPr>
        <w:t xml:space="preserve"> </w:t>
      </w:r>
      <w:r w:rsidR="00065176" w:rsidRPr="00074664">
        <w:rPr>
          <w:sz w:val="22"/>
        </w:rPr>
        <w:t>(</w:t>
      </w:r>
      <w:r w:rsidR="0069632B" w:rsidRPr="00074664">
        <w:rPr>
          <w:sz w:val="22"/>
        </w:rPr>
        <w:t>11 female</w:t>
      </w:r>
      <w:r w:rsidR="00C775EF">
        <w:rPr>
          <w:sz w:val="22"/>
        </w:rPr>
        <w:t xml:space="preserve"> and 9 male</w:t>
      </w:r>
      <w:r w:rsidR="002C7F3A">
        <w:rPr>
          <w:sz w:val="22"/>
        </w:rPr>
        <w:t>,</w:t>
      </w:r>
      <w:r w:rsidR="0069632B" w:rsidRPr="00074664">
        <w:rPr>
          <w:sz w:val="22"/>
        </w:rPr>
        <w:t xml:space="preserve"> </w:t>
      </w:r>
      <w:r w:rsidR="0096723A" w:rsidRPr="00074664">
        <w:rPr>
          <w:sz w:val="22"/>
        </w:rPr>
        <w:t>age</w:t>
      </w:r>
      <w:r w:rsidR="00D816F4">
        <w:rPr>
          <w:sz w:val="22"/>
        </w:rPr>
        <w:t>d</w:t>
      </w:r>
      <w:r w:rsidR="0096723A" w:rsidRPr="00074664">
        <w:rPr>
          <w:sz w:val="22"/>
        </w:rPr>
        <w:t xml:space="preserve"> = 22</w:t>
      </w:r>
      <w:r w:rsidR="002C7F3A">
        <w:rPr>
          <w:sz w:val="22"/>
        </w:rPr>
        <w:t>-</w:t>
      </w:r>
      <w:r w:rsidR="007558B1" w:rsidRPr="00074664">
        <w:rPr>
          <w:sz w:val="22"/>
        </w:rPr>
        <w:t>31</w:t>
      </w:r>
      <w:r w:rsidR="002C7F3A">
        <w:rPr>
          <w:sz w:val="22"/>
        </w:rPr>
        <w:t>,</w:t>
      </w:r>
      <w:r w:rsidR="007558B1" w:rsidRPr="00074664">
        <w:rPr>
          <w:sz w:val="22"/>
        </w:rPr>
        <w:t xml:space="preserve"> mean age = </w:t>
      </w:r>
      <w:r w:rsidR="00305712" w:rsidRPr="00074664">
        <w:rPr>
          <w:sz w:val="22"/>
        </w:rPr>
        <w:t>24.7</w:t>
      </w:r>
      <w:r w:rsidR="002C7F3A" w:rsidRPr="00220582">
        <w:rPr>
          <w:sz w:val="22"/>
        </w:rPr>
        <w:t>±</w:t>
      </w:r>
      <w:r w:rsidR="00D21483" w:rsidRPr="00074664">
        <w:rPr>
          <w:sz w:val="22"/>
        </w:rPr>
        <w:t>2.5)</w:t>
      </w:r>
      <w:r w:rsidR="00CE68DD" w:rsidRPr="00074664">
        <w:rPr>
          <w:sz w:val="22"/>
        </w:rPr>
        <w:t>.</w:t>
      </w:r>
      <w:r w:rsidR="00D21483" w:rsidRPr="00074664">
        <w:rPr>
          <w:sz w:val="22"/>
        </w:rPr>
        <w:t xml:space="preserve"> </w:t>
      </w:r>
      <w:r w:rsidR="00D816F4" w:rsidRPr="00074664">
        <w:rPr>
          <w:sz w:val="22"/>
        </w:rPr>
        <w:t xml:space="preserve">For the nine returning participants, the mean number of days from </w:t>
      </w:r>
      <w:r w:rsidR="001E74F4">
        <w:rPr>
          <w:sz w:val="22"/>
        </w:rPr>
        <w:t xml:space="preserve">the start of </w:t>
      </w:r>
      <w:r w:rsidR="00D816F4" w:rsidRPr="00074664">
        <w:rPr>
          <w:sz w:val="22"/>
        </w:rPr>
        <w:t>Phase I to Phase II was 47</w:t>
      </w:r>
      <w:r w:rsidR="00954329">
        <w:rPr>
          <w:sz w:val="22"/>
        </w:rPr>
        <w:t>4.7</w:t>
      </w:r>
      <w:r w:rsidR="00D816F4" w:rsidRPr="00220582">
        <w:rPr>
          <w:sz w:val="22"/>
        </w:rPr>
        <w:t>±</w:t>
      </w:r>
      <w:r w:rsidR="00D816F4" w:rsidRPr="00074664">
        <w:rPr>
          <w:sz w:val="22"/>
        </w:rPr>
        <w:t xml:space="preserve">43.2. </w:t>
      </w:r>
      <w:r w:rsidR="00020F92">
        <w:rPr>
          <w:sz w:val="22"/>
        </w:rPr>
        <w:t>For Phase II, m</w:t>
      </w:r>
      <w:r w:rsidR="00D21483" w:rsidRPr="00074664">
        <w:rPr>
          <w:sz w:val="22"/>
        </w:rPr>
        <w:t xml:space="preserve">ean interval between </w:t>
      </w:r>
      <w:r w:rsidR="002636EE">
        <w:rPr>
          <w:sz w:val="22"/>
        </w:rPr>
        <w:t xml:space="preserve">20 </w:t>
      </w:r>
      <w:r w:rsidR="00D21483" w:rsidRPr="00074664">
        <w:rPr>
          <w:sz w:val="22"/>
        </w:rPr>
        <w:t xml:space="preserve">participants’ first and second visit was </w:t>
      </w:r>
      <w:r w:rsidR="002B1591" w:rsidRPr="00074664">
        <w:rPr>
          <w:sz w:val="22"/>
        </w:rPr>
        <w:t>9.1</w:t>
      </w:r>
      <w:r w:rsidR="007B77EE" w:rsidRPr="00220582">
        <w:rPr>
          <w:sz w:val="22"/>
        </w:rPr>
        <w:t>±</w:t>
      </w:r>
      <w:r w:rsidR="002864E8" w:rsidRPr="00074664">
        <w:rPr>
          <w:sz w:val="22"/>
        </w:rPr>
        <w:t>4.0</w:t>
      </w:r>
      <w:r w:rsidR="00D21483" w:rsidRPr="00074664">
        <w:rPr>
          <w:sz w:val="22"/>
        </w:rPr>
        <w:t xml:space="preserve"> days. </w:t>
      </w:r>
      <w:r w:rsidR="00ED7BF4">
        <w:rPr>
          <w:sz w:val="22"/>
        </w:rPr>
        <w:t xml:space="preserve">Demographic and </w:t>
      </w:r>
      <w:r w:rsidR="00D60627">
        <w:rPr>
          <w:sz w:val="22"/>
        </w:rPr>
        <w:t>structural MRI</w:t>
      </w:r>
      <w:r w:rsidR="00ED7BF4">
        <w:rPr>
          <w:sz w:val="22"/>
        </w:rPr>
        <w:t xml:space="preserve"> data for </w:t>
      </w:r>
      <w:r w:rsidR="00844B4E">
        <w:rPr>
          <w:sz w:val="22"/>
        </w:rPr>
        <w:t xml:space="preserve">a subset of </w:t>
      </w:r>
      <w:r w:rsidR="00ED7BF4">
        <w:rPr>
          <w:sz w:val="22"/>
        </w:rPr>
        <w:t xml:space="preserve">24 participants </w:t>
      </w:r>
      <w:r w:rsidR="00183666">
        <w:rPr>
          <w:sz w:val="22"/>
        </w:rPr>
        <w:t xml:space="preserve">is publicly available to download </w:t>
      </w:r>
      <w:r w:rsidR="00220139">
        <w:rPr>
          <w:sz w:val="22"/>
        </w:rPr>
        <w:t xml:space="preserve">at </w:t>
      </w:r>
      <w:hyperlink r:id="rId12" w:history="1">
        <w:r w:rsidR="00220139" w:rsidRPr="00220139">
          <w:rPr>
            <w:rStyle w:val="Hyperlink"/>
            <w:sz w:val="22"/>
          </w:rPr>
          <w:t>https://si</w:t>
        </w:r>
        <w:r w:rsidR="00220139" w:rsidRPr="00FF131E">
          <w:rPr>
            <w:rStyle w:val="Hyperlink"/>
            <w:sz w:val="22"/>
          </w:rPr>
          <w:t>tes.google</w:t>
        </w:r>
        <w:r w:rsidR="00220139" w:rsidRPr="007D0DBD">
          <w:rPr>
            <w:rStyle w:val="Hyperlink"/>
            <w:sz w:val="22"/>
          </w:rPr>
          <w:t>.</w:t>
        </w:r>
        <w:r w:rsidR="00220139" w:rsidRPr="004E34B9">
          <w:rPr>
            <w:rStyle w:val="Hyperlink"/>
            <w:sz w:val="22"/>
          </w:rPr>
          <w:t>c</w:t>
        </w:r>
        <w:r w:rsidR="00220139" w:rsidRPr="00D60627">
          <w:rPr>
            <w:rStyle w:val="Hyperlink"/>
            <w:sz w:val="22"/>
          </w:rPr>
          <w:t>om/view/</w:t>
        </w:r>
        <w:r w:rsidR="00220139" w:rsidRPr="00481499">
          <w:rPr>
            <w:rStyle w:val="Hyperlink"/>
            <w:sz w:val="22"/>
          </w:rPr>
          <w:t>p</w:t>
        </w:r>
        <w:r w:rsidR="00220139" w:rsidRPr="002C0198">
          <w:rPr>
            <w:rStyle w:val="Hyperlink"/>
            <w:sz w:val="22"/>
          </w:rPr>
          <w:t>instudy</w:t>
        </w:r>
      </w:hyperlink>
      <w:r w:rsidR="00844B4E">
        <w:rPr>
          <w:sz w:val="22"/>
        </w:rPr>
        <w:t xml:space="preserve">. </w:t>
      </w:r>
    </w:p>
    <w:p w14:paraId="52376CCC" w14:textId="5CA93A63" w:rsidR="000D131F" w:rsidRDefault="00390293" w:rsidP="000B0DA1">
      <w:pPr>
        <w:pStyle w:val="Heading2"/>
        <w:spacing w:after="120" w:line="360" w:lineRule="auto"/>
        <w:jc w:val="both"/>
      </w:pPr>
      <w:r>
        <w:t xml:space="preserve">3.2 </w:t>
      </w:r>
      <w:r w:rsidR="000D131F">
        <w:t xml:space="preserve">Morphometric </w:t>
      </w:r>
      <w:r w:rsidR="0067170E">
        <w:t>m</w:t>
      </w:r>
      <w:r w:rsidR="000D131F">
        <w:t xml:space="preserve">easure </w:t>
      </w:r>
      <w:r w:rsidR="0067170E">
        <w:t>r</w:t>
      </w:r>
      <w:r w:rsidR="000D131F">
        <w:t>eliability</w:t>
      </w:r>
    </w:p>
    <w:p w14:paraId="6331C061" w14:textId="7A8E545E" w:rsidR="002A75F8" w:rsidRPr="00B85561" w:rsidRDefault="00C91827" w:rsidP="00426C01">
      <w:pPr>
        <w:pStyle w:val="Heading3"/>
        <w:rPr>
          <w:sz w:val="22"/>
          <w:szCs w:val="22"/>
        </w:rPr>
      </w:pPr>
      <w:r w:rsidRPr="00B85561">
        <w:rPr>
          <w:sz w:val="22"/>
          <w:szCs w:val="22"/>
        </w:rPr>
        <w:t xml:space="preserve">3.2.1 </w:t>
      </w:r>
      <w:r w:rsidR="00426C01" w:rsidRPr="00B85561">
        <w:rPr>
          <w:sz w:val="22"/>
          <w:szCs w:val="22"/>
        </w:rPr>
        <w:t>Impact of i</w:t>
      </w:r>
      <w:r w:rsidR="005869C1" w:rsidRPr="00B85561">
        <w:rPr>
          <w:sz w:val="22"/>
          <w:szCs w:val="22"/>
        </w:rPr>
        <w:t xml:space="preserve">mage acquisition factors </w:t>
      </w:r>
    </w:p>
    <w:p w14:paraId="2BCD642B" w14:textId="31A5F9F8" w:rsidR="00F44C7C" w:rsidRDefault="000D131F" w:rsidP="00A15626">
      <w:pPr>
        <w:spacing w:after="120" w:line="360" w:lineRule="auto"/>
        <w:jc w:val="both"/>
        <w:rPr>
          <w:sz w:val="22"/>
        </w:rPr>
      </w:pPr>
      <w:r w:rsidRPr="00074664">
        <w:rPr>
          <w:sz w:val="22"/>
        </w:rPr>
        <w:t>T</w:t>
      </w:r>
      <w:r w:rsidR="00222473" w:rsidRPr="00074664">
        <w:rPr>
          <w:sz w:val="22"/>
        </w:rPr>
        <w:t xml:space="preserve">able 1 shows </w:t>
      </w:r>
      <w:r w:rsidR="00712582" w:rsidRPr="00074664">
        <w:rPr>
          <w:sz w:val="22"/>
        </w:rPr>
        <w:t>mean ICC values of subcortical and cortical volume</w:t>
      </w:r>
      <w:r w:rsidR="004066A2" w:rsidRPr="00074664">
        <w:rPr>
          <w:sz w:val="22"/>
        </w:rPr>
        <w:t>s</w:t>
      </w:r>
      <w:r w:rsidR="00712582" w:rsidRPr="00074664">
        <w:rPr>
          <w:sz w:val="22"/>
        </w:rPr>
        <w:t xml:space="preserve">, cortical </w:t>
      </w:r>
      <w:r w:rsidR="004066A2" w:rsidRPr="00074664">
        <w:rPr>
          <w:sz w:val="22"/>
        </w:rPr>
        <w:t>thickness,</w:t>
      </w:r>
      <w:r w:rsidR="00712582" w:rsidRPr="00074664">
        <w:rPr>
          <w:sz w:val="22"/>
        </w:rPr>
        <w:t xml:space="preserve"> and cortical </w:t>
      </w:r>
      <w:r w:rsidR="00E0687B">
        <w:rPr>
          <w:sz w:val="22"/>
        </w:rPr>
        <w:t xml:space="preserve">surface </w:t>
      </w:r>
      <w:r w:rsidR="00712582" w:rsidRPr="00074664">
        <w:rPr>
          <w:sz w:val="22"/>
        </w:rPr>
        <w:t>area</w:t>
      </w:r>
      <w:r w:rsidR="004066A2" w:rsidRPr="00074664">
        <w:rPr>
          <w:sz w:val="22"/>
        </w:rPr>
        <w:t xml:space="preserve"> </w:t>
      </w:r>
      <w:r w:rsidR="006135BC" w:rsidRPr="00074664">
        <w:rPr>
          <w:sz w:val="22"/>
        </w:rPr>
        <w:t xml:space="preserve">for </w:t>
      </w:r>
      <w:r w:rsidR="004066A2" w:rsidRPr="00074664">
        <w:rPr>
          <w:sz w:val="22"/>
        </w:rPr>
        <w:t>the s</w:t>
      </w:r>
      <w:r w:rsidR="00CC4267">
        <w:rPr>
          <w:sz w:val="22"/>
        </w:rPr>
        <w:t>even</w:t>
      </w:r>
      <w:r w:rsidR="004066A2" w:rsidRPr="00074664">
        <w:rPr>
          <w:sz w:val="22"/>
        </w:rPr>
        <w:t xml:space="preserve"> planned comparisons</w:t>
      </w:r>
      <w:r w:rsidR="005C11C8" w:rsidRPr="00074664">
        <w:rPr>
          <w:sz w:val="22"/>
        </w:rPr>
        <w:t xml:space="preserve"> </w:t>
      </w:r>
      <w:r w:rsidR="009A3269" w:rsidRPr="00074664">
        <w:rPr>
          <w:sz w:val="22"/>
        </w:rPr>
        <w:t xml:space="preserve">using FreeSurfer v7.1.0 longitudinal stream </w:t>
      </w:r>
      <w:r w:rsidR="005C11C8" w:rsidRPr="00074664">
        <w:rPr>
          <w:sz w:val="22"/>
        </w:rPr>
        <w:t>(</w:t>
      </w:r>
      <w:r w:rsidR="005C11C8" w:rsidRPr="00074664">
        <w:rPr>
          <w:i/>
          <w:iCs/>
          <w:sz w:val="22"/>
        </w:rPr>
        <w:t xml:space="preserve">see </w:t>
      </w:r>
      <w:r w:rsidR="005C11C8" w:rsidRPr="00074664">
        <w:rPr>
          <w:sz w:val="22"/>
        </w:rPr>
        <w:t xml:space="preserve">Supplementary Materials </w:t>
      </w:r>
      <w:r w:rsidR="00D77A4C">
        <w:rPr>
          <w:sz w:val="22"/>
        </w:rPr>
        <w:t>S</w:t>
      </w:r>
      <w:r w:rsidR="00AB0D37">
        <w:rPr>
          <w:sz w:val="22"/>
        </w:rPr>
        <w:t>2</w:t>
      </w:r>
      <w:r w:rsidR="00D77A4C">
        <w:rPr>
          <w:sz w:val="22"/>
        </w:rPr>
        <w:t xml:space="preserve"> </w:t>
      </w:r>
      <w:r w:rsidR="005C11C8" w:rsidRPr="00074664">
        <w:rPr>
          <w:sz w:val="22"/>
        </w:rPr>
        <w:t xml:space="preserve">for </w:t>
      </w:r>
      <w:r w:rsidR="00D825ED" w:rsidRPr="00074664">
        <w:rPr>
          <w:sz w:val="22"/>
        </w:rPr>
        <w:t xml:space="preserve">ICC values </w:t>
      </w:r>
      <w:r w:rsidR="00380C53" w:rsidRPr="00074664">
        <w:rPr>
          <w:sz w:val="22"/>
        </w:rPr>
        <w:t xml:space="preserve">of </w:t>
      </w:r>
      <w:r w:rsidR="00D825ED" w:rsidRPr="00074664">
        <w:rPr>
          <w:sz w:val="22"/>
        </w:rPr>
        <w:t>individual brain regions)</w:t>
      </w:r>
      <w:r w:rsidR="004066A2" w:rsidRPr="00074664">
        <w:rPr>
          <w:sz w:val="22"/>
        </w:rPr>
        <w:t xml:space="preserve">. </w:t>
      </w:r>
      <w:r w:rsidR="00426C01">
        <w:rPr>
          <w:sz w:val="22"/>
        </w:rPr>
        <w:t xml:space="preserve">There were high values of reliability </w:t>
      </w:r>
      <w:r w:rsidR="00426C01" w:rsidRPr="00074664">
        <w:rPr>
          <w:sz w:val="22"/>
        </w:rPr>
        <w:t xml:space="preserve">for all subcortical and cortical volumes and cortical </w:t>
      </w:r>
      <w:r w:rsidR="00426C01">
        <w:rPr>
          <w:sz w:val="22"/>
        </w:rPr>
        <w:t xml:space="preserve">surface </w:t>
      </w:r>
      <w:r w:rsidR="00426C01" w:rsidRPr="00074664">
        <w:rPr>
          <w:sz w:val="22"/>
        </w:rPr>
        <w:t>area comparisons, with values ranging from 0.964 – 0.990 (95% confidence intervals</w:t>
      </w:r>
      <w:r w:rsidR="00426C01">
        <w:rPr>
          <w:sz w:val="22"/>
        </w:rPr>
        <w:t xml:space="preserve"> (CI)</w:t>
      </w:r>
      <w:r w:rsidR="00426C01" w:rsidRPr="00074664">
        <w:rPr>
          <w:sz w:val="22"/>
        </w:rPr>
        <w:t>: 0.804 – 0.997).</w:t>
      </w:r>
      <w:r w:rsidR="005525FB">
        <w:rPr>
          <w:sz w:val="22"/>
        </w:rPr>
        <w:t xml:space="preserve"> </w:t>
      </w:r>
      <w:r w:rsidR="00E02BF8">
        <w:rPr>
          <w:sz w:val="22"/>
        </w:rPr>
        <w:t xml:space="preserve">Cortical thickness appears to be the least reliable morphometric measure with an ICC range of 0.736 – 0.926 (95% CI: 0.352 – 0.970). </w:t>
      </w:r>
      <w:r w:rsidR="0005441D">
        <w:rPr>
          <w:sz w:val="22"/>
        </w:rPr>
        <w:t>As a result, u</w:t>
      </w:r>
      <w:r w:rsidR="008765D0">
        <w:rPr>
          <w:sz w:val="22"/>
        </w:rPr>
        <w:t>sing data presented in Supplementary Materials S</w:t>
      </w:r>
      <w:r w:rsidR="00AB0D37">
        <w:rPr>
          <w:sz w:val="22"/>
        </w:rPr>
        <w:t>2</w:t>
      </w:r>
      <w:r w:rsidR="0088381D">
        <w:rPr>
          <w:sz w:val="22"/>
        </w:rPr>
        <w:t xml:space="preserve">, we calculated </w:t>
      </w:r>
      <w:r w:rsidR="00FD7A0E">
        <w:rPr>
          <w:sz w:val="22"/>
        </w:rPr>
        <w:t xml:space="preserve">the </w:t>
      </w:r>
      <w:r w:rsidR="00CE0235">
        <w:rPr>
          <w:sz w:val="22"/>
        </w:rPr>
        <w:t xml:space="preserve">mean ICC </w:t>
      </w:r>
      <w:r w:rsidR="00FD7A0E">
        <w:rPr>
          <w:sz w:val="22"/>
        </w:rPr>
        <w:t xml:space="preserve">(across the seven planned comparisons) </w:t>
      </w:r>
      <w:r w:rsidR="00CE0235">
        <w:rPr>
          <w:sz w:val="22"/>
        </w:rPr>
        <w:t xml:space="preserve">for </w:t>
      </w:r>
      <w:r w:rsidR="00AA7307">
        <w:rPr>
          <w:sz w:val="22"/>
        </w:rPr>
        <w:t xml:space="preserve">thickness estimates </w:t>
      </w:r>
      <w:r w:rsidR="0005441D">
        <w:rPr>
          <w:sz w:val="22"/>
        </w:rPr>
        <w:t>of individual regions</w:t>
      </w:r>
      <w:r w:rsidR="00AA7307">
        <w:rPr>
          <w:sz w:val="22"/>
        </w:rPr>
        <w:t xml:space="preserve">. </w:t>
      </w:r>
      <w:r w:rsidR="00DE0B5C">
        <w:rPr>
          <w:sz w:val="22"/>
        </w:rPr>
        <w:t xml:space="preserve">Five regions with </w:t>
      </w:r>
      <w:r w:rsidR="00D25C89">
        <w:rPr>
          <w:sz w:val="22"/>
        </w:rPr>
        <w:t>highest</w:t>
      </w:r>
      <w:r w:rsidR="00DE0B5C">
        <w:rPr>
          <w:sz w:val="22"/>
        </w:rPr>
        <w:t xml:space="preserve"> cortical thickness reliability were</w:t>
      </w:r>
      <w:r w:rsidR="000878AC">
        <w:rPr>
          <w:sz w:val="22"/>
        </w:rPr>
        <w:t xml:space="preserve"> the</w:t>
      </w:r>
      <w:r w:rsidR="00DE0B5C">
        <w:rPr>
          <w:sz w:val="22"/>
        </w:rPr>
        <w:t xml:space="preserve"> right hemisphere caudal anterior cingulate, precentral</w:t>
      </w:r>
      <w:r w:rsidR="00911E32">
        <w:rPr>
          <w:sz w:val="22"/>
        </w:rPr>
        <w:t xml:space="preserve"> gyrus</w:t>
      </w:r>
      <w:r w:rsidR="00DE0B5C">
        <w:rPr>
          <w:sz w:val="22"/>
        </w:rPr>
        <w:t>, isthmus cingulate</w:t>
      </w:r>
      <w:r w:rsidR="006C0C84">
        <w:rPr>
          <w:sz w:val="22"/>
        </w:rPr>
        <w:t>,</w:t>
      </w:r>
      <w:r w:rsidR="00DE0B5C">
        <w:rPr>
          <w:sz w:val="22"/>
        </w:rPr>
        <w:t xml:space="preserve"> and right and left hemisphere parahippocampus (</w:t>
      </w:r>
      <w:r w:rsidR="00FE68A9">
        <w:rPr>
          <w:sz w:val="22"/>
        </w:rPr>
        <w:t xml:space="preserve">ICCs of </w:t>
      </w:r>
      <w:r w:rsidR="00DE0B5C">
        <w:rPr>
          <w:sz w:val="22"/>
        </w:rPr>
        <w:t>0.937 – 0.969).</w:t>
      </w:r>
      <w:r w:rsidR="00D25C89">
        <w:rPr>
          <w:sz w:val="22"/>
        </w:rPr>
        <w:t xml:space="preserve"> Those with the lowest reliability estimates were </w:t>
      </w:r>
      <w:r w:rsidR="007009AE">
        <w:rPr>
          <w:sz w:val="22"/>
        </w:rPr>
        <w:t xml:space="preserve">the </w:t>
      </w:r>
      <w:r w:rsidR="00E02BF8">
        <w:rPr>
          <w:sz w:val="22"/>
        </w:rPr>
        <w:t>right hemisphere supramarginal</w:t>
      </w:r>
      <w:r w:rsidR="00893280">
        <w:rPr>
          <w:sz w:val="22"/>
        </w:rPr>
        <w:t xml:space="preserve"> gyrus</w:t>
      </w:r>
      <w:r w:rsidR="00E02BF8">
        <w:rPr>
          <w:sz w:val="22"/>
        </w:rPr>
        <w:t>, superior parietal</w:t>
      </w:r>
      <w:r w:rsidR="00C84BF4">
        <w:rPr>
          <w:sz w:val="22"/>
        </w:rPr>
        <w:t xml:space="preserve"> lobe</w:t>
      </w:r>
      <w:r w:rsidR="00E02BF8">
        <w:rPr>
          <w:sz w:val="22"/>
        </w:rPr>
        <w:t>, temporal pole</w:t>
      </w:r>
      <w:r w:rsidR="004D7ED7">
        <w:rPr>
          <w:sz w:val="22"/>
        </w:rPr>
        <w:t>,</w:t>
      </w:r>
      <w:r w:rsidR="00E02BF8">
        <w:rPr>
          <w:sz w:val="22"/>
        </w:rPr>
        <w:t xml:space="preserve"> and right and left hemisphere inferior parietal</w:t>
      </w:r>
      <w:r w:rsidR="004D7ED7">
        <w:rPr>
          <w:sz w:val="22"/>
        </w:rPr>
        <w:t xml:space="preserve"> lobe</w:t>
      </w:r>
      <w:r w:rsidR="00E02BF8">
        <w:rPr>
          <w:sz w:val="22"/>
        </w:rPr>
        <w:t xml:space="preserve"> (ICCs</w:t>
      </w:r>
      <w:r w:rsidR="00D25C89">
        <w:rPr>
          <w:sz w:val="22"/>
        </w:rPr>
        <w:t xml:space="preserve"> of</w:t>
      </w:r>
      <w:r w:rsidR="00E02BF8">
        <w:rPr>
          <w:sz w:val="22"/>
        </w:rPr>
        <w:t xml:space="preserve"> 0.714 – 0.754).  </w:t>
      </w:r>
      <w:r w:rsidR="00F44C7C">
        <w:rPr>
          <w:sz w:val="22"/>
        </w:rPr>
        <w:br w:type="page"/>
      </w:r>
    </w:p>
    <w:p w14:paraId="09B63105" w14:textId="13661BEE" w:rsidR="006E5EB8" w:rsidRDefault="00F44C7C" w:rsidP="000B7521">
      <w:pPr>
        <w:jc w:val="both"/>
        <w:rPr>
          <w:sz w:val="22"/>
        </w:rPr>
      </w:pPr>
      <w:r>
        <w:rPr>
          <w:noProof/>
        </w:rPr>
        <w:lastRenderedPageBreak/>
        <mc:AlternateContent>
          <mc:Choice Requires="wps">
            <w:drawing>
              <wp:anchor distT="45720" distB="45720" distL="114300" distR="114300" simplePos="0" relativeHeight="251661312" behindDoc="1" locked="0" layoutInCell="1" allowOverlap="1" wp14:anchorId="1FBA048B" wp14:editId="28A0C3E1">
                <wp:simplePos x="0" y="0"/>
                <wp:positionH relativeFrom="margin">
                  <wp:posOffset>-445770</wp:posOffset>
                </wp:positionH>
                <wp:positionV relativeFrom="paragraph">
                  <wp:posOffset>2425065</wp:posOffset>
                </wp:positionV>
                <wp:extent cx="6502400" cy="1231900"/>
                <wp:effectExtent l="0" t="0" r="0" b="6350"/>
                <wp:wrapTight wrapText="bothSides">
                  <wp:wrapPolygon edited="0">
                    <wp:start x="190" y="0"/>
                    <wp:lineTo x="190" y="21377"/>
                    <wp:lineTo x="21389" y="21377"/>
                    <wp:lineTo x="21389" y="0"/>
                    <wp:lineTo x="19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1231900"/>
                        </a:xfrm>
                        <a:prstGeom prst="rect">
                          <a:avLst/>
                        </a:prstGeom>
                        <a:noFill/>
                        <a:ln w="9525">
                          <a:noFill/>
                          <a:miter lim="800000"/>
                          <a:headEnd/>
                          <a:tailEnd/>
                        </a:ln>
                      </wps:spPr>
                      <wps:txbx>
                        <w:txbxContent>
                          <w:p w14:paraId="1977F474" w14:textId="77777777" w:rsidR="00F45C7C" w:rsidRPr="000542B4" w:rsidRDefault="00F45C7C" w:rsidP="0080282A">
                            <w:pPr>
                              <w:spacing w:after="0" w:line="240" w:lineRule="auto"/>
                              <w:rPr>
                                <w:szCs w:val="20"/>
                              </w:rPr>
                            </w:pPr>
                            <w:r w:rsidRPr="000542B4">
                              <w:rPr>
                                <w:szCs w:val="20"/>
                              </w:rPr>
                              <w:t>LH, left hemisphere; RH, right hemisphere</w:t>
                            </w:r>
                          </w:p>
                          <w:p w14:paraId="29E9D1BF" w14:textId="77777777" w:rsidR="00F45C7C" w:rsidRPr="000542B4" w:rsidRDefault="00F45C7C" w:rsidP="0080282A">
                            <w:pPr>
                              <w:spacing w:after="0" w:line="240" w:lineRule="auto"/>
                              <w:rPr>
                                <w:szCs w:val="20"/>
                              </w:rPr>
                            </w:pPr>
                            <w:r w:rsidRPr="000542B4">
                              <w:rPr>
                                <w:szCs w:val="20"/>
                                <w:vertAlign w:val="superscript"/>
                              </w:rPr>
                              <w:t>1</w:t>
                            </w:r>
                            <w:r w:rsidRPr="000542B4">
                              <w:rPr>
                                <w:szCs w:val="20"/>
                              </w:rPr>
                              <w:t>generated from subcortical segmentation (aseg.stats) of FreeSurfer v7.1.0 longitudinal stream</w:t>
                            </w:r>
                          </w:p>
                          <w:p w14:paraId="3C154211" w14:textId="3F3C776D" w:rsidR="00F45C7C" w:rsidRPr="000542B4" w:rsidRDefault="00F45C7C" w:rsidP="0080282A">
                            <w:pPr>
                              <w:spacing w:after="0" w:line="240" w:lineRule="auto"/>
                              <w:rPr>
                                <w:szCs w:val="20"/>
                              </w:rPr>
                            </w:pPr>
                            <w:r w:rsidRPr="000542B4">
                              <w:rPr>
                                <w:szCs w:val="20"/>
                                <w:vertAlign w:val="superscript"/>
                              </w:rPr>
                              <w:t>2</w:t>
                            </w:r>
                            <w:r w:rsidRPr="000542B4">
                              <w:rPr>
                                <w:szCs w:val="20"/>
                              </w:rPr>
                              <w:t>generated from cortical parcellation (aparc.stats) of FreeSurfer v7.1.0 longitudinal stream</w:t>
                            </w:r>
                          </w:p>
                          <w:p w14:paraId="22ABF0AF" w14:textId="33330071" w:rsidR="00F45C7C" w:rsidRPr="000542B4" w:rsidRDefault="00F45C7C" w:rsidP="00A31BBE">
                            <w:pPr>
                              <w:spacing w:after="0" w:line="240" w:lineRule="auto"/>
                              <w:rPr>
                                <w:szCs w:val="20"/>
                              </w:rPr>
                            </w:pPr>
                            <w:r w:rsidRPr="000542B4">
                              <w:rPr>
                                <w:szCs w:val="20"/>
                                <w:vertAlign w:val="superscript"/>
                              </w:rPr>
                              <w:t>3</w:t>
                            </w:r>
                            <w:r w:rsidRPr="000542B4">
                              <w:rPr>
                                <w:szCs w:val="20"/>
                              </w:rPr>
                              <w:t xml:space="preserve">calculated for each comparison as the mean ICC value of subcortical volume and cortical volume, thickness, and </w:t>
                            </w:r>
                            <w:r w:rsidR="009117D0">
                              <w:rPr>
                                <w:szCs w:val="20"/>
                              </w:rPr>
                              <w:t xml:space="preserve">surface </w:t>
                            </w:r>
                            <w:r w:rsidRPr="000542B4">
                              <w:rPr>
                                <w:szCs w:val="20"/>
                              </w:rPr>
                              <w:t>area measurements</w:t>
                            </w:r>
                          </w:p>
                          <w:p w14:paraId="42F16584" w14:textId="65F965B9" w:rsidR="00F45C7C" w:rsidRPr="000542B4" w:rsidRDefault="00F45C7C" w:rsidP="00A31BBE">
                            <w:pPr>
                              <w:spacing w:after="0" w:line="240" w:lineRule="auto"/>
                              <w:rPr>
                                <w:szCs w:val="20"/>
                              </w:rPr>
                            </w:pPr>
                            <w:r w:rsidRPr="000542B4">
                              <w:rPr>
                                <w:szCs w:val="20"/>
                                <w:vertAlign w:val="superscript"/>
                              </w:rPr>
                              <w:t>4</w:t>
                            </w:r>
                            <w:r w:rsidRPr="000542B4">
                              <w:rPr>
                                <w:szCs w:val="20"/>
                              </w:rPr>
                              <w:t>n=9 participants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A048B" id="_x0000_s1027" type="#_x0000_t202" style="position:absolute;left:0;text-align:left;margin-left:-35.1pt;margin-top:190.95pt;width:512pt;height:97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" filled="f" stroked="f">
                <v:textbox>
                  <w:txbxContent>
                    <w:p w14:paraId="1977F474" w14:textId="77777777" w:rsidR="00F45C7C" w:rsidRPr="000542B4" w:rsidRDefault="00F45C7C" w:rsidP="0080282A">
                      <w:pPr>
                        <w:spacing w:after="0" w:line="240" w:lineRule="auto"/>
                        <w:rPr>
                          <w:szCs w:val="20"/>
                        </w:rPr>
                      </w:pPr>
                      <w:r w:rsidRPr="000542B4">
                        <w:rPr>
                          <w:szCs w:val="20"/>
                        </w:rPr>
                        <w:t xml:space="preserve">LH, left </w:t>
                      </w:r>
                      <w:proofErr w:type="gramStart"/>
                      <w:r w:rsidRPr="000542B4">
                        <w:rPr>
                          <w:szCs w:val="20"/>
                        </w:rPr>
                        <w:t>hemisphere;</w:t>
                      </w:r>
                      <w:proofErr w:type="gramEnd"/>
                      <w:r w:rsidRPr="000542B4">
                        <w:rPr>
                          <w:szCs w:val="20"/>
                        </w:rPr>
                        <w:t xml:space="preserve"> RH, right hemisphere</w:t>
                      </w:r>
                    </w:p>
                    <w:p w14:paraId="29E9D1BF" w14:textId="77777777" w:rsidR="00F45C7C" w:rsidRPr="000542B4" w:rsidRDefault="00F45C7C" w:rsidP="0080282A">
                      <w:pPr>
                        <w:spacing w:after="0" w:line="240" w:lineRule="auto"/>
                        <w:rPr>
                          <w:szCs w:val="20"/>
                        </w:rPr>
                      </w:pPr>
                      <w:r w:rsidRPr="000542B4">
                        <w:rPr>
                          <w:szCs w:val="20"/>
                          <w:vertAlign w:val="superscript"/>
                        </w:rPr>
                        <w:t>1</w:t>
                      </w:r>
                      <w:r w:rsidRPr="000542B4">
                        <w:rPr>
                          <w:szCs w:val="20"/>
                        </w:rPr>
                        <w:t>generated from subcortical segmentation (aseg.stats) of FreeSurfer v7.1.0 longitudinal stream</w:t>
                      </w:r>
                    </w:p>
                    <w:p w14:paraId="3C154211" w14:textId="3F3C776D" w:rsidR="00F45C7C" w:rsidRPr="000542B4" w:rsidRDefault="00F45C7C" w:rsidP="0080282A">
                      <w:pPr>
                        <w:spacing w:after="0" w:line="240" w:lineRule="auto"/>
                        <w:rPr>
                          <w:szCs w:val="20"/>
                        </w:rPr>
                      </w:pPr>
                      <w:r w:rsidRPr="000542B4">
                        <w:rPr>
                          <w:szCs w:val="20"/>
                          <w:vertAlign w:val="superscript"/>
                        </w:rPr>
                        <w:t>2</w:t>
                      </w:r>
                      <w:r w:rsidRPr="000542B4">
                        <w:rPr>
                          <w:szCs w:val="20"/>
                        </w:rPr>
                        <w:t>generated from cortical parcellation (aparc.stats) of FreeSurfer v7.1.0 longitudinal stream</w:t>
                      </w:r>
                    </w:p>
                    <w:p w14:paraId="22ABF0AF" w14:textId="33330071" w:rsidR="00F45C7C" w:rsidRPr="000542B4" w:rsidRDefault="00F45C7C" w:rsidP="00A31BBE">
                      <w:pPr>
                        <w:spacing w:after="0" w:line="240" w:lineRule="auto"/>
                        <w:rPr>
                          <w:szCs w:val="20"/>
                        </w:rPr>
                      </w:pPr>
                      <w:r w:rsidRPr="000542B4">
                        <w:rPr>
                          <w:szCs w:val="20"/>
                          <w:vertAlign w:val="superscript"/>
                        </w:rPr>
                        <w:t>3</w:t>
                      </w:r>
                      <w:r w:rsidRPr="000542B4">
                        <w:rPr>
                          <w:szCs w:val="20"/>
                        </w:rPr>
                        <w:t xml:space="preserve">calculated for each comparison as the mean ICC value of subcortical volume and cortical volume, thickness, and </w:t>
                      </w:r>
                      <w:r w:rsidR="009117D0">
                        <w:rPr>
                          <w:szCs w:val="20"/>
                        </w:rPr>
                        <w:t xml:space="preserve">surface </w:t>
                      </w:r>
                      <w:r w:rsidRPr="000542B4">
                        <w:rPr>
                          <w:szCs w:val="20"/>
                        </w:rPr>
                        <w:t>area measurements</w:t>
                      </w:r>
                    </w:p>
                    <w:p w14:paraId="42F16584" w14:textId="65F965B9" w:rsidR="00F45C7C" w:rsidRPr="000542B4" w:rsidRDefault="00F45C7C" w:rsidP="00A31BBE">
                      <w:pPr>
                        <w:spacing w:after="0" w:line="240" w:lineRule="auto"/>
                        <w:rPr>
                          <w:szCs w:val="20"/>
                        </w:rPr>
                      </w:pPr>
                      <w:r w:rsidRPr="000542B4">
                        <w:rPr>
                          <w:szCs w:val="20"/>
                          <w:vertAlign w:val="superscript"/>
                        </w:rPr>
                        <w:t>4</w:t>
                      </w:r>
                      <w:r w:rsidRPr="000542B4">
                        <w:rPr>
                          <w:szCs w:val="20"/>
                        </w:rPr>
                        <w:t>n=9 participants</w:t>
                      </w:r>
                    </w:p>
                  </w:txbxContent>
                </v:textbox>
                <w10:wrap type="tight" anchorx="margin"/>
              </v:shape>
            </w:pict>
          </mc:Fallback>
        </mc:AlternateContent>
      </w:r>
      <w:r w:rsidR="0067759C" w:rsidRPr="00074664">
        <w:rPr>
          <w:noProof/>
          <w:sz w:val="22"/>
        </w:rPr>
        <mc:AlternateContent>
          <mc:Choice Requires="wps">
            <w:drawing>
              <wp:anchor distT="45720" distB="45720" distL="114300" distR="114300" simplePos="0" relativeHeight="251659264" behindDoc="0" locked="0" layoutInCell="1" allowOverlap="1" wp14:anchorId="38709344" wp14:editId="5AEBF379">
                <wp:simplePos x="0" y="0"/>
                <wp:positionH relativeFrom="column">
                  <wp:posOffset>-241300</wp:posOffset>
                </wp:positionH>
                <wp:positionV relativeFrom="paragraph">
                  <wp:posOffset>0</wp:posOffset>
                </wp:positionV>
                <wp:extent cx="66675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04620"/>
                        </a:xfrm>
                        <a:prstGeom prst="rect">
                          <a:avLst/>
                        </a:prstGeom>
                        <a:noFill/>
                        <a:ln w="9525">
                          <a:noFill/>
                          <a:miter lim="800000"/>
                          <a:headEnd/>
                          <a:tailEnd/>
                        </a:ln>
                      </wps:spPr>
                      <wps:txbx>
                        <w:txbxContent>
                          <w:p w14:paraId="012F1A8B" w14:textId="2FFC0147" w:rsidR="00F45C7C" w:rsidRPr="000B0DA1" w:rsidRDefault="00F45C7C" w:rsidP="009F168E">
                            <w:pPr>
                              <w:spacing w:after="0" w:line="240" w:lineRule="auto"/>
                              <w:rPr>
                                <w:i/>
                                <w:iCs/>
                                <w:sz w:val="22"/>
                              </w:rPr>
                            </w:pPr>
                            <w:r w:rsidRPr="000B0DA1">
                              <w:rPr>
                                <w:i/>
                                <w:iCs/>
                                <w:sz w:val="22"/>
                              </w:rPr>
                              <w:t>Table 1: Mean ICC values of subcortical and cortical volumes, cortical thickness, and cortical</w:t>
                            </w:r>
                            <w:r>
                              <w:rPr>
                                <w:i/>
                                <w:iCs/>
                                <w:sz w:val="22"/>
                              </w:rPr>
                              <w:t xml:space="preserve"> surface</w:t>
                            </w:r>
                            <w:r w:rsidRPr="000B0DA1">
                              <w:rPr>
                                <w:i/>
                                <w:iCs/>
                                <w:sz w:val="22"/>
                              </w:rPr>
                              <w:t xml:space="preserve"> area morphometric measurements f</w:t>
                            </w:r>
                            <w:r w:rsidR="00935F8B">
                              <w:rPr>
                                <w:i/>
                                <w:iCs/>
                                <w:sz w:val="22"/>
                              </w:rPr>
                              <w:t>rom</w:t>
                            </w:r>
                            <w:r w:rsidRPr="000B0DA1">
                              <w:rPr>
                                <w:i/>
                                <w:iCs/>
                                <w:sz w:val="22"/>
                              </w:rPr>
                              <w:t xml:space="preserve"> FreeSurfer v7.1.0 longitudinal stream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709344" id="_x0000_s1028" type="#_x0000_t202" style="position:absolute;left:0;text-align:left;margin-left:-19pt;margin-top:0;width:5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" filled="f" stroked="f">
                <v:textbox style="mso-fit-shape-to-text:t">
                  <w:txbxContent>
                    <w:p w14:paraId="012F1A8B" w14:textId="2FFC0147" w:rsidR="00F45C7C" w:rsidRPr="000B0DA1" w:rsidRDefault="00F45C7C" w:rsidP="009F168E">
                      <w:pPr>
                        <w:spacing w:after="0" w:line="240" w:lineRule="auto"/>
                        <w:rPr>
                          <w:i/>
                          <w:iCs/>
                          <w:sz w:val="22"/>
                        </w:rPr>
                      </w:pPr>
                      <w:r w:rsidRPr="000B0DA1">
                        <w:rPr>
                          <w:i/>
                          <w:iCs/>
                          <w:sz w:val="22"/>
                        </w:rPr>
                        <w:t>Table 1: Mean ICC values of subcortical and cortical volumes, cortical thickness, and cortical</w:t>
                      </w:r>
                      <w:r>
                        <w:rPr>
                          <w:i/>
                          <w:iCs/>
                          <w:sz w:val="22"/>
                        </w:rPr>
                        <w:t xml:space="preserve"> surface</w:t>
                      </w:r>
                      <w:r w:rsidRPr="000B0DA1">
                        <w:rPr>
                          <w:i/>
                          <w:iCs/>
                          <w:sz w:val="22"/>
                        </w:rPr>
                        <w:t xml:space="preserve"> area morphometric measurements f</w:t>
                      </w:r>
                      <w:r w:rsidR="00935F8B">
                        <w:rPr>
                          <w:i/>
                          <w:iCs/>
                          <w:sz w:val="22"/>
                        </w:rPr>
                        <w:t>rom</w:t>
                      </w:r>
                      <w:r w:rsidRPr="000B0DA1">
                        <w:rPr>
                          <w:i/>
                          <w:iCs/>
                          <w:sz w:val="22"/>
                        </w:rPr>
                        <w:t xml:space="preserve"> FreeSurfer v7.1.0 longitudinal stream</w:t>
                      </w:r>
                    </w:p>
                  </w:txbxContent>
                </v:textbox>
              </v:shape>
            </w:pict>
          </mc:Fallback>
        </mc:AlternateContent>
      </w:r>
    </w:p>
    <w:tbl>
      <w:tblPr>
        <w:tblpPr w:leftFromText="180" w:rightFromText="180" w:vertAnchor="text" w:horzAnchor="margin" w:tblpXSpec="center" w:tblpY="233"/>
        <w:tblW w:w="10678" w:type="dxa"/>
        <w:tblLook w:val="04A0" w:firstRow="1" w:lastRow="0" w:firstColumn="1" w:lastColumn="0" w:noHBand="0" w:noVBand="1"/>
      </w:tblPr>
      <w:tblGrid>
        <w:gridCol w:w="2244"/>
        <w:gridCol w:w="473"/>
        <w:gridCol w:w="1150"/>
        <w:gridCol w:w="1169"/>
        <w:gridCol w:w="1140"/>
        <w:gridCol w:w="1479"/>
        <w:gridCol w:w="1134"/>
        <w:gridCol w:w="1086"/>
        <w:gridCol w:w="933"/>
      </w:tblGrid>
      <w:tr w:rsidR="006E5EB8" w:rsidRPr="006E5EB8" w14:paraId="7E957A86" w14:textId="77777777" w:rsidTr="00A912C4">
        <w:trPr>
          <w:trHeight w:val="580"/>
        </w:trPr>
        <w:tc>
          <w:tcPr>
            <w:tcW w:w="2244" w:type="dxa"/>
            <w:tcBorders>
              <w:top w:val="single" w:sz="4" w:space="0" w:color="auto"/>
              <w:left w:val="nil"/>
              <w:bottom w:val="single" w:sz="4" w:space="0" w:color="auto"/>
              <w:right w:val="nil"/>
            </w:tcBorders>
            <w:shd w:val="clear" w:color="auto" w:fill="auto"/>
            <w:noWrap/>
            <w:vAlign w:val="bottom"/>
            <w:hideMark/>
          </w:tcPr>
          <w:p w14:paraId="1D6B1D4F" w14:textId="727B499E" w:rsidR="006E5EB8" w:rsidRPr="006E5EB8" w:rsidRDefault="006E5EB8" w:rsidP="006E5EB8">
            <w:pPr>
              <w:spacing w:after="0" w:line="240" w:lineRule="auto"/>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 </w:t>
            </w:r>
          </w:p>
        </w:tc>
        <w:tc>
          <w:tcPr>
            <w:tcW w:w="473" w:type="dxa"/>
            <w:tcBorders>
              <w:top w:val="single" w:sz="4" w:space="0" w:color="auto"/>
              <w:left w:val="nil"/>
              <w:bottom w:val="single" w:sz="4" w:space="0" w:color="auto"/>
              <w:right w:val="nil"/>
            </w:tcBorders>
            <w:shd w:val="clear" w:color="auto" w:fill="auto"/>
            <w:noWrap/>
            <w:vAlign w:val="bottom"/>
            <w:hideMark/>
          </w:tcPr>
          <w:p w14:paraId="31503259" w14:textId="77777777" w:rsidR="006E5EB8" w:rsidRPr="006E5EB8" w:rsidRDefault="006E5EB8" w:rsidP="006E5EB8">
            <w:pPr>
              <w:spacing w:after="0" w:line="240" w:lineRule="auto"/>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 </w:t>
            </w:r>
          </w:p>
        </w:tc>
        <w:tc>
          <w:tcPr>
            <w:tcW w:w="1150" w:type="dxa"/>
            <w:tcBorders>
              <w:top w:val="single" w:sz="4" w:space="0" w:color="auto"/>
              <w:left w:val="nil"/>
              <w:bottom w:val="single" w:sz="4" w:space="0" w:color="auto"/>
              <w:right w:val="nil"/>
            </w:tcBorders>
            <w:shd w:val="clear" w:color="auto" w:fill="auto"/>
            <w:vAlign w:val="bottom"/>
            <w:hideMark/>
          </w:tcPr>
          <w:p w14:paraId="6CA84138"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Repetition</w:t>
            </w:r>
            <w:r w:rsidRPr="006E5EB8">
              <w:rPr>
                <w:rFonts w:ascii="Calibri" w:eastAsia="Times New Roman" w:hAnsi="Calibri" w:cs="Calibri"/>
                <w:color w:val="000000"/>
                <w:sz w:val="22"/>
                <w:lang w:eastAsia="en-GB"/>
              </w:rPr>
              <w:br/>
            </w:r>
            <w:r w:rsidRPr="006E5EB8">
              <w:rPr>
                <w:rFonts w:ascii="Calibri" w:eastAsia="Times New Roman" w:hAnsi="Calibri" w:cs="Calibri"/>
                <w:color w:val="000000"/>
                <w:sz w:val="18"/>
                <w:szCs w:val="18"/>
                <w:lang w:eastAsia="en-GB"/>
              </w:rPr>
              <w:t xml:space="preserve">A1 vs A2 </w:t>
            </w:r>
          </w:p>
        </w:tc>
        <w:tc>
          <w:tcPr>
            <w:tcW w:w="1169" w:type="dxa"/>
            <w:tcBorders>
              <w:top w:val="single" w:sz="4" w:space="0" w:color="auto"/>
              <w:left w:val="nil"/>
              <w:bottom w:val="single" w:sz="4" w:space="0" w:color="auto"/>
              <w:right w:val="nil"/>
            </w:tcBorders>
            <w:shd w:val="clear" w:color="auto" w:fill="auto"/>
            <w:vAlign w:val="bottom"/>
            <w:hideMark/>
          </w:tcPr>
          <w:p w14:paraId="0DDAE6BA"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Reposition</w:t>
            </w:r>
            <w:r w:rsidRPr="006E5EB8">
              <w:rPr>
                <w:rFonts w:ascii="Calibri" w:eastAsia="Times New Roman" w:hAnsi="Calibri" w:cs="Calibri"/>
                <w:color w:val="000000"/>
                <w:sz w:val="22"/>
                <w:lang w:eastAsia="en-GB"/>
              </w:rPr>
              <w:br/>
            </w:r>
            <w:r w:rsidRPr="006E5EB8">
              <w:rPr>
                <w:rFonts w:ascii="Calibri" w:eastAsia="Times New Roman" w:hAnsi="Calibri" w:cs="Calibri"/>
                <w:color w:val="000000"/>
                <w:sz w:val="18"/>
                <w:szCs w:val="18"/>
                <w:lang w:eastAsia="en-GB"/>
              </w:rPr>
              <w:t>A1 vs A3</w:t>
            </w:r>
          </w:p>
        </w:tc>
        <w:tc>
          <w:tcPr>
            <w:tcW w:w="1140" w:type="dxa"/>
            <w:tcBorders>
              <w:top w:val="single" w:sz="4" w:space="0" w:color="auto"/>
              <w:left w:val="nil"/>
              <w:bottom w:val="single" w:sz="4" w:space="0" w:color="auto"/>
              <w:right w:val="nil"/>
            </w:tcBorders>
            <w:shd w:val="clear" w:color="auto" w:fill="auto"/>
            <w:vAlign w:val="bottom"/>
            <w:hideMark/>
          </w:tcPr>
          <w:p w14:paraId="21D217E8"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Head tilt</w:t>
            </w:r>
            <w:r w:rsidRPr="006E5EB8">
              <w:rPr>
                <w:rFonts w:ascii="Calibri" w:eastAsia="Times New Roman" w:hAnsi="Calibri" w:cs="Calibri"/>
                <w:color w:val="000000"/>
                <w:sz w:val="22"/>
                <w:lang w:eastAsia="en-GB"/>
              </w:rPr>
              <w:br/>
            </w:r>
            <w:r w:rsidRPr="006E5EB8">
              <w:rPr>
                <w:rFonts w:ascii="Calibri" w:eastAsia="Times New Roman" w:hAnsi="Calibri" w:cs="Calibri"/>
                <w:color w:val="000000"/>
                <w:sz w:val="18"/>
                <w:szCs w:val="18"/>
                <w:lang w:eastAsia="en-GB"/>
              </w:rPr>
              <w:t>A3 vs A4</w:t>
            </w:r>
          </w:p>
        </w:tc>
        <w:tc>
          <w:tcPr>
            <w:tcW w:w="1479" w:type="dxa"/>
            <w:tcBorders>
              <w:top w:val="single" w:sz="4" w:space="0" w:color="auto"/>
              <w:left w:val="nil"/>
              <w:bottom w:val="single" w:sz="4" w:space="0" w:color="auto"/>
              <w:right w:val="nil"/>
            </w:tcBorders>
            <w:shd w:val="clear" w:color="auto" w:fill="auto"/>
            <w:vAlign w:val="bottom"/>
            <w:hideMark/>
          </w:tcPr>
          <w:p w14:paraId="13EBEAD0" w14:textId="0751C95F"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T</w:t>
            </w:r>
            <w:r w:rsidR="00A912C4">
              <w:rPr>
                <w:rFonts w:ascii="Calibri" w:eastAsia="Times New Roman" w:hAnsi="Calibri" w:cs="Calibri"/>
                <w:color w:val="000000"/>
                <w:sz w:val="22"/>
                <w:lang w:eastAsia="en-GB"/>
              </w:rPr>
              <w:t>hree</w:t>
            </w:r>
            <w:r w:rsidRPr="006E5EB8">
              <w:rPr>
                <w:rFonts w:ascii="Calibri" w:eastAsia="Times New Roman" w:hAnsi="Calibri" w:cs="Calibri"/>
                <w:color w:val="000000"/>
                <w:sz w:val="22"/>
                <w:lang w:eastAsia="en-GB"/>
              </w:rPr>
              <w:t xml:space="preserve"> weeks</w:t>
            </w:r>
            <w:r w:rsidRPr="006E5EB8">
              <w:rPr>
                <w:rFonts w:ascii="Calibri" w:eastAsia="Times New Roman" w:hAnsi="Calibri" w:cs="Calibri"/>
                <w:color w:val="000000"/>
                <w:sz w:val="22"/>
                <w:lang w:eastAsia="en-GB"/>
              </w:rPr>
              <w:br/>
            </w:r>
            <w:r w:rsidRPr="006E5EB8">
              <w:rPr>
                <w:rFonts w:ascii="Calibri" w:eastAsia="Times New Roman" w:hAnsi="Calibri" w:cs="Calibri"/>
                <w:color w:val="000000"/>
                <w:sz w:val="18"/>
                <w:szCs w:val="18"/>
                <w:lang w:eastAsia="en-GB"/>
              </w:rPr>
              <w:t>A1 vs B1</w:t>
            </w:r>
          </w:p>
        </w:tc>
        <w:tc>
          <w:tcPr>
            <w:tcW w:w="1134" w:type="dxa"/>
            <w:tcBorders>
              <w:top w:val="single" w:sz="4" w:space="0" w:color="auto"/>
              <w:left w:val="nil"/>
              <w:bottom w:val="single" w:sz="4" w:space="0" w:color="auto"/>
              <w:right w:val="nil"/>
            </w:tcBorders>
            <w:shd w:val="clear" w:color="auto" w:fill="auto"/>
            <w:vAlign w:val="bottom"/>
            <w:hideMark/>
          </w:tcPr>
          <w:p w14:paraId="5C9BE4A2"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One year</w:t>
            </w:r>
            <w:r w:rsidRPr="006E5EB8">
              <w:rPr>
                <w:rFonts w:ascii="Calibri" w:eastAsia="Times New Roman" w:hAnsi="Calibri" w:cs="Calibri"/>
                <w:color w:val="000000"/>
                <w:sz w:val="22"/>
                <w:vertAlign w:val="superscript"/>
                <w:lang w:eastAsia="en-GB"/>
              </w:rPr>
              <w:t>4</w:t>
            </w:r>
            <w:r w:rsidRPr="006E5EB8">
              <w:rPr>
                <w:rFonts w:ascii="Calibri" w:eastAsia="Times New Roman" w:hAnsi="Calibri" w:cs="Calibri"/>
                <w:color w:val="000000"/>
                <w:sz w:val="22"/>
                <w:vertAlign w:val="superscript"/>
                <w:lang w:eastAsia="en-GB"/>
              </w:rPr>
              <w:br/>
            </w:r>
            <w:r w:rsidRPr="006E5EB8">
              <w:rPr>
                <w:rFonts w:ascii="Calibri" w:eastAsia="Times New Roman" w:hAnsi="Calibri" w:cs="Calibri"/>
                <w:color w:val="000000"/>
                <w:sz w:val="18"/>
                <w:szCs w:val="18"/>
                <w:lang w:eastAsia="en-GB"/>
              </w:rPr>
              <w:t>A1 vs C1</w:t>
            </w:r>
          </w:p>
        </w:tc>
        <w:tc>
          <w:tcPr>
            <w:tcW w:w="956" w:type="dxa"/>
            <w:tcBorders>
              <w:top w:val="single" w:sz="4" w:space="0" w:color="auto"/>
              <w:left w:val="nil"/>
              <w:bottom w:val="single" w:sz="4" w:space="0" w:color="auto"/>
              <w:right w:val="nil"/>
            </w:tcBorders>
            <w:shd w:val="clear" w:color="auto" w:fill="auto"/>
            <w:vAlign w:val="bottom"/>
            <w:hideMark/>
          </w:tcPr>
          <w:p w14:paraId="639F0818" w14:textId="1BDEFDD3"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Sequence</w:t>
            </w:r>
            <w:r w:rsidRPr="006E5EB8">
              <w:rPr>
                <w:rFonts w:ascii="Calibri" w:eastAsia="Times New Roman" w:hAnsi="Calibri" w:cs="Calibri"/>
                <w:color w:val="000000"/>
                <w:sz w:val="22"/>
                <w:lang w:eastAsia="en-GB"/>
              </w:rPr>
              <w:br/>
            </w:r>
            <w:r w:rsidRPr="006E5EB8">
              <w:rPr>
                <w:rFonts w:ascii="Calibri" w:eastAsia="Times New Roman" w:hAnsi="Calibri" w:cs="Calibri"/>
                <w:color w:val="000000"/>
                <w:sz w:val="18"/>
                <w:szCs w:val="18"/>
                <w:lang w:eastAsia="en-GB"/>
              </w:rPr>
              <w:t>C1 vs C</w:t>
            </w:r>
            <w:r w:rsidR="007E1756">
              <w:rPr>
                <w:rFonts w:ascii="Calibri" w:eastAsia="Times New Roman" w:hAnsi="Calibri" w:cs="Calibri"/>
                <w:color w:val="000000"/>
                <w:sz w:val="18"/>
                <w:szCs w:val="18"/>
                <w:lang w:eastAsia="en-GB"/>
              </w:rPr>
              <w:t>3</w:t>
            </w:r>
          </w:p>
        </w:tc>
        <w:tc>
          <w:tcPr>
            <w:tcW w:w="933" w:type="dxa"/>
            <w:tcBorders>
              <w:top w:val="single" w:sz="4" w:space="0" w:color="auto"/>
              <w:left w:val="nil"/>
              <w:bottom w:val="single" w:sz="4" w:space="0" w:color="auto"/>
              <w:right w:val="nil"/>
            </w:tcBorders>
            <w:shd w:val="clear" w:color="auto" w:fill="auto"/>
            <w:vAlign w:val="bottom"/>
            <w:hideMark/>
          </w:tcPr>
          <w:p w14:paraId="67067A7A"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Scanner</w:t>
            </w:r>
            <w:r w:rsidRPr="006E5EB8">
              <w:rPr>
                <w:rFonts w:ascii="Calibri" w:eastAsia="Times New Roman" w:hAnsi="Calibri" w:cs="Calibri"/>
                <w:color w:val="000000"/>
                <w:sz w:val="22"/>
                <w:lang w:eastAsia="en-GB"/>
              </w:rPr>
              <w:br/>
            </w:r>
            <w:r w:rsidRPr="006E5EB8">
              <w:rPr>
                <w:rFonts w:ascii="Calibri" w:eastAsia="Times New Roman" w:hAnsi="Calibri" w:cs="Calibri"/>
                <w:color w:val="000000"/>
                <w:sz w:val="18"/>
                <w:szCs w:val="18"/>
                <w:lang w:eastAsia="en-GB"/>
              </w:rPr>
              <w:t>C1 vs D1</w:t>
            </w:r>
          </w:p>
        </w:tc>
      </w:tr>
      <w:tr w:rsidR="006E5EB8" w:rsidRPr="006E5EB8" w14:paraId="2A9DF608" w14:textId="77777777" w:rsidTr="00A912C4">
        <w:trPr>
          <w:trHeight w:val="300"/>
        </w:trPr>
        <w:tc>
          <w:tcPr>
            <w:tcW w:w="2717" w:type="dxa"/>
            <w:gridSpan w:val="2"/>
            <w:tcBorders>
              <w:top w:val="single" w:sz="4" w:space="0" w:color="auto"/>
              <w:left w:val="nil"/>
              <w:bottom w:val="nil"/>
              <w:right w:val="nil"/>
            </w:tcBorders>
            <w:shd w:val="clear" w:color="auto" w:fill="auto"/>
            <w:hideMark/>
          </w:tcPr>
          <w:p w14:paraId="478A6F93" w14:textId="77777777" w:rsidR="006E5EB8" w:rsidRPr="006E5EB8" w:rsidRDefault="006E5EB8" w:rsidP="006E5EB8">
            <w:pPr>
              <w:spacing w:after="0" w:line="240" w:lineRule="auto"/>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Subcortical volume</w:t>
            </w:r>
            <w:r w:rsidRPr="006E5EB8">
              <w:rPr>
                <w:rFonts w:ascii="Calibri" w:eastAsia="Times New Roman" w:hAnsi="Calibri" w:cs="Calibri"/>
                <w:color w:val="000000"/>
                <w:sz w:val="22"/>
                <w:vertAlign w:val="superscript"/>
                <w:lang w:eastAsia="en-GB"/>
              </w:rPr>
              <w:t>1</w:t>
            </w:r>
          </w:p>
        </w:tc>
        <w:tc>
          <w:tcPr>
            <w:tcW w:w="1150" w:type="dxa"/>
            <w:tcBorders>
              <w:top w:val="nil"/>
              <w:left w:val="nil"/>
              <w:bottom w:val="nil"/>
              <w:right w:val="nil"/>
            </w:tcBorders>
            <w:shd w:val="clear" w:color="000000" w:fill="74C37C"/>
            <w:noWrap/>
            <w:vAlign w:val="bottom"/>
            <w:hideMark/>
          </w:tcPr>
          <w:p w14:paraId="24E72ED9"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0.984</w:t>
            </w:r>
          </w:p>
        </w:tc>
        <w:tc>
          <w:tcPr>
            <w:tcW w:w="1169" w:type="dxa"/>
            <w:tcBorders>
              <w:top w:val="nil"/>
              <w:left w:val="nil"/>
              <w:bottom w:val="nil"/>
              <w:right w:val="nil"/>
            </w:tcBorders>
            <w:shd w:val="clear" w:color="000000" w:fill="78C47D"/>
            <w:noWrap/>
            <w:vAlign w:val="bottom"/>
            <w:hideMark/>
          </w:tcPr>
          <w:p w14:paraId="53FD0981"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0.980</w:t>
            </w:r>
          </w:p>
        </w:tc>
        <w:tc>
          <w:tcPr>
            <w:tcW w:w="1140" w:type="dxa"/>
            <w:tcBorders>
              <w:top w:val="nil"/>
              <w:left w:val="nil"/>
              <w:bottom w:val="nil"/>
              <w:right w:val="nil"/>
            </w:tcBorders>
            <w:shd w:val="clear" w:color="000000" w:fill="7CC67D"/>
            <w:noWrap/>
            <w:vAlign w:val="bottom"/>
            <w:hideMark/>
          </w:tcPr>
          <w:p w14:paraId="2D628F6D"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0.976</w:t>
            </w:r>
          </w:p>
        </w:tc>
        <w:tc>
          <w:tcPr>
            <w:tcW w:w="1479" w:type="dxa"/>
            <w:tcBorders>
              <w:top w:val="nil"/>
              <w:left w:val="nil"/>
              <w:bottom w:val="nil"/>
              <w:right w:val="nil"/>
            </w:tcBorders>
            <w:shd w:val="clear" w:color="000000" w:fill="7CC67D"/>
            <w:noWrap/>
            <w:vAlign w:val="bottom"/>
            <w:hideMark/>
          </w:tcPr>
          <w:p w14:paraId="39252236"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0.976</w:t>
            </w:r>
          </w:p>
        </w:tc>
        <w:tc>
          <w:tcPr>
            <w:tcW w:w="1134" w:type="dxa"/>
            <w:tcBorders>
              <w:top w:val="nil"/>
              <w:left w:val="nil"/>
              <w:bottom w:val="nil"/>
              <w:right w:val="nil"/>
            </w:tcBorders>
            <w:shd w:val="clear" w:color="000000" w:fill="80C77D"/>
            <w:noWrap/>
            <w:vAlign w:val="bottom"/>
            <w:hideMark/>
          </w:tcPr>
          <w:p w14:paraId="609E54BF"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0.972</w:t>
            </w:r>
          </w:p>
        </w:tc>
        <w:tc>
          <w:tcPr>
            <w:tcW w:w="956" w:type="dxa"/>
            <w:tcBorders>
              <w:top w:val="nil"/>
              <w:left w:val="nil"/>
              <w:bottom w:val="nil"/>
              <w:right w:val="nil"/>
            </w:tcBorders>
            <w:shd w:val="clear" w:color="000000" w:fill="83C87D"/>
            <w:noWrap/>
            <w:vAlign w:val="bottom"/>
            <w:hideMark/>
          </w:tcPr>
          <w:p w14:paraId="35260924"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0.970</w:t>
            </w:r>
          </w:p>
        </w:tc>
        <w:tc>
          <w:tcPr>
            <w:tcW w:w="933" w:type="dxa"/>
            <w:tcBorders>
              <w:top w:val="nil"/>
              <w:left w:val="nil"/>
              <w:bottom w:val="nil"/>
              <w:right w:val="nil"/>
            </w:tcBorders>
            <w:shd w:val="clear" w:color="000000" w:fill="7EC67D"/>
            <w:noWrap/>
            <w:vAlign w:val="bottom"/>
            <w:hideMark/>
          </w:tcPr>
          <w:p w14:paraId="0F39772F"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0.975</w:t>
            </w:r>
          </w:p>
        </w:tc>
      </w:tr>
      <w:tr w:rsidR="006E5EB8" w:rsidRPr="006E5EB8" w14:paraId="19874CF4" w14:textId="77777777" w:rsidTr="00A912C4">
        <w:trPr>
          <w:trHeight w:val="300"/>
        </w:trPr>
        <w:tc>
          <w:tcPr>
            <w:tcW w:w="2244" w:type="dxa"/>
            <w:vMerge w:val="restart"/>
            <w:tcBorders>
              <w:top w:val="nil"/>
              <w:left w:val="nil"/>
              <w:bottom w:val="nil"/>
              <w:right w:val="nil"/>
            </w:tcBorders>
            <w:shd w:val="clear" w:color="auto" w:fill="auto"/>
            <w:hideMark/>
          </w:tcPr>
          <w:p w14:paraId="08F44DFA" w14:textId="77777777" w:rsidR="006E5EB8" w:rsidRPr="006E5EB8" w:rsidRDefault="006E5EB8" w:rsidP="006E5EB8">
            <w:pPr>
              <w:spacing w:after="0" w:line="240" w:lineRule="auto"/>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Cortical volume</w:t>
            </w:r>
            <w:r w:rsidRPr="006E5EB8">
              <w:rPr>
                <w:rFonts w:ascii="Calibri" w:eastAsia="Times New Roman" w:hAnsi="Calibri" w:cs="Calibri"/>
                <w:color w:val="000000"/>
                <w:sz w:val="22"/>
                <w:vertAlign w:val="superscript"/>
                <w:lang w:eastAsia="en-GB"/>
              </w:rPr>
              <w:t>2</w:t>
            </w:r>
          </w:p>
        </w:tc>
        <w:tc>
          <w:tcPr>
            <w:tcW w:w="473" w:type="dxa"/>
            <w:tcBorders>
              <w:top w:val="nil"/>
              <w:left w:val="nil"/>
              <w:bottom w:val="nil"/>
              <w:right w:val="nil"/>
            </w:tcBorders>
            <w:shd w:val="clear" w:color="auto" w:fill="auto"/>
            <w:noWrap/>
            <w:hideMark/>
          </w:tcPr>
          <w:p w14:paraId="1F6024B9" w14:textId="77777777" w:rsidR="006E5EB8" w:rsidRPr="006E5EB8" w:rsidRDefault="006E5EB8" w:rsidP="006E5EB8">
            <w:pPr>
              <w:spacing w:after="0" w:line="240" w:lineRule="auto"/>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LH</w:t>
            </w:r>
          </w:p>
        </w:tc>
        <w:tc>
          <w:tcPr>
            <w:tcW w:w="1150" w:type="dxa"/>
            <w:tcBorders>
              <w:top w:val="nil"/>
              <w:left w:val="nil"/>
              <w:bottom w:val="nil"/>
              <w:right w:val="nil"/>
            </w:tcBorders>
            <w:shd w:val="clear" w:color="000000" w:fill="71C27C"/>
            <w:noWrap/>
            <w:vAlign w:val="bottom"/>
            <w:hideMark/>
          </w:tcPr>
          <w:p w14:paraId="466D89D3"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0.987</w:t>
            </w:r>
          </w:p>
        </w:tc>
        <w:tc>
          <w:tcPr>
            <w:tcW w:w="1169" w:type="dxa"/>
            <w:tcBorders>
              <w:top w:val="nil"/>
              <w:left w:val="nil"/>
              <w:bottom w:val="nil"/>
              <w:right w:val="nil"/>
            </w:tcBorders>
            <w:shd w:val="clear" w:color="000000" w:fill="72C37C"/>
            <w:noWrap/>
            <w:vAlign w:val="bottom"/>
            <w:hideMark/>
          </w:tcPr>
          <w:p w14:paraId="734D3B77"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0.986</w:t>
            </w:r>
          </w:p>
        </w:tc>
        <w:tc>
          <w:tcPr>
            <w:tcW w:w="1140" w:type="dxa"/>
            <w:tcBorders>
              <w:top w:val="nil"/>
              <w:left w:val="nil"/>
              <w:bottom w:val="nil"/>
              <w:right w:val="nil"/>
            </w:tcBorders>
            <w:shd w:val="clear" w:color="000000" w:fill="88C97E"/>
            <w:noWrap/>
            <w:vAlign w:val="bottom"/>
            <w:hideMark/>
          </w:tcPr>
          <w:p w14:paraId="74EF3FEF"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0.965</w:t>
            </w:r>
          </w:p>
        </w:tc>
        <w:tc>
          <w:tcPr>
            <w:tcW w:w="1479" w:type="dxa"/>
            <w:tcBorders>
              <w:top w:val="nil"/>
              <w:left w:val="nil"/>
              <w:bottom w:val="nil"/>
              <w:right w:val="nil"/>
            </w:tcBorders>
            <w:shd w:val="clear" w:color="000000" w:fill="79C57D"/>
            <w:noWrap/>
            <w:vAlign w:val="bottom"/>
            <w:hideMark/>
          </w:tcPr>
          <w:p w14:paraId="1974AFD5"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0.979</w:t>
            </w:r>
          </w:p>
        </w:tc>
        <w:tc>
          <w:tcPr>
            <w:tcW w:w="1134" w:type="dxa"/>
            <w:tcBorders>
              <w:top w:val="nil"/>
              <w:left w:val="nil"/>
              <w:bottom w:val="nil"/>
              <w:right w:val="nil"/>
            </w:tcBorders>
            <w:shd w:val="clear" w:color="000000" w:fill="80C77D"/>
            <w:noWrap/>
            <w:vAlign w:val="bottom"/>
            <w:hideMark/>
          </w:tcPr>
          <w:p w14:paraId="2C8A4989"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0.972</w:t>
            </w:r>
          </w:p>
        </w:tc>
        <w:tc>
          <w:tcPr>
            <w:tcW w:w="956" w:type="dxa"/>
            <w:tcBorders>
              <w:top w:val="nil"/>
              <w:left w:val="nil"/>
              <w:bottom w:val="nil"/>
              <w:right w:val="nil"/>
            </w:tcBorders>
            <w:shd w:val="clear" w:color="000000" w:fill="79C57D"/>
            <w:noWrap/>
            <w:vAlign w:val="bottom"/>
            <w:hideMark/>
          </w:tcPr>
          <w:p w14:paraId="5033C75D"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0.979</w:t>
            </w:r>
          </w:p>
        </w:tc>
        <w:tc>
          <w:tcPr>
            <w:tcW w:w="933" w:type="dxa"/>
            <w:tcBorders>
              <w:top w:val="nil"/>
              <w:left w:val="nil"/>
              <w:bottom w:val="nil"/>
              <w:right w:val="nil"/>
            </w:tcBorders>
            <w:shd w:val="clear" w:color="000000" w:fill="78C47D"/>
            <w:noWrap/>
            <w:vAlign w:val="bottom"/>
            <w:hideMark/>
          </w:tcPr>
          <w:p w14:paraId="6D741645"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0.980</w:t>
            </w:r>
          </w:p>
        </w:tc>
      </w:tr>
      <w:tr w:rsidR="006E5EB8" w:rsidRPr="006E5EB8" w14:paraId="50FE4575" w14:textId="77777777" w:rsidTr="00A912C4">
        <w:trPr>
          <w:trHeight w:val="300"/>
        </w:trPr>
        <w:tc>
          <w:tcPr>
            <w:tcW w:w="2244" w:type="dxa"/>
            <w:vMerge/>
            <w:tcBorders>
              <w:top w:val="nil"/>
              <w:left w:val="nil"/>
              <w:bottom w:val="nil"/>
              <w:right w:val="nil"/>
            </w:tcBorders>
            <w:vAlign w:val="center"/>
            <w:hideMark/>
          </w:tcPr>
          <w:p w14:paraId="769FF817" w14:textId="77777777" w:rsidR="006E5EB8" w:rsidRPr="006E5EB8" w:rsidRDefault="006E5EB8" w:rsidP="006E5EB8">
            <w:pPr>
              <w:spacing w:after="0" w:line="240" w:lineRule="auto"/>
              <w:rPr>
                <w:rFonts w:ascii="Calibri" w:eastAsia="Times New Roman" w:hAnsi="Calibri" w:cs="Calibri"/>
                <w:color w:val="000000"/>
                <w:sz w:val="22"/>
                <w:lang w:eastAsia="en-GB"/>
              </w:rPr>
            </w:pPr>
          </w:p>
        </w:tc>
        <w:tc>
          <w:tcPr>
            <w:tcW w:w="473" w:type="dxa"/>
            <w:tcBorders>
              <w:top w:val="nil"/>
              <w:left w:val="nil"/>
              <w:bottom w:val="nil"/>
              <w:right w:val="nil"/>
            </w:tcBorders>
            <w:shd w:val="clear" w:color="auto" w:fill="auto"/>
            <w:noWrap/>
            <w:hideMark/>
          </w:tcPr>
          <w:p w14:paraId="71FD872F" w14:textId="77777777" w:rsidR="006E5EB8" w:rsidRPr="006E5EB8" w:rsidRDefault="006E5EB8" w:rsidP="006E5EB8">
            <w:pPr>
              <w:spacing w:after="0" w:line="240" w:lineRule="auto"/>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RH</w:t>
            </w:r>
          </w:p>
        </w:tc>
        <w:tc>
          <w:tcPr>
            <w:tcW w:w="1150" w:type="dxa"/>
            <w:tcBorders>
              <w:top w:val="nil"/>
              <w:left w:val="nil"/>
              <w:bottom w:val="nil"/>
              <w:right w:val="nil"/>
            </w:tcBorders>
            <w:shd w:val="clear" w:color="000000" w:fill="70C27C"/>
            <w:noWrap/>
            <w:vAlign w:val="bottom"/>
            <w:hideMark/>
          </w:tcPr>
          <w:p w14:paraId="26380798"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0.988</w:t>
            </w:r>
          </w:p>
        </w:tc>
        <w:tc>
          <w:tcPr>
            <w:tcW w:w="1169" w:type="dxa"/>
            <w:tcBorders>
              <w:top w:val="nil"/>
              <w:left w:val="nil"/>
              <w:bottom w:val="nil"/>
              <w:right w:val="nil"/>
            </w:tcBorders>
            <w:shd w:val="clear" w:color="000000" w:fill="75C47D"/>
            <w:noWrap/>
            <w:vAlign w:val="bottom"/>
            <w:hideMark/>
          </w:tcPr>
          <w:p w14:paraId="4E880CE3"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0.983</w:t>
            </w:r>
          </w:p>
        </w:tc>
        <w:tc>
          <w:tcPr>
            <w:tcW w:w="1140" w:type="dxa"/>
            <w:tcBorders>
              <w:top w:val="nil"/>
              <w:left w:val="nil"/>
              <w:bottom w:val="nil"/>
              <w:right w:val="nil"/>
            </w:tcBorders>
            <w:shd w:val="clear" w:color="000000" w:fill="89C97E"/>
            <w:noWrap/>
            <w:vAlign w:val="bottom"/>
            <w:hideMark/>
          </w:tcPr>
          <w:p w14:paraId="546342EB"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0.964</w:t>
            </w:r>
          </w:p>
        </w:tc>
        <w:tc>
          <w:tcPr>
            <w:tcW w:w="1479" w:type="dxa"/>
            <w:tcBorders>
              <w:top w:val="nil"/>
              <w:left w:val="nil"/>
              <w:bottom w:val="nil"/>
              <w:right w:val="nil"/>
            </w:tcBorders>
            <w:shd w:val="clear" w:color="000000" w:fill="7AC57D"/>
            <w:noWrap/>
            <w:vAlign w:val="bottom"/>
            <w:hideMark/>
          </w:tcPr>
          <w:p w14:paraId="7F0B2522"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0.979</w:t>
            </w:r>
          </w:p>
        </w:tc>
        <w:tc>
          <w:tcPr>
            <w:tcW w:w="1134" w:type="dxa"/>
            <w:tcBorders>
              <w:top w:val="nil"/>
              <w:left w:val="nil"/>
              <w:bottom w:val="nil"/>
              <w:right w:val="nil"/>
            </w:tcBorders>
            <w:shd w:val="clear" w:color="000000" w:fill="7FC67D"/>
            <w:noWrap/>
            <w:vAlign w:val="bottom"/>
            <w:hideMark/>
          </w:tcPr>
          <w:p w14:paraId="699C7B8A"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0.974</w:t>
            </w:r>
          </w:p>
        </w:tc>
        <w:tc>
          <w:tcPr>
            <w:tcW w:w="956" w:type="dxa"/>
            <w:tcBorders>
              <w:top w:val="nil"/>
              <w:left w:val="nil"/>
              <w:bottom w:val="nil"/>
              <w:right w:val="nil"/>
            </w:tcBorders>
            <w:shd w:val="clear" w:color="000000" w:fill="76C47D"/>
            <w:noWrap/>
            <w:vAlign w:val="bottom"/>
            <w:hideMark/>
          </w:tcPr>
          <w:p w14:paraId="333C5671"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0.982</w:t>
            </w:r>
          </w:p>
        </w:tc>
        <w:tc>
          <w:tcPr>
            <w:tcW w:w="933" w:type="dxa"/>
            <w:tcBorders>
              <w:top w:val="nil"/>
              <w:left w:val="nil"/>
              <w:bottom w:val="nil"/>
              <w:right w:val="nil"/>
            </w:tcBorders>
            <w:shd w:val="clear" w:color="000000" w:fill="76C47D"/>
            <w:noWrap/>
            <w:vAlign w:val="bottom"/>
            <w:hideMark/>
          </w:tcPr>
          <w:p w14:paraId="2CCD09D0"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0.982</w:t>
            </w:r>
          </w:p>
        </w:tc>
      </w:tr>
      <w:tr w:rsidR="006E5EB8" w:rsidRPr="006E5EB8" w14:paraId="1CFED001" w14:textId="77777777" w:rsidTr="00A912C4">
        <w:trPr>
          <w:trHeight w:val="300"/>
        </w:trPr>
        <w:tc>
          <w:tcPr>
            <w:tcW w:w="2244" w:type="dxa"/>
            <w:vMerge w:val="restart"/>
            <w:tcBorders>
              <w:top w:val="nil"/>
              <w:left w:val="nil"/>
              <w:bottom w:val="nil"/>
              <w:right w:val="nil"/>
            </w:tcBorders>
            <w:shd w:val="clear" w:color="auto" w:fill="auto"/>
            <w:hideMark/>
          </w:tcPr>
          <w:p w14:paraId="45BB6BA0" w14:textId="77777777" w:rsidR="006E5EB8" w:rsidRPr="006E5EB8" w:rsidRDefault="006E5EB8" w:rsidP="006E5EB8">
            <w:pPr>
              <w:spacing w:after="0" w:line="240" w:lineRule="auto"/>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Cortical thickness</w:t>
            </w:r>
            <w:r w:rsidRPr="006E5EB8">
              <w:rPr>
                <w:rFonts w:ascii="Calibri" w:eastAsia="Times New Roman" w:hAnsi="Calibri" w:cs="Calibri"/>
                <w:color w:val="000000"/>
                <w:sz w:val="22"/>
                <w:vertAlign w:val="superscript"/>
                <w:lang w:eastAsia="en-GB"/>
              </w:rPr>
              <w:t>2</w:t>
            </w:r>
          </w:p>
        </w:tc>
        <w:tc>
          <w:tcPr>
            <w:tcW w:w="473" w:type="dxa"/>
            <w:tcBorders>
              <w:top w:val="nil"/>
              <w:left w:val="nil"/>
              <w:bottom w:val="nil"/>
              <w:right w:val="nil"/>
            </w:tcBorders>
            <w:shd w:val="clear" w:color="auto" w:fill="auto"/>
            <w:noWrap/>
            <w:hideMark/>
          </w:tcPr>
          <w:p w14:paraId="421CB5F6" w14:textId="77777777" w:rsidR="006E5EB8" w:rsidRPr="006E5EB8" w:rsidRDefault="006E5EB8" w:rsidP="006E5EB8">
            <w:pPr>
              <w:spacing w:after="0" w:line="240" w:lineRule="auto"/>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LH</w:t>
            </w:r>
          </w:p>
        </w:tc>
        <w:tc>
          <w:tcPr>
            <w:tcW w:w="1150" w:type="dxa"/>
            <w:tcBorders>
              <w:top w:val="nil"/>
              <w:left w:val="nil"/>
              <w:bottom w:val="nil"/>
              <w:right w:val="nil"/>
            </w:tcBorders>
            <w:shd w:val="clear" w:color="000000" w:fill="B2D580"/>
            <w:noWrap/>
            <w:vAlign w:val="bottom"/>
            <w:hideMark/>
          </w:tcPr>
          <w:p w14:paraId="627D7A3A"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0.924</w:t>
            </w:r>
          </w:p>
        </w:tc>
        <w:tc>
          <w:tcPr>
            <w:tcW w:w="1169" w:type="dxa"/>
            <w:tcBorders>
              <w:top w:val="nil"/>
              <w:left w:val="nil"/>
              <w:bottom w:val="nil"/>
              <w:right w:val="nil"/>
            </w:tcBorders>
            <w:shd w:val="clear" w:color="000000" w:fill="B0D580"/>
            <w:noWrap/>
            <w:vAlign w:val="bottom"/>
            <w:hideMark/>
          </w:tcPr>
          <w:p w14:paraId="02C6F770"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0.926</w:t>
            </w:r>
          </w:p>
        </w:tc>
        <w:tc>
          <w:tcPr>
            <w:tcW w:w="1140" w:type="dxa"/>
            <w:tcBorders>
              <w:top w:val="nil"/>
              <w:left w:val="nil"/>
              <w:bottom w:val="nil"/>
              <w:right w:val="nil"/>
            </w:tcBorders>
            <w:shd w:val="clear" w:color="000000" w:fill="FBA476"/>
            <w:noWrap/>
            <w:vAlign w:val="bottom"/>
            <w:hideMark/>
          </w:tcPr>
          <w:p w14:paraId="260F3A89"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0.769</w:t>
            </w:r>
          </w:p>
        </w:tc>
        <w:tc>
          <w:tcPr>
            <w:tcW w:w="1479" w:type="dxa"/>
            <w:tcBorders>
              <w:top w:val="nil"/>
              <w:left w:val="nil"/>
              <w:bottom w:val="nil"/>
              <w:right w:val="nil"/>
            </w:tcBorders>
            <w:shd w:val="clear" w:color="000000" w:fill="D4DF82"/>
            <w:noWrap/>
            <w:vAlign w:val="bottom"/>
            <w:hideMark/>
          </w:tcPr>
          <w:p w14:paraId="3145721D"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0.892</w:t>
            </w:r>
          </w:p>
        </w:tc>
        <w:tc>
          <w:tcPr>
            <w:tcW w:w="1134" w:type="dxa"/>
            <w:tcBorders>
              <w:top w:val="nil"/>
              <w:left w:val="nil"/>
              <w:bottom w:val="nil"/>
              <w:right w:val="nil"/>
            </w:tcBorders>
            <w:shd w:val="clear" w:color="000000" w:fill="F1E784"/>
            <w:noWrap/>
            <w:vAlign w:val="bottom"/>
            <w:hideMark/>
          </w:tcPr>
          <w:p w14:paraId="503792EF"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0.864</w:t>
            </w:r>
          </w:p>
        </w:tc>
        <w:tc>
          <w:tcPr>
            <w:tcW w:w="956" w:type="dxa"/>
            <w:tcBorders>
              <w:top w:val="nil"/>
              <w:left w:val="nil"/>
              <w:bottom w:val="nil"/>
              <w:right w:val="nil"/>
            </w:tcBorders>
            <w:shd w:val="clear" w:color="000000" w:fill="F3E884"/>
            <w:noWrap/>
            <w:vAlign w:val="bottom"/>
            <w:hideMark/>
          </w:tcPr>
          <w:p w14:paraId="7F0CB0D7"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0.862</w:t>
            </w:r>
          </w:p>
        </w:tc>
        <w:tc>
          <w:tcPr>
            <w:tcW w:w="933" w:type="dxa"/>
            <w:tcBorders>
              <w:top w:val="nil"/>
              <w:left w:val="nil"/>
              <w:bottom w:val="nil"/>
              <w:right w:val="nil"/>
            </w:tcBorders>
            <w:shd w:val="clear" w:color="000000" w:fill="E7E583"/>
            <w:noWrap/>
            <w:vAlign w:val="bottom"/>
            <w:hideMark/>
          </w:tcPr>
          <w:p w14:paraId="24E91607"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0.873</w:t>
            </w:r>
          </w:p>
        </w:tc>
      </w:tr>
      <w:tr w:rsidR="006E5EB8" w:rsidRPr="006E5EB8" w14:paraId="2C6663A9" w14:textId="77777777" w:rsidTr="00A912C4">
        <w:trPr>
          <w:trHeight w:val="300"/>
        </w:trPr>
        <w:tc>
          <w:tcPr>
            <w:tcW w:w="2244" w:type="dxa"/>
            <w:vMerge/>
            <w:tcBorders>
              <w:top w:val="nil"/>
              <w:left w:val="nil"/>
              <w:bottom w:val="nil"/>
              <w:right w:val="nil"/>
            </w:tcBorders>
            <w:vAlign w:val="center"/>
            <w:hideMark/>
          </w:tcPr>
          <w:p w14:paraId="767E7872" w14:textId="77777777" w:rsidR="006E5EB8" w:rsidRPr="006E5EB8" w:rsidRDefault="006E5EB8" w:rsidP="006E5EB8">
            <w:pPr>
              <w:spacing w:after="0" w:line="240" w:lineRule="auto"/>
              <w:rPr>
                <w:rFonts w:ascii="Calibri" w:eastAsia="Times New Roman" w:hAnsi="Calibri" w:cs="Calibri"/>
                <w:color w:val="000000"/>
                <w:sz w:val="22"/>
                <w:lang w:eastAsia="en-GB"/>
              </w:rPr>
            </w:pPr>
          </w:p>
        </w:tc>
        <w:tc>
          <w:tcPr>
            <w:tcW w:w="473" w:type="dxa"/>
            <w:tcBorders>
              <w:top w:val="nil"/>
              <w:left w:val="nil"/>
              <w:bottom w:val="nil"/>
              <w:right w:val="nil"/>
            </w:tcBorders>
            <w:shd w:val="clear" w:color="auto" w:fill="auto"/>
            <w:noWrap/>
            <w:hideMark/>
          </w:tcPr>
          <w:p w14:paraId="6CDFB58E" w14:textId="77777777" w:rsidR="006E5EB8" w:rsidRPr="006E5EB8" w:rsidRDefault="006E5EB8" w:rsidP="006E5EB8">
            <w:pPr>
              <w:spacing w:after="0" w:line="240" w:lineRule="auto"/>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RH</w:t>
            </w:r>
          </w:p>
        </w:tc>
        <w:tc>
          <w:tcPr>
            <w:tcW w:w="1150" w:type="dxa"/>
            <w:tcBorders>
              <w:top w:val="nil"/>
              <w:left w:val="nil"/>
              <w:bottom w:val="nil"/>
              <w:right w:val="nil"/>
            </w:tcBorders>
            <w:shd w:val="clear" w:color="000000" w:fill="C4DA81"/>
            <w:noWrap/>
            <w:vAlign w:val="bottom"/>
            <w:hideMark/>
          </w:tcPr>
          <w:p w14:paraId="5D450A6F"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0.908</w:t>
            </w:r>
          </w:p>
        </w:tc>
        <w:tc>
          <w:tcPr>
            <w:tcW w:w="1169" w:type="dxa"/>
            <w:tcBorders>
              <w:top w:val="nil"/>
              <w:left w:val="nil"/>
              <w:bottom w:val="nil"/>
              <w:right w:val="nil"/>
            </w:tcBorders>
            <w:shd w:val="clear" w:color="000000" w:fill="D7E082"/>
            <w:noWrap/>
            <w:vAlign w:val="bottom"/>
            <w:hideMark/>
          </w:tcPr>
          <w:p w14:paraId="3CAE3C49"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0.889</w:t>
            </w:r>
          </w:p>
        </w:tc>
        <w:tc>
          <w:tcPr>
            <w:tcW w:w="1140" w:type="dxa"/>
            <w:tcBorders>
              <w:top w:val="nil"/>
              <w:left w:val="nil"/>
              <w:bottom w:val="nil"/>
              <w:right w:val="nil"/>
            </w:tcBorders>
            <w:shd w:val="clear" w:color="000000" w:fill="F98871"/>
            <w:noWrap/>
            <w:vAlign w:val="bottom"/>
            <w:hideMark/>
          </w:tcPr>
          <w:p w14:paraId="034B8EF2"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0.736</w:t>
            </w:r>
          </w:p>
        </w:tc>
        <w:tc>
          <w:tcPr>
            <w:tcW w:w="1479" w:type="dxa"/>
            <w:tcBorders>
              <w:top w:val="nil"/>
              <w:left w:val="nil"/>
              <w:bottom w:val="nil"/>
              <w:right w:val="nil"/>
            </w:tcBorders>
            <w:shd w:val="clear" w:color="000000" w:fill="F8E984"/>
            <w:noWrap/>
            <w:vAlign w:val="bottom"/>
            <w:hideMark/>
          </w:tcPr>
          <w:p w14:paraId="04B785E7"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0.858</w:t>
            </w:r>
          </w:p>
        </w:tc>
        <w:tc>
          <w:tcPr>
            <w:tcW w:w="1134" w:type="dxa"/>
            <w:tcBorders>
              <w:top w:val="nil"/>
              <w:left w:val="nil"/>
              <w:bottom w:val="nil"/>
              <w:right w:val="nil"/>
            </w:tcBorders>
            <w:shd w:val="clear" w:color="000000" w:fill="FDD27F"/>
            <w:noWrap/>
            <w:vAlign w:val="bottom"/>
            <w:hideMark/>
          </w:tcPr>
          <w:p w14:paraId="0F9893F0"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0.821</w:t>
            </w:r>
          </w:p>
        </w:tc>
        <w:tc>
          <w:tcPr>
            <w:tcW w:w="956" w:type="dxa"/>
            <w:tcBorders>
              <w:top w:val="nil"/>
              <w:left w:val="nil"/>
              <w:bottom w:val="nil"/>
              <w:right w:val="nil"/>
            </w:tcBorders>
            <w:shd w:val="clear" w:color="000000" w:fill="E7E483"/>
            <w:noWrap/>
            <w:vAlign w:val="bottom"/>
            <w:hideMark/>
          </w:tcPr>
          <w:p w14:paraId="6B701E50"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0.874</w:t>
            </w:r>
          </w:p>
        </w:tc>
        <w:tc>
          <w:tcPr>
            <w:tcW w:w="933" w:type="dxa"/>
            <w:tcBorders>
              <w:top w:val="nil"/>
              <w:left w:val="nil"/>
              <w:bottom w:val="nil"/>
              <w:right w:val="nil"/>
            </w:tcBorders>
            <w:shd w:val="clear" w:color="000000" w:fill="F6E984"/>
            <w:noWrap/>
            <w:vAlign w:val="bottom"/>
            <w:hideMark/>
          </w:tcPr>
          <w:p w14:paraId="4747E699"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0.859</w:t>
            </w:r>
          </w:p>
        </w:tc>
      </w:tr>
      <w:tr w:rsidR="006E5EB8" w:rsidRPr="006E5EB8" w14:paraId="0D54031F" w14:textId="77777777" w:rsidTr="00A912C4">
        <w:trPr>
          <w:trHeight w:val="300"/>
        </w:trPr>
        <w:tc>
          <w:tcPr>
            <w:tcW w:w="2244" w:type="dxa"/>
            <w:vMerge w:val="restart"/>
            <w:tcBorders>
              <w:top w:val="nil"/>
              <w:left w:val="nil"/>
              <w:bottom w:val="nil"/>
              <w:right w:val="nil"/>
            </w:tcBorders>
            <w:shd w:val="clear" w:color="auto" w:fill="auto"/>
            <w:hideMark/>
          </w:tcPr>
          <w:p w14:paraId="6F0A0955" w14:textId="010D4407" w:rsidR="006E5EB8" w:rsidRPr="006E5EB8" w:rsidRDefault="006E5EB8" w:rsidP="006E5EB8">
            <w:pPr>
              <w:spacing w:after="0" w:line="240" w:lineRule="auto"/>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 xml:space="preserve">Cortical </w:t>
            </w:r>
            <w:r w:rsidR="00E0687B">
              <w:rPr>
                <w:rFonts w:ascii="Calibri" w:eastAsia="Times New Roman" w:hAnsi="Calibri" w:cs="Calibri"/>
                <w:color w:val="000000"/>
                <w:sz w:val="22"/>
                <w:lang w:eastAsia="en-GB"/>
              </w:rPr>
              <w:t>surface</w:t>
            </w:r>
            <w:r w:rsidR="00A12580">
              <w:rPr>
                <w:rFonts w:ascii="Calibri" w:eastAsia="Times New Roman" w:hAnsi="Calibri" w:cs="Calibri"/>
                <w:color w:val="000000"/>
                <w:sz w:val="22"/>
                <w:lang w:eastAsia="en-GB"/>
              </w:rPr>
              <w:t xml:space="preserve"> </w:t>
            </w:r>
            <w:r w:rsidRPr="006E5EB8">
              <w:rPr>
                <w:rFonts w:ascii="Calibri" w:eastAsia="Times New Roman" w:hAnsi="Calibri" w:cs="Calibri"/>
                <w:color w:val="000000"/>
                <w:sz w:val="22"/>
                <w:lang w:eastAsia="en-GB"/>
              </w:rPr>
              <w:t>area</w:t>
            </w:r>
            <w:r w:rsidRPr="006E5EB8">
              <w:rPr>
                <w:rFonts w:ascii="Calibri" w:eastAsia="Times New Roman" w:hAnsi="Calibri" w:cs="Calibri"/>
                <w:color w:val="000000"/>
                <w:sz w:val="22"/>
                <w:vertAlign w:val="superscript"/>
                <w:lang w:eastAsia="en-GB"/>
              </w:rPr>
              <w:t>2</w:t>
            </w:r>
          </w:p>
        </w:tc>
        <w:tc>
          <w:tcPr>
            <w:tcW w:w="473" w:type="dxa"/>
            <w:tcBorders>
              <w:top w:val="nil"/>
              <w:left w:val="nil"/>
              <w:bottom w:val="nil"/>
              <w:right w:val="nil"/>
            </w:tcBorders>
            <w:shd w:val="clear" w:color="auto" w:fill="auto"/>
            <w:noWrap/>
            <w:hideMark/>
          </w:tcPr>
          <w:p w14:paraId="6F14F1E5" w14:textId="77777777" w:rsidR="006E5EB8" w:rsidRPr="006E5EB8" w:rsidRDefault="006E5EB8" w:rsidP="006E5EB8">
            <w:pPr>
              <w:spacing w:after="0" w:line="240" w:lineRule="auto"/>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LH</w:t>
            </w:r>
          </w:p>
        </w:tc>
        <w:tc>
          <w:tcPr>
            <w:tcW w:w="1150" w:type="dxa"/>
            <w:tcBorders>
              <w:top w:val="nil"/>
              <w:left w:val="nil"/>
              <w:bottom w:val="nil"/>
              <w:right w:val="nil"/>
            </w:tcBorders>
            <w:shd w:val="clear" w:color="000000" w:fill="6EC17C"/>
            <w:noWrap/>
            <w:vAlign w:val="bottom"/>
            <w:hideMark/>
          </w:tcPr>
          <w:p w14:paraId="1190CD50"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0.990</w:t>
            </w:r>
          </w:p>
        </w:tc>
        <w:tc>
          <w:tcPr>
            <w:tcW w:w="1169" w:type="dxa"/>
            <w:tcBorders>
              <w:top w:val="nil"/>
              <w:left w:val="nil"/>
              <w:bottom w:val="nil"/>
              <w:right w:val="nil"/>
            </w:tcBorders>
            <w:shd w:val="clear" w:color="000000" w:fill="71C27C"/>
            <w:noWrap/>
            <w:vAlign w:val="bottom"/>
            <w:hideMark/>
          </w:tcPr>
          <w:p w14:paraId="7B2137EC"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0.987</w:t>
            </w:r>
          </w:p>
        </w:tc>
        <w:tc>
          <w:tcPr>
            <w:tcW w:w="1140" w:type="dxa"/>
            <w:tcBorders>
              <w:top w:val="nil"/>
              <w:left w:val="nil"/>
              <w:bottom w:val="nil"/>
              <w:right w:val="nil"/>
            </w:tcBorders>
            <w:shd w:val="clear" w:color="000000" w:fill="7DC67D"/>
            <w:noWrap/>
            <w:vAlign w:val="bottom"/>
            <w:hideMark/>
          </w:tcPr>
          <w:p w14:paraId="446B4BF9"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0.976</w:t>
            </w:r>
          </w:p>
        </w:tc>
        <w:tc>
          <w:tcPr>
            <w:tcW w:w="1479" w:type="dxa"/>
            <w:tcBorders>
              <w:top w:val="nil"/>
              <w:left w:val="nil"/>
              <w:bottom w:val="nil"/>
              <w:right w:val="nil"/>
            </w:tcBorders>
            <w:shd w:val="clear" w:color="000000" w:fill="71C37C"/>
            <w:noWrap/>
            <w:vAlign w:val="bottom"/>
            <w:hideMark/>
          </w:tcPr>
          <w:p w14:paraId="634E7761"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0.987</w:t>
            </w:r>
          </w:p>
        </w:tc>
        <w:tc>
          <w:tcPr>
            <w:tcW w:w="1134" w:type="dxa"/>
            <w:tcBorders>
              <w:top w:val="nil"/>
              <w:left w:val="nil"/>
              <w:bottom w:val="nil"/>
              <w:right w:val="nil"/>
            </w:tcBorders>
            <w:shd w:val="clear" w:color="000000" w:fill="72C37C"/>
            <w:noWrap/>
            <w:vAlign w:val="bottom"/>
            <w:hideMark/>
          </w:tcPr>
          <w:p w14:paraId="5446C1F8"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0.986</w:t>
            </w:r>
          </w:p>
        </w:tc>
        <w:tc>
          <w:tcPr>
            <w:tcW w:w="956" w:type="dxa"/>
            <w:tcBorders>
              <w:top w:val="nil"/>
              <w:left w:val="nil"/>
              <w:bottom w:val="nil"/>
              <w:right w:val="nil"/>
            </w:tcBorders>
            <w:shd w:val="clear" w:color="000000" w:fill="72C37C"/>
            <w:noWrap/>
            <w:vAlign w:val="bottom"/>
            <w:hideMark/>
          </w:tcPr>
          <w:p w14:paraId="398C18FE"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0.986</w:t>
            </w:r>
          </w:p>
        </w:tc>
        <w:tc>
          <w:tcPr>
            <w:tcW w:w="933" w:type="dxa"/>
            <w:tcBorders>
              <w:top w:val="nil"/>
              <w:left w:val="nil"/>
              <w:bottom w:val="nil"/>
              <w:right w:val="nil"/>
            </w:tcBorders>
            <w:shd w:val="clear" w:color="000000" w:fill="75C37C"/>
            <w:noWrap/>
            <w:vAlign w:val="bottom"/>
            <w:hideMark/>
          </w:tcPr>
          <w:p w14:paraId="4EA79034"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0.983</w:t>
            </w:r>
          </w:p>
        </w:tc>
      </w:tr>
      <w:tr w:rsidR="006E5EB8" w:rsidRPr="006E5EB8" w14:paraId="32FA9AB7" w14:textId="77777777" w:rsidTr="00A912C4">
        <w:trPr>
          <w:trHeight w:val="300"/>
        </w:trPr>
        <w:tc>
          <w:tcPr>
            <w:tcW w:w="2244" w:type="dxa"/>
            <w:vMerge/>
            <w:tcBorders>
              <w:top w:val="nil"/>
              <w:left w:val="nil"/>
              <w:bottom w:val="nil"/>
              <w:right w:val="nil"/>
            </w:tcBorders>
            <w:vAlign w:val="center"/>
            <w:hideMark/>
          </w:tcPr>
          <w:p w14:paraId="6B0862C6" w14:textId="77777777" w:rsidR="006E5EB8" w:rsidRPr="006E5EB8" w:rsidRDefault="006E5EB8" w:rsidP="006E5EB8">
            <w:pPr>
              <w:spacing w:after="0" w:line="240" w:lineRule="auto"/>
              <w:rPr>
                <w:rFonts w:ascii="Calibri" w:eastAsia="Times New Roman" w:hAnsi="Calibri" w:cs="Calibri"/>
                <w:color w:val="000000"/>
                <w:sz w:val="22"/>
                <w:lang w:eastAsia="en-GB"/>
              </w:rPr>
            </w:pPr>
          </w:p>
        </w:tc>
        <w:tc>
          <w:tcPr>
            <w:tcW w:w="473" w:type="dxa"/>
            <w:tcBorders>
              <w:top w:val="nil"/>
              <w:left w:val="nil"/>
              <w:bottom w:val="nil"/>
              <w:right w:val="nil"/>
            </w:tcBorders>
            <w:shd w:val="clear" w:color="auto" w:fill="auto"/>
            <w:noWrap/>
            <w:hideMark/>
          </w:tcPr>
          <w:p w14:paraId="3BC22DB5" w14:textId="77777777" w:rsidR="006E5EB8" w:rsidRPr="006E5EB8" w:rsidRDefault="006E5EB8" w:rsidP="006E5EB8">
            <w:pPr>
              <w:spacing w:after="0" w:line="240" w:lineRule="auto"/>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RH</w:t>
            </w:r>
          </w:p>
        </w:tc>
        <w:tc>
          <w:tcPr>
            <w:tcW w:w="1150" w:type="dxa"/>
            <w:tcBorders>
              <w:top w:val="nil"/>
              <w:left w:val="nil"/>
              <w:bottom w:val="nil"/>
              <w:right w:val="nil"/>
            </w:tcBorders>
            <w:shd w:val="clear" w:color="000000" w:fill="70C27C"/>
            <w:noWrap/>
            <w:vAlign w:val="bottom"/>
            <w:hideMark/>
          </w:tcPr>
          <w:p w14:paraId="23604243"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0.988</w:t>
            </w:r>
          </w:p>
        </w:tc>
        <w:tc>
          <w:tcPr>
            <w:tcW w:w="1169" w:type="dxa"/>
            <w:tcBorders>
              <w:top w:val="nil"/>
              <w:left w:val="nil"/>
              <w:bottom w:val="nil"/>
              <w:right w:val="nil"/>
            </w:tcBorders>
            <w:shd w:val="clear" w:color="000000" w:fill="75C37C"/>
            <w:noWrap/>
            <w:vAlign w:val="bottom"/>
            <w:hideMark/>
          </w:tcPr>
          <w:p w14:paraId="3EDABF16"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0.984</w:t>
            </w:r>
          </w:p>
        </w:tc>
        <w:tc>
          <w:tcPr>
            <w:tcW w:w="1140" w:type="dxa"/>
            <w:tcBorders>
              <w:top w:val="nil"/>
              <w:left w:val="nil"/>
              <w:bottom w:val="nil"/>
              <w:right w:val="nil"/>
            </w:tcBorders>
            <w:shd w:val="clear" w:color="000000" w:fill="7AC57D"/>
            <w:noWrap/>
            <w:vAlign w:val="bottom"/>
            <w:hideMark/>
          </w:tcPr>
          <w:p w14:paraId="68E1720D"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0.978</w:t>
            </w:r>
          </w:p>
        </w:tc>
        <w:tc>
          <w:tcPr>
            <w:tcW w:w="1479" w:type="dxa"/>
            <w:tcBorders>
              <w:top w:val="nil"/>
              <w:left w:val="nil"/>
              <w:bottom w:val="nil"/>
              <w:right w:val="nil"/>
            </w:tcBorders>
            <w:shd w:val="clear" w:color="000000" w:fill="73C37C"/>
            <w:noWrap/>
            <w:vAlign w:val="bottom"/>
            <w:hideMark/>
          </w:tcPr>
          <w:p w14:paraId="2BE14C5E"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0.985</w:t>
            </w:r>
          </w:p>
        </w:tc>
        <w:tc>
          <w:tcPr>
            <w:tcW w:w="1134" w:type="dxa"/>
            <w:tcBorders>
              <w:top w:val="nil"/>
              <w:left w:val="nil"/>
              <w:bottom w:val="nil"/>
              <w:right w:val="nil"/>
            </w:tcBorders>
            <w:shd w:val="clear" w:color="000000" w:fill="70C27C"/>
            <w:noWrap/>
            <w:vAlign w:val="bottom"/>
            <w:hideMark/>
          </w:tcPr>
          <w:p w14:paraId="7D3B7E59"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0.988</w:t>
            </w:r>
          </w:p>
        </w:tc>
        <w:tc>
          <w:tcPr>
            <w:tcW w:w="956" w:type="dxa"/>
            <w:tcBorders>
              <w:top w:val="nil"/>
              <w:left w:val="nil"/>
              <w:bottom w:val="nil"/>
              <w:right w:val="nil"/>
            </w:tcBorders>
            <w:shd w:val="clear" w:color="000000" w:fill="74C37C"/>
            <w:noWrap/>
            <w:vAlign w:val="bottom"/>
            <w:hideMark/>
          </w:tcPr>
          <w:p w14:paraId="6E6B121E"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0.984</w:t>
            </w:r>
          </w:p>
        </w:tc>
        <w:tc>
          <w:tcPr>
            <w:tcW w:w="933" w:type="dxa"/>
            <w:tcBorders>
              <w:top w:val="nil"/>
              <w:left w:val="nil"/>
              <w:bottom w:val="nil"/>
              <w:right w:val="nil"/>
            </w:tcBorders>
            <w:shd w:val="clear" w:color="000000" w:fill="72C37C"/>
            <w:noWrap/>
            <w:vAlign w:val="bottom"/>
            <w:hideMark/>
          </w:tcPr>
          <w:p w14:paraId="1CA2F76C"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0.986</w:t>
            </w:r>
          </w:p>
        </w:tc>
      </w:tr>
      <w:tr w:rsidR="006E5EB8" w:rsidRPr="006E5EB8" w14:paraId="5B1B8A87" w14:textId="77777777" w:rsidTr="00A912C4">
        <w:trPr>
          <w:trHeight w:val="300"/>
        </w:trPr>
        <w:tc>
          <w:tcPr>
            <w:tcW w:w="2717" w:type="dxa"/>
            <w:gridSpan w:val="2"/>
            <w:tcBorders>
              <w:top w:val="nil"/>
              <w:left w:val="nil"/>
              <w:bottom w:val="single" w:sz="4" w:space="0" w:color="auto"/>
              <w:right w:val="nil"/>
            </w:tcBorders>
            <w:shd w:val="clear" w:color="auto" w:fill="auto"/>
            <w:noWrap/>
            <w:hideMark/>
          </w:tcPr>
          <w:p w14:paraId="530E25F6" w14:textId="77777777" w:rsidR="006E5EB8" w:rsidRPr="006E5EB8" w:rsidRDefault="006E5EB8" w:rsidP="006E5EB8">
            <w:pPr>
              <w:spacing w:after="0" w:line="240" w:lineRule="auto"/>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Comparison mean value</w:t>
            </w:r>
            <w:r w:rsidRPr="006E5EB8">
              <w:rPr>
                <w:rFonts w:ascii="Calibri" w:eastAsia="Times New Roman" w:hAnsi="Calibri" w:cs="Calibri"/>
                <w:color w:val="000000"/>
                <w:sz w:val="22"/>
                <w:vertAlign w:val="superscript"/>
                <w:lang w:eastAsia="en-GB"/>
              </w:rPr>
              <w:t>3</w:t>
            </w:r>
          </w:p>
        </w:tc>
        <w:tc>
          <w:tcPr>
            <w:tcW w:w="1150" w:type="dxa"/>
            <w:tcBorders>
              <w:top w:val="nil"/>
              <w:left w:val="nil"/>
              <w:bottom w:val="single" w:sz="4" w:space="0" w:color="auto"/>
              <w:right w:val="nil"/>
            </w:tcBorders>
            <w:shd w:val="clear" w:color="000000" w:fill="86C87D"/>
            <w:noWrap/>
            <w:vAlign w:val="bottom"/>
            <w:hideMark/>
          </w:tcPr>
          <w:p w14:paraId="60D33325"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0.967</w:t>
            </w:r>
          </w:p>
        </w:tc>
        <w:tc>
          <w:tcPr>
            <w:tcW w:w="1169" w:type="dxa"/>
            <w:tcBorders>
              <w:top w:val="nil"/>
              <w:left w:val="nil"/>
              <w:bottom w:val="single" w:sz="4" w:space="0" w:color="auto"/>
              <w:right w:val="nil"/>
            </w:tcBorders>
            <w:shd w:val="clear" w:color="000000" w:fill="8BCA7E"/>
            <w:noWrap/>
            <w:vAlign w:val="bottom"/>
            <w:hideMark/>
          </w:tcPr>
          <w:p w14:paraId="215DF80C"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0.962</w:t>
            </w:r>
          </w:p>
        </w:tc>
        <w:tc>
          <w:tcPr>
            <w:tcW w:w="1140" w:type="dxa"/>
            <w:tcBorders>
              <w:top w:val="nil"/>
              <w:left w:val="nil"/>
              <w:bottom w:val="single" w:sz="4" w:space="0" w:color="auto"/>
              <w:right w:val="nil"/>
            </w:tcBorders>
            <w:shd w:val="clear" w:color="000000" w:fill="C2DA81"/>
            <w:noWrap/>
            <w:vAlign w:val="bottom"/>
            <w:hideMark/>
          </w:tcPr>
          <w:p w14:paraId="2D01A387"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0.909</w:t>
            </w:r>
          </w:p>
        </w:tc>
        <w:tc>
          <w:tcPr>
            <w:tcW w:w="1479" w:type="dxa"/>
            <w:tcBorders>
              <w:top w:val="nil"/>
              <w:left w:val="nil"/>
              <w:bottom w:val="single" w:sz="4" w:space="0" w:color="auto"/>
              <w:right w:val="nil"/>
            </w:tcBorders>
            <w:shd w:val="clear" w:color="000000" w:fill="97CD7E"/>
            <w:noWrap/>
            <w:vAlign w:val="bottom"/>
            <w:hideMark/>
          </w:tcPr>
          <w:p w14:paraId="32EB2A3E"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0.951</w:t>
            </w:r>
          </w:p>
        </w:tc>
        <w:tc>
          <w:tcPr>
            <w:tcW w:w="1134" w:type="dxa"/>
            <w:tcBorders>
              <w:top w:val="nil"/>
              <w:left w:val="nil"/>
              <w:bottom w:val="single" w:sz="4" w:space="0" w:color="auto"/>
              <w:right w:val="nil"/>
            </w:tcBorders>
            <w:shd w:val="clear" w:color="000000" w:fill="A2D17F"/>
            <w:noWrap/>
            <w:vAlign w:val="bottom"/>
            <w:hideMark/>
          </w:tcPr>
          <w:p w14:paraId="02C048D8"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0.940</w:t>
            </w:r>
          </w:p>
        </w:tc>
        <w:tc>
          <w:tcPr>
            <w:tcW w:w="956" w:type="dxa"/>
            <w:tcBorders>
              <w:top w:val="nil"/>
              <w:left w:val="nil"/>
              <w:bottom w:val="single" w:sz="4" w:space="0" w:color="auto"/>
              <w:right w:val="nil"/>
            </w:tcBorders>
            <w:shd w:val="clear" w:color="000000" w:fill="9ACE7F"/>
            <w:noWrap/>
            <w:vAlign w:val="bottom"/>
            <w:hideMark/>
          </w:tcPr>
          <w:p w14:paraId="25B7426A"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0.948</w:t>
            </w:r>
          </w:p>
        </w:tc>
        <w:tc>
          <w:tcPr>
            <w:tcW w:w="933" w:type="dxa"/>
            <w:tcBorders>
              <w:top w:val="nil"/>
              <w:left w:val="nil"/>
              <w:bottom w:val="single" w:sz="4" w:space="0" w:color="auto"/>
              <w:right w:val="nil"/>
            </w:tcBorders>
            <w:shd w:val="clear" w:color="000000" w:fill="99CE7F"/>
            <w:noWrap/>
            <w:vAlign w:val="bottom"/>
            <w:hideMark/>
          </w:tcPr>
          <w:p w14:paraId="027B9BFA" w14:textId="77777777" w:rsidR="006E5EB8" w:rsidRPr="006E5EB8" w:rsidRDefault="006E5EB8" w:rsidP="006E5EB8">
            <w:pPr>
              <w:spacing w:after="0" w:line="240" w:lineRule="auto"/>
              <w:jc w:val="center"/>
              <w:rPr>
                <w:rFonts w:ascii="Calibri" w:eastAsia="Times New Roman" w:hAnsi="Calibri" w:cs="Calibri"/>
                <w:color w:val="000000"/>
                <w:sz w:val="22"/>
                <w:lang w:eastAsia="en-GB"/>
              </w:rPr>
            </w:pPr>
            <w:r w:rsidRPr="006E5EB8">
              <w:rPr>
                <w:rFonts w:ascii="Calibri" w:eastAsia="Times New Roman" w:hAnsi="Calibri" w:cs="Calibri"/>
                <w:color w:val="000000"/>
                <w:sz w:val="22"/>
                <w:lang w:eastAsia="en-GB"/>
              </w:rPr>
              <w:t>0.948</w:t>
            </w:r>
          </w:p>
        </w:tc>
      </w:tr>
    </w:tbl>
    <w:p w14:paraId="44B162FE" w14:textId="727B499E" w:rsidR="000715DD" w:rsidRDefault="000715DD" w:rsidP="00200EB4"/>
    <w:p w14:paraId="7EC41B72" w14:textId="7DEFA991" w:rsidR="006978B4" w:rsidRPr="006978B4" w:rsidRDefault="000B4EFE" w:rsidP="006978B4">
      <w:pPr>
        <w:spacing w:after="240" w:line="360" w:lineRule="auto"/>
        <w:jc w:val="both"/>
        <w:rPr>
          <w:sz w:val="22"/>
        </w:rPr>
      </w:pPr>
      <w:r>
        <w:rPr>
          <w:sz w:val="22"/>
        </w:rPr>
        <w:t>F</w:t>
      </w:r>
      <w:r w:rsidR="006978B4">
        <w:rPr>
          <w:sz w:val="22"/>
        </w:rPr>
        <w:t>rom Table 1, asking participants to tilt their head</w:t>
      </w:r>
      <w:r w:rsidR="001814C6">
        <w:rPr>
          <w:sz w:val="22"/>
        </w:rPr>
        <w:t xml:space="preserve"> </w:t>
      </w:r>
      <w:r w:rsidR="006978B4">
        <w:rPr>
          <w:sz w:val="22"/>
        </w:rPr>
        <w:t>in the scanner</w:t>
      </w:r>
      <w:r w:rsidR="007417A8">
        <w:rPr>
          <w:sz w:val="22"/>
        </w:rPr>
        <w:t xml:space="preserve"> </w:t>
      </w:r>
      <w:r w:rsidR="00324DF1">
        <w:rPr>
          <w:sz w:val="22"/>
        </w:rPr>
        <w:t>(mean</w:t>
      </w:r>
      <w:r w:rsidR="00324DF1" w:rsidRPr="00C0364F">
        <w:rPr>
          <w:sz w:val="22"/>
        </w:rPr>
        <w:t xml:space="preserve"> </w:t>
      </w:r>
      <w:r w:rsidR="00324DF1">
        <w:rPr>
          <w:sz w:val="22"/>
        </w:rPr>
        <w:t xml:space="preserve">pitch </w:t>
      </w:r>
      <w:r w:rsidR="00324DF1" w:rsidRPr="00C0364F">
        <w:rPr>
          <w:sz w:val="22"/>
        </w:rPr>
        <w:t>movement of 7.61</w:t>
      </w:r>
      <w:r w:rsidR="00324DF1" w:rsidRPr="00C0364F">
        <w:rPr>
          <w:sz w:val="22"/>
          <w:vertAlign w:val="superscript"/>
        </w:rPr>
        <w:t>o</w:t>
      </w:r>
      <w:r w:rsidR="00324DF1">
        <w:rPr>
          <w:sz w:val="22"/>
        </w:rPr>
        <w:t>)</w:t>
      </w:r>
      <w:r w:rsidR="007417A8">
        <w:rPr>
          <w:sz w:val="22"/>
        </w:rPr>
        <w:t xml:space="preserve"> </w:t>
      </w:r>
      <w:r w:rsidR="006978B4">
        <w:rPr>
          <w:sz w:val="22"/>
        </w:rPr>
        <w:t xml:space="preserve">resulted in lower reliability of morphometric measurements (overall mean ICC = 0.909) compared to follow-up scans at three weeks (ICC = 0.951) or one year (ICC = 0.940). </w:t>
      </w:r>
      <w:r w:rsidR="006978B4" w:rsidRPr="00074664">
        <w:rPr>
          <w:sz w:val="22"/>
        </w:rPr>
        <w:t>The</w:t>
      </w:r>
      <w:r w:rsidR="006978B4">
        <w:rPr>
          <w:sz w:val="22"/>
        </w:rPr>
        <w:t xml:space="preserve"> reliability of individual brain regions is shown for</w:t>
      </w:r>
      <w:r w:rsidR="006978B4" w:rsidRPr="00074664">
        <w:rPr>
          <w:sz w:val="22"/>
        </w:rPr>
        <w:t xml:space="preserve"> ‘head tilt’ </w:t>
      </w:r>
      <w:r w:rsidR="006978B4">
        <w:rPr>
          <w:sz w:val="22"/>
        </w:rPr>
        <w:t xml:space="preserve">(Figure 2) </w:t>
      </w:r>
      <w:r w:rsidR="006978B4" w:rsidRPr="00074664">
        <w:rPr>
          <w:sz w:val="22"/>
        </w:rPr>
        <w:t>and ‘t</w:t>
      </w:r>
      <w:r w:rsidR="006978B4">
        <w:rPr>
          <w:sz w:val="22"/>
        </w:rPr>
        <w:t>hree</w:t>
      </w:r>
      <w:r w:rsidR="006978B4" w:rsidRPr="00074664">
        <w:rPr>
          <w:sz w:val="22"/>
        </w:rPr>
        <w:t xml:space="preserve"> weeks’ </w:t>
      </w:r>
      <w:r w:rsidR="006978B4">
        <w:rPr>
          <w:sz w:val="22"/>
        </w:rPr>
        <w:t xml:space="preserve">(Figure 3). </w:t>
      </w:r>
    </w:p>
    <w:p w14:paraId="15949321" w14:textId="0AFC7FD9" w:rsidR="006853DA" w:rsidRPr="00377948" w:rsidRDefault="00DE25D7" w:rsidP="00377948">
      <w:r>
        <w:rPr>
          <w:noProof/>
        </w:rPr>
        <mc:AlternateContent>
          <mc:Choice Requires="wps">
            <w:drawing>
              <wp:anchor distT="45720" distB="45720" distL="114300" distR="114300" simplePos="0" relativeHeight="251678720" behindDoc="0" locked="0" layoutInCell="1" allowOverlap="1" wp14:anchorId="1AE28B72" wp14:editId="3C7C3E36">
                <wp:simplePos x="0" y="0"/>
                <wp:positionH relativeFrom="margin">
                  <wp:posOffset>-241300</wp:posOffset>
                </wp:positionH>
                <wp:positionV relativeFrom="paragraph">
                  <wp:posOffset>3032125</wp:posOffset>
                </wp:positionV>
                <wp:extent cx="5808980" cy="1404620"/>
                <wp:effectExtent l="0" t="0" r="0"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404620"/>
                        </a:xfrm>
                        <a:prstGeom prst="rect">
                          <a:avLst/>
                        </a:prstGeom>
                        <a:noFill/>
                        <a:ln w="9525">
                          <a:noFill/>
                          <a:miter lim="800000"/>
                          <a:headEnd/>
                          <a:tailEnd/>
                        </a:ln>
                      </wps:spPr>
                      <wps:txbx>
                        <w:txbxContent>
                          <w:p w14:paraId="60563C70" w14:textId="74CE92A6" w:rsidR="00F45C7C" w:rsidRPr="000542B4" w:rsidRDefault="00F45C7C" w:rsidP="00C15AC3">
                            <w:pPr>
                              <w:spacing w:after="0" w:line="240" w:lineRule="auto"/>
                              <w:rPr>
                                <w:i/>
                                <w:iCs/>
                                <w:sz w:val="22"/>
                              </w:rPr>
                            </w:pPr>
                            <w:r w:rsidRPr="000542B4">
                              <w:rPr>
                                <w:i/>
                                <w:iCs/>
                                <w:sz w:val="22"/>
                              </w:rPr>
                              <w:t xml:space="preserve">Figure 2: ICC values of subcortical and cortical volumes, cortical thickness, and cortical </w:t>
                            </w:r>
                            <w:r>
                              <w:rPr>
                                <w:i/>
                                <w:iCs/>
                                <w:sz w:val="22"/>
                              </w:rPr>
                              <w:t xml:space="preserve">surface </w:t>
                            </w:r>
                            <w:r w:rsidRPr="000542B4">
                              <w:rPr>
                                <w:i/>
                                <w:iCs/>
                                <w:sz w:val="22"/>
                              </w:rPr>
                              <w:t xml:space="preserve">area morphometric measurements for ‘head tilt’ comparison from FreeSurfer 7.1.0 longitudinal stream. </w:t>
                            </w:r>
                            <w:r>
                              <w:rPr>
                                <w:i/>
                                <w:iCs/>
                                <w:sz w:val="22"/>
                              </w:rPr>
                              <w:t xml:space="preserve">This change in pitch has been reported as the most common type of head movement seen in adult groups during an MRI scan (Cusack et al., 2017). </w:t>
                            </w:r>
                            <w:r w:rsidRPr="000542B4">
                              <w:rPr>
                                <w:i/>
                                <w:iCs/>
                                <w:sz w:val="22"/>
                              </w:rPr>
                              <w:t>For cortical thickness measurements (Image C), 16 regions had an ICC</w:t>
                            </w:r>
                            <w:r>
                              <w:rPr>
                                <w:i/>
                                <w:iCs/>
                                <w:sz w:val="22"/>
                              </w:rPr>
                              <w:t>&lt;</w:t>
                            </w:r>
                            <w:r w:rsidRPr="000542B4">
                              <w:rPr>
                                <w:i/>
                                <w:iCs/>
                                <w:sz w:val="22"/>
                              </w:rPr>
                              <w:t>0.7 (minimum value = 0.402)</w:t>
                            </w:r>
                            <w:r w:rsidR="00B436FE">
                              <w:rPr>
                                <w:i/>
                                <w:iCs/>
                                <w:sz w:val="22"/>
                              </w:rPr>
                              <w:t xml:space="preserve"> (see Supplementary Materials S2)</w:t>
                            </w:r>
                            <w:r w:rsidRPr="000542B4">
                              <w:rPr>
                                <w:i/>
                                <w:iCs/>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E28B72" id="_x0000_s1029" type="#_x0000_t202" style="position:absolute;margin-left:-19pt;margin-top:238.75pt;width:457.4pt;height:110.6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" filled="f" stroked="f">
                <v:textbox style="mso-fit-shape-to-text:t">
                  <w:txbxContent>
                    <w:p w14:paraId="60563C70" w14:textId="74CE92A6" w:rsidR="00F45C7C" w:rsidRPr="000542B4" w:rsidRDefault="00F45C7C" w:rsidP="00C15AC3">
                      <w:pPr>
                        <w:spacing w:after="0" w:line="240" w:lineRule="auto"/>
                        <w:rPr>
                          <w:i/>
                          <w:iCs/>
                          <w:sz w:val="22"/>
                        </w:rPr>
                      </w:pPr>
                      <w:r w:rsidRPr="000542B4">
                        <w:rPr>
                          <w:i/>
                          <w:iCs/>
                          <w:sz w:val="22"/>
                        </w:rPr>
                        <w:t xml:space="preserve">Figure 2: ICC values of subcortical and cortical volumes, cortical thickness, and cortical </w:t>
                      </w:r>
                      <w:r>
                        <w:rPr>
                          <w:i/>
                          <w:iCs/>
                          <w:sz w:val="22"/>
                        </w:rPr>
                        <w:t xml:space="preserve">surface </w:t>
                      </w:r>
                      <w:r w:rsidRPr="000542B4">
                        <w:rPr>
                          <w:i/>
                          <w:iCs/>
                          <w:sz w:val="22"/>
                        </w:rPr>
                        <w:t xml:space="preserve">area morphometric measurements for ‘head tilt’ comparison from FreeSurfer 7.1.0 longitudinal stream. </w:t>
                      </w:r>
                      <w:r>
                        <w:rPr>
                          <w:i/>
                          <w:iCs/>
                          <w:sz w:val="22"/>
                        </w:rPr>
                        <w:t xml:space="preserve">This change in pitch has been reported as the most common type of head movement seen in adult groups during an MRI scan (Cusack et al., 2017). </w:t>
                      </w:r>
                      <w:r w:rsidRPr="000542B4">
                        <w:rPr>
                          <w:i/>
                          <w:iCs/>
                          <w:sz w:val="22"/>
                        </w:rPr>
                        <w:t>For cortical thickness measurements (Image C), 16 regions had an ICC</w:t>
                      </w:r>
                      <w:r>
                        <w:rPr>
                          <w:i/>
                          <w:iCs/>
                          <w:sz w:val="22"/>
                        </w:rPr>
                        <w:t>&lt;</w:t>
                      </w:r>
                      <w:r w:rsidRPr="000542B4">
                        <w:rPr>
                          <w:i/>
                          <w:iCs/>
                          <w:sz w:val="22"/>
                        </w:rPr>
                        <w:t>0.7 (minimum value = 0.402)</w:t>
                      </w:r>
                      <w:r w:rsidR="00B436FE">
                        <w:rPr>
                          <w:i/>
                          <w:iCs/>
                          <w:sz w:val="22"/>
                        </w:rPr>
                        <w:t xml:space="preserve"> (see Supplementary Materials S2)</w:t>
                      </w:r>
                      <w:r w:rsidRPr="000542B4">
                        <w:rPr>
                          <w:i/>
                          <w:iCs/>
                          <w:sz w:val="22"/>
                        </w:rPr>
                        <w:t>.</w:t>
                      </w:r>
                    </w:p>
                  </w:txbxContent>
                </v:textbox>
                <w10:wrap type="square" anchorx="margin"/>
              </v:shape>
            </w:pict>
          </mc:Fallback>
        </mc:AlternateContent>
      </w:r>
      <w:r w:rsidR="00693578">
        <w:rPr>
          <w:noProof/>
        </w:rPr>
        <w:drawing>
          <wp:anchor distT="0" distB="0" distL="114300" distR="114300" simplePos="0" relativeHeight="251689984" behindDoc="0" locked="0" layoutInCell="1" allowOverlap="1" wp14:anchorId="48E0D7E8" wp14:editId="2EC098DC">
            <wp:simplePos x="0" y="0"/>
            <wp:positionH relativeFrom="column">
              <wp:posOffset>-107315</wp:posOffset>
            </wp:positionH>
            <wp:positionV relativeFrom="paragraph">
              <wp:posOffset>195580</wp:posOffset>
            </wp:positionV>
            <wp:extent cx="5669280" cy="2827020"/>
            <wp:effectExtent l="0" t="0" r="7620" b="0"/>
            <wp:wrapSquare wrapText="bothSides"/>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pic:nvPicPr>
                  <pic:blipFill rotWithShape="1">
                    <a:blip r:embed="rId13">
                      <a:extLst>
                        <a:ext uri="{28A0092B-C50C-407E-A947-70E740481C1C}">
                          <a14:useLocalDpi xmlns:a14="http://schemas.microsoft.com/office/drawing/2010/main" val="0"/>
                        </a:ext>
                      </a:extLst>
                    </a:blip>
                    <a:srcRect r="1065" b="9106"/>
                    <a:stretch/>
                  </pic:blipFill>
                  <pic:spPr bwMode="auto">
                    <a:xfrm>
                      <a:off x="0" y="0"/>
                      <a:ext cx="5669280" cy="2827020"/>
                    </a:xfrm>
                    <a:prstGeom prst="rect">
                      <a:avLst/>
                    </a:prstGeom>
                    <a:ln>
                      <a:noFill/>
                    </a:ln>
                    <a:extLst>
                      <a:ext uri="{53640926-AAD7-44D8-BBD7-CCE9431645EC}">
                        <a14:shadowObscured xmlns:a14="http://schemas.microsoft.com/office/drawing/2010/main"/>
                      </a:ext>
                    </a:extLst>
                  </pic:spPr>
                </pic:pic>
              </a:graphicData>
            </a:graphic>
          </wp:anchor>
        </w:drawing>
      </w:r>
    </w:p>
    <w:p w14:paraId="4758A793" w14:textId="2471273D" w:rsidR="00F004C4" w:rsidRDefault="00F004C4" w:rsidP="00D421AE">
      <w:pPr>
        <w:jc w:val="both"/>
        <w:rPr>
          <w:sz w:val="22"/>
        </w:rPr>
      </w:pPr>
      <w:r>
        <w:rPr>
          <w:noProof/>
        </w:rPr>
        <w:lastRenderedPageBreak/>
        <mc:AlternateContent>
          <mc:Choice Requires="wps">
            <w:drawing>
              <wp:anchor distT="45720" distB="45720" distL="114300" distR="114300" simplePos="0" relativeHeight="251680768" behindDoc="0" locked="0" layoutInCell="1" allowOverlap="1" wp14:anchorId="6B797330" wp14:editId="75A42C69">
                <wp:simplePos x="0" y="0"/>
                <wp:positionH relativeFrom="margin">
                  <wp:posOffset>-139700</wp:posOffset>
                </wp:positionH>
                <wp:positionV relativeFrom="paragraph">
                  <wp:posOffset>2908300</wp:posOffset>
                </wp:positionV>
                <wp:extent cx="598805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404620"/>
                        </a:xfrm>
                        <a:prstGeom prst="rect">
                          <a:avLst/>
                        </a:prstGeom>
                        <a:noFill/>
                        <a:ln w="9525">
                          <a:noFill/>
                          <a:miter lim="800000"/>
                          <a:headEnd/>
                          <a:tailEnd/>
                        </a:ln>
                      </wps:spPr>
                      <wps:txbx>
                        <w:txbxContent>
                          <w:p w14:paraId="6E40748E" w14:textId="0DE3AEA4" w:rsidR="00F45C7C" w:rsidRPr="008761BB" w:rsidRDefault="00F45C7C" w:rsidP="008131D3">
                            <w:pPr>
                              <w:spacing w:after="0" w:line="240" w:lineRule="auto"/>
                              <w:rPr>
                                <w:i/>
                                <w:iCs/>
                                <w:sz w:val="22"/>
                              </w:rPr>
                            </w:pPr>
                            <w:r w:rsidRPr="008761BB">
                              <w:rPr>
                                <w:i/>
                                <w:iCs/>
                                <w:sz w:val="22"/>
                              </w:rPr>
                              <w:t xml:space="preserve">Figure 3: ICC values of subcortical and cortical volumes, cortical thickness, and cortical </w:t>
                            </w:r>
                            <w:r>
                              <w:rPr>
                                <w:i/>
                                <w:iCs/>
                                <w:sz w:val="22"/>
                              </w:rPr>
                              <w:t xml:space="preserve">surface </w:t>
                            </w:r>
                            <w:r w:rsidRPr="008761BB">
                              <w:rPr>
                                <w:i/>
                                <w:iCs/>
                                <w:sz w:val="22"/>
                              </w:rPr>
                              <w:t>area morphometric measurements for ‘t</w:t>
                            </w:r>
                            <w:r>
                              <w:rPr>
                                <w:i/>
                                <w:iCs/>
                                <w:sz w:val="22"/>
                              </w:rPr>
                              <w:t>hree</w:t>
                            </w:r>
                            <w:r w:rsidRPr="008761BB">
                              <w:rPr>
                                <w:i/>
                                <w:iCs/>
                                <w:sz w:val="22"/>
                              </w:rPr>
                              <w:t>-week’ comparison from FreeSurfer 7.1.0 longitudinal stream. For cortical thickness measurements (Image C), two regions had an ICC</w:t>
                            </w:r>
                            <w:r>
                              <w:rPr>
                                <w:i/>
                                <w:iCs/>
                                <w:sz w:val="22"/>
                              </w:rPr>
                              <w:t>&lt;</w:t>
                            </w:r>
                            <w:r w:rsidRPr="008761BB">
                              <w:rPr>
                                <w:i/>
                                <w:iCs/>
                                <w:sz w:val="22"/>
                              </w:rPr>
                              <w:t>0.7 (minimum value = 0.598)</w:t>
                            </w:r>
                            <w:r w:rsidR="00011E6D">
                              <w:rPr>
                                <w:i/>
                                <w:iCs/>
                                <w:sz w:val="22"/>
                              </w:rPr>
                              <w:t xml:space="preserve"> (see Supplementary Materials S2)</w:t>
                            </w:r>
                            <w:r w:rsidRPr="008761BB">
                              <w:rPr>
                                <w:i/>
                                <w:iCs/>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797330" id="_x0000_s1030" type="#_x0000_t202" style="position:absolute;left:0;text-align:left;margin-left:-11pt;margin-top:229pt;width:471.5pt;height:110.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" filled="f" stroked="f">
                <v:textbox style="mso-fit-shape-to-text:t">
                  <w:txbxContent>
                    <w:p w14:paraId="6E40748E" w14:textId="0DE3AEA4" w:rsidR="00F45C7C" w:rsidRPr="008761BB" w:rsidRDefault="00F45C7C" w:rsidP="008131D3">
                      <w:pPr>
                        <w:spacing w:after="0" w:line="240" w:lineRule="auto"/>
                        <w:rPr>
                          <w:i/>
                          <w:iCs/>
                          <w:sz w:val="22"/>
                        </w:rPr>
                      </w:pPr>
                      <w:r w:rsidRPr="008761BB">
                        <w:rPr>
                          <w:i/>
                          <w:iCs/>
                          <w:sz w:val="22"/>
                        </w:rPr>
                        <w:t xml:space="preserve">Figure 3: ICC values of subcortical and cortical volumes, cortical thickness, and cortical </w:t>
                      </w:r>
                      <w:r>
                        <w:rPr>
                          <w:i/>
                          <w:iCs/>
                          <w:sz w:val="22"/>
                        </w:rPr>
                        <w:t xml:space="preserve">surface </w:t>
                      </w:r>
                      <w:r w:rsidRPr="008761BB">
                        <w:rPr>
                          <w:i/>
                          <w:iCs/>
                          <w:sz w:val="22"/>
                        </w:rPr>
                        <w:t>area morphometric measurements for ‘t</w:t>
                      </w:r>
                      <w:r>
                        <w:rPr>
                          <w:i/>
                          <w:iCs/>
                          <w:sz w:val="22"/>
                        </w:rPr>
                        <w:t>hree</w:t>
                      </w:r>
                      <w:r w:rsidRPr="008761BB">
                        <w:rPr>
                          <w:i/>
                          <w:iCs/>
                          <w:sz w:val="22"/>
                        </w:rPr>
                        <w:t>-week’ comparison from FreeSurfer 7.1.0 longitudinal stream. For cortical thickness measurements (Image C), two regions had an ICC</w:t>
                      </w:r>
                      <w:r>
                        <w:rPr>
                          <w:i/>
                          <w:iCs/>
                          <w:sz w:val="22"/>
                        </w:rPr>
                        <w:t>&lt;</w:t>
                      </w:r>
                      <w:r w:rsidRPr="008761BB">
                        <w:rPr>
                          <w:i/>
                          <w:iCs/>
                          <w:sz w:val="22"/>
                        </w:rPr>
                        <w:t>0.7 (minimum value = 0.598)</w:t>
                      </w:r>
                      <w:r w:rsidR="00011E6D">
                        <w:rPr>
                          <w:i/>
                          <w:iCs/>
                          <w:sz w:val="22"/>
                        </w:rPr>
                        <w:t xml:space="preserve"> (see Supplementary Materials S2)</w:t>
                      </w:r>
                      <w:r w:rsidRPr="008761BB">
                        <w:rPr>
                          <w:i/>
                          <w:iCs/>
                          <w:sz w:val="22"/>
                        </w:rPr>
                        <w:t>.</w:t>
                      </w:r>
                    </w:p>
                  </w:txbxContent>
                </v:textbox>
                <w10:wrap type="square" anchorx="margin"/>
              </v:shape>
            </w:pict>
          </mc:Fallback>
        </mc:AlternateContent>
      </w:r>
      <w:r>
        <w:rPr>
          <w:noProof/>
        </w:rPr>
        <w:drawing>
          <wp:anchor distT="0" distB="0" distL="114300" distR="114300" simplePos="0" relativeHeight="251703296" behindDoc="1" locked="0" layoutInCell="1" allowOverlap="1" wp14:anchorId="35ECFAE9" wp14:editId="51890364">
            <wp:simplePos x="0" y="0"/>
            <wp:positionH relativeFrom="column">
              <wp:posOffset>-130175</wp:posOffset>
            </wp:positionH>
            <wp:positionV relativeFrom="paragraph">
              <wp:posOffset>0</wp:posOffset>
            </wp:positionV>
            <wp:extent cx="5640705" cy="2820035"/>
            <wp:effectExtent l="0" t="0" r="0" b="0"/>
            <wp:wrapTight wrapText="bothSides">
              <wp:wrapPolygon edited="0">
                <wp:start x="0" y="0"/>
                <wp:lineTo x="0" y="21449"/>
                <wp:lineTo x="21520" y="21449"/>
                <wp:lineTo x="21520" y="0"/>
                <wp:lineTo x="0" y="0"/>
              </wp:wrapPolygon>
            </wp:wrapTight>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pic:nvPicPr>
                  <pic:blipFill rotWithShape="1">
                    <a:blip r:embed="rId14">
                      <a:extLst>
                        <a:ext uri="{28A0092B-C50C-407E-A947-70E740481C1C}">
                          <a14:useLocalDpi xmlns:a14="http://schemas.microsoft.com/office/drawing/2010/main" val="0"/>
                        </a:ext>
                      </a:extLst>
                    </a:blip>
                    <a:srcRect r="1577" b="9332"/>
                    <a:stretch/>
                  </pic:blipFill>
                  <pic:spPr bwMode="auto">
                    <a:xfrm>
                      <a:off x="0" y="0"/>
                      <a:ext cx="5640705" cy="2820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364B35" w14:textId="09D59CA7" w:rsidR="00D8274D" w:rsidRDefault="00D26BFD" w:rsidP="00D8274D">
      <w:pPr>
        <w:spacing w:after="240" w:line="360" w:lineRule="auto"/>
        <w:jc w:val="both"/>
        <w:rPr>
          <w:sz w:val="22"/>
        </w:rPr>
      </w:pPr>
      <w:r>
        <w:rPr>
          <w:sz w:val="22"/>
        </w:rPr>
        <w:t>To</w:t>
      </w:r>
      <w:r w:rsidR="0043180C">
        <w:rPr>
          <w:sz w:val="22"/>
        </w:rPr>
        <w:t xml:space="preserve"> understand </w:t>
      </w:r>
      <w:r>
        <w:rPr>
          <w:sz w:val="22"/>
        </w:rPr>
        <w:t xml:space="preserve">the </w:t>
      </w:r>
      <w:r w:rsidR="00A668C7">
        <w:rPr>
          <w:sz w:val="22"/>
        </w:rPr>
        <w:t>low reliability of cortical thickness measurements</w:t>
      </w:r>
      <w:r w:rsidR="001F0DCB">
        <w:rPr>
          <w:sz w:val="22"/>
        </w:rPr>
        <w:t xml:space="preserve"> after the head tilt</w:t>
      </w:r>
      <w:r w:rsidR="007471A1">
        <w:rPr>
          <w:sz w:val="22"/>
        </w:rPr>
        <w:t>,</w:t>
      </w:r>
      <w:r w:rsidR="00A668C7">
        <w:rPr>
          <w:sz w:val="22"/>
        </w:rPr>
        <w:t xml:space="preserve"> seen in Figure 2</w:t>
      </w:r>
      <w:r>
        <w:rPr>
          <w:sz w:val="22"/>
        </w:rPr>
        <w:t xml:space="preserve">C, we </w:t>
      </w:r>
      <w:r w:rsidR="00D16B8B">
        <w:rPr>
          <w:sz w:val="22"/>
        </w:rPr>
        <w:t xml:space="preserve">first </w:t>
      </w:r>
      <w:r>
        <w:rPr>
          <w:sz w:val="22"/>
        </w:rPr>
        <w:t xml:space="preserve">plotted </w:t>
      </w:r>
      <w:r w:rsidR="00E07C68">
        <w:rPr>
          <w:sz w:val="22"/>
        </w:rPr>
        <w:t xml:space="preserve">the </w:t>
      </w:r>
      <w:r w:rsidR="008358C2">
        <w:rPr>
          <w:sz w:val="22"/>
        </w:rPr>
        <w:t>thickness estimates</w:t>
      </w:r>
      <w:r w:rsidR="005934F3">
        <w:rPr>
          <w:sz w:val="22"/>
        </w:rPr>
        <w:t xml:space="preserve"> from A3 and A4 scans</w:t>
      </w:r>
      <w:r w:rsidR="00E14D77">
        <w:rPr>
          <w:sz w:val="22"/>
        </w:rPr>
        <w:t xml:space="preserve"> </w:t>
      </w:r>
      <w:r w:rsidR="004702DE">
        <w:rPr>
          <w:sz w:val="22"/>
        </w:rPr>
        <w:t>for a cortical region which was particularly impacted by head movement</w:t>
      </w:r>
      <w:r w:rsidR="00E14D77">
        <w:rPr>
          <w:sz w:val="22"/>
        </w:rPr>
        <w:t xml:space="preserve">. </w:t>
      </w:r>
      <w:r w:rsidR="003747CE">
        <w:rPr>
          <w:sz w:val="22"/>
        </w:rPr>
        <w:t>Figure 4 indicate</w:t>
      </w:r>
      <w:r w:rsidR="004900AB">
        <w:rPr>
          <w:sz w:val="22"/>
        </w:rPr>
        <w:t>s</w:t>
      </w:r>
      <w:r w:rsidR="003747CE">
        <w:rPr>
          <w:sz w:val="22"/>
        </w:rPr>
        <w:t xml:space="preserve"> that head tilt</w:t>
      </w:r>
      <w:r w:rsidR="00DF6D2C">
        <w:rPr>
          <w:sz w:val="22"/>
        </w:rPr>
        <w:t xml:space="preserve"> movement</w:t>
      </w:r>
      <w:r w:rsidR="003747CE">
        <w:rPr>
          <w:sz w:val="22"/>
        </w:rPr>
        <w:t xml:space="preserve"> is associated with an </w:t>
      </w:r>
      <w:r w:rsidR="00F004C4" w:rsidRPr="008761BB">
        <w:rPr>
          <w:sz w:val="22"/>
        </w:rPr>
        <w:t xml:space="preserve">approximate 3 – 4% decrease in cortical thickness measurement. </w:t>
      </w:r>
      <w:r w:rsidR="0048112A">
        <w:rPr>
          <w:sz w:val="22"/>
        </w:rPr>
        <w:t>U</w:t>
      </w:r>
      <w:r w:rsidR="002176C9">
        <w:rPr>
          <w:sz w:val="22"/>
        </w:rPr>
        <w:t xml:space="preserve">sing a paired samples t-test, we further </w:t>
      </w:r>
      <w:r w:rsidR="007C7BA2">
        <w:rPr>
          <w:sz w:val="22"/>
        </w:rPr>
        <w:t xml:space="preserve">observed a significant global reduction in </w:t>
      </w:r>
      <w:r w:rsidR="005030FD">
        <w:rPr>
          <w:sz w:val="22"/>
        </w:rPr>
        <w:t xml:space="preserve">mean </w:t>
      </w:r>
      <w:r w:rsidR="007C7BA2">
        <w:rPr>
          <w:sz w:val="22"/>
        </w:rPr>
        <w:t xml:space="preserve">cortical thickness </w:t>
      </w:r>
      <w:r w:rsidR="0079605F">
        <w:rPr>
          <w:sz w:val="22"/>
        </w:rPr>
        <w:t>following</w:t>
      </w:r>
      <w:r w:rsidR="0048112A">
        <w:rPr>
          <w:sz w:val="22"/>
        </w:rPr>
        <w:t xml:space="preserve"> the head tilt </w:t>
      </w:r>
      <w:r w:rsidR="00980B30">
        <w:rPr>
          <w:sz w:val="22"/>
        </w:rPr>
        <w:t>(</w:t>
      </w:r>
      <w:r w:rsidR="00481499">
        <w:rPr>
          <w:sz w:val="22"/>
        </w:rPr>
        <w:t>t</w:t>
      </w:r>
      <w:r w:rsidR="00980B30">
        <w:rPr>
          <w:sz w:val="22"/>
        </w:rPr>
        <w:t xml:space="preserve">[19] = -6.17, </w:t>
      </w:r>
      <w:r w:rsidR="00980B30">
        <w:rPr>
          <w:i/>
          <w:iCs/>
          <w:sz w:val="22"/>
        </w:rPr>
        <w:t>p</w:t>
      </w:r>
      <w:r w:rsidR="00980B30">
        <w:rPr>
          <w:sz w:val="22"/>
        </w:rPr>
        <w:t>&lt;.001)</w:t>
      </w:r>
      <w:r w:rsidR="0048112A">
        <w:rPr>
          <w:sz w:val="22"/>
        </w:rPr>
        <w:t xml:space="preserve">. </w:t>
      </w:r>
      <w:r w:rsidR="00480905" w:rsidRPr="00D711C4">
        <w:rPr>
          <w:sz w:val="22"/>
        </w:rPr>
        <w:t>Secon</w:t>
      </w:r>
      <w:r w:rsidR="00480905" w:rsidRPr="00374B43">
        <w:rPr>
          <w:sz w:val="22"/>
        </w:rPr>
        <w:t>d</w:t>
      </w:r>
      <w:r w:rsidR="00480905" w:rsidRPr="00846835">
        <w:rPr>
          <w:sz w:val="22"/>
        </w:rPr>
        <w:t xml:space="preserve">, </w:t>
      </w:r>
      <w:r w:rsidR="00480905" w:rsidRPr="0095642C">
        <w:rPr>
          <w:sz w:val="22"/>
        </w:rPr>
        <w:t>we</w:t>
      </w:r>
      <w:r w:rsidR="0083181C">
        <w:rPr>
          <w:sz w:val="22"/>
        </w:rPr>
        <w:t xml:space="preserve"> </w:t>
      </w:r>
      <w:r w:rsidR="00A87848" w:rsidRPr="00AC4B2C">
        <w:rPr>
          <w:sz w:val="22"/>
        </w:rPr>
        <w:t>t</w:t>
      </w:r>
      <w:r w:rsidR="00A87848" w:rsidRPr="0083181C">
        <w:rPr>
          <w:sz w:val="22"/>
        </w:rPr>
        <w:t>ested</w:t>
      </w:r>
      <w:r w:rsidR="00A87848" w:rsidRPr="008C3D1B">
        <w:rPr>
          <w:sz w:val="22"/>
        </w:rPr>
        <w:t xml:space="preserve"> </w:t>
      </w:r>
      <w:r w:rsidR="00A87848" w:rsidRPr="002110F1">
        <w:rPr>
          <w:sz w:val="22"/>
        </w:rPr>
        <w:t xml:space="preserve">whether </w:t>
      </w:r>
      <w:r w:rsidR="00CC5C60">
        <w:rPr>
          <w:sz w:val="22"/>
        </w:rPr>
        <w:t>th</w:t>
      </w:r>
      <w:r w:rsidR="0049316C">
        <w:rPr>
          <w:sz w:val="22"/>
        </w:rPr>
        <w:t>e</w:t>
      </w:r>
      <w:r w:rsidR="00CC5C60">
        <w:rPr>
          <w:sz w:val="22"/>
        </w:rPr>
        <w:t xml:space="preserve"> </w:t>
      </w:r>
      <w:r w:rsidR="00A87848" w:rsidRPr="007964E3">
        <w:rPr>
          <w:sz w:val="22"/>
        </w:rPr>
        <w:t>co</w:t>
      </w:r>
      <w:r w:rsidR="00A87848" w:rsidRPr="00E87D02">
        <w:rPr>
          <w:sz w:val="22"/>
        </w:rPr>
        <w:t>r</w:t>
      </w:r>
      <w:r w:rsidR="00A87848" w:rsidRPr="00525802">
        <w:rPr>
          <w:sz w:val="22"/>
        </w:rPr>
        <w:t>ti</w:t>
      </w:r>
      <w:r w:rsidR="00A87848" w:rsidRPr="006739E6">
        <w:rPr>
          <w:sz w:val="22"/>
        </w:rPr>
        <w:t>c</w:t>
      </w:r>
      <w:r w:rsidR="00A87848" w:rsidRPr="00C93AE6">
        <w:rPr>
          <w:sz w:val="22"/>
        </w:rPr>
        <w:t>a</w:t>
      </w:r>
      <w:r w:rsidR="00A87848" w:rsidRPr="00090388">
        <w:rPr>
          <w:sz w:val="22"/>
        </w:rPr>
        <w:t>l t</w:t>
      </w:r>
      <w:r w:rsidR="00A87848" w:rsidRPr="00B103C0">
        <w:rPr>
          <w:sz w:val="22"/>
        </w:rPr>
        <w:t>h</w:t>
      </w:r>
      <w:r w:rsidR="00A87848" w:rsidRPr="00E71DB8">
        <w:rPr>
          <w:sz w:val="22"/>
        </w:rPr>
        <w:t>in</w:t>
      </w:r>
      <w:r w:rsidR="00A87848" w:rsidRPr="0071112B">
        <w:rPr>
          <w:sz w:val="22"/>
        </w:rPr>
        <w:t>ni</w:t>
      </w:r>
      <w:r w:rsidR="00A87848" w:rsidRPr="00741413">
        <w:rPr>
          <w:sz w:val="22"/>
        </w:rPr>
        <w:t>n</w:t>
      </w:r>
      <w:r w:rsidR="00A87848" w:rsidRPr="00747BAC">
        <w:rPr>
          <w:sz w:val="22"/>
        </w:rPr>
        <w:t xml:space="preserve">g </w:t>
      </w:r>
      <w:r w:rsidR="00A87848" w:rsidRPr="003A3AA5">
        <w:rPr>
          <w:sz w:val="22"/>
        </w:rPr>
        <w:t>was</w:t>
      </w:r>
      <w:r w:rsidR="00A87848" w:rsidRPr="00D711C4">
        <w:rPr>
          <w:sz w:val="22"/>
        </w:rPr>
        <w:t xml:space="preserve"> associated with the difference in </w:t>
      </w:r>
      <w:r w:rsidR="00D711C4" w:rsidRPr="00D711C4">
        <w:rPr>
          <w:sz w:val="22"/>
        </w:rPr>
        <w:t>contrast-to-noise ratio or</w:t>
      </w:r>
      <w:r w:rsidR="00BD5356">
        <w:rPr>
          <w:sz w:val="22"/>
        </w:rPr>
        <w:t xml:space="preserve"> the number of surface holes</w:t>
      </w:r>
      <w:r w:rsidR="00DF7CE6">
        <w:rPr>
          <w:sz w:val="22"/>
        </w:rPr>
        <w:t xml:space="preserve"> </w:t>
      </w:r>
      <w:r w:rsidR="00975230">
        <w:rPr>
          <w:sz w:val="22"/>
        </w:rPr>
        <w:t xml:space="preserve">after the head tilt </w:t>
      </w:r>
      <w:r w:rsidR="002F2CA4">
        <w:rPr>
          <w:sz w:val="22"/>
        </w:rPr>
        <w:t>among</w:t>
      </w:r>
      <w:r w:rsidR="00DF7CE6">
        <w:rPr>
          <w:sz w:val="22"/>
        </w:rPr>
        <w:t xml:space="preserve"> five cortical regions with the lowest reliability (listed </w:t>
      </w:r>
      <w:r w:rsidR="008C79D1">
        <w:rPr>
          <w:sz w:val="22"/>
        </w:rPr>
        <w:t xml:space="preserve">in Section 3.2.1 above). </w:t>
      </w:r>
      <w:r w:rsidR="00CC5C60">
        <w:rPr>
          <w:sz w:val="22"/>
        </w:rPr>
        <w:t>The c</w:t>
      </w:r>
      <w:r w:rsidR="00781808">
        <w:rPr>
          <w:sz w:val="22"/>
        </w:rPr>
        <w:t xml:space="preserve">ontrast-to-noise ratio was </w:t>
      </w:r>
      <w:r w:rsidR="00AD157A">
        <w:rPr>
          <w:sz w:val="22"/>
        </w:rPr>
        <w:t xml:space="preserve">significantly reduced in the head tilt condition for </w:t>
      </w:r>
      <w:r w:rsidR="006C2451">
        <w:rPr>
          <w:sz w:val="22"/>
        </w:rPr>
        <w:t xml:space="preserve">four </w:t>
      </w:r>
      <w:r w:rsidR="00CC5C60">
        <w:rPr>
          <w:sz w:val="22"/>
        </w:rPr>
        <w:t xml:space="preserve">of the </w:t>
      </w:r>
      <w:r w:rsidR="006C2451">
        <w:rPr>
          <w:sz w:val="22"/>
        </w:rPr>
        <w:t>cortical regions (</w:t>
      </w:r>
      <w:r w:rsidR="00D340A7">
        <w:rPr>
          <w:sz w:val="22"/>
        </w:rPr>
        <w:t xml:space="preserve">all </w:t>
      </w:r>
      <w:r w:rsidR="00D340A7">
        <w:rPr>
          <w:i/>
          <w:iCs/>
          <w:sz w:val="22"/>
        </w:rPr>
        <w:t>p</w:t>
      </w:r>
      <w:r w:rsidR="00D340A7">
        <w:rPr>
          <w:sz w:val="22"/>
        </w:rPr>
        <w:t xml:space="preserve"> &lt;.01). </w:t>
      </w:r>
      <w:r w:rsidR="00921C85">
        <w:rPr>
          <w:sz w:val="22"/>
        </w:rPr>
        <w:t xml:space="preserve">Results indicated that lower contrast-to-noise ratio </w:t>
      </w:r>
      <w:r w:rsidR="006741DF">
        <w:rPr>
          <w:sz w:val="22"/>
        </w:rPr>
        <w:t>after the head tilt was associated with a reduction in cortical</w:t>
      </w:r>
      <w:r w:rsidR="00D8606F">
        <w:rPr>
          <w:sz w:val="22"/>
        </w:rPr>
        <w:t xml:space="preserve"> thickness for all five regions (Pearson’s </w:t>
      </w:r>
      <w:r w:rsidR="00D8606F">
        <w:rPr>
          <w:i/>
          <w:iCs/>
          <w:sz w:val="22"/>
        </w:rPr>
        <w:t>r</w:t>
      </w:r>
      <w:r w:rsidR="00D8606F">
        <w:rPr>
          <w:sz w:val="22"/>
        </w:rPr>
        <w:t xml:space="preserve"> of 0.46 to 0.62, all </w:t>
      </w:r>
      <w:r w:rsidR="00D8606F">
        <w:rPr>
          <w:i/>
          <w:iCs/>
          <w:sz w:val="22"/>
        </w:rPr>
        <w:t>p</w:t>
      </w:r>
      <w:r w:rsidR="00D8606F">
        <w:rPr>
          <w:sz w:val="22"/>
        </w:rPr>
        <w:t xml:space="preserve"> &lt;.05). In contrast, no </w:t>
      </w:r>
      <w:r w:rsidR="0095642C">
        <w:rPr>
          <w:sz w:val="22"/>
        </w:rPr>
        <w:t xml:space="preserve">significant correlations were reported for </w:t>
      </w:r>
      <w:r w:rsidR="00AC4B2C">
        <w:rPr>
          <w:sz w:val="22"/>
        </w:rPr>
        <w:t xml:space="preserve">the difference in cortical thickness and surface hole measures </w:t>
      </w:r>
      <w:r w:rsidR="00354B8F">
        <w:rPr>
          <w:sz w:val="22"/>
        </w:rPr>
        <w:t>before and after the head tilt (</w:t>
      </w:r>
      <w:r w:rsidR="00D8606F">
        <w:rPr>
          <w:sz w:val="22"/>
        </w:rPr>
        <w:t xml:space="preserve">all </w:t>
      </w:r>
      <w:r w:rsidR="00354B8F">
        <w:rPr>
          <w:i/>
          <w:iCs/>
          <w:sz w:val="22"/>
        </w:rPr>
        <w:t>p</w:t>
      </w:r>
      <w:r w:rsidR="00354B8F">
        <w:rPr>
          <w:sz w:val="22"/>
        </w:rPr>
        <w:t xml:space="preserve"> &gt;.05). </w:t>
      </w:r>
    </w:p>
    <w:p w14:paraId="2443FCF1" w14:textId="58A3628F" w:rsidR="00D8274D" w:rsidRDefault="00DD7129" w:rsidP="00027E51">
      <w:pPr>
        <w:spacing w:after="240" w:line="360" w:lineRule="auto"/>
        <w:jc w:val="both"/>
        <w:rPr>
          <w:sz w:val="22"/>
        </w:rPr>
      </w:pPr>
      <w:r>
        <w:rPr>
          <w:noProof/>
        </w:rPr>
        <w:lastRenderedPageBreak/>
        <mc:AlternateContent>
          <mc:Choice Requires="wps">
            <w:drawing>
              <wp:anchor distT="45720" distB="45720" distL="114300" distR="114300" simplePos="0" relativeHeight="251699200" behindDoc="0" locked="0" layoutInCell="1" allowOverlap="1" wp14:anchorId="016174C1" wp14:editId="736D6C3F">
                <wp:simplePos x="0" y="0"/>
                <wp:positionH relativeFrom="column">
                  <wp:posOffset>-68580</wp:posOffset>
                </wp:positionH>
                <wp:positionV relativeFrom="paragraph">
                  <wp:posOffset>2827020</wp:posOffset>
                </wp:positionV>
                <wp:extent cx="6234430" cy="78613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786130"/>
                        </a:xfrm>
                        <a:prstGeom prst="rect">
                          <a:avLst/>
                        </a:prstGeom>
                        <a:noFill/>
                        <a:ln w="9525">
                          <a:noFill/>
                          <a:miter lim="800000"/>
                          <a:headEnd/>
                          <a:tailEnd/>
                        </a:ln>
                      </wps:spPr>
                      <wps:txbx>
                        <w:txbxContent>
                          <w:p w14:paraId="73291119" w14:textId="2EC76C9B" w:rsidR="00F45C7C" w:rsidRPr="00570B72" w:rsidRDefault="00F45C7C" w:rsidP="00DD7129">
                            <w:pPr>
                              <w:spacing w:after="0" w:line="240" w:lineRule="auto"/>
                              <w:rPr>
                                <w:i/>
                                <w:iCs/>
                                <w:sz w:val="22"/>
                              </w:rPr>
                            </w:pPr>
                            <w:r w:rsidRPr="00570B72">
                              <w:rPr>
                                <w:i/>
                                <w:iCs/>
                                <w:sz w:val="22"/>
                              </w:rPr>
                              <w:t>Figure 4:</w:t>
                            </w:r>
                            <w:r>
                              <w:rPr>
                                <w:i/>
                                <w:iCs/>
                                <w:sz w:val="22"/>
                              </w:rPr>
                              <w:t xml:space="preserve"> Left: s</w:t>
                            </w:r>
                            <w:r w:rsidRPr="00570B72">
                              <w:rPr>
                                <w:i/>
                                <w:iCs/>
                                <w:sz w:val="22"/>
                              </w:rPr>
                              <w:t xml:space="preserve">catterplot of </w:t>
                            </w:r>
                            <w:r w:rsidR="004702DE">
                              <w:rPr>
                                <w:i/>
                                <w:iCs/>
                                <w:sz w:val="22"/>
                              </w:rPr>
                              <w:t xml:space="preserve">right </w:t>
                            </w:r>
                            <w:r w:rsidRPr="00570B72">
                              <w:rPr>
                                <w:i/>
                                <w:iCs/>
                                <w:sz w:val="22"/>
                              </w:rPr>
                              <w:t xml:space="preserve">superior parietal </w:t>
                            </w:r>
                            <w:r w:rsidRPr="005A5F35">
                              <w:rPr>
                                <w:b/>
                                <w:bCs/>
                                <w:i/>
                                <w:iCs/>
                                <w:sz w:val="22"/>
                              </w:rPr>
                              <w:t xml:space="preserve">thickness </w:t>
                            </w:r>
                            <w:r w:rsidR="005929C2">
                              <w:rPr>
                                <w:i/>
                                <w:iCs/>
                                <w:sz w:val="22"/>
                              </w:rPr>
                              <w:t xml:space="preserve">(mm) </w:t>
                            </w:r>
                            <w:r>
                              <w:rPr>
                                <w:i/>
                                <w:iCs/>
                                <w:sz w:val="22"/>
                              </w:rPr>
                              <w:t>showing the effect of head tilt (A4 scan), which is associated with relatively low reliability</w:t>
                            </w:r>
                            <w:r w:rsidR="004702DE">
                              <w:rPr>
                                <w:i/>
                                <w:iCs/>
                                <w:sz w:val="22"/>
                              </w:rPr>
                              <w:t xml:space="preserve"> (ICC=0.40)</w:t>
                            </w:r>
                            <w:r>
                              <w:rPr>
                                <w:i/>
                                <w:iCs/>
                                <w:sz w:val="22"/>
                              </w:rPr>
                              <w:t xml:space="preserve"> and an apparent reduction in cortical thickness. Right: scatterplot for </w:t>
                            </w:r>
                            <w:r>
                              <w:rPr>
                                <w:b/>
                                <w:bCs/>
                                <w:i/>
                                <w:iCs/>
                                <w:sz w:val="22"/>
                              </w:rPr>
                              <w:t>volume</w:t>
                            </w:r>
                            <w:r w:rsidR="005929C2">
                              <w:rPr>
                                <w:b/>
                                <w:bCs/>
                                <w:i/>
                                <w:iCs/>
                                <w:sz w:val="22"/>
                              </w:rPr>
                              <w:t xml:space="preserve"> </w:t>
                            </w:r>
                            <w:r w:rsidR="005929C2">
                              <w:rPr>
                                <w:i/>
                                <w:iCs/>
                                <w:sz w:val="22"/>
                              </w:rPr>
                              <w:t>(mm</w:t>
                            </w:r>
                            <w:r w:rsidR="005929C2">
                              <w:rPr>
                                <w:i/>
                                <w:iCs/>
                                <w:sz w:val="22"/>
                                <w:vertAlign w:val="superscript"/>
                              </w:rPr>
                              <w:t>3</w:t>
                            </w:r>
                            <w:r w:rsidR="005929C2">
                              <w:rPr>
                                <w:i/>
                                <w:iCs/>
                                <w:sz w:val="22"/>
                              </w:rPr>
                              <w:t>)</w:t>
                            </w:r>
                            <w:r>
                              <w:rPr>
                                <w:b/>
                                <w:bCs/>
                                <w:i/>
                                <w:iCs/>
                                <w:sz w:val="22"/>
                              </w:rPr>
                              <w:t xml:space="preserve"> </w:t>
                            </w:r>
                            <w:r>
                              <w:rPr>
                                <w:i/>
                                <w:iCs/>
                                <w:sz w:val="22"/>
                              </w:rPr>
                              <w:t xml:space="preserve">comparison </w:t>
                            </w:r>
                            <w:r w:rsidRPr="00A468C0">
                              <w:rPr>
                                <w:i/>
                                <w:iCs/>
                                <w:sz w:val="22"/>
                              </w:rPr>
                              <w:t>of</w:t>
                            </w:r>
                            <w:r>
                              <w:rPr>
                                <w:i/>
                                <w:iCs/>
                                <w:sz w:val="22"/>
                              </w:rPr>
                              <w:t xml:space="preserve"> the same region is shown where there is higher reliability</w:t>
                            </w:r>
                            <w:r w:rsidR="004702DE">
                              <w:rPr>
                                <w:i/>
                                <w:iCs/>
                                <w:sz w:val="22"/>
                              </w:rPr>
                              <w:t xml:space="preserve"> (ICC=0.96)</w:t>
                            </w:r>
                            <w:r>
                              <w:rPr>
                                <w:i/>
                                <w:iCs/>
                                <w:sz w:val="22"/>
                              </w:rPr>
                              <w:t xml:space="preserve">. </w:t>
                            </w:r>
                            <w:r w:rsidRPr="00570B72">
                              <w:rPr>
                                <w:i/>
                                <w:iCs/>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174C1" id="_x0000_t202" coordsize="21600,21600" o:spt="202" path="m,l,21600r21600,l21600,xe">
                <v:stroke joinstyle="miter"/>
                <v:path gradientshapeok="t" o:connecttype="rect"/>
              </v:shapetype>
              <v:shape id="Text Box 10" o:spid="_x0000_s1031" type="#_x0000_t202" style="position:absolute;left:0;text-align:left;margin-left:-5.4pt;margin-top:222.6pt;width:490.9pt;height:61.9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" filled="f" stroked="f">
                <v:textbox>
                  <w:txbxContent>
                    <w:p w14:paraId="73291119" w14:textId="2EC76C9B" w:rsidR="00F45C7C" w:rsidRPr="00570B72" w:rsidRDefault="00F45C7C" w:rsidP="00DD7129">
                      <w:pPr>
                        <w:spacing w:after="0" w:line="240" w:lineRule="auto"/>
                        <w:rPr>
                          <w:i/>
                          <w:iCs/>
                          <w:sz w:val="22"/>
                        </w:rPr>
                      </w:pPr>
                      <w:r w:rsidRPr="00570B72">
                        <w:rPr>
                          <w:i/>
                          <w:iCs/>
                          <w:sz w:val="22"/>
                        </w:rPr>
                        <w:t>Figure 4:</w:t>
                      </w:r>
                      <w:r>
                        <w:rPr>
                          <w:i/>
                          <w:iCs/>
                          <w:sz w:val="22"/>
                        </w:rPr>
                        <w:t xml:space="preserve"> Left: s</w:t>
                      </w:r>
                      <w:r w:rsidRPr="00570B72">
                        <w:rPr>
                          <w:i/>
                          <w:iCs/>
                          <w:sz w:val="22"/>
                        </w:rPr>
                        <w:t xml:space="preserve">catterplot of </w:t>
                      </w:r>
                      <w:r w:rsidR="004702DE">
                        <w:rPr>
                          <w:i/>
                          <w:iCs/>
                          <w:sz w:val="22"/>
                        </w:rPr>
                        <w:t xml:space="preserve">right </w:t>
                      </w:r>
                      <w:r w:rsidRPr="00570B72">
                        <w:rPr>
                          <w:i/>
                          <w:iCs/>
                          <w:sz w:val="22"/>
                        </w:rPr>
                        <w:t xml:space="preserve">superior parietal </w:t>
                      </w:r>
                      <w:r w:rsidRPr="005A5F35">
                        <w:rPr>
                          <w:b/>
                          <w:bCs/>
                          <w:i/>
                          <w:iCs/>
                          <w:sz w:val="22"/>
                        </w:rPr>
                        <w:t xml:space="preserve">thickness </w:t>
                      </w:r>
                      <w:r w:rsidR="005929C2">
                        <w:rPr>
                          <w:i/>
                          <w:iCs/>
                          <w:sz w:val="22"/>
                        </w:rPr>
                        <w:t xml:space="preserve">(mm) </w:t>
                      </w:r>
                      <w:r>
                        <w:rPr>
                          <w:i/>
                          <w:iCs/>
                          <w:sz w:val="22"/>
                        </w:rPr>
                        <w:t>showing the effect of head tilt (A4 scan), which is associated with relatively low reliability</w:t>
                      </w:r>
                      <w:r w:rsidR="004702DE">
                        <w:rPr>
                          <w:i/>
                          <w:iCs/>
                          <w:sz w:val="22"/>
                        </w:rPr>
                        <w:t xml:space="preserve"> (ICC=0.40)</w:t>
                      </w:r>
                      <w:r>
                        <w:rPr>
                          <w:i/>
                          <w:iCs/>
                          <w:sz w:val="22"/>
                        </w:rPr>
                        <w:t xml:space="preserve"> and an apparent reduction in cortical thickness. Right: scatterplot for </w:t>
                      </w:r>
                      <w:r>
                        <w:rPr>
                          <w:b/>
                          <w:bCs/>
                          <w:i/>
                          <w:iCs/>
                          <w:sz w:val="22"/>
                        </w:rPr>
                        <w:t>volume</w:t>
                      </w:r>
                      <w:r w:rsidR="005929C2">
                        <w:rPr>
                          <w:b/>
                          <w:bCs/>
                          <w:i/>
                          <w:iCs/>
                          <w:sz w:val="22"/>
                        </w:rPr>
                        <w:t xml:space="preserve"> </w:t>
                      </w:r>
                      <w:r w:rsidR="005929C2">
                        <w:rPr>
                          <w:i/>
                          <w:iCs/>
                          <w:sz w:val="22"/>
                        </w:rPr>
                        <w:t>(mm</w:t>
                      </w:r>
                      <w:r w:rsidR="005929C2">
                        <w:rPr>
                          <w:i/>
                          <w:iCs/>
                          <w:sz w:val="22"/>
                          <w:vertAlign w:val="superscript"/>
                        </w:rPr>
                        <w:t>3</w:t>
                      </w:r>
                      <w:r w:rsidR="005929C2">
                        <w:rPr>
                          <w:i/>
                          <w:iCs/>
                          <w:sz w:val="22"/>
                        </w:rPr>
                        <w:t>)</w:t>
                      </w:r>
                      <w:r>
                        <w:rPr>
                          <w:b/>
                          <w:bCs/>
                          <w:i/>
                          <w:iCs/>
                          <w:sz w:val="22"/>
                        </w:rPr>
                        <w:t xml:space="preserve"> </w:t>
                      </w:r>
                      <w:r>
                        <w:rPr>
                          <w:i/>
                          <w:iCs/>
                          <w:sz w:val="22"/>
                        </w:rPr>
                        <w:t xml:space="preserve">comparison </w:t>
                      </w:r>
                      <w:r w:rsidRPr="00A468C0">
                        <w:rPr>
                          <w:i/>
                          <w:iCs/>
                          <w:sz w:val="22"/>
                        </w:rPr>
                        <w:t>of</w:t>
                      </w:r>
                      <w:r>
                        <w:rPr>
                          <w:i/>
                          <w:iCs/>
                          <w:sz w:val="22"/>
                        </w:rPr>
                        <w:t xml:space="preserve"> the same region is shown where there is higher reliability</w:t>
                      </w:r>
                      <w:r w:rsidR="004702DE">
                        <w:rPr>
                          <w:i/>
                          <w:iCs/>
                          <w:sz w:val="22"/>
                        </w:rPr>
                        <w:t xml:space="preserve"> (ICC=0.96)</w:t>
                      </w:r>
                      <w:r>
                        <w:rPr>
                          <w:i/>
                          <w:iCs/>
                          <w:sz w:val="22"/>
                        </w:rPr>
                        <w:t xml:space="preserve">. </w:t>
                      </w:r>
                      <w:r w:rsidRPr="00570B72">
                        <w:rPr>
                          <w:i/>
                          <w:iCs/>
                          <w:sz w:val="22"/>
                        </w:rPr>
                        <w:t xml:space="preserve"> </w:t>
                      </w:r>
                    </w:p>
                  </w:txbxContent>
                </v:textbox>
                <w10:wrap type="square"/>
              </v:shape>
            </w:pict>
          </mc:Fallback>
        </mc:AlternateContent>
      </w:r>
      <w:r>
        <w:rPr>
          <w:noProof/>
        </w:rPr>
        <w:drawing>
          <wp:anchor distT="0" distB="0" distL="114300" distR="114300" simplePos="0" relativeHeight="251701248" behindDoc="1" locked="0" layoutInCell="1" allowOverlap="1" wp14:anchorId="3D5D0E80" wp14:editId="10049372">
            <wp:simplePos x="0" y="0"/>
            <wp:positionH relativeFrom="column">
              <wp:posOffset>2795270</wp:posOffset>
            </wp:positionH>
            <wp:positionV relativeFrom="paragraph">
              <wp:posOffset>249555</wp:posOffset>
            </wp:positionV>
            <wp:extent cx="3221355" cy="2562225"/>
            <wp:effectExtent l="0" t="0" r="0" b="0"/>
            <wp:wrapTight wrapText="bothSides">
              <wp:wrapPolygon edited="0">
                <wp:start x="0" y="0"/>
                <wp:lineTo x="0" y="21359"/>
                <wp:lineTo x="21459" y="21359"/>
                <wp:lineTo x="21459" y="0"/>
                <wp:lineTo x="0" y="0"/>
              </wp:wrapPolygon>
            </wp:wrapTight>
            <wp:docPr id="12" name="Chart 12">
              <a:extLst xmlns:a="http://schemas.openxmlformats.org/drawingml/2006/main">
                <a:ext uri="{FF2B5EF4-FFF2-40B4-BE49-F238E27FC236}">
                  <a16:creationId xmlns:a16="http://schemas.microsoft.com/office/drawing/2014/main" id="{0BE436AC-A511-4863-B8EB-527941366A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0224" behindDoc="1" locked="0" layoutInCell="1" allowOverlap="1" wp14:anchorId="0962BC0B" wp14:editId="1A994253">
            <wp:simplePos x="0" y="0"/>
            <wp:positionH relativeFrom="column">
              <wp:posOffset>-350874</wp:posOffset>
            </wp:positionH>
            <wp:positionV relativeFrom="paragraph">
              <wp:posOffset>235304</wp:posOffset>
            </wp:positionV>
            <wp:extent cx="3210560" cy="2572385"/>
            <wp:effectExtent l="0" t="0" r="8890" b="0"/>
            <wp:wrapTight wrapText="bothSides">
              <wp:wrapPolygon edited="0">
                <wp:start x="0" y="0"/>
                <wp:lineTo x="0" y="21435"/>
                <wp:lineTo x="21532" y="21435"/>
                <wp:lineTo x="21532" y="0"/>
                <wp:lineTo x="0" y="0"/>
              </wp:wrapPolygon>
            </wp:wrapTight>
            <wp:docPr id="14" name="Chart 14">
              <a:extLst xmlns:a="http://schemas.openxmlformats.org/drawingml/2006/main">
                <a:ext uri="{FF2B5EF4-FFF2-40B4-BE49-F238E27FC236}">
                  <a16:creationId xmlns:a16="http://schemas.microsoft.com/office/drawing/2014/main" id="{616C855E-4518-4846-B996-ED10BC9F17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F08E743" w14:textId="77777777" w:rsidR="00B44DEE" w:rsidRDefault="00B44DEE" w:rsidP="00027E51">
      <w:pPr>
        <w:spacing w:after="240" w:line="360" w:lineRule="auto"/>
        <w:jc w:val="both"/>
        <w:rPr>
          <w:sz w:val="22"/>
        </w:rPr>
      </w:pPr>
    </w:p>
    <w:p w14:paraId="5E7C9AF9" w14:textId="25281546" w:rsidR="00D8274D" w:rsidRPr="00525802" w:rsidRDefault="00E87D02" w:rsidP="00027E51">
      <w:pPr>
        <w:spacing w:after="240" w:line="360" w:lineRule="auto"/>
        <w:jc w:val="both"/>
      </w:pPr>
      <w:r>
        <w:rPr>
          <w:sz w:val="22"/>
        </w:rPr>
        <w:t>P</w:t>
      </w:r>
      <w:r w:rsidRPr="00231333">
        <w:rPr>
          <w:sz w:val="22"/>
        </w:rPr>
        <w:t>ost-hoc statistical power analyses were conducted to determine the minimum number of participants needed to detect</w:t>
      </w:r>
      <w:r>
        <w:rPr>
          <w:sz w:val="22"/>
        </w:rPr>
        <w:t xml:space="preserve"> 0.5%, 1.0% and 2.0%</w:t>
      </w:r>
      <w:r w:rsidRPr="00231333">
        <w:rPr>
          <w:sz w:val="22"/>
        </w:rPr>
        <w:t xml:space="preserve"> longitudinal changes in cortical thickness from baseline to (a) three-week scan compared to (b) scan after </w:t>
      </w:r>
      <w:r>
        <w:rPr>
          <w:sz w:val="22"/>
        </w:rPr>
        <w:t>the</w:t>
      </w:r>
      <w:r w:rsidRPr="00231333">
        <w:rPr>
          <w:sz w:val="22"/>
        </w:rPr>
        <w:t xml:space="preserve"> head tilt. </w:t>
      </w:r>
      <w:r>
        <w:rPr>
          <w:sz w:val="22"/>
        </w:rPr>
        <w:t xml:space="preserve">For a wide range of reliability, the five cortical regions showing the highest and lowest reliability in Section 3.2.1 were used.  Figure 5 </w:t>
      </w:r>
      <w:r w:rsidRPr="00231333">
        <w:rPr>
          <w:sz w:val="22"/>
        </w:rPr>
        <w:t>show</w:t>
      </w:r>
      <w:r>
        <w:rPr>
          <w:sz w:val="22"/>
        </w:rPr>
        <w:t>s</w:t>
      </w:r>
      <w:r w:rsidRPr="00231333">
        <w:rPr>
          <w:sz w:val="22"/>
        </w:rPr>
        <w:t xml:space="preserve"> that a larger number of participants are typically required to detect these changes as a result of a head tilt after the locali</w:t>
      </w:r>
      <w:r>
        <w:rPr>
          <w:sz w:val="22"/>
        </w:rPr>
        <w:t>z</w:t>
      </w:r>
      <w:r w:rsidRPr="00231333">
        <w:rPr>
          <w:sz w:val="22"/>
        </w:rPr>
        <w:t>er scan</w:t>
      </w:r>
      <w:r>
        <w:t xml:space="preserve">. </w:t>
      </w:r>
    </w:p>
    <w:p w14:paraId="04E859F3" w14:textId="561F3EFF" w:rsidR="00654BFA" w:rsidRPr="006F3F60" w:rsidRDefault="00525802" w:rsidP="00654BFA">
      <w:pPr>
        <w:pStyle w:val="Heading3"/>
        <w:rPr>
          <w:sz w:val="22"/>
          <w:szCs w:val="22"/>
        </w:rPr>
      </w:pPr>
      <w:r w:rsidRPr="00231333">
        <w:rPr>
          <w:noProof/>
          <w:sz w:val="22"/>
        </w:rPr>
        <w:lastRenderedPageBreak/>
        <mc:AlternateContent>
          <mc:Choice Requires="wps">
            <w:drawing>
              <wp:anchor distT="45720" distB="45720" distL="114300" distR="114300" simplePos="0" relativeHeight="251710464" behindDoc="0" locked="0" layoutInCell="1" allowOverlap="1" wp14:anchorId="0778434A" wp14:editId="0FB095DB">
                <wp:simplePos x="0" y="0"/>
                <wp:positionH relativeFrom="column">
                  <wp:posOffset>-299720</wp:posOffset>
                </wp:positionH>
                <wp:positionV relativeFrom="paragraph">
                  <wp:posOffset>3688715</wp:posOffset>
                </wp:positionV>
                <wp:extent cx="6479540" cy="13716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371600"/>
                        </a:xfrm>
                        <a:prstGeom prst="rect">
                          <a:avLst/>
                        </a:prstGeom>
                        <a:noFill/>
                        <a:ln w="9525">
                          <a:noFill/>
                          <a:miter lim="800000"/>
                          <a:headEnd/>
                          <a:tailEnd/>
                        </a:ln>
                      </wps:spPr>
                      <wps:txbx>
                        <w:txbxContent>
                          <w:p w14:paraId="11CEFBF9" w14:textId="313E7D12" w:rsidR="00F45C7C" w:rsidRPr="00F5028F" w:rsidRDefault="00F45C7C" w:rsidP="00C5603F">
                            <w:pPr>
                              <w:spacing w:after="0" w:line="240" w:lineRule="auto"/>
                              <w:rPr>
                                <w:i/>
                                <w:iCs/>
                                <w:sz w:val="22"/>
                              </w:rPr>
                            </w:pPr>
                            <w:r>
                              <w:rPr>
                                <w:i/>
                                <w:iCs/>
                                <w:sz w:val="22"/>
                              </w:rPr>
                              <w:t>Figure 5: Statistical power of ‘three-week’ and ‘head tilt’ comparisons across ten regional thicknesses of the highest and lowest reliability. Graph displays the sample size needed to detect longitudinal changes in thickness at p&lt;0.05 significance level and 1-</w:t>
                            </w:r>
                            <w:r w:rsidRPr="00155A52">
                              <w:rPr>
                                <w:sz w:val="22"/>
                              </w:rPr>
                              <w:t>β</w:t>
                            </w:r>
                            <w:r>
                              <w:rPr>
                                <w:sz w:val="22"/>
                              </w:rPr>
                              <w:t xml:space="preserve"> </w:t>
                            </w:r>
                            <w:r>
                              <w:rPr>
                                <w:i/>
                                <w:iCs/>
                                <w:sz w:val="22"/>
                              </w:rPr>
                              <w:t xml:space="preserve">statistical power = 0.80 (two-tailed). For example, for a study to be sufficiently powered to detect a 1% longitudinal change in the left parahippocampal thickness, 36 participants would be required using data from the three-week scan. However, 50 participants would be needed if there was a change in head tilt.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8434A" id="Text Box 7" o:spid="_x0000_s1032" type="#_x0000_t202" style="position:absolute;margin-left:-23.6pt;margin-top:290.45pt;width:510.2pt;height:108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" filled="f" stroked="f">
                <v:textbox>
                  <w:txbxContent>
                    <w:p w14:paraId="11CEFBF9" w14:textId="313E7D12" w:rsidR="00F45C7C" w:rsidRPr="00F5028F" w:rsidRDefault="00F45C7C" w:rsidP="00C5603F">
                      <w:pPr>
                        <w:spacing w:after="0" w:line="240" w:lineRule="auto"/>
                        <w:rPr>
                          <w:i/>
                          <w:iCs/>
                          <w:sz w:val="22"/>
                        </w:rPr>
                      </w:pPr>
                      <w:r>
                        <w:rPr>
                          <w:i/>
                          <w:iCs/>
                          <w:sz w:val="22"/>
                        </w:rPr>
                        <w:t>Figure 5: Statistical power of ‘three-week’ and ‘head tilt’ comparisons across ten regional thicknesses of the highest and lowest reliability. Graph displays the sample size needed to detect longitudinal changes in thickness at p&lt;0.05 significance level and 1-</w:t>
                      </w:r>
                      <w:r w:rsidRPr="00155A52">
                        <w:rPr>
                          <w:sz w:val="22"/>
                        </w:rPr>
                        <w:t>β</w:t>
                      </w:r>
                      <w:r>
                        <w:rPr>
                          <w:sz w:val="22"/>
                        </w:rPr>
                        <w:t xml:space="preserve"> </w:t>
                      </w:r>
                      <w:r>
                        <w:rPr>
                          <w:i/>
                          <w:iCs/>
                          <w:sz w:val="22"/>
                        </w:rPr>
                        <w:t xml:space="preserve">statistical power = 0.80 (two-tailed). For example, for a study to be sufficiently powered to detect a 1% longitudinal change in the left parahippocampal thickness, 36 participants would be required using data from the three-week scan. However, 50 participants would be needed if there was a change in head tilt. </w:t>
                      </w:r>
                    </w:p>
                  </w:txbxContent>
                </v:textbox>
                <w10:wrap type="square"/>
              </v:shape>
            </w:pict>
          </mc:Fallback>
        </mc:AlternateContent>
      </w:r>
      <w:r>
        <w:rPr>
          <w:noProof/>
        </w:rPr>
        <w:drawing>
          <wp:anchor distT="0" distB="0" distL="114300" distR="114300" simplePos="0" relativeHeight="251711488" behindDoc="0" locked="0" layoutInCell="1" allowOverlap="1" wp14:anchorId="7B04E37B" wp14:editId="177FFA32">
            <wp:simplePos x="0" y="0"/>
            <wp:positionH relativeFrom="column">
              <wp:posOffset>-389255</wp:posOffset>
            </wp:positionH>
            <wp:positionV relativeFrom="paragraph">
              <wp:posOffset>532</wp:posOffset>
            </wp:positionV>
            <wp:extent cx="6424295" cy="3703955"/>
            <wp:effectExtent l="0" t="0" r="1905"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24295" cy="3703955"/>
                    </a:xfrm>
                    <a:prstGeom prst="rect">
                      <a:avLst/>
                    </a:prstGeom>
                    <a:noFill/>
                  </pic:spPr>
                </pic:pic>
              </a:graphicData>
            </a:graphic>
            <wp14:sizeRelH relativeFrom="margin">
              <wp14:pctWidth>0</wp14:pctWidth>
            </wp14:sizeRelH>
            <wp14:sizeRelV relativeFrom="margin">
              <wp14:pctHeight>0</wp14:pctHeight>
            </wp14:sizeRelV>
          </wp:anchor>
        </w:drawing>
      </w:r>
      <w:r w:rsidR="00654BFA" w:rsidRPr="006F3F60">
        <w:rPr>
          <w:sz w:val="22"/>
          <w:szCs w:val="22"/>
        </w:rPr>
        <w:t>3.2.2 Impact of image processing factors</w:t>
      </w:r>
    </w:p>
    <w:p w14:paraId="5F44C321" w14:textId="59C219DB" w:rsidR="00C5603F" w:rsidRDefault="00D637FD" w:rsidP="00D421AE">
      <w:pPr>
        <w:spacing w:after="240" w:line="360" w:lineRule="auto"/>
        <w:jc w:val="both"/>
        <w:rPr>
          <w:sz w:val="22"/>
        </w:rPr>
      </w:pPr>
      <w:r w:rsidRPr="00995860">
        <w:rPr>
          <w:sz w:val="22"/>
        </w:rPr>
        <w:t xml:space="preserve">Table </w:t>
      </w:r>
      <w:r w:rsidR="009F6B7D" w:rsidRPr="00995860">
        <w:rPr>
          <w:sz w:val="22"/>
        </w:rPr>
        <w:t>2</w:t>
      </w:r>
      <w:r w:rsidRPr="00995860">
        <w:rPr>
          <w:sz w:val="22"/>
        </w:rPr>
        <w:t xml:space="preserve"> shows mean ICC values of subcortical and cortical volumes, cortical thickness, and cortical</w:t>
      </w:r>
      <w:r w:rsidR="00A12580">
        <w:rPr>
          <w:sz w:val="22"/>
        </w:rPr>
        <w:t xml:space="preserve"> surface</w:t>
      </w:r>
      <w:r w:rsidRPr="00995860">
        <w:rPr>
          <w:sz w:val="22"/>
        </w:rPr>
        <w:t xml:space="preserve"> area for the s</w:t>
      </w:r>
      <w:r w:rsidR="00CC4267">
        <w:rPr>
          <w:sz w:val="22"/>
        </w:rPr>
        <w:t>even</w:t>
      </w:r>
      <w:r w:rsidRPr="00995860">
        <w:rPr>
          <w:sz w:val="22"/>
        </w:rPr>
        <w:t xml:space="preserve"> planned comparisons using FreeSurfer v7.1.0 </w:t>
      </w:r>
      <w:r w:rsidR="009F6B7D" w:rsidRPr="008163D7">
        <w:rPr>
          <w:i/>
          <w:iCs/>
          <w:sz w:val="22"/>
        </w:rPr>
        <w:t>cross-sectional</w:t>
      </w:r>
      <w:r w:rsidRPr="00995860">
        <w:rPr>
          <w:sz w:val="22"/>
        </w:rPr>
        <w:t xml:space="preserve"> stream</w:t>
      </w:r>
      <w:r w:rsidR="007D11BE" w:rsidRPr="00995860">
        <w:rPr>
          <w:sz w:val="22"/>
        </w:rPr>
        <w:t xml:space="preserve">. </w:t>
      </w:r>
      <w:r w:rsidR="00FC0456">
        <w:rPr>
          <w:sz w:val="22"/>
        </w:rPr>
        <w:t>Mean</w:t>
      </w:r>
      <w:r w:rsidR="0013258D" w:rsidRPr="00995860">
        <w:rPr>
          <w:sz w:val="22"/>
        </w:rPr>
        <w:t xml:space="preserve"> ICCs </w:t>
      </w:r>
      <w:r w:rsidR="006F382B" w:rsidRPr="00995860">
        <w:rPr>
          <w:sz w:val="22"/>
        </w:rPr>
        <w:t>rang</w:t>
      </w:r>
      <w:r w:rsidR="0013258D" w:rsidRPr="00995860">
        <w:rPr>
          <w:sz w:val="22"/>
        </w:rPr>
        <w:t>ed</w:t>
      </w:r>
      <w:r w:rsidR="006F382B" w:rsidRPr="00995860">
        <w:rPr>
          <w:sz w:val="22"/>
        </w:rPr>
        <w:t xml:space="preserve"> from 0.706 </w:t>
      </w:r>
      <w:r w:rsidR="00212E3E" w:rsidRPr="00995860">
        <w:rPr>
          <w:sz w:val="22"/>
        </w:rPr>
        <w:t>–</w:t>
      </w:r>
      <w:r w:rsidR="006F382B" w:rsidRPr="00995860">
        <w:rPr>
          <w:sz w:val="22"/>
        </w:rPr>
        <w:t xml:space="preserve"> </w:t>
      </w:r>
      <w:r w:rsidR="00212E3E" w:rsidRPr="00995860">
        <w:rPr>
          <w:sz w:val="22"/>
        </w:rPr>
        <w:t>0.950</w:t>
      </w:r>
      <w:r w:rsidR="00F33A23" w:rsidRPr="00995860">
        <w:rPr>
          <w:sz w:val="22"/>
        </w:rPr>
        <w:t xml:space="preserve"> </w:t>
      </w:r>
      <w:r w:rsidR="007D11BE" w:rsidRPr="00995860">
        <w:rPr>
          <w:sz w:val="22"/>
        </w:rPr>
        <w:t>(</w:t>
      </w:r>
      <w:r w:rsidR="007D11BE" w:rsidRPr="00995860">
        <w:rPr>
          <w:i/>
          <w:iCs/>
          <w:sz w:val="22"/>
        </w:rPr>
        <w:t xml:space="preserve">see </w:t>
      </w:r>
      <w:r w:rsidR="007D11BE" w:rsidRPr="00995860">
        <w:rPr>
          <w:sz w:val="22"/>
        </w:rPr>
        <w:t>Supplementary Materials</w:t>
      </w:r>
      <w:r w:rsidR="00524560">
        <w:rPr>
          <w:sz w:val="22"/>
        </w:rPr>
        <w:t xml:space="preserve"> S</w:t>
      </w:r>
      <w:r w:rsidR="00AB0D37">
        <w:rPr>
          <w:sz w:val="22"/>
        </w:rPr>
        <w:t>2</w:t>
      </w:r>
      <w:r w:rsidR="007D11BE" w:rsidRPr="00995860">
        <w:rPr>
          <w:sz w:val="22"/>
        </w:rPr>
        <w:t xml:space="preserve"> for ICC values of individual brain regions)</w:t>
      </w:r>
      <w:r w:rsidR="00736009" w:rsidRPr="00995860">
        <w:rPr>
          <w:sz w:val="22"/>
        </w:rPr>
        <w:t>.</w:t>
      </w:r>
      <w:r w:rsidR="0013258D" w:rsidRPr="00995860">
        <w:rPr>
          <w:sz w:val="22"/>
        </w:rPr>
        <w:t xml:space="preserve"> </w:t>
      </w:r>
      <w:r w:rsidR="00810E69">
        <w:rPr>
          <w:sz w:val="22"/>
        </w:rPr>
        <w:br w:type="page"/>
      </w:r>
    </w:p>
    <w:tbl>
      <w:tblPr>
        <w:tblpPr w:leftFromText="180" w:rightFromText="180" w:vertAnchor="text" w:horzAnchor="margin" w:tblpXSpec="center" w:tblpY="660"/>
        <w:tblW w:w="11016" w:type="dxa"/>
        <w:tblLook w:val="04A0" w:firstRow="1" w:lastRow="0" w:firstColumn="1" w:lastColumn="0" w:noHBand="0" w:noVBand="1"/>
      </w:tblPr>
      <w:tblGrid>
        <w:gridCol w:w="2226"/>
        <w:gridCol w:w="520"/>
        <w:gridCol w:w="1150"/>
        <w:gridCol w:w="1169"/>
        <w:gridCol w:w="1140"/>
        <w:gridCol w:w="1451"/>
        <w:gridCol w:w="1134"/>
        <w:gridCol w:w="1086"/>
        <w:gridCol w:w="1140"/>
      </w:tblGrid>
      <w:tr w:rsidR="006A0DBA" w:rsidRPr="00FE44F4" w14:paraId="0988CF56" w14:textId="77777777" w:rsidTr="006A0DBA">
        <w:trPr>
          <w:trHeight w:val="580"/>
        </w:trPr>
        <w:tc>
          <w:tcPr>
            <w:tcW w:w="2226" w:type="dxa"/>
            <w:tcBorders>
              <w:top w:val="single" w:sz="4" w:space="0" w:color="auto"/>
              <w:left w:val="nil"/>
              <w:bottom w:val="single" w:sz="4" w:space="0" w:color="auto"/>
              <w:right w:val="nil"/>
            </w:tcBorders>
            <w:shd w:val="clear" w:color="auto" w:fill="auto"/>
            <w:noWrap/>
            <w:vAlign w:val="bottom"/>
            <w:hideMark/>
          </w:tcPr>
          <w:p w14:paraId="57165507" w14:textId="77777777" w:rsidR="006A0DBA" w:rsidRPr="00FE44F4" w:rsidRDefault="006A0DBA" w:rsidP="006A0DBA">
            <w:pPr>
              <w:spacing w:after="0" w:line="240" w:lineRule="auto"/>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lastRenderedPageBreak/>
              <w:t> </w:t>
            </w:r>
          </w:p>
        </w:tc>
        <w:tc>
          <w:tcPr>
            <w:tcW w:w="520" w:type="dxa"/>
            <w:tcBorders>
              <w:top w:val="single" w:sz="4" w:space="0" w:color="auto"/>
              <w:left w:val="nil"/>
              <w:bottom w:val="single" w:sz="4" w:space="0" w:color="auto"/>
              <w:right w:val="nil"/>
            </w:tcBorders>
            <w:shd w:val="clear" w:color="auto" w:fill="auto"/>
            <w:noWrap/>
            <w:vAlign w:val="bottom"/>
            <w:hideMark/>
          </w:tcPr>
          <w:p w14:paraId="0EC8E0B6" w14:textId="77777777" w:rsidR="006A0DBA" w:rsidRPr="00FE44F4" w:rsidRDefault="006A0DBA" w:rsidP="006A0DBA">
            <w:pPr>
              <w:spacing w:after="0" w:line="240" w:lineRule="auto"/>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 </w:t>
            </w:r>
          </w:p>
        </w:tc>
        <w:tc>
          <w:tcPr>
            <w:tcW w:w="1150" w:type="dxa"/>
            <w:tcBorders>
              <w:top w:val="single" w:sz="4" w:space="0" w:color="auto"/>
              <w:left w:val="nil"/>
              <w:bottom w:val="single" w:sz="4" w:space="0" w:color="auto"/>
              <w:right w:val="nil"/>
            </w:tcBorders>
            <w:shd w:val="clear" w:color="auto" w:fill="auto"/>
            <w:vAlign w:val="bottom"/>
            <w:hideMark/>
          </w:tcPr>
          <w:p w14:paraId="4B616090"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Repetition</w:t>
            </w:r>
            <w:r w:rsidRPr="00FE44F4">
              <w:rPr>
                <w:rFonts w:ascii="Calibri" w:eastAsia="Times New Roman" w:hAnsi="Calibri" w:cs="Calibri"/>
                <w:color w:val="000000"/>
                <w:sz w:val="22"/>
                <w:lang w:eastAsia="en-GB"/>
              </w:rPr>
              <w:br/>
            </w:r>
            <w:r w:rsidRPr="00FE44F4">
              <w:rPr>
                <w:rFonts w:ascii="Calibri" w:eastAsia="Times New Roman" w:hAnsi="Calibri" w:cs="Calibri"/>
                <w:color w:val="000000"/>
                <w:sz w:val="18"/>
                <w:szCs w:val="18"/>
                <w:lang w:eastAsia="en-GB"/>
              </w:rPr>
              <w:t xml:space="preserve">A1 vs A2 </w:t>
            </w:r>
          </w:p>
        </w:tc>
        <w:tc>
          <w:tcPr>
            <w:tcW w:w="1169" w:type="dxa"/>
            <w:tcBorders>
              <w:top w:val="single" w:sz="4" w:space="0" w:color="auto"/>
              <w:left w:val="nil"/>
              <w:bottom w:val="single" w:sz="4" w:space="0" w:color="auto"/>
              <w:right w:val="nil"/>
            </w:tcBorders>
            <w:shd w:val="clear" w:color="auto" w:fill="auto"/>
            <w:vAlign w:val="bottom"/>
            <w:hideMark/>
          </w:tcPr>
          <w:p w14:paraId="71C241DC"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Reposition</w:t>
            </w:r>
            <w:r w:rsidRPr="00FE44F4">
              <w:rPr>
                <w:rFonts w:ascii="Calibri" w:eastAsia="Times New Roman" w:hAnsi="Calibri" w:cs="Calibri"/>
                <w:color w:val="000000"/>
                <w:sz w:val="22"/>
                <w:lang w:eastAsia="en-GB"/>
              </w:rPr>
              <w:br/>
            </w:r>
            <w:r w:rsidRPr="00FE44F4">
              <w:rPr>
                <w:rFonts w:ascii="Calibri" w:eastAsia="Times New Roman" w:hAnsi="Calibri" w:cs="Calibri"/>
                <w:color w:val="000000"/>
                <w:sz w:val="18"/>
                <w:szCs w:val="18"/>
                <w:lang w:eastAsia="en-GB"/>
              </w:rPr>
              <w:t>A1 vs A3</w:t>
            </w:r>
          </w:p>
        </w:tc>
        <w:tc>
          <w:tcPr>
            <w:tcW w:w="1140" w:type="dxa"/>
            <w:tcBorders>
              <w:top w:val="single" w:sz="4" w:space="0" w:color="auto"/>
              <w:left w:val="nil"/>
              <w:bottom w:val="single" w:sz="4" w:space="0" w:color="auto"/>
              <w:right w:val="nil"/>
            </w:tcBorders>
            <w:shd w:val="clear" w:color="auto" w:fill="auto"/>
            <w:vAlign w:val="bottom"/>
            <w:hideMark/>
          </w:tcPr>
          <w:p w14:paraId="4465950D"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Head tilt</w:t>
            </w:r>
            <w:r w:rsidRPr="00FE44F4">
              <w:rPr>
                <w:rFonts w:ascii="Calibri" w:eastAsia="Times New Roman" w:hAnsi="Calibri" w:cs="Calibri"/>
                <w:color w:val="000000"/>
                <w:sz w:val="22"/>
                <w:lang w:eastAsia="en-GB"/>
              </w:rPr>
              <w:br/>
            </w:r>
            <w:r w:rsidRPr="00FE44F4">
              <w:rPr>
                <w:rFonts w:ascii="Calibri" w:eastAsia="Times New Roman" w:hAnsi="Calibri" w:cs="Calibri"/>
                <w:color w:val="000000"/>
                <w:sz w:val="18"/>
                <w:szCs w:val="18"/>
                <w:lang w:eastAsia="en-GB"/>
              </w:rPr>
              <w:t>A3 vs A4</w:t>
            </w:r>
          </w:p>
        </w:tc>
        <w:tc>
          <w:tcPr>
            <w:tcW w:w="1451" w:type="dxa"/>
            <w:tcBorders>
              <w:top w:val="single" w:sz="4" w:space="0" w:color="auto"/>
              <w:left w:val="nil"/>
              <w:bottom w:val="single" w:sz="4" w:space="0" w:color="auto"/>
              <w:right w:val="nil"/>
            </w:tcBorders>
            <w:shd w:val="clear" w:color="auto" w:fill="auto"/>
            <w:vAlign w:val="bottom"/>
            <w:hideMark/>
          </w:tcPr>
          <w:p w14:paraId="0813DE94"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T</w:t>
            </w:r>
            <w:r>
              <w:rPr>
                <w:rFonts w:ascii="Calibri" w:eastAsia="Times New Roman" w:hAnsi="Calibri" w:cs="Calibri"/>
                <w:color w:val="000000"/>
                <w:sz w:val="22"/>
                <w:lang w:eastAsia="en-GB"/>
              </w:rPr>
              <w:t>hree</w:t>
            </w:r>
            <w:r w:rsidRPr="00FE44F4">
              <w:rPr>
                <w:rFonts w:ascii="Calibri" w:eastAsia="Times New Roman" w:hAnsi="Calibri" w:cs="Calibri"/>
                <w:color w:val="000000"/>
                <w:sz w:val="22"/>
                <w:lang w:eastAsia="en-GB"/>
              </w:rPr>
              <w:t xml:space="preserve"> weeks</w:t>
            </w:r>
            <w:r w:rsidRPr="00FE44F4">
              <w:rPr>
                <w:rFonts w:ascii="Calibri" w:eastAsia="Times New Roman" w:hAnsi="Calibri" w:cs="Calibri"/>
                <w:color w:val="000000"/>
                <w:sz w:val="22"/>
                <w:lang w:eastAsia="en-GB"/>
              </w:rPr>
              <w:br/>
            </w:r>
            <w:r w:rsidRPr="00FE44F4">
              <w:rPr>
                <w:rFonts w:ascii="Calibri" w:eastAsia="Times New Roman" w:hAnsi="Calibri" w:cs="Calibri"/>
                <w:color w:val="000000"/>
                <w:sz w:val="18"/>
                <w:szCs w:val="18"/>
                <w:lang w:eastAsia="en-GB"/>
              </w:rPr>
              <w:t>A1 vs B1</w:t>
            </w:r>
          </w:p>
        </w:tc>
        <w:tc>
          <w:tcPr>
            <w:tcW w:w="1134" w:type="dxa"/>
            <w:tcBorders>
              <w:top w:val="single" w:sz="4" w:space="0" w:color="auto"/>
              <w:left w:val="nil"/>
              <w:bottom w:val="single" w:sz="4" w:space="0" w:color="auto"/>
              <w:right w:val="nil"/>
            </w:tcBorders>
            <w:shd w:val="clear" w:color="auto" w:fill="auto"/>
            <w:vAlign w:val="bottom"/>
            <w:hideMark/>
          </w:tcPr>
          <w:p w14:paraId="7D4E98D9"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One year</w:t>
            </w:r>
            <w:r w:rsidRPr="00FE44F4">
              <w:rPr>
                <w:rFonts w:ascii="Calibri" w:eastAsia="Times New Roman" w:hAnsi="Calibri" w:cs="Calibri"/>
                <w:color w:val="000000"/>
                <w:sz w:val="22"/>
                <w:vertAlign w:val="superscript"/>
                <w:lang w:eastAsia="en-GB"/>
              </w:rPr>
              <w:t>4</w:t>
            </w:r>
            <w:r w:rsidRPr="00FE44F4">
              <w:rPr>
                <w:rFonts w:ascii="Calibri" w:eastAsia="Times New Roman" w:hAnsi="Calibri" w:cs="Calibri"/>
                <w:color w:val="000000"/>
                <w:sz w:val="22"/>
                <w:vertAlign w:val="superscript"/>
                <w:lang w:eastAsia="en-GB"/>
              </w:rPr>
              <w:br/>
            </w:r>
            <w:r w:rsidRPr="00FE44F4">
              <w:rPr>
                <w:rFonts w:ascii="Calibri" w:eastAsia="Times New Roman" w:hAnsi="Calibri" w:cs="Calibri"/>
                <w:color w:val="000000"/>
                <w:sz w:val="18"/>
                <w:szCs w:val="18"/>
                <w:lang w:eastAsia="en-GB"/>
              </w:rPr>
              <w:t>A1 vs C1</w:t>
            </w:r>
          </w:p>
        </w:tc>
        <w:tc>
          <w:tcPr>
            <w:tcW w:w="1086" w:type="dxa"/>
            <w:tcBorders>
              <w:top w:val="single" w:sz="4" w:space="0" w:color="auto"/>
              <w:left w:val="nil"/>
              <w:bottom w:val="single" w:sz="4" w:space="0" w:color="auto"/>
              <w:right w:val="nil"/>
            </w:tcBorders>
            <w:shd w:val="clear" w:color="auto" w:fill="auto"/>
            <w:vAlign w:val="bottom"/>
            <w:hideMark/>
          </w:tcPr>
          <w:p w14:paraId="4B4AA8CE" w14:textId="2C5C213A"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Sequence</w:t>
            </w:r>
            <w:r w:rsidRPr="00FE44F4">
              <w:rPr>
                <w:rFonts w:ascii="Calibri" w:eastAsia="Times New Roman" w:hAnsi="Calibri" w:cs="Calibri"/>
                <w:color w:val="000000"/>
                <w:sz w:val="22"/>
                <w:lang w:eastAsia="en-GB"/>
              </w:rPr>
              <w:br/>
            </w:r>
            <w:r w:rsidRPr="00FE44F4">
              <w:rPr>
                <w:rFonts w:ascii="Calibri" w:eastAsia="Times New Roman" w:hAnsi="Calibri" w:cs="Calibri"/>
                <w:color w:val="000000"/>
                <w:sz w:val="18"/>
                <w:szCs w:val="18"/>
                <w:lang w:eastAsia="en-GB"/>
              </w:rPr>
              <w:t>C1 vs C</w:t>
            </w:r>
            <w:r w:rsidR="006F374C">
              <w:rPr>
                <w:rFonts w:ascii="Calibri" w:eastAsia="Times New Roman" w:hAnsi="Calibri" w:cs="Calibri"/>
                <w:color w:val="000000"/>
                <w:sz w:val="18"/>
                <w:szCs w:val="18"/>
                <w:lang w:eastAsia="en-GB"/>
              </w:rPr>
              <w:t>3</w:t>
            </w:r>
          </w:p>
        </w:tc>
        <w:tc>
          <w:tcPr>
            <w:tcW w:w="1140" w:type="dxa"/>
            <w:tcBorders>
              <w:top w:val="single" w:sz="4" w:space="0" w:color="auto"/>
              <w:left w:val="nil"/>
              <w:bottom w:val="single" w:sz="4" w:space="0" w:color="auto"/>
              <w:right w:val="nil"/>
            </w:tcBorders>
            <w:shd w:val="clear" w:color="auto" w:fill="auto"/>
            <w:vAlign w:val="bottom"/>
            <w:hideMark/>
          </w:tcPr>
          <w:p w14:paraId="0A3AB6F0"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Scanner</w:t>
            </w:r>
            <w:r w:rsidRPr="00FE44F4">
              <w:rPr>
                <w:rFonts w:ascii="Calibri" w:eastAsia="Times New Roman" w:hAnsi="Calibri" w:cs="Calibri"/>
                <w:color w:val="000000"/>
                <w:sz w:val="22"/>
                <w:lang w:eastAsia="en-GB"/>
              </w:rPr>
              <w:br/>
            </w:r>
            <w:r w:rsidRPr="00FE44F4">
              <w:rPr>
                <w:rFonts w:ascii="Calibri" w:eastAsia="Times New Roman" w:hAnsi="Calibri" w:cs="Calibri"/>
                <w:color w:val="000000"/>
                <w:sz w:val="18"/>
                <w:szCs w:val="18"/>
                <w:lang w:eastAsia="en-GB"/>
              </w:rPr>
              <w:t>C1 vs D1</w:t>
            </w:r>
          </w:p>
        </w:tc>
      </w:tr>
      <w:tr w:rsidR="006A0DBA" w:rsidRPr="00FE44F4" w14:paraId="7D4555FE" w14:textId="77777777" w:rsidTr="006A0DBA">
        <w:trPr>
          <w:trHeight w:val="300"/>
        </w:trPr>
        <w:tc>
          <w:tcPr>
            <w:tcW w:w="2746" w:type="dxa"/>
            <w:gridSpan w:val="2"/>
            <w:tcBorders>
              <w:top w:val="single" w:sz="4" w:space="0" w:color="auto"/>
              <w:left w:val="nil"/>
              <w:bottom w:val="nil"/>
              <w:right w:val="nil"/>
            </w:tcBorders>
            <w:shd w:val="clear" w:color="auto" w:fill="auto"/>
            <w:hideMark/>
          </w:tcPr>
          <w:p w14:paraId="6086C7EB" w14:textId="77777777" w:rsidR="006A0DBA" w:rsidRPr="00FE44F4" w:rsidRDefault="006A0DBA" w:rsidP="006A0DBA">
            <w:pPr>
              <w:spacing w:after="0" w:line="240" w:lineRule="auto"/>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Subcortical volume</w:t>
            </w:r>
            <w:r w:rsidRPr="00FE44F4">
              <w:rPr>
                <w:rFonts w:ascii="Calibri" w:eastAsia="Times New Roman" w:hAnsi="Calibri" w:cs="Calibri"/>
                <w:color w:val="000000"/>
                <w:sz w:val="22"/>
                <w:vertAlign w:val="superscript"/>
                <w:lang w:eastAsia="en-GB"/>
              </w:rPr>
              <w:t>1</w:t>
            </w:r>
          </w:p>
        </w:tc>
        <w:tc>
          <w:tcPr>
            <w:tcW w:w="1150" w:type="dxa"/>
            <w:tcBorders>
              <w:top w:val="nil"/>
              <w:left w:val="nil"/>
              <w:bottom w:val="nil"/>
              <w:right w:val="nil"/>
            </w:tcBorders>
            <w:shd w:val="clear" w:color="000000" w:fill="97CD7E"/>
            <w:noWrap/>
            <w:vAlign w:val="bottom"/>
            <w:hideMark/>
          </w:tcPr>
          <w:p w14:paraId="2DB06C9F"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0.950</w:t>
            </w:r>
          </w:p>
        </w:tc>
        <w:tc>
          <w:tcPr>
            <w:tcW w:w="1169" w:type="dxa"/>
            <w:tcBorders>
              <w:top w:val="nil"/>
              <w:left w:val="nil"/>
              <w:bottom w:val="nil"/>
              <w:right w:val="nil"/>
            </w:tcBorders>
            <w:shd w:val="clear" w:color="000000" w:fill="9DCF7F"/>
            <w:noWrap/>
            <w:vAlign w:val="bottom"/>
            <w:hideMark/>
          </w:tcPr>
          <w:p w14:paraId="6443D8F7"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0.945</w:t>
            </w:r>
          </w:p>
        </w:tc>
        <w:tc>
          <w:tcPr>
            <w:tcW w:w="1140" w:type="dxa"/>
            <w:tcBorders>
              <w:top w:val="nil"/>
              <w:left w:val="nil"/>
              <w:bottom w:val="nil"/>
              <w:right w:val="nil"/>
            </w:tcBorders>
            <w:shd w:val="clear" w:color="000000" w:fill="9ED07F"/>
            <w:noWrap/>
            <w:vAlign w:val="bottom"/>
            <w:hideMark/>
          </w:tcPr>
          <w:p w14:paraId="19E76755"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0.943</w:t>
            </w:r>
          </w:p>
        </w:tc>
        <w:tc>
          <w:tcPr>
            <w:tcW w:w="1451" w:type="dxa"/>
            <w:tcBorders>
              <w:top w:val="nil"/>
              <w:left w:val="nil"/>
              <w:bottom w:val="nil"/>
              <w:right w:val="nil"/>
            </w:tcBorders>
            <w:shd w:val="clear" w:color="000000" w:fill="A0D07F"/>
            <w:noWrap/>
            <w:vAlign w:val="bottom"/>
            <w:hideMark/>
          </w:tcPr>
          <w:p w14:paraId="5D73D50F"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0.942</w:t>
            </w:r>
          </w:p>
        </w:tc>
        <w:tc>
          <w:tcPr>
            <w:tcW w:w="1134" w:type="dxa"/>
            <w:tcBorders>
              <w:top w:val="nil"/>
              <w:left w:val="nil"/>
              <w:bottom w:val="nil"/>
              <w:right w:val="nil"/>
            </w:tcBorders>
            <w:shd w:val="clear" w:color="000000" w:fill="B5D680"/>
            <w:noWrap/>
            <w:vAlign w:val="bottom"/>
            <w:hideMark/>
          </w:tcPr>
          <w:p w14:paraId="3FC18E98"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0.921</w:t>
            </w:r>
          </w:p>
        </w:tc>
        <w:tc>
          <w:tcPr>
            <w:tcW w:w="1086" w:type="dxa"/>
            <w:tcBorders>
              <w:top w:val="nil"/>
              <w:left w:val="nil"/>
              <w:bottom w:val="nil"/>
              <w:right w:val="nil"/>
            </w:tcBorders>
            <w:shd w:val="clear" w:color="000000" w:fill="B5D680"/>
            <w:noWrap/>
            <w:vAlign w:val="bottom"/>
            <w:hideMark/>
          </w:tcPr>
          <w:p w14:paraId="7F883781"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0.922</w:t>
            </w:r>
          </w:p>
        </w:tc>
        <w:tc>
          <w:tcPr>
            <w:tcW w:w="1140" w:type="dxa"/>
            <w:tcBorders>
              <w:top w:val="nil"/>
              <w:left w:val="nil"/>
              <w:bottom w:val="nil"/>
              <w:right w:val="nil"/>
            </w:tcBorders>
            <w:shd w:val="clear" w:color="000000" w:fill="9FD07F"/>
            <w:noWrap/>
            <w:vAlign w:val="bottom"/>
            <w:hideMark/>
          </w:tcPr>
          <w:p w14:paraId="27C64B59"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0.943</w:t>
            </w:r>
          </w:p>
        </w:tc>
      </w:tr>
      <w:tr w:rsidR="006A0DBA" w:rsidRPr="00FE44F4" w14:paraId="5A19A16A" w14:textId="77777777" w:rsidTr="006A0DBA">
        <w:trPr>
          <w:trHeight w:val="300"/>
        </w:trPr>
        <w:tc>
          <w:tcPr>
            <w:tcW w:w="2226" w:type="dxa"/>
            <w:vMerge w:val="restart"/>
            <w:tcBorders>
              <w:top w:val="nil"/>
              <w:left w:val="nil"/>
              <w:bottom w:val="nil"/>
              <w:right w:val="nil"/>
            </w:tcBorders>
            <w:shd w:val="clear" w:color="auto" w:fill="auto"/>
            <w:hideMark/>
          </w:tcPr>
          <w:p w14:paraId="6800E81C" w14:textId="77777777" w:rsidR="006A0DBA" w:rsidRPr="00FE44F4" w:rsidRDefault="006A0DBA" w:rsidP="006A0DBA">
            <w:pPr>
              <w:spacing w:after="0" w:line="240" w:lineRule="auto"/>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Cortical volume</w:t>
            </w:r>
            <w:r w:rsidRPr="00FE44F4">
              <w:rPr>
                <w:rFonts w:ascii="Calibri" w:eastAsia="Times New Roman" w:hAnsi="Calibri" w:cs="Calibri"/>
                <w:color w:val="000000"/>
                <w:sz w:val="22"/>
                <w:vertAlign w:val="superscript"/>
                <w:lang w:eastAsia="en-GB"/>
              </w:rPr>
              <w:t>2</w:t>
            </w:r>
          </w:p>
        </w:tc>
        <w:tc>
          <w:tcPr>
            <w:tcW w:w="520" w:type="dxa"/>
            <w:tcBorders>
              <w:top w:val="nil"/>
              <w:left w:val="nil"/>
              <w:bottom w:val="nil"/>
              <w:right w:val="nil"/>
            </w:tcBorders>
            <w:shd w:val="clear" w:color="auto" w:fill="auto"/>
            <w:noWrap/>
            <w:hideMark/>
          </w:tcPr>
          <w:p w14:paraId="05D55750" w14:textId="77777777" w:rsidR="006A0DBA" w:rsidRPr="00FE44F4" w:rsidRDefault="006A0DBA" w:rsidP="006A0DBA">
            <w:pPr>
              <w:spacing w:after="0" w:line="240" w:lineRule="auto"/>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LH</w:t>
            </w:r>
          </w:p>
        </w:tc>
        <w:tc>
          <w:tcPr>
            <w:tcW w:w="1150" w:type="dxa"/>
            <w:tcBorders>
              <w:top w:val="nil"/>
              <w:left w:val="nil"/>
              <w:bottom w:val="nil"/>
              <w:right w:val="nil"/>
            </w:tcBorders>
            <w:shd w:val="clear" w:color="000000" w:fill="BAD881"/>
            <w:noWrap/>
            <w:vAlign w:val="bottom"/>
            <w:hideMark/>
          </w:tcPr>
          <w:p w14:paraId="64834312"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0.916</w:t>
            </w:r>
          </w:p>
        </w:tc>
        <w:tc>
          <w:tcPr>
            <w:tcW w:w="1169" w:type="dxa"/>
            <w:tcBorders>
              <w:top w:val="nil"/>
              <w:left w:val="nil"/>
              <w:bottom w:val="nil"/>
              <w:right w:val="nil"/>
            </w:tcBorders>
            <w:shd w:val="clear" w:color="000000" w:fill="CDDD82"/>
            <w:noWrap/>
            <w:vAlign w:val="bottom"/>
            <w:hideMark/>
          </w:tcPr>
          <w:p w14:paraId="1AB0ED6C"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0.898</w:t>
            </w:r>
          </w:p>
        </w:tc>
        <w:tc>
          <w:tcPr>
            <w:tcW w:w="1140" w:type="dxa"/>
            <w:tcBorders>
              <w:top w:val="nil"/>
              <w:left w:val="nil"/>
              <w:bottom w:val="nil"/>
              <w:right w:val="nil"/>
            </w:tcBorders>
            <w:shd w:val="clear" w:color="000000" w:fill="CEDD82"/>
            <w:noWrap/>
            <w:vAlign w:val="bottom"/>
            <w:hideMark/>
          </w:tcPr>
          <w:p w14:paraId="10910095"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0.897</w:t>
            </w:r>
          </w:p>
        </w:tc>
        <w:tc>
          <w:tcPr>
            <w:tcW w:w="1451" w:type="dxa"/>
            <w:tcBorders>
              <w:top w:val="nil"/>
              <w:left w:val="nil"/>
              <w:bottom w:val="nil"/>
              <w:right w:val="nil"/>
            </w:tcBorders>
            <w:shd w:val="clear" w:color="000000" w:fill="B4D680"/>
            <w:noWrap/>
            <w:vAlign w:val="bottom"/>
            <w:hideMark/>
          </w:tcPr>
          <w:p w14:paraId="25D01E63"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0.922</w:t>
            </w:r>
          </w:p>
        </w:tc>
        <w:tc>
          <w:tcPr>
            <w:tcW w:w="1134" w:type="dxa"/>
            <w:tcBorders>
              <w:top w:val="nil"/>
              <w:left w:val="nil"/>
              <w:bottom w:val="nil"/>
              <w:right w:val="nil"/>
            </w:tcBorders>
            <w:shd w:val="clear" w:color="000000" w:fill="CEDD82"/>
            <w:noWrap/>
            <w:vAlign w:val="bottom"/>
            <w:hideMark/>
          </w:tcPr>
          <w:p w14:paraId="3C2A6FAA"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0.897</w:t>
            </w:r>
          </w:p>
        </w:tc>
        <w:tc>
          <w:tcPr>
            <w:tcW w:w="1086" w:type="dxa"/>
            <w:tcBorders>
              <w:top w:val="nil"/>
              <w:left w:val="nil"/>
              <w:bottom w:val="nil"/>
              <w:right w:val="nil"/>
            </w:tcBorders>
            <w:shd w:val="clear" w:color="000000" w:fill="DAE182"/>
            <w:noWrap/>
            <w:vAlign w:val="bottom"/>
            <w:hideMark/>
          </w:tcPr>
          <w:p w14:paraId="430AB356"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0.886</w:t>
            </w:r>
          </w:p>
        </w:tc>
        <w:tc>
          <w:tcPr>
            <w:tcW w:w="1140" w:type="dxa"/>
            <w:tcBorders>
              <w:top w:val="nil"/>
              <w:left w:val="nil"/>
              <w:bottom w:val="nil"/>
              <w:right w:val="nil"/>
            </w:tcBorders>
            <w:shd w:val="clear" w:color="000000" w:fill="B7D780"/>
            <w:noWrap/>
            <w:vAlign w:val="bottom"/>
            <w:hideMark/>
          </w:tcPr>
          <w:p w14:paraId="0C8EB746"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0.920</w:t>
            </w:r>
          </w:p>
        </w:tc>
      </w:tr>
      <w:tr w:rsidR="006A0DBA" w:rsidRPr="00FE44F4" w14:paraId="29035822" w14:textId="77777777" w:rsidTr="006A0DBA">
        <w:trPr>
          <w:trHeight w:val="300"/>
        </w:trPr>
        <w:tc>
          <w:tcPr>
            <w:tcW w:w="2226" w:type="dxa"/>
            <w:vMerge/>
            <w:tcBorders>
              <w:top w:val="nil"/>
              <w:left w:val="nil"/>
              <w:bottom w:val="nil"/>
              <w:right w:val="nil"/>
            </w:tcBorders>
            <w:vAlign w:val="center"/>
            <w:hideMark/>
          </w:tcPr>
          <w:p w14:paraId="24524710" w14:textId="77777777" w:rsidR="006A0DBA" w:rsidRPr="00FE44F4" w:rsidRDefault="006A0DBA" w:rsidP="006A0DBA">
            <w:pPr>
              <w:spacing w:after="0" w:line="240" w:lineRule="auto"/>
              <w:rPr>
                <w:rFonts w:ascii="Calibri" w:eastAsia="Times New Roman" w:hAnsi="Calibri" w:cs="Calibri"/>
                <w:color w:val="000000"/>
                <w:sz w:val="22"/>
                <w:lang w:eastAsia="en-GB"/>
              </w:rPr>
            </w:pPr>
          </w:p>
        </w:tc>
        <w:tc>
          <w:tcPr>
            <w:tcW w:w="520" w:type="dxa"/>
            <w:tcBorders>
              <w:top w:val="nil"/>
              <w:left w:val="nil"/>
              <w:bottom w:val="nil"/>
              <w:right w:val="nil"/>
            </w:tcBorders>
            <w:shd w:val="clear" w:color="auto" w:fill="auto"/>
            <w:noWrap/>
            <w:hideMark/>
          </w:tcPr>
          <w:p w14:paraId="037CE557" w14:textId="77777777" w:rsidR="006A0DBA" w:rsidRPr="00FE44F4" w:rsidRDefault="006A0DBA" w:rsidP="006A0DBA">
            <w:pPr>
              <w:spacing w:after="0" w:line="240" w:lineRule="auto"/>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RH</w:t>
            </w:r>
          </w:p>
        </w:tc>
        <w:tc>
          <w:tcPr>
            <w:tcW w:w="1150" w:type="dxa"/>
            <w:tcBorders>
              <w:top w:val="nil"/>
              <w:left w:val="nil"/>
              <w:bottom w:val="nil"/>
              <w:right w:val="nil"/>
            </w:tcBorders>
            <w:shd w:val="clear" w:color="000000" w:fill="B1D580"/>
            <w:noWrap/>
            <w:vAlign w:val="bottom"/>
            <w:hideMark/>
          </w:tcPr>
          <w:p w14:paraId="6976FABE"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0.926</w:t>
            </w:r>
          </w:p>
        </w:tc>
        <w:tc>
          <w:tcPr>
            <w:tcW w:w="1169" w:type="dxa"/>
            <w:tcBorders>
              <w:top w:val="nil"/>
              <w:left w:val="nil"/>
              <w:bottom w:val="nil"/>
              <w:right w:val="nil"/>
            </w:tcBorders>
            <w:shd w:val="clear" w:color="000000" w:fill="C3DA81"/>
            <w:noWrap/>
            <w:vAlign w:val="bottom"/>
            <w:hideMark/>
          </w:tcPr>
          <w:p w14:paraId="147E3773"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0.908</w:t>
            </w:r>
          </w:p>
        </w:tc>
        <w:tc>
          <w:tcPr>
            <w:tcW w:w="1140" w:type="dxa"/>
            <w:tcBorders>
              <w:top w:val="nil"/>
              <w:left w:val="nil"/>
              <w:bottom w:val="nil"/>
              <w:right w:val="nil"/>
            </w:tcBorders>
            <w:shd w:val="clear" w:color="000000" w:fill="DCE182"/>
            <w:noWrap/>
            <w:vAlign w:val="bottom"/>
            <w:hideMark/>
          </w:tcPr>
          <w:p w14:paraId="4921E3E2"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0.884</w:t>
            </w:r>
          </w:p>
        </w:tc>
        <w:tc>
          <w:tcPr>
            <w:tcW w:w="1451" w:type="dxa"/>
            <w:tcBorders>
              <w:top w:val="nil"/>
              <w:left w:val="nil"/>
              <w:bottom w:val="nil"/>
              <w:right w:val="nil"/>
            </w:tcBorders>
            <w:shd w:val="clear" w:color="000000" w:fill="BCD881"/>
            <w:noWrap/>
            <w:vAlign w:val="bottom"/>
            <w:hideMark/>
          </w:tcPr>
          <w:p w14:paraId="34303C47"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0.915</w:t>
            </w:r>
          </w:p>
        </w:tc>
        <w:tc>
          <w:tcPr>
            <w:tcW w:w="1134" w:type="dxa"/>
            <w:tcBorders>
              <w:top w:val="nil"/>
              <w:left w:val="nil"/>
              <w:bottom w:val="nil"/>
              <w:right w:val="nil"/>
            </w:tcBorders>
            <w:shd w:val="clear" w:color="000000" w:fill="FEE482"/>
            <w:noWrap/>
            <w:vAlign w:val="bottom"/>
            <w:hideMark/>
          </w:tcPr>
          <w:p w14:paraId="39854E34"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0.843</w:t>
            </w:r>
          </w:p>
        </w:tc>
        <w:tc>
          <w:tcPr>
            <w:tcW w:w="1086" w:type="dxa"/>
            <w:tcBorders>
              <w:top w:val="nil"/>
              <w:left w:val="nil"/>
              <w:bottom w:val="nil"/>
              <w:right w:val="nil"/>
            </w:tcBorders>
            <w:shd w:val="clear" w:color="000000" w:fill="FEE482"/>
            <w:noWrap/>
            <w:vAlign w:val="bottom"/>
            <w:hideMark/>
          </w:tcPr>
          <w:p w14:paraId="4A15F5A2"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0.842</w:t>
            </w:r>
          </w:p>
        </w:tc>
        <w:tc>
          <w:tcPr>
            <w:tcW w:w="1140" w:type="dxa"/>
            <w:tcBorders>
              <w:top w:val="nil"/>
              <w:left w:val="nil"/>
              <w:bottom w:val="nil"/>
              <w:right w:val="nil"/>
            </w:tcBorders>
            <w:shd w:val="clear" w:color="000000" w:fill="D9E082"/>
            <w:noWrap/>
            <w:vAlign w:val="bottom"/>
            <w:hideMark/>
          </w:tcPr>
          <w:p w14:paraId="477D3266"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0.887</w:t>
            </w:r>
          </w:p>
        </w:tc>
      </w:tr>
      <w:tr w:rsidR="006A0DBA" w:rsidRPr="00FE44F4" w14:paraId="73997856" w14:textId="77777777" w:rsidTr="006A0DBA">
        <w:trPr>
          <w:trHeight w:val="300"/>
        </w:trPr>
        <w:tc>
          <w:tcPr>
            <w:tcW w:w="2226" w:type="dxa"/>
            <w:vMerge w:val="restart"/>
            <w:tcBorders>
              <w:top w:val="nil"/>
              <w:left w:val="nil"/>
              <w:bottom w:val="nil"/>
              <w:right w:val="nil"/>
            </w:tcBorders>
            <w:shd w:val="clear" w:color="auto" w:fill="auto"/>
            <w:hideMark/>
          </w:tcPr>
          <w:p w14:paraId="0058EB78" w14:textId="77777777" w:rsidR="006A0DBA" w:rsidRPr="00FE44F4" w:rsidRDefault="006A0DBA" w:rsidP="006A0DBA">
            <w:pPr>
              <w:spacing w:after="0" w:line="240" w:lineRule="auto"/>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Cortical thickness</w:t>
            </w:r>
            <w:r w:rsidRPr="00FE44F4">
              <w:rPr>
                <w:rFonts w:ascii="Calibri" w:eastAsia="Times New Roman" w:hAnsi="Calibri" w:cs="Calibri"/>
                <w:color w:val="000000"/>
                <w:sz w:val="22"/>
                <w:vertAlign w:val="superscript"/>
                <w:lang w:eastAsia="en-GB"/>
              </w:rPr>
              <w:t>2</w:t>
            </w:r>
          </w:p>
        </w:tc>
        <w:tc>
          <w:tcPr>
            <w:tcW w:w="520" w:type="dxa"/>
            <w:tcBorders>
              <w:top w:val="nil"/>
              <w:left w:val="nil"/>
              <w:bottom w:val="nil"/>
              <w:right w:val="nil"/>
            </w:tcBorders>
            <w:shd w:val="clear" w:color="auto" w:fill="auto"/>
            <w:noWrap/>
            <w:hideMark/>
          </w:tcPr>
          <w:p w14:paraId="6E4E0946" w14:textId="77777777" w:rsidR="006A0DBA" w:rsidRPr="00FE44F4" w:rsidRDefault="006A0DBA" w:rsidP="006A0DBA">
            <w:pPr>
              <w:spacing w:after="0" w:line="240" w:lineRule="auto"/>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LH</w:t>
            </w:r>
          </w:p>
        </w:tc>
        <w:tc>
          <w:tcPr>
            <w:tcW w:w="1150" w:type="dxa"/>
            <w:tcBorders>
              <w:top w:val="nil"/>
              <w:left w:val="nil"/>
              <w:bottom w:val="nil"/>
              <w:right w:val="nil"/>
            </w:tcBorders>
            <w:shd w:val="clear" w:color="000000" w:fill="FDD07E"/>
            <w:noWrap/>
            <w:vAlign w:val="bottom"/>
            <w:hideMark/>
          </w:tcPr>
          <w:p w14:paraId="42C6A27D"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0.819</w:t>
            </w:r>
          </w:p>
        </w:tc>
        <w:tc>
          <w:tcPr>
            <w:tcW w:w="1169" w:type="dxa"/>
            <w:tcBorders>
              <w:top w:val="nil"/>
              <w:left w:val="nil"/>
              <w:bottom w:val="nil"/>
              <w:right w:val="nil"/>
            </w:tcBorders>
            <w:shd w:val="clear" w:color="000000" w:fill="FEDA80"/>
            <w:noWrap/>
            <w:vAlign w:val="bottom"/>
            <w:hideMark/>
          </w:tcPr>
          <w:p w14:paraId="59547864"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0.831</w:t>
            </w:r>
          </w:p>
        </w:tc>
        <w:tc>
          <w:tcPr>
            <w:tcW w:w="1140" w:type="dxa"/>
            <w:tcBorders>
              <w:top w:val="nil"/>
              <w:left w:val="nil"/>
              <w:bottom w:val="nil"/>
              <w:right w:val="nil"/>
            </w:tcBorders>
            <w:shd w:val="clear" w:color="000000" w:fill="F97C6E"/>
            <w:noWrap/>
            <w:vAlign w:val="bottom"/>
            <w:hideMark/>
          </w:tcPr>
          <w:p w14:paraId="189B6C26"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0.723</w:t>
            </w:r>
          </w:p>
        </w:tc>
        <w:tc>
          <w:tcPr>
            <w:tcW w:w="1451" w:type="dxa"/>
            <w:tcBorders>
              <w:top w:val="nil"/>
              <w:left w:val="nil"/>
              <w:bottom w:val="nil"/>
              <w:right w:val="nil"/>
            </w:tcBorders>
            <w:shd w:val="clear" w:color="000000" w:fill="FCB479"/>
            <w:noWrap/>
            <w:vAlign w:val="bottom"/>
            <w:hideMark/>
          </w:tcPr>
          <w:p w14:paraId="1D909CCA"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0.787</w:t>
            </w:r>
          </w:p>
        </w:tc>
        <w:tc>
          <w:tcPr>
            <w:tcW w:w="1134" w:type="dxa"/>
            <w:tcBorders>
              <w:top w:val="nil"/>
              <w:left w:val="nil"/>
              <w:bottom w:val="nil"/>
              <w:right w:val="nil"/>
            </w:tcBorders>
            <w:shd w:val="clear" w:color="000000" w:fill="F8756D"/>
            <w:noWrap/>
            <w:vAlign w:val="bottom"/>
            <w:hideMark/>
          </w:tcPr>
          <w:p w14:paraId="4FDBA096"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0.714</w:t>
            </w:r>
          </w:p>
        </w:tc>
        <w:tc>
          <w:tcPr>
            <w:tcW w:w="1086" w:type="dxa"/>
            <w:tcBorders>
              <w:top w:val="nil"/>
              <w:left w:val="nil"/>
              <w:bottom w:val="nil"/>
              <w:right w:val="nil"/>
            </w:tcBorders>
            <w:shd w:val="clear" w:color="000000" w:fill="F8786D"/>
            <w:noWrap/>
            <w:vAlign w:val="bottom"/>
            <w:hideMark/>
          </w:tcPr>
          <w:p w14:paraId="37AC84F7"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0.718</w:t>
            </w:r>
          </w:p>
        </w:tc>
        <w:tc>
          <w:tcPr>
            <w:tcW w:w="1140" w:type="dxa"/>
            <w:tcBorders>
              <w:top w:val="nil"/>
              <w:left w:val="nil"/>
              <w:bottom w:val="nil"/>
              <w:right w:val="nil"/>
            </w:tcBorders>
            <w:shd w:val="clear" w:color="000000" w:fill="FBA877"/>
            <w:noWrap/>
            <w:vAlign w:val="bottom"/>
            <w:hideMark/>
          </w:tcPr>
          <w:p w14:paraId="7075D5D6"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0.774</w:t>
            </w:r>
          </w:p>
        </w:tc>
      </w:tr>
      <w:tr w:rsidR="006A0DBA" w:rsidRPr="00FE44F4" w14:paraId="376F23B8" w14:textId="77777777" w:rsidTr="006A0DBA">
        <w:trPr>
          <w:trHeight w:val="300"/>
        </w:trPr>
        <w:tc>
          <w:tcPr>
            <w:tcW w:w="2226" w:type="dxa"/>
            <w:vMerge/>
            <w:tcBorders>
              <w:top w:val="nil"/>
              <w:left w:val="nil"/>
              <w:bottom w:val="nil"/>
              <w:right w:val="nil"/>
            </w:tcBorders>
            <w:vAlign w:val="center"/>
            <w:hideMark/>
          </w:tcPr>
          <w:p w14:paraId="61AA7659" w14:textId="77777777" w:rsidR="006A0DBA" w:rsidRPr="00FE44F4" w:rsidRDefault="006A0DBA" w:rsidP="006A0DBA">
            <w:pPr>
              <w:spacing w:after="0" w:line="240" w:lineRule="auto"/>
              <w:rPr>
                <w:rFonts w:ascii="Calibri" w:eastAsia="Times New Roman" w:hAnsi="Calibri" w:cs="Calibri"/>
                <w:color w:val="000000"/>
                <w:sz w:val="22"/>
                <w:lang w:eastAsia="en-GB"/>
              </w:rPr>
            </w:pPr>
          </w:p>
        </w:tc>
        <w:tc>
          <w:tcPr>
            <w:tcW w:w="520" w:type="dxa"/>
            <w:tcBorders>
              <w:top w:val="nil"/>
              <w:left w:val="nil"/>
              <w:bottom w:val="nil"/>
              <w:right w:val="nil"/>
            </w:tcBorders>
            <w:shd w:val="clear" w:color="auto" w:fill="auto"/>
            <w:noWrap/>
            <w:hideMark/>
          </w:tcPr>
          <w:p w14:paraId="638B1EF4" w14:textId="77777777" w:rsidR="006A0DBA" w:rsidRPr="00FE44F4" w:rsidRDefault="006A0DBA" w:rsidP="006A0DBA">
            <w:pPr>
              <w:spacing w:after="0" w:line="240" w:lineRule="auto"/>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RH</w:t>
            </w:r>
          </w:p>
        </w:tc>
        <w:tc>
          <w:tcPr>
            <w:tcW w:w="1150" w:type="dxa"/>
            <w:tcBorders>
              <w:top w:val="nil"/>
              <w:left w:val="nil"/>
              <w:bottom w:val="nil"/>
              <w:right w:val="nil"/>
            </w:tcBorders>
            <w:shd w:val="clear" w:color="000000" w:fill="FEE182"/>
            <w:noWrap/>
            <w:vAlign w:val="bottom"/>
            <w:hideMark/>
          </w:tcPr>
          <w:p w14:paraId="6B2F62AF"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0.839</w:t>
            </w:r>
          </w:p>
        </w:tc>
        <w:tc>
          <w:tcPr>
            <w:tcW w:w="1169" w:type="dxa"/>
            <w:tcBorders>
              <w:top w:val="nil"/>
              <w:left w:val="nil"/>
              <w:bottom w:val="nil"/>
              <w:right w:val="nil"/>
            </w:tcBorders>
            <w:shd w:val="clear" w:color="000000" w:fill="FDD17F"/>
            <w:noWrap/>
            <w:vAlign w:val="bottom"/>
            <w:hideMark/>
          </w:tcPr>
          <w:p w14:paraId="13E9D0EF"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0.821</w:t>
            </w:r>
          </w:p>
        </w:tc>
        <w:tc>
          <w:tcPr>
            <w:tcW w:w="1140" w:type="dxa"/>
            <w:tcBorders>
              <w:top w:val="nil"/>
              <w:left w:val="nil"/>
              <w:bottom w:val="nil"/>
              <w:right w:val="nil"/>
            </w:tcBorders>
            <w:shd w:val="clear" w:color="000000" w:fill="F86E6B"/>
            <w:noWrap/>
            <w:vAlign w:val="bottom"/>
            <w:hideMark/>
          </w:tcPr>
          <w:p w14:paraId="0C010FF5"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0.706</w:t>
            </w:r>
          </w:p>
        </w:tc>
        <w:tc>
          <w:tcPr>
            <w:tcW w:w="1451" w:type="dxa"/>
            <w:tcBorders>
              <w:top w:val="nil"/>
              <w:left w:val="nil"/>
              <w:bottom w:val="nil"/>
              <w:right w:val="nil"/>
            </w:tcBorders>
            <w:shd w:val="clear" w:color="000000" w:fill="FBA977"/>
            <w:noWrap/>
            <w:vAlign w:val="bottom"/>
            <w:hideMark/>
          </w:tcPr>
          <w:p w14:paraId="1FCDE726"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0.774</w:t>
            </w:r>
          </w:p>
        </w:tc>
        <w:tc>
          <w:tcPr>
            <w:tcW w:w="1134" w:type="dxa"/>
            <w:tcBorders>
              <w:top w:val="nil"/>
              <w:left w:val="nil"/>
              <w:bottom w:val="nil"/>
              <w:right w:val="nil"/>
            </w:tcBorders>
            <w:shd w:val="clear" w:color="000000" w:fill="F98A71"/>
            <w:noWrap/>
            <w:vAlign w:val="bottom"/>
            <w:hideMark/>
          </w:tcPr>
          <w:p w14:paraId="392958AC"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0.739</w:t>
            </w:r>
          </w:p>
        </w:tc>
        <w:tc>
          <w:tcPr>
            <w:tcW w:w="1086" w:type="dxa"/>
            <w:tcBorders>
              <w:top w:val="nil"/>
              <w:left w:val="nil"/>
              <w:bottom w:val="nil"/>
              <w:right w:val="nil"/>
            </w:tcBorders>
            <w:shd w:val="clear" w:color="000000" w:fill="F9816F"/>
            <w:noWrap/>
            <w:vAlign w:val="bottom"/>
            <w:hideMark/>
          </w:tcPr>
          <w:p w14:paraId="023B9D59"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0.729</w:t>
            </w:r>
          </w:p>
        </w:tc>
        <w:tc>
          <w:tcPr>
            <w:tcW w:w="1140" w:type="dxa"/>
            <w:tcBorders>
              <w:top w:val="nil"/>
              <w:left w:val="nil"/>
              <w:bottom w:val="nil"/>
              <w:right w:val="nil"/>
            </w:tcBorders>
            <w:shd w:val="clear" w:color="000000" w:fill="FBAD78"/>
            <w:noWrap/>
            <w:vAlign w:val="bottom"/>
            <w:hideMark/>
          </w:tcPr>
          <w:p w14:paraId="44101129"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0.780</w:t>
            </w:r>
          </w:p>
        </w:tc>
      </w:tr>
      <w:tr w:rsidR="006A0DBA" w:rsidRPr="00FE44F4" w14:paraId="687E948D" w14:textId="77777777" w:rsidTr="006A0DBA">
        <w:trPr>
          <w:trHeight w:val="300"/>
        </w:trPr>
        <w:tc>
          <w:tcPr>
            <w:tcW w:w="2226" w:type="dxa"/>
            <w:vMerge w:val="restart"/>
            <w:tcBorders>
              <w:top w:val="nil"/>
              <w:left w:val="nil"/>
              <w:bottom w:val="nil"/>
              <w:right w:val="nil"/>
            </w:tcBorders>
            <w:shd w:val="clear" w:color="auto" w:fill="auto"/>
            <w:hideMark/>
          </w:tcPr>
          <w:p w14:paraId="3DBA21CF" w14:textId="77777777" w:rsidR="006A0DBA" w:rsidRPr="00FE44F4" w:rsidRDefault="006A0DBA" w:rsidP="006A0DBA">
            <w:pPr>
              <w:spacing w:after="0" w:line="240" w:lineRule="auto"/>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 xml:space="preserve">Cortical </w:t>
            </w:r>
            <w:r>
              <w:rPr>
                <w:rFonts w:ascii="Calibri" w:eastAsia="Times New Roman" w:hAnsi="Calibri" w:cs="Calibri"/>
                <w:color w:val="000000"/>
                <w:sz w:val="22"/>
                <w:lang w:eastAsia="en-GB"/>
              </w:rPr>
              <w:t xml:space="preserve">surface </w:t>
            </w:r>
            <w:r w:rsidRPr="00FE44F4">
              <w:rPr>
                <w:rFonts w:ascii="Calibri" w:eastAsia="Times New Roman" w:hAnsi="Calibri" w:cs="Calibri"/>
                <w:color w:val="000000"/>
                <w:sz w:val="22"/>
                <w:lang w:eastAsia="en-GB"/>
              </w:rPr>
              <w:t>area</w:t>
            </w:r>
            <w:r w:rsidRPr="00FE44F4">
              <w:rPr>
                <w:rFonts w:ascii="Calibri" w:eastAsia="Times New Roman" w:hAnsi="Calibri" w:cs="Calibri"/>
                <w:color w:val="000000"/>
                <w:sz w:val="22"/>
                <w:vertAlign w:val="superscript"/>
                <w:lang w:eastAsia="en-GB"/>
              </w:rPr>
              <w:t>2</w:t>
            </w:r>
          </w:p>
        </w:tc>
        <w:tc>
          <w:tcPr>
            <w:tcW w:w="520" w:type="dxa"/>
            <w:tcBorders>
              <w:top w:val="nil"/>
              <w:left w:val="nil"/>
              <w:bottom w:val="nil"/>
              <w:right w:val="nil"/>
            </w:tcBorders>
            <w:shd w:val="clear" w:color="auto" w:fill="auto"/>
            <w:noWrap/>
            <w:hideMark/>
          </w:tcPr>
          <w:p w14:paraId="28AFE57B" w14:textId="77777777" w:rsidR="006A0DBA" w:rsidRPr="00FE44F4" w:rsidRDefault="006A0DBA" w:rsidP="006A0DBA">
            <w:pPr>
              <w:spacing w:after="0" w:line="240" w:lineRule="auto"/>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LH</w:t>
            </w:r>
          </w:p>
        </w:tc>
        <w:tc>
          <w:tcPr>
            <w:tcW w:w="1150" w:type="dxa"/>
            <w:tcBorders>
              <w:top w:val="nil"/>
              <w:left w:val="nil"/>
              <w:bottom w:val="nil"/>
              <w:right w:val="nil"/>
            </w:tcBorders>
            <w:shd w:val="clear" w:color="000000" w:fill="B4D680"/>
            <w:noWrap/>
            <w:vAlign w:val="bottom"/>
            <w:hideMark/>
          </w:tcPr>
          <w:p w14:paraId="7F036D02"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0.923</w:t>
            </w:r>
          </w:p>
        </w:tc>
        <w:tc>
          <w:tcPr>
            <w:tcW w:w="1169" w:type="dxa"/>
            <w:tcBorders>
              <w:top w:val="nil"/>
              <w:left w:val="nil"/>
              <w:bottom w:val="nil"/>
              <w:right w:val="nil"/>
            </w:tcBorders>
            <w:shd w:val="clear" w:color="000000" w:fill="C8DB81"/>
            <w:noWrap/>
            <w:vAlign w:val="bottom"/>
            <w:hideMark/>
          </w:tcPr>
          <w:p w14:paraId="4179D0F3"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0.904</w:t>
            </w:r>
          </w:p>
        </w:tc>
        <w:tc>
          <w:tcPr>
            <w:tcW w:w="1140" w:type="dxa"/>
            <w:tcBorders>
              <w:top w:val="nil"/>
              <w:left w:val="nil"/>
              <w:bottom w:val="nil"/>
              <w:right w:val="nil"/>
            </w:tcBorders>
            <w:shd w:val="clear" w:color="000000" w:fill="B7D780"/>
            <w:noWrap/>
            <w:vAlign w:val="bottom"/>
            <w:hideMark/>
          </w:tcPr>
          <w:p w14:paraId="7951D16A"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0.920</w:t>
            </w:r>
          </w:p>
        </w:tc>
        <w:tc>
          <w:tcPr>
            <w:tcW w:w="1451" w:type="dxa"/>
            <w:tcBorders>
              <w:top w:val="nil"/>
              <w:left w:val="nil"/>
              <w:bottom w:val="nil"/>
              <w:right w:val="nil"/>
            </w:tcBorders>
            <w:shd w:val="clear" w:color="000000" w:fill="A0D07F"/>
            <w:noWrap/>
            <w:vAlign w:val="bottom"/>
            <w:hideMark/>
          </w:tcPr>
          <w:p w14:paraId="52DBD93A"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0.942</w:t>
            </w:r>
          </w:p>
        </w:tc>
        <w:tc>
          <w:tcPr>
            <w:tcW w:w="1134" w:type="dxa"/>
            <w:tcBorders>
              <w:top w:val="nil"/>
              <w:left w:val="nil"/>
              <w:bottom w:val="nil"/>
              <w:right w:val="nil"/>
            </w:tcBorders>
            <w:shd w:val="clear" w:color="000000" w:fill="A4D17F"/>
            <w:noWrap/>
            <w:vAlign w:val="bottom"/>
            <w:hideMark/>
          </w:tcPr>
          <w:p w14:paraId="57295A83"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0.938</w:t>
            </w:r>
          </w:p>
        </w:tc>
        <w:tc>
          <w:tcPr>
            <w:tcW w:w="1086" w:type="dxa"/>
            <w:tcBorders>
              <w:top w:val="nil"/>
              <w:left w:val="nil"/>
              <w:bottom w:val="nil"/>
              <w:right w:val="nil"/>
            </w:tcBorders>
            <w:shd w:val="clear" w:color="000000" w:fill="B8D780"/>
            <w:noWrap/>
            <w:vAlign w:val="bottom"/>
            <w:hideMark/>
          </w:tcPr>
          <w:p w14:paraId="688248A0"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0.918</w:t>
            </w:r>
          </w:p>
        </w:tc>
        <w:tc>
          <w:tcPr>
            <w:tcW w:w="1140" w:type="dxa"/>
            <w:tcBorders>
              <w:top w:val="nil"/>
              <w:left w:val="nil"/>
              <w:bottom w:val="nil"/>
              <w:right w:val="nil"/>
            </w:tcBorders>
            <w:shd w:val="clear" w:color="000000" w:fill="BBD881"/>
            <w:noWrap/>
            <w:vAlign w:val="bottom"/>
            <w:hideMark/>
          </w:tcPr>
          <w:p w14:paraId="692917AF"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0.916</w:t>
            </w:r>
          </w:p>
        </w:tc>
      </w:tr>
      <w:tr w:rsidR="006A0DBA" w:rsidRPr="00FE44F4" w14:paraId="7C69EA98" w14:textId="77777777" w:rsidTr="006A0DBA">
        <w:trPr>
          <w:trHeight w:val="300"/>
        </w:trPr>
        <w:tc>
          <w:tcPr>
            <w:tcW w:w="2226" w:type="dxa"/>
            <w:vMerge/>
            <w:tcBorders>
              <w:top w:val="nil"/>
              <w:left w:val="nil"/>
              <w:bottom w:val="nil"/>
              <w:right w:val="nil"/>
            </w:tcBorders>
            <w:vAlign w:val="center"/>
            <w:hideMark/>
          </w:tcPr>
          <w:p w14:paraId="5B15C85A" w14:textId="77777777" w:rsidR="006A0DBA" w:rsidRPr="00FE44F4" w:rsidRDefault="006A0DBA" w:rsidP="006A0DBA">
            <w:pPr>
              <w:spacing w:after="0" w:line="240" w:lineRule="auto"/>
              <w:rPr>
                <w:rFonts w:ascii="Calibri" w:eastAsia="Times New Roman" w:hAnsi="Calibri" w:cs="Calibri"/>
                <w:color w:val="000000"/>
                <w:sz w:val="22"/>
                <w:lang w:eastAsia="en-GB"/>
              </w:rPr>
            </w:pPr>
          </w:p>
        </w:tc>
        <w:tc>
          <w:tcPr>
            <w:tcW w:w="520" w:type="dxa"/>
            <w:tcBorders>
              <w:top w:val="nil"/>
              <w:left w:val="nil"/>
              <w:bottom w:val="nil"/>
              <w:right w:val="nil"/>
            </w:tcBorders>
            <w:shd w:val="clear" w:color="auto" w:fill="auto"/>
            <w:noWrap/>
            <w:hideMark/>
          </w:tcPr>
          <w:p w14:paraId="6DB40A72" w14:textId="77777777" w:rsidR="006A0DBA" w:rsidRPr="00FE44F4" w:rsidRDefault="006A0DBA" w:rsidP="006A0DBA">
            <w:pPr>
              <w:spacing w:after="0" w:line="240" w:lineRule="auto"/>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RH</w:t>
            </w:r>
          </w:p>
        </w:tc>
        <w:tc>
          <w:tcPr>
            <w:tcW w:w="1150" w:type="dxa"/>
            <w:tcBorders>
              <w:top w:val="nil"/>
              <w:left w:val="nil"/>
              <w:bottom w:val="nil"/>
              <w:right w:val="nil"/>
            </w:tcBorders>
            <w:shd w:val="clear" w:color="000000" w:fill="A7D27F"/>
            <w:noWrap/>
            <w:vAlign w:val="bottom"/>
            <w:hideMark/>
          </w:tcPr>
          <w:p w14:paraId="2F01AAE1"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0.935</w:t>
            </w:r>
          </w:p>
        </w:tc>
        <w:tc>
          <w:tcPr>
            <w:tcW w:w="1169" w:type="dxa"/>
            <w:tcBorders>
              <w:top w:val="nil"/>
              <w:left w:val="nil"/>
              <w:bottom w:val="nil"/>
              <w:right w:val="nil"/>
            </w:tcBorders>
            <w:shd w:val="clear" w:color="000000" w:fill="BFD981"/>
            <w:noWrap/>
            <w:vAlign w:val="bottom"/>
            <w:hideMark/>
          </w:tcPr>
          <w:p w14:paraId="6E055021"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0.912</w:t>
            </w:r>
          </w:p>
        </w:tc>
        <w:tc>
          <w:tcPr>
            <w:tcW w:w="1140" w:type="dxa"/>
            <w:tcBorders>
              <w:top w:val="nil"/>
              <w:left w:val="nil"/>
              <w:bottom w:val="nil"/>
              <w:right w:val="nil"/>
            </w:tcBorders>
            <w:shd w:val="clear" w:color="000000" w:fill="C5DB81"/>
            <w:noWrap/>
            <w:vAlign w:val="bottom"/>
            <w:hideMark/>
          </w:tcPr>
          <w:p w14:paraId="5CDFEC63"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0.906</w:t>
            </w:r>
          </w:p>
        </w:tc>
        <w:tc>
          <w:tcPr>
            <w:tcW w:w="1451" w:type="dxa"/>
            <w:tcBorders>
              <w:top w:val="nil"/>
              <w:left w:val="nil"/>
              <w:bottom w:val="nil"/>
              <w:right w:val="nil"/>
            </w:tcBorders>
            <w:shd w:val="clear" w:color="000000" w:fill="ADD480"/>
            <w:noWrap/>
            <w:vAlign w:val="bottom"/>
            <w:hideMark/>
          </w:tcPr>
          <w:p w14:paraId="157C691C"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0.929</w:t>
            </w:r>
          </w:p>
        </w:tc>
        <w:tc>
          <w:tcPr>
            <w:tcW w:w="1134" w:type="dxa"/>
            <w:tcBorders>
              <w:top w:val="nil"/>
              <w:left w:val="nil"/>
              <w:bottom w:val="nil"/>
              <w:right w:val="nil"/>
            </w:tcBorders>
            <w:shd w:val="clear" w:color="000000" w:fill="FEE783"/>
            <w:noWrap/>
            <w:vAlign w:val="bottom"/>
            <w:hideMark/>
          </w:tcPr>
          <w:p w14:paraId="60D91429"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0.846</w:t>
            </w:r>
          </w:p>
        </w:tc>
        <w:tc>
          <w:tcPr>
            <w:tcW w:w="1086" w:type="dxa"/>
            <w:tcBorders>
              <w:top w:val="nil"/>
              <w:left w:val="nil"/>
              <w:bottom w:val="nil"/>
              <w:right w:val="nil"/>
            </w:tcBorders>
            <w:shd w:val="clear" w:color="000000" w:fill="E8E583"/>
            <w:noWrap/>
            <w:vAlign w:val="bottom"/>
            <w:hideMark/>
          </w:tcPr>
          <w:p w14:paraId="02E7638E"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0.872</w:t>
            </w:r>
          </w:p>
        </w:tc>
        <w:tc>
          <w:tcPr>
            <w:tcW w:w="1140" w:type="dxa"/>
            <w:tcBorders>
              <w:top w:val="nil"/>
              <w:left w:val="nil"/>
              <w:bottom w:val="nil"/>
              <w:right w:val="nil"/>
            </w:tcBorders>
            <w:shd w:val="clear" w:color="000000" w:fill="D9E082"/>
            <w:noWrap/>
            <w:vAlign w:val="bottom"/>
            <w:hideMark/>
          </w:tcPr>
          <w:p w14:paraId="01E2FF54"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0.887</w:t>
            </w:r>
          </w:p>
        </w:tc>
      </w:tr>
      <w:tr w:rsidR="006A0DBA" w:rsidRPr="00FE44F4" w14:paraId="4D628F4C" w14:textId="77777777" w:rsidTr="006A0DBA">
        <w:trPr>
          <w:trHeight w:val="300"/>
        </w:trPr>
        <w:tc>
          <w:tcPr>
            <w:tcW w:w="2746" w:type="dxa"/>
            <w:gridSpan w:val="2"/>
            <w:tcBorders>
              <w:top w:val="nil"/>
              <w:left w:val="nil"/>
              <w:bottom w:val="single" w:sz="4" w:space="0" w:color="auto"/>
              <w:right w:val="nil"/>
            </w:tcBorders>
            <w:shd w:val="clear" w:color="auto" w:fill="auto"/>
            <w:noWrap/>
            <w:hideMark/>
          </w:tcPr>
          <w:p w14:paraId="0659B916" w14:textId="77777777" w:rsidR="006A0DBA" w:rsidRPr="00FE44F4" w:rsidRDefault="006A0DBA" w:rsidP="006A0DBA">
            <w:pPr>
              <w:spacing w:after="0" w:line="240" w:lineRule="auto"/>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Comparison mean value</w:t>
            </w:r>
            <w:r w:rsidRPr="00FE44F4">
              <w:rPr>
                <w:rFonts w:ascii="Calibri" w:eastAsia="Times New Roman" w:hAnsi="Calibri" w:cs="Calibri"/>
                <w:color w:val="000000"/>
                <w:sz w:val="22"/>
                <w:vertAlign w:val="superscript"/>
                <w:lang w:eastAsia="en-GB"/>
              </w:rPr>
              <w:t>3</w:t>
            </w:r>
          </w:p>
        </w:tc>
        <w:tc>
          <w:tcPr>
            <w:tcW w:w="1150" w:type="dxa"/>
            <w:tcBorders>
              <w:top w:val="nil"/>
              <w:left w:val="nil"/>
              <w:bottom w:val="single" w:sz="4" w:space="0" w:color="auto"/>
              <w:right w:val="nil"/>
            </w:tcBorders>
            <w:shd w:val="clear" w:color="000000" w:fill="CADC81"/>
            <w:noWrap/>
            <w:vAlign w:val="bottom"/>
            <w:hideMark/>
          </w:tcPr>
          <w:p w14:paraId="3B1E342B"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0.901</w:t>
            </w:r>
          </w:p>
        </w:tc>
        <w:tc>
          <w:tcPr>
            <w:tcW w:w="1169" w:type="dxa"/>
            <w:tcBorders>
              <w:top w:val="nil"/>
              <w:left w:val="nil"/>
              <w:bottom w:val="single" w:sz="4" w:space="0" w:color="auto"/>
              <w:right w:val="nil"/>
            </w:tcBorders>
            <w:shd w:val="clear" w:color="000000" w:fill="D7E082"/>
            <w:noWrap/>
            <w:vAlign w:val="bottom"/>
            <w:hideMark/>
          </w:tcPr>
          <w:p w14:paraId="10C431C9"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0.888</w:t>
            </w:r>
          </w:p>
        </w:tc>
        <w:tc>
          <w:tcPr>
            <w:tcW w:w="1140" w:type="dxa"/>
            <w:tcBorders>
              <w:top w:val="nil"/>
              <w:left w:val="nil"/>
              <w:bottom w:val="single" w:sz="4" w:space="0" w:color="auto"/>
              <w:right w:val="nil"/>
            </w:tcBorders>
            <w:shd w:val="clear" w:color="000000" w:fill="FBEA84"/>
            <w:noWrap/>
            <w:vAlign w:val="bottom"/>
            <w:hideMark/>
          </w:tcPr>
          <w:p w14:paraId="51B6AF87"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0.854</w:t>
            </w:r>
          </w:p>
        </w:tc>
        <w:tc>
          <w:tcPr>
            <w:tcW w:w="1451" w:type="dxa"/>
            <w:tcBorders>
              <w:top w:val="nil"/>
              <w:left w:val="nil"/>
              <w:bottom w:val="single" w:sz="4" w:space="0" w:color="auto"/>
              <w:right w:val="nil"/>
            </w:tcBorders>
            <w:shd w:val="clear" w:color="000000" w:fill="D9E082"/>
            <w:noWrap/>
            <w:vAlign w:val="bottom"/>
            <w:hideMark/>
          </w:tcPr>
          <w:p w14:paraId="6878C121"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0.887</w:t>
            </w:r>
          </w:p>
        </w:tc>
        <w:tc>
          <w:tcPr>
            <w:tcW w:w="1134" w:type="dxa"/>
            <w:tcBorders>
              <w:top w:val="nil"/>
              <w:left w:val="nil"/>
              <w:bottom w:val="single" w:sz="4" w:space="0" w:color="auto"/>
              <w:right w:val="nil"/>
            </w:tcBorders>
            <w:shd w:val="clear" w:color="000000" w:fill="FEE482"/>
            <w:noWrap/>
            <w:vAlign w:val="bottom"/>
            <w:hideMark/>
          </w:tcPr>
          <w:p w14:paraId="7B960F30"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0.843</w:t>
            </w:r>
          </w:p>
        </w:tc>
        <w:tc>
          <w:tcPr>
            <w:tcW w:w="1086" w:type="dxa"/>
            <w:tcBorders>
              <w:top w:val="nil"/>
              <w:left w:val="nil"/>
              <w:bottom w:val="single" w:sz="4" w:space="0" w:color="auto"/>
              <w:right w:val="nil"/>
            </w:tcBorders>
            <w:shd w:val="clear" w:color="000000" w:fill="FEE382"/>
            <w:noWrap/>
            <w:vAlign w:val="bottom"/>
            <w:hideMark/>
          </w:tcPr>
          <w:p w14:paraId="46D19C79"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0.841</w:t>
            </w:r>
          </w:p>
        </w:tc>
        <w:tc>
          <w:tcPr>
            <w:tcW w:w="1140" w:type="dxa"/>
            <w:tcBorders>
              <w:top w:val="nil"/>
              <w:left w:val="nil"/>
              <w:bottom w:val="single" w:sz="4" w:space="0" w:color="auto"/>
              <w:right w:val="nil"/>
            </w:tcBorders>
            <w:shd w:val="clear" w:color="000000" w:fill="E8E583"/>
            <w:noWrap/>
            <w:vAlign w:val="bottom"/>
            <w:hideMark/>
          </w:tcPr>
          <w:p w14:paraId="726CA77E" w14:textId="77777777" w:rsidR="006A0DBA" w:rsidRPr="00FE44F4" w:rsidRDefault="006A0DBA" w:rsidP="006A0DBA">
            <w:pPr>
              <w:spacing w:after="0" w:line="240" w:lineRule="auto"/>
              <w:jc w:val="center"/>
              <w:rPr>
                <w:rFonts w:ascii="Calibri" w:eastAsia="Times New Roman" w:hAnsi="Calibri" w:cs="Calibri"/>
                <w:color w:val="000000"/>
                <w:sz w:val="22"/>
                <w:lang w:eastAsia="en-GB"/>
              </w:rPr>
            </w:pPr>
            <w:r w:rsidRPr="00FE44F4">
              <w:rPr>
                <w:rFonts w:ascii="Calibri" w:eastAsia="Times New Roman" w:hAnsi="Calibri" w:cs="Calibri"/>
                <w:color w:val="000000"/>
                <w:sz w:val="22"/>
                <w:lang w:eastAsia="en-GB"/>
              </w:rPr>
              <w:t>0.872</w:t>
            </w:r>
          </w:p>
        </w:tc>
      </w:tr>
    </w:tbl>
    <w:p w14:paraId="4288DF18" w14:textId="70940E4D" w:rsidR="002B1635" w:rsidRPr="000A2F1E" w:rsidRDefault="009117D0" w:rsidP="000A2F1E">
      <w:pPr>
        <w:rPr>
          <w:rFonts w:ascii="Calibri" w:eastAsia="Times New Roman" w:hAnsi="Calibri" w:cs="Calibri"/>
          <w:i/>
          <w:iCs/>
          <w:noProof/>
          <w:color w:val="000000"/>
          <w:sz w:val="22"/>
          <w:lang w:eastAsia="en-GB"/>
        </w:rPr>
      </w:pPr>
      <w:r w:rsidRPr="003F3B99">
        <w:rPr>
          <w:rFonts w:ascii="Calibri" w:eastAsia="Times New Roman" w:hAnsi="Calibri" w:cs="Calibri"/>
          <w:i/>
          <w:iCs/>
          <w:noProof/>
          <w:color w:val="000000"/>
          <w:sz w:val="22"/>
          <w:lang w:eastAsia="en-GB"/>
        </w:rPr>
        <mc:AlternateContent>
          <mc:Choice Requires="wps">
            <w:drawing>
              <wp:anchor distT="45720" distB="45720" distL="114300" distR="114300" simplePos="0" relativeHeight="251665408" behindDoc="1" locked="0" layoutInCell="1" allowOverlap="1" wp14:anchorId="7C5842E4" wp14:editId="5700A30E">
                <wp:simplePos x="0" y="0"/>
                <wp:positionH relativeFrom="column">
                  <wp:posOffset>-601535</wp:posOffset>
                </wp:positionH>
                <wp:positionV relativeFrom="paragraph">
                  <wp:posOffset>2353310</wp:posOffset>
                </wp:positionV>
                <wp:extent cx="7036435" cy="1115695"/>
                <wp:effectExtent l="0" t="0" r="0" b="0"/>
                <wp:wrapTight wrapText="bothSides">
                  <wp:wrapPolygon edited="0">
                    <wp:start x="175" y="0"/>
                    <wp:lineTo x="175" y="21022"/>
                    <wp:lineTo x="21403" y="21022"/>
                    <wp:lineTo x="21403" y="0"/>
                    <wp:lineTo x="175"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435" cy="1115695"/>
                        </a:xfrm>
                        <a:prstGeom prst="rect">
                          <a:avLst/>
                        </a:prstGeom>
                        <a:noFill/>
                        <a:ln w="9525">
                          <a:noFill/>
                          <a:miter lim="800000"/>
                          <a:headEnd/>
                          <a:tailEnd/>
                        </a:ln>
                      </wps:spPr>
                      <wps:txbx>
                        <w:txbxContent>
                          <w:p w14:paraId="2E3D61E0" w14:textId="77777777" w:rsidR="00F45C7C" w:rsidRPr="00570B72" w:rsidRDefault="00F45C7C" w:rsidP="009F6B7D">
                            <w:pPr>
                              <w:spacing w:after="0" w:line="240" w:lineRule="auto"/>
                              <w:rPr>
                                <w:szCs w:val="20"/>
                              </w:rPr>
                            </w:pPr>
                            <w:r w:rsidRPr="00570B72">
                              <w:rPr>
                                <w:szCs w:val="20"/>
                              </w:rPr>
                              <w:t>LH, left hemisphere; RH, right hemisphere</w:t>
                            </w:r>
                          </w:p>
                          <w:p w14:paraId="03E09C3B" w14:textId="3EB412B7" w:rsidR="00F45C7C" w:rsidRPr="00570B72" w:rsidRDefault="00F45C7C" w:rsidP="009F6B7D">
                            <w:pPr>
                              <w:spacing w:after="0" w:line="240" w:lineRule="auto"/>
                              <w:rPr>
                                <w:szCs w:val="20"/>
                              </w:rPr>
                            </w:pPr>
                            <w:r w:rsidRPr="00570B72">
                              <w:rPr>
                                <w:szCs w:val="20"/>
                                <w:vertAlign w:val="superscript"/>
                              </w:rPr>
                              <w:t>1</w:t>
                            </w:r>
                            <w:r w:rsidRPr="00570B72">
                              <w:rPr>
                                <w:szCs w:val="20"/>
                              </w:rPr>
                              <w:t>generated from subcortical segmentation (aseg.stats) of FreeSurfer v7.1.0 cross-sectional stream</w:t>
                            </w:r>
                          </w:p>
                          <w:p w14:paraId="5AD62C58" w14:textId="1C0FE685" w:rsidR="00F45C7C" w:rsidRPr="00570B72" w:rsidRDefault="00F45C7C" w:rsidP="009F6B7D">
                            <w:pPr>
                              <w:spacing w:after="0" w:line="240" w:lineRule="auto"/>
                              <w:rPr>
                                <w:szCs w:val="20"/>
                              </w:rPr>
                            </w:pPr>
                            <w:r w:rsidRPr="00570B72">
                              <w:rPr>
                                <w:szCs w:val="20"/>
                                <w:vertAlign w:val="superscript"/>
                              </w:rPr>
                              <w:t>2</w:t>
                            </w:r>
                            <w:r w:rsidRPr="00570B72">
                              <w:rPr>
                                <w:szCs w:val="20"/>
                              </w:rPr>
                              <w:t>generated from cortical parcellation (aparc.stats) of FreeSurfer v7.1.0 cross-sectional stream</w:t>
                            </w:r>
                          </w:p>
                          <w:p w14:paraId="0FCD1607" w14:textId="632FAB2A" w:rsidR="00F45C7C" w:rsidRPr="00570B72" w:rsidRDefault="00F45C7C" w:rsidP="009F6B7D">
                            <w:pPr>
                              <w:spacing w:after="0" w:line="240" w:lineRule="auto"/>
                              <w:rPr>
                                <w:szCs w:val="20"/>
                              </w:rPr>
                            </w:pPr>
                            <w:r w:rsidRPr="00570B72">
                              <w:rPr>
                                <w:szCs w:val="20"/>
                                <w:vertAlign w:val="superscript"/>
                              </w:rPr>
                              <w:t>3</w:t>
                            </w:r>
                            <w:r w:rsidRPr="00570B72">
                              <w:rPr>
                                <w:szCs w:val="20"/>
                              </w:rPr>
                              <w:t xml:space="preserve">calculated for each comparison as the mean ICC value of subcortical volume and cortical volume, thickness, and </w:t>
                            </w:r>
                            <w:r w:rsidR="009117D0">
                              <w:rPr>
                                <w:szCs w:val="20"/>
                              </w:rPr>
                              <w:t xml:space="preserve">surface </w:t>
                            </w:r>
                            <w:r w:rsidRPr="00570B72">
                              <w:rPr>
                                <w:szCs w:val="20"/>
                              </w:rPr>
                              <w:t xml:space="preserve">area measurements </w:t>
                            </w:r>
                          </w:p>
                          <w:p w14:paraId="7DFECF40" w14:textId="27A8BFA6" w:rsidR="00F45C7C" w:rsidRPr="00570B72" w:rsidRDefault="00F45C7C" w:rsidP="009F6B7D">
                            <w:pPr>
                              <w:spacing w:after="0" w:line="240" w:lineRule="auto"/>
                              <w:rPr>
                                <w:szCs w:val="20"/>
                              </w:rPr>
                            </w:pPr>
                            <w:r w:rsidRPr="00570B72">
                              <w:rPr>
                                <w:szCs w:val="20"/>
                                <w:vertAlign w:val="superscript"/>
                              </w:rPr>
                              <w:t>4</w:t>
                            </w:r>
                            <w:r w:rsidRPr="00570B72">
                              <w:rPr>
                                <w:szCs w:val="20"/>
                              </w:rPr>
                              <w:t>n=9 participants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842E4" id="_x0000_s1033" type="#_x0000_t202" style="position:absolute;margin-left:-47.35pt;margin-top:185.3pt;width:554.05pt;height:87.8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" filled="f" stroked="f">
                <v:textbox>
                  <w:txbxContent>
                    <w:p w14:paraId="2E3D61E0" w14:textId="77777777" w:rsidR="00F45C7C" w:rsidRPr="00570B72" w:rsidRDefault="00F45C7C" w:rsidP="009F6B7D">
                      <w:pPr>
                        <w:spacing w:after="0" w:line="240" w:lineRule="auto"/>
                        <w:rPr>
                          <w:szCs w:val="20"/>
                        </w:rPr>
                      </w:pPr>
                      <w:r w:rsidRPr="00570B72">
                        <w:rPr>
                          <w:szCs w:val="20"/>
                        </w:rPr>
                        <w:t xml:space="preserve">LH, left </w:t>
                      </w:r>
                      <w:proofErr w:type="gramStart"/>
                      <w:r w:rsidRPr="00570B72">
                        <w:rPr>
                          <w:szCs w:val="20"/>
                        </w:rPr>
                        <w:t>hemisphere;</w:t>
                      </w:r>
                      <w:proofErr w:type="gramEnd"/>
                      <w:r w:rsidRPr="00570B72">
                        <w:rPr>
                          <w:szCs w:val="20"/>
                        </w:rPr>
                        <w:t xml:space="preserve"> RH, right hemisphere</w:t>
                      </w:r>
                    </w:p>
                    <w:p w14:paraId="03E09C3B" w14:textId="3EB412B7" w:rsidR="00F45C7C" w:rsidRPr="00570B72" w:rsidRDefault="00F45C7C" w:rsidP="009F6B7D">
                      <w:pPr>
                        <w:spacing w:after="0" w:line="240" w:lineRule="auto"/>
                        <w:rPr>
                          <w:szCs w:val="20"/>
                        </w:rPr>
                      </w:pPr>
                      <w:r w:rsidRPr="00570B72">
                        <w:rPr>
                          <w:szCs w:val="20"/>
                          <w:vertAlign w:val="superscript"/>
                        </w:rPr>
                        <w:t>1</w:t>
                      </w:r>
                      <w:r w:rsidRPr="00570B72">
                        <w:rPr>
                          <w:szCs w:val="20"/>
                        </w:rPr>
                        <w:t>generated from subcortical segmentation (aseg.stats) of FreeSurfer v7.1.0 cross-sectional stream</w:t>
                      </w:r>
                    </w:p>
                    <w:p w14:paraId="5AD62C58" w14:textId="1C0FE685" w:rsidR="00F45C7C" w:rsidRPr="00570B72" w:rsidRDefault="00F45C7C" w:rsidP="009F6B7D">
                      <w:pPr>
                        <w:spacing w:after="0" w:line="240" w:lineRule="auto"/>
                        <w:rPr>
                          <w:szCs w:val="20"/>
                        </w:rPr>
                      </w:pPr>
                      <w:r w:rsidRPr="00570B72">
                        <w:rPr>
                          <w:szCs w:val="20"/>
                          <w:vertAlign w:val="superscript"/>
                        </w:rPr>
                        <w:t>2</w:t>
                      </w:r>
                      <w:r w:rsidRPr="00570B72">
                        <w:rPr>
                          <w:szCs w:val="20"/>
                        </w:rPr>
                        <w:t>generated from cortical parcellation (aparc.stats) of FreeSurfer v7.1.0 cross-sectional stream</w:t>
                      </w:r>
                    </w:p>
                    <w:p w14:paraId="0FCD1607" w14:textId="632FAB2A" w:rsidR="00F45C7C" w:rsidRPr="00570B72" w:rsidRDefault="00F45C7C" w:rsidP="009F6B7D">
                      <w:pPr>
                        <w:spacing w:after="0" w:line="240" w:lineRule="auto"/>
                        <w:rPr>
                          <w:szCs w:val="20"/>
                        </w:rPr>
                      </w:pPr>
                      <w:r w:rsidRPr="00570B72">
                        <w:rPr>
                          <w:szCs w:val="20"/>
                          <w:vertAlign w:val="superscript"/>
                        </w:rPr>
                        <w:t>3</w:t>
                      </w:r>
                      <w:r w:rsidRPr="00570B72">
                        <w:rPr>
                          <w:szCs w:val="20"/>
                        </w:rPr>
                        <w:t xml:space="preserve">calculated for each comparison as the mean ICC value of subcortical volume and cortical volume, thickness, and </w:t>
                      </w:r>
                      <w:r w:rsidR="009117D0">
                        <w:rPr>
                          <w:szCs w:val="20"/>
                        </w:rPr>
                        <w:t xml:space="preserve">surface </w:t>
                      </w:r>
                      <w:r w:rsidRPr="00570B72">
                        <w:rPr>
                          <w:szCs w:val="20"/>
                        </w:rPr>
                        <w:t xml:space="preserve">area measurements </w:t>
                      </w:r>
                    </w:p>
                    <w:p w14:paraId="7DFECF40" w14:textId="27A8BFA6" w:rsidR="00F45C7C" w:rsidRPr="00570B72" w:rsidRDefault="00F45C7C" w:rsidP="009F6B7D">
                      <w:pPr>
                        <w:spacing w:after="0" w:line="240" w:lineRule="auto"/>
                        <w:rPr>
                          <w:szCs w:val="20"/>
                        </w:rPr>
                      </w:pPr>
                      <w:r w:rsidRPr="00570B72">
                        <w:rPr>
                          <w:szCs w:val="20"/>
                          <w:vertAlign w:val="superscript"/>
                        </w:rPr>
                        <w:t>4</w:t>
                      </w:r>
                      <w:r w:rsidRPr="00570B72">
                        <w:rPr>
                          <w:szCs w:val="20"/>
                        </w:rPr>
                        <w:t>n=9 participants</w:t>
                      </w:r>
                    </w:p>
                  </w:txbxContent>
                </v:textbox>
                <w10:wrap type="tight"/>
              </v:shape>
            </w:pict>
          </mc:Fallback>
        </mc:AlternateContent>
      </w:r>
      <w:r w:rsidR="00C5603F" w:rsidRPr="003F3B99">
        <w:rPr>
          <w:rFonts w:ascii="Calibri" w:eastAsia="Times New Roman" w:hAnsi="Calibri" w:cs="Calibri"/>
          <w:i/>
          <w:iCs/>
          <w:noProof/>
          <w:color w:val="000000"/>
          <w:sz w:val="22"/>
          <w:lang w:eastAsia="en-GB"/>
        </w:rPr>
        <mc:AlternateContent>
          <mc:Choice Requires="wps">
            <w:drawing>
              <wp:anchor distT="45720" distB="45720" distL="114300" distR="114300" simplePos="0" relativeHeight="251663360" behindDoc="0" locked="0" layoutInCell="1" allowOverlap="1" wp14:anchorId="6711E89E" wp14:editId="46788829">
                <wp:simplePos x="0" y="0"/>
                <wp:positionH relativeFrom="column">
                  <wp:posOffset>-565260</wp:posOffset>
                </wp:positionH>
                <wp:positionV relativeFrom="paragraph">
                  <wp:posOffset>-580</wp:posOffset>
                </wp:positionV>
                <wp:extent cx="7030085" cy="428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085" cy="428625"/>
                        </a:xfrm>
                        <a:prstGeom prst="rect">
                          <a:avLst/>
                        </a:prstGeom>
                        <a:noFill/>
                        <a:ln w="9525">
                          <a:noFill/>
                          <a:miter lim="800000"/>
                          <a:headEnd/>
                          <a:tailEnd/>
                        </a:ln>
                      </wps:spPr>
                      <wps:txbx>
                        <w:txbxContent>
                          <w:p w14:paraId="4FF9CCD3" w14:textId="04283DC9" w:rsidR="00F45C7C" w:rsidRPr="00570B72" w:rsidRDefault="00F45C7C" w:rsidP="00D04E56">
                            <w:pPr>
                              <w:spacing w:after="0" w:line="240" w:lineRule="auto"/>
                              <w:rPr>
                                <w:i/>
                                <w:iCs/>
                                <w:sz w:val="22"/>
                              </w:rPr>
                            </w:pPr>
                            <w:r w:rsidRPr="00570B72">
                              <w:rPr>
                                <w:i/>
                                <w:iCs/>
                                <w:sz w:val="22"/>
                              </w:rPr>
                              <w:t xml:space="preserve">Table 2: Mean ICC values of subcortical and cortical volumes, cortical thickness, and cortical </w:t>
                            </w:r>
                            <w:r>
                              <w:rPr>
                                <w:i/>
                                <w:iCs/>
                                <w:sz w:val="22"/>
                              </w:rPr>
                              <w:t xml:space="preserve">surface </w:t>
                            </w:r>
                            <w:r w:rsidRPr="00570B72">
                              <w:rPr>
                                <w:i/>
                                <w:iCs/>
                                <w:sz w:val="22"/>
                              </w:rPr>
                              <w:t>area morphometric measurements f</w:t>
                            </w:r>
                            <w:r w:rsidR="00324DF1">
                              <w:rPr>
                                <w:i/>
                                <w:iCs/>
                                <w:sz w:val="22"/>
                              </w:rPr>
                              <w:t>rom</w:t>
                            </w:r>
                            <w:r w:rsidRPr="00570B72">
                              <w:rPr>
                                <w:i/>
                                <w:iCs/>
                                <w:sz w:val="22"/>
                              </w:rPr>
                              <w:t xml:space="preserve"> FreeSurfer v7.1.0 cross-sectional stream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1E89E" id="_x0000_s1034" type="#_x0000_t202" style="position:absolute;margin-left:-44.5pt;margin-top:-.05pt;width:553.55pt;height:3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" filled="f" stroked="f">
                <v:textbox>
                  <w:txbxContent>
                    <w:p w14:paraId="4FF9CCD3" w14:textId="04283DC9" w:rsidR="00F45C7C" w:rsidRPr="00570B72" w:rsidRDefault="00F45C7C" w:rsidP="00D04E56">
                      <w:pPr>
                        <w:spacing w:after="0" w:line="240" w:lineRule="auto"/>
                        <w:rPr>
                          <w:i/>
                          <w:iCs/>
                          <w:sz w:val="22"/>
                        </w:rPr>
                      </w:pPr>
                      <w:r w:rsidRPr="00570B72">
                        <w:rPr>
                          <w:i/>
                          <w:iCs/>
                          <w:sz w:val="22"/>
                        </w:rPr>
                        <w:t xml:space="preserve">Table 2: Mean ICC values of subcortical and cortical volumes, cortical thickness, and cortical </w:t>
                      </w:r>
                      <w:r>
                        <w:rPr>
                          <w:i/>
                          <w:iCs/>
                          <w:sz w:val="22"/>
                        </w:rPr>
                        <w:t xml:space="preserve">surface </w:t>
                      </w:r>
                      <w:r w:rsidRPr="00570B72">
                        <w:rPr>
                          <w:i/>
                          <w:iCs/>
                          <w:sz w:val="22"/>
                        </w:rPr>
                        <w:t>area morphometric measurements f</w:t>
                      </w:r>
                      <w:r w:rsidR="00324DF1">
                        <w:rPr>
                          <w:i/>
                          <w:iCs/>
                          <w:sz w:val="22"/>
                        </w:rPr>
                        <w:t>rom</w:t>
                      </w:r>
                      <w:r w:rsidRPr="00570B72">
                        <w:rPr>
                          <w:i/>
                          <w:iCs/>
                          <w:sz w:val="22"/>
                        </w:rPr>
                        <w:t xml:space="preserve"> FreeSurfer v7.1.0 cross-sectional stream</w:t>
                      </w:r>
                    </w:p>
                  </w:txbxContent>
                </v:textbox>
                <w10:wrap type="square"/>
              </v:shape>
            </w:pict>
          </mc:Fallback>
        </mc:AlternateContent>
      </w:r>
    </w:p>
    <w:p w14:paraId="1D63C50D" w14:textId="74AA40E7" w:rsidR="00FB389E" w:rsidRPr="00231333" w:rsidRDefault="00A75882" w:rsidP="00231333">
      <w:pPr>
        <w:spacing w:after="240" w:line="360" w:lineRule="auto"/>
        <w:jc w:val="both"/>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From Table 3, we can begin to </w:t>
      </w:r>
      <w:r w:rsidR="00CB5B9A">
        <w:rPr>
          <w:rFonts w:ascii="Calibri" w:eastAsia="Times New Roman" w:hAnsi="Calibri" w:cs="Calibri"/>
          <w:color w:val="000000"/>
          <w:sz w:val="22"/>
          <w:lang w:eastAsia="en-GB"/>
        </w:rPr>
        <w:t xml:space="preserve">compare the reliability of </w:t>
      </w:r>
      <w:r w:rsidR="00B83F43">
        <w:rPr>
          <w:rFonts w:ascii="Calibri" w:eastAsia="Times New Roman" w:hAnsi="Calibri" w:cs="Calibri"/>
          <w:color w:val="000000"/>
          <w:sz w:val="22"/>
          <w:lang w:eastAsia="en-GB"/>
        </w:rPr>
        <w:t xml:space="preserve">the different FreeSurfer processing streams using data from </w:t>
      </w:r>
      <w:r w:rsidR="003A6912">
        <w:rPr>
          <w:rFonts w:ascii="Calibri" w:eastAsia="Times New Roman" w:hAnsi="Calibri" w:cs="Calibri"/>
          <w:color w:val="000000"/>
          <w:sz w:val="22"/>
          <w:lang w:eastAsia="en-GB"/>
        </w:rPr>
        <w:t xml:space="preserve">the </w:t>
      </w:r>
      <w:r w:rsidR="00BA78D1">
        <w:rPr>
          <w:rFonts w:ascii="Calibri" w:eastAsia="Times New Roman" w:hAnsi="Calibri" w:cs="Calibri"/>
          <w:color w:val="000000"/>
          <w:sz w:val="22"/>
          <w:lang w:eastAsia="en-GB"/>
        </w:rPr>
        <w:t>‘</w:t>
      </w:r>
      <w:r w:rsidR="003A6912">
        <w:rPr>
          <w:rFonts w:ascii="Calibri" w:eastAsia="Times New Roman" w:hAnsi="Calibri" w:cs="Calibri"/>
          <w:color w:val="000000"/>
          <w:sz w:val="22"/>
          <w:lang w:eastAsia="en-GB"/>
        </w:rPr>
        <w:t>t</w:t>
      </w:r>
      <w:r w:rsidR="00BA78D1">
        <w:rPr>
          <w:rFonts w:ascii="Calibri" w:eastAsia="Times New Roman" w:hAnsi="Calibri" w:cs="Calibri"/>
          <w:color w:val="000000"/>
          <w:sz w:val="22"/>
          <w:lang w:eastAsia="en-GB"/>
        </w:rPr>
        <w:t xml:space="preserve">hree </w:t>
      </w:r>
      <w:r w:rsidR="003A6912">
        <w:rPr>
          <w:rFonts w:ascii="Calibri" w:eastAsia="Times New Roman" w:hAnsi="Calibri" w:cs="Calibri"/>
          <w:color w:val="000000"/>
          <w:sz w:val="22"/>
          <w:lang w:eastAsia="en-GB"/>
        </w:rPr>
        <w:t>week</w:t>
      </w:r>
      <w:r w:rsidR="00BA78D1">
        <w:rPr>
          <w:rFonts w:ascii="Calibri" w:eastAsia="Times New Roman" w:hAnsi="Calibri" w:cs="Calibri"/>
          <w:color w:val="000000"/>
          <w:sz w:val="22"/>
          <w:lang w:eastAsia="en-GB"/>
        </w:rPr>
        <w:t>s’</w:t>
      </w:r>
      <w:r w:rsidR="003A6912">
        <w:rPr>
          <w:rFonts w:ascii="Calibri" w:eastAsia="Times New Roman" w:hAnsi="Calibri" w:cs="Calibri"/>
          <w:color w:val="000000"/>
          <w:sz w:val="22"/>
          <w:lang w:eastAsia="en-GB"/>
        </w:rPr>
        <w:t xml:space="preserve"> comparison. </w:t>
      </w:r>
      <w:r w:rsidR="00B46FE3">
        <w:rPr>
          <w:rFonts w:ascii="Calibri" w:eastAsia="Times New Roman" w:hAnsi="Calibri" w:cs="Calibri"/>
          <w:color w:val="000000"/>
          <w:sz w:val="22"/>
          <w:lang w:eastAsia="en-GB"/>
        </w:rPr>
        <w:t>FreeSurfer</w:t>
      </w:r>
      <w:r w:rsidR="00F76258">
        <w:rPr>
          <w:rFonts w:ascii="Calibri" w:eastAsia="Times New Roman" w:hAnsi="Calibri" w:cs="Calibri"/>
          <w:color w:val="000000"/>
          <w:sz w:val="22"/>
          <w:lang w:eastAsia="en-GB"/>
        </w:rPr>
        <w:t xml:space="preserve"> v7.1.0, v6.0.0 and v5.3.0</w:t>
      </w:r>
      <w:r w:rsidR="00B46FE3">
        <w:rPr>
          <w:rFonts w:ascii="Calibri" w:eastAsia="Times New Roman" w:hAnsi="Calibri" w:cs="Calibri"/>
          <w:color w:val="000000"/>
          <w:sz w:val="22"/>
          <w:lang w:eastAsia="en-GB"/>
        </w:rPr>
        <w:t xml:space="preserve"> longitudinal stream</w:t>
      </w:r>
      <w:r w:rsidR="004A2A9E">
        <w:rPr>
          <w:rFonts w:ascii="Calibri" w:eastAsia="Times New Roman" w:hAnsi="Calibri" w:cs="Calibri"/>
          <w:color w:val="000000"/>
          <w:sz w:val="22"/>
          <w:lang w:eastAsia="en-GB"/>
        </w:rPr>
        <w:t xml:space="preserve">s </w:t>
      </w:r>
      <w:r w:rsidR="00715845">
        <w:rPr>
          <w:rFonts w:ascii="Calibri" w:eastAsia="Times New Roman" w:hAnsi="Calibri" w:cs="Calibri"/>
          <w:color w:val="000000"/>
          <w:sz w:val="22"/>
          <w:lang w:eastAsia="en-GB"/>
        </w:rPr>
        <w:t>displayed</w:t>
      </w:r>
      <w:r w:rsidR="00FC0456">
        <w:rPr>
          <w:rFonts w:ascii="Calibri" w:eastAsia="Times New Roman" w:hAnsi="Calibri" w:cs="Calibri"/>
          <w:color w:val="000000"/>
          <w:sz w:val="22"/>
          <w:lang w:eastAsia="en-GB"/>
        </w:rPr>
        <w:t xml:space="preserve"> high </w:t>
      </w:r>
      <w:r w:rsidR="00715845">
        <w:rPr>
          <w:rFonts w:ascii="Calibri" w:eastAsia="Times New Roman" w:hAnsi="Calibri" w:cs="Calibri"/>
          <w:color w:val="000000"/>
          <w:sz w:val="22"/>
          <w:lang w:eastAsia="en-GB"/>
        </w:rPr>
        <w:t xml:space="preserve">reliability </w:t>
      </w:r>
      <w:r w:rsidR="00D52AEC">
        <w:rPr>
          <w:rFonts w:ascii="Calibri" w:eastAsia="Times New Roman" w:hAnsi="Calibri" w:cs="Calibri"/>
          <w:color w:val="000000"/>
          <w:sz w:val="22"/>
          <w:lang w:eastAsia="en-GB"/>
        </w:rPr>
        <w:t>across</w:t>
      </w:r>
      <w:r w:rsidR="00715845">
        <w:rPr>
          <w:rFonts w:ascii="Calibri" w:eastAsia="Times New Roman" w:hAnsi="Calibri" w:cs="Calibri"/>
          <w:color w:val="000000"/>
          <w:sz w:val="22"/>
          <w:lang w:eastAsia="en-GB"/>
        </w:rPr>
        <w:t xml:space="preserve"> </w:t>
      </w:r>
      <w:r w:rsidR="00D52AEC">
        <w:rPr>
          <w:rFonts w:ascii="Calibri" w:eastAsia="Times New Roman" w:hAnsi="Calibri" w:cs="Calibri"/>
          <w:color w:val="000000"/>
          <w:sz w:val="22"/>
          <w:lang w:eastAsia="en-GB"/>
        </w:rPr>
        <w:t>morphometry measurements</w:t>
      </w:r>
      <w:r w:rsidR="00C35C29">
        <w:rPr>
          <w:rFonts w:ascii="Calibri" w:eastAsia="Times New Roman" w:hAnsi="Calibri" w:cs="Calibri"/>
          <w:color w:val="000000"/>
          <w:sz w:val="22"/>
          <w:lang w:eastAsia="en-GB"/>
        </w:rPr>
        <w:t xml:space="preserve"> (</w:t>
      </w:r>
      <w:r w:rsidR="00C56429">
        <w:rPr>
          <w:rFonts w:ascii="Calibri" w:eastAsia="Times New Roman" w:hAnsi="Calibri" w:cs="Calibri"/>
          <w:color w:val="000000"/>
          <w:sz w:val="22"/>
          <w:lang w:eastAsia="en-GB"/>
        </w:rPr>
        <w:t xml:space="preserve">overall </w:t>
      </w:r>
      <w:r w:rsidR="00CC7EB7">
        <w:rPr>
          <w:rFonts w:ascii="Calibri" w:eastAsia="Times New Roman" w:hAnsi="Calibri" w:cs="Calibri"/>
          <w:color w:val="000000"/>
          <w:sz w:val="22"/>
          <w:lang w:eastAsia="en-GB"/>
        </w:rPr>
        <w:t xml:space="preserve">FreeSurfer </w:t>
      </w:r>
      <w:r w:rsidR="00C35C29">
        <w:rPr>
          <w:rFonts w:ascii="Calibri" w:eastAsia="Times New Roman" w:hAnsi="Calibri" w:cs="Calibri"/>
          <w:color w:val="000000"/>
          <w:sz w:val="22"/>
          <w:lang w:eastAsia="en-GB"/>
        </w:rPr>
        <w:t>mean ICCs of 0.9</w:t>
      </w:r>
      <w:r w:rsidR="006856C7">
        <w:rPr>
          <w:rFonts w:ascii="Calibri" w:eastAsia="Times New Roman" w:hAnsi="Calibri" w:cs="Calibri"/>
          <w:color w:val="000000"/>
          <w:sz w:val="22"/>
          <w:lang w:eastAsia="en-GB"/>
        </w:rPr>
        <w:t xml:space="preserve">30 – 0.951) and </w:t>
      </w:r>
      <w:r w:rsidR="000215D5">
        <w:rPr>
          <w:rFonts w:ascii="Calibri" w:eastAsia="Times New Roman" w:hAnsi="Calibri" w:cs="Calibri"/>
          <w:color w:val="000000"/>
          <w:sz w:val="22"/>
          <w:lang w:eastAsia="en-GB"/>
        </w:rPr>
        <w:t>demonstrated</w:t>
      </w:r>
      <w:r w:rsidR="00C56429">
        <w:rPr>
          <w:rFonts w:ascii="Calibri" w:eastAsia="Times New Roman" w:hAnsi="Calibri" w:cs="Calibri"/>
          <w:color w:val="000000"/>
          <w:sz w:val="22"/>
          <w:lang w:eastAsia="en-GB"/>
        </w:rPr>
        <w:t xml:space="preserve"> greater reliability </w:t>
      </w:r>
      <w:r w:rsidR="000215D5">
        <w:rPr>
          <w:rFonts w:ascii="Calibri" w:eastAsia="Times New Roman" w:hAnsi="Calibri" w:cs="Calibri"/>
          <w:color w:val="000000"/>
          <w:sz w:val="22"/>
          <w:lang w:eastAsia="en-GB"/>
        </w:rPr>
        <w:t>than</w:t>
      </w:r>
      <w:r w:rsidR="0076251E">
        <w:rPr>
          <w:rFonts w:ascii="Calibri" w:eastAsia="Times New Roman" w:hAnsi="Calibri" w:cs="Calibri"/>
          <w:color w:val="000000"/>
          <w:sz w:val="22"/>
          <w:lang w:eastAsia="en-GB"/>
        </w:rPr>
        <w:t xml:space="preserve"> </w:t>
      </w:r>
      <w:r w:rsidR="0041522E">
        <w:rPr>
          <w:rFonts w:ascii="Calibri" w:eastAsia="Times New Roman" w:hAnsi="Calibri" w:cs="Calibri"/>
          <w:color w:val="000000"/>
          <w:sz w:val="22"/>
          <w:lang w:eastAsia="en-GB"/>
        </w:rPr>
        <w:t xml:space="preserve">the cross-sectional streams (overall </w:t>
      </w:r>
      <w:r w:rsidR="00CC7EB7">
        <w:rPr>
          <w:rFonts w:ascii="Calibri" w:eastAsia="Times New Roman" w:hAnsi="Calibri" w:cs="Calibri"/>
          <w:color w:val="000000"/>
          <w:sz w:val="22"/>
          <w:lang w:eastAsia="en-GB"/>
        </w:rPr>
        <w:t xml:space="preserve">FreeSurfer </w:t>
      </w:r>
      <w:r w:rsidR="0041522E">
        <w:rPr>
          <w:rFonts w:ascii="Calibri" w:eastAsia="Times New Roman" w:hAnsi="Calibri" w:cs="Calibri"/>
          <w:color w:val="000000"/>
          <w:sz w:val="22"/>
          <w:lang w:eastAsia="en-GB"/>
        </w:rPr>
        <w:t xml:space="preserve">mean ICCs of 0.829 – 0.887). </w:t>
      </w:r>
    </w:p>
    <w:tbl>
      <w:tblPr>
        <w:tblW w:w="8357" w:type="dxa"/>
        <w:tblLook w:val="04A0" w:firstRow="1" w:lastRow="0" w:firstColumn="1" w:lastColumn="0" w:noHBand="0" w:noVBand="1"/>
      </w:tblPr>
      <w:tblGrid>
        <w:gridCol w:w="2244"/>
        <w:gridCol w:w="473"/>
        <w:gridCol w:w="940"/>
        <w:gridCol w:w="940"/>
        <w:gridCol w:w="940"/>
        <w:gridCol w:w="940"/>
        <w:gridCol w:w="940"/>
        <w:gridCol w:w="940"/>
      </w:tblGrid>
      <w:tr w:rsidR="00DB5B29" w:rsidRPr="00DB5B29" w14:paraId="03DC051D" w14:textId="77777777" w:rsidTr="005B136B">
        <w:trPr>
          <w:trHeight w:val="580"/>
        </w:trPr>
        <w:tc>
          <w:tcPr>
            <w:tcW w:w="2244" w:type="dxa"/>
            <w:tcBorders>
              <w:top w:val="single" w:sz="4" w:space="0" w:color="auto"/>
              <w:left w:val="nil"/>
              <w:bottom w:val="nil"/>
              <w:right w:val="nil"/>
            </w:tcBorders>
            <w:shd w:val="clear" w:color="auto" w:fill="auto"/>
            <w:noWrap/>
            <w:vAlign w:val="bottom"/>
            <w:hideMark/>
          </w:tcPr>
          <w:p w14:paraId="2807A048" w14:textId="7D972D49" w:rsidR="00DB5B29" w:rsidRPr="00DB5B29" w:rsidRDefault="00DB5B29" w:rsidP="00DB5B29">
            <w:pPr>
              <w:spacing w:after="0" w:line="240" w:lineRule="auto"/>
              <w:rPr>
                <w:rFonts w:ascii="Calibri" w:eastAsia="Times New Roman" w:hAnsi="Calibri" w:cs="Calibri"/>
                <w:i/>
                <w:iCs/>
                <w:color w:val="000000"/>
                <w:sz w:val="22"/>
                <w:lang w:eastAsia="en-GB"/>
              </w:rPr>
            </w:pPr>
            <w:r w:rsidRPr="00DB5B29">
              <w:rPr>
                <w:rFonts w:ascii="Calibri" w:eastAsia="Times New Roman" w:hAnsi="Calibri" w:cs="Calibri"/>
                <w:i/>
                <w:iCs/>
                <w:color w:val="000000"/>
                <w:sz w:val="22"/>
                <w:lang w:eastAsia="en-GB"/>
              </w:rPr>
              <w:t> </w:t>
            </w:r>
          </w:p>
        </w:tc>
        <w:tc>
          <w:tcPr>
            <w:tcW w:w="473" w:type="dxa"/>
            <w:tcBorders>
              <w:top w:val="single" w:sz="4" w:space="0" w:color="auto"/>
              <w:left w:val="nil"/>
              <w:bottom w:val="nil"/>
              <w:right w:val="nil"/>
            </w:tcBorders>
            <w:shd w:val="clear" w:color="auto" w:fill="auto"/>
            <w:noWrap/>
            <w:vAlign w:val="bottom"/>
            <w:hideMark/>
          </w:tcPr>
          <w:p w14:paraId="479CB742" w14:textId="77777777" w:rsidR="00DB5B29" w:rsidRPr="00DB5B29" w:rsidRDefault="00DB5B29" w:rsidP="00DB5B29">
            <w:pPr>
              <w:spacing w:after="0" w:line="240" w:lineRule="auto"/>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 </w:t>
            </w:r>
          </w:p>
        </w:tc>
        <w:tc>
          <w:tcPr>
            <w:tcW w:w="2820" w:type="dxa"/>
            <w:gridSpan w:val="3"/>
            <w:tcBorders>
              <w:top w:val="single" w:sz="4" w:space="0" w:color="auto"/>
              <w:left w:val="nil"/>
              <w:bottom w:val="nil"/>
              <w:right w:val="nil"/>
            </w:tcBorders>
            <w:shd w:val="clear" w:color="auto" w:fill="auto"/>
            <w:vAlign w:val="bottom"/>
            <w:hideMark/>
          </w:tcPr>
          <w:p w14:paraId="622F354B" w14:textId="383FDE5F"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FreeSurfer</w:t>
            </w:r>
            <w:r w:rsidRPr="00DB5B29">
              <w:rPr>
                <w:rFonts w:ascii="Calibri" w:eastAsia="Times New Roman" w:hAnsi="Calibri" w:cs="Calibri"/>
                <w:color w:val="000000"/>
                <w:sz w:val="22"/>
                <w:lang w:eastAsia="en-GB"/>
              </w:rPr>
              <w:br/>
              <w:t>longitudinal stream</w:t>
            </w:r>
          </w:p>
        </w:tc>
        <w:tc>
          <w:tcPr>
            <w:tcW w:w="2820" w:type="dxa"/>
            <w:gridSpan w:val="3"/>
            <w:tcBorders>
              <w:top w:val="single" w:sz="4" w:space="0" w:color="auto"/>
              <w:left w:val="nil"/>
              <w:bottom w:val="nil"/>
              <w:right w:val="nil"/>
            </w:tcBorders>
            <w:shd w:val="clear" w:color="auto" w:fill="auto"/>
            <w:vAlign w:val="bottom"/>
            <w:hideMark/>
          </w:tcPr>
          <w:p w14:paraId="481C61AD"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FreeSurfer</w:t>
            </w:r>
            <w:r w:rsidRPr="00DB5B29">
              <w:rPr>
                <w:rFonts w:ascii="Calibri" w:eastAsia="Times New Roman" w:hAnsi="Calibri" w:cs="Calibri"/>
                <w:color w:val="000000"/>
                <w:sz w:val="22"/>
                <w:lang w:eastAsia="en-GB"/>
              </w:rPr>
              <w:br/>
              <w:t>cross-sectional stream</w:t>
            </w:r>
          </w:p>
        </w:tc>
      </w:tr>
      <w:tr w:rsidR="00DB5B29" w:rsidRPr="00DB5B29" w14:paraId="789CCEA5" w14:textId="77777777" w:rsidTr="005B136B">
        <w:trPr>
          <w:trHeight w:val="290"/>
        </w:trPr>
        <w:tc>
          <w:tcPr>
            <w:tcW w:w="2244" w:type="dxa"/>
            <w:tcBorders>
              <w:top w:val="nil"/>
              <w:left w:val="nil"/>
              <w:bottom w:val="single" w:sz="4" w:space="0" w:color="auto"/>
              <w:right w:val="nil"/>
            </w:tcBorders>
            <w:shd w:val="clear" w:color="auto" w:fill="auto"/>
            <w:noWrap/>
            <w:vAlign w:val="bottom"/>
            <w:hideMark/>
          </w:tcPr>
          <w:p w14:paraId="2ABCE627" w14:textId="77777777" w:rsidR="00DB5B29" w:rsidRPr="00DB5B29" w:rsidRDefault="00DB5B29" w:rsidP="00DB5B29">
            <w:pPr>
              <w:spacing w:after="0" w:line="240" w:lineRule="auto"/>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 </w:t>
            </w:r>
          </w:p>
        </w:tc>
        <w:tc>
          <w:tcPr>
            <w:tcW w:w="473" w:type="dxa"/>
            <w:tcBorders>
              <w:top w:val="nil"/>
              <w:left w:val="nil"/>
              <w:bottom w:val="single" w:sz="4" w:space="0" w:color="auto"/>
              <w:right w:val="nil"/>
            </w:tcBorders>
            <w:shd w:val="clear" w:color="auto" w:fill="auto"/>
            <w:noWrap/>
            <w:vAlign w:val="bottom"/>
            <w:hideMark/>
          </w:tcPr>
          <w:p w14:paraId="2BD63DFC" w14:textId="77777777" w:rsidR="00DB5B29" w:rsidRPr="00DB5B29" w:rsidRDefault="00DB5B29" w:rsidP="00DB5B29">
            <w:pPr>
              <w:spacing w:after="0" w:line="240" w:lineRule="auto"/>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 </w:t>
            </w:r>
          </w:p>
        </w:tc>
        <w:tc>
          <w:tcPr>
            <w:tcW w:w="940" w:type="dxa"/>
            <w:tcBorders>
              <w:top w:val="nil"/>
              <w:left w:val="nil"/>
              <w:bottom w:val="single" w:sz="4" w:space="0" w:color="auto"/>
              <w:right w:val="nil"/>
            </w:tcBorders>
            <w:shd w:val="clear" w:color="auto" w:fill="auto"/>
            <w:vAlign w:val="bottom"/>
            <w:hideMark/>
          </w:tcPr>
          <w:p w14:paraId="5514C1E4" w14:textId="4F8990DE"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7.1.0</w:t>
            </w:r>
          </w:p>
        </w:tc>
        <w:tc>
          <w:tcPr>
            <w:tcW w:w="940" w:type="dxa"/>
            <w:tcBorders>
              <w:top w:val="nil"/>
              <w:left w:val="nil"/>
              <w:bottom w:val="single" w:sz="4" w:space="0" w:color="auto"/>
              <w:right w:val="nil"/>
            </w:tcBorders>
            <w:shd w:val="clear" w:color="auto" w:fill="auto"/>
            <w:vAlign w:val="bottom"/>
            <w:hideMark/>
          </w:tcPr>
          <w:p w14:paraId="185F1D66"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6.0.0</w:t>
            </w:r>
          </w:p>
        </w:tc>
        <w:tc>
          <w:tcPr>
            <w:tcW w:w="940" w:type="dxa"/>
            <w:tcBorders>
              <w:top w:val="nil"/>
              <w:left w:val="nil"/>
              <w:bottom w:val="single" w:sz="4" w:space="0" w:color="auto"/>
              <w:right w:val="nil"/>
            </w:tcBorders>
            <w:shd w:val="clear" w:color="auto" w:fill="auto"/>
            <w:vAlign w:val="bottom"/>
            <w:hideMark/>
          </w:tcPr>
          <w:p w14:paraId="13F7962B"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5.3.0</w:t>
            </w:r>
          </w:p>
        </w:tc>
        <w:tc>
          <w:tcPr>
            <w:tcW w:w="940" w:type="dxa"/>
            <w:tcBorders>
              <w:top w:val="nil"/>
              <w:left w:val="nil"/>
              <w:bottom w:val="single" w:sz="4" w:space="0" w:color="auto"/>
              <w:right w:val="nil"/>
            </w:tcBorders>
            <w:shd w:val="clear" w:color="auto" w:fill="auto"/>
            <w:vAlign w:val="bottom"/>
            <w:hideMark/>
          </w:tcPr>
          <w:p w14:paraId="1C48A75F"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7.1.0</w:t>
            </w:r>
          </w:p>
        </w:tc>
        <w:tc>
          <w:tcPr>
            <w:tcW w:w="940" w:type="dxa"/>
            <w:tcBorders>
              <w:top w:val="nil"/>
              <w:left w:val="nil"/>
              <w:bottom w:val="single" w:sz="4" w:space="0" w:color="auto"/>
              <w:right w:val="nil"/>
            </w:tcBorders>
            <w:shd w:val="clear" w:color="auto" w:fill="auto"/>
            <w:vAlign w:val="bottom"/>
            <w:hideMark/>
          </w:tcPr>
          <w:p w14:paraId="2A49A062"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6.0.0</w:t>
            </w:r>
          </w:p>
        </w:tc>
        <w:tc>
          <w:tcPr>
            <w:tcW w:w="940" w:type="dxa"/>
            <w:tcBorders>
              <w:top w:val="nil"/>
              <w:left w:val="nil"/>
              <w:bottom w:val="single" w:sz="4" w:space="0" w:color="auto"/>
              <w:right w:val="nil"/>
            </w:tcBorders>
            <w:shd w:val="clear" w:color="auto" w:fill="auto"/>
            <w:vAlign w:val="bottom"/>
            <w:hideMark/>
          </w:tcPr>
          <w:p w14:paraId="659AA445"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5.3.0</w:t>
            </w:r>
          </w:p>
        </w:tc>
      </w:tr>
      <w:tr w:rsidR="00DB5B29" w:rsidRPr="00DB5B29" w14:paraId="390C087C" w14:textId="77777777" w:rsidTr="005B136B">
        <w:trPr>
          <w:trHeight w:val="300"/>
        </w:trPr>
        <w:tc>
          <w:tcPr>
            <w:tcW w:w="2717" w:type="dxa"/>
            <w:gridSpan w:val="2"/>
            <w:tcBorders>
              <w:top w:val="single" w:sz="4" w:space="0" w:color="auto"/>
              <w:left w:val="nil"/>
              <w:bottom w:val="nil"/>
              <w:right w:val="nil"/>
            </w:tcBorders>
            <w:shd w:val="clear" w:color="auto" w:fill="auto"/>
            <w:hideMark/>
          </w:tcPr>
          <w:p w14:paraId="32B07924" w14:textId="2C34B0F8" w:rsidR="00DB5B29" w:rsidRPr="00DB5B29" w:rsidRDefault="00DB5B29" w:rsidP="00DB5B29">
            <w:pPr>
              <w:spacing w:after="0" w:line="240" w:lineRule="auto"/>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Subcortical volume</w:t>
            </w:r>
            <w:r w:rsidRPr="00DB5B29">
              <w:rPr>
                <w:rFonts w:ascii="Calibri" w:eastAsia="Times New Roman" w:hAnsi="Calibri" w:cs="Calibri"/>
                <w:color w:val="000000"/>
                <w:sz w:val="22"/>
                <w:vertAlign w:val="superscript"/>
                <w:lang w:eastAsia="en-GB"/>
              </w:rPr>
              <w:t>1</w:t>
            </w:r>
          </w:p>
        </w:tc>
        <w:tc>
          <w:tcPr>
            <w:tcW w:w="940" w:type="dxa"/>
            <w:tcBorders>
              <w:top w:val="nil"/>
              <w:left w:val="nil"/>
              <w:bottom w:val="nil"/>
              <w:right w:val="nil"/>
            </w:tcBorders>
            <w:shd w:val="clear" w:color="000000" w:fill="7CC67D"/>
            <w:noWrap/>
            <w:vAlign w:val="bottom"/>
            <w:hideMark/>
          </w:tcPr>
          <w:p w14:paraId="372434D1" w14:textId="456DFB02"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0.976</w:t>
            </w:r>
          </w:p>
        </w:tc>
        <w:tc>
          <w:tcPr>
            <w:tcW w:w="940" w:type="dxa"/>
            <w:tcBorders>
              <w:top w:val="nil"/>
              <w:left w:val="nil"/>
              <w:bottom w:val="nil"/>
              <w:right w:val="nil"/>
            </w:tcBorders>
            <w:shd w:val="clear" w:color="000000" w:fill="7CC67D"/>
            <w:noWrap/>
            <w:vAlign w:val="bottom"/>
            <w:hideMark/>
          </w:tcPr>
          <w:p w14:paraId="030B0E7F"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0.976</w:t>
            </w:r>
          </w:p>
        </w:tc>
        <w:tc>
          <w:tcPr>
            <w:tcW w:w="940" w:type="dxa"/>
            <w:tcBorders>
              <w:top w:val="nil"/>
              <w:left w:val="nil"/>
              <w:bottom w:val="nil"/>
              <w:right w:val="nil"/>
            </w:tcBorders>
            <w:shd w:val="clear" w:color="000000" w:fill="80C77D"/>
            <w:noWrap/>
            <w:vAlign w:val="bottom"/>
            <w:hideMark/>
          </w:tcPr>
          <w:p w14:paraId="5A37C612"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0.973</w:t>
            </w:r>
          </w:p>
        </w:tc>
        <w:tc>
          <w:tcPr>
            <w:tcW w:w="940" w:type="dxa"/>
            <w:tcBorders>
              <w:top w:val="nil"/>
              <w:left w:val="nil"/>
              <w:bottom w:val="nil"/>
              <w:right w:val="nil"/>
            </w:tcBorders>
            <w:shd w:val="clear" w:color="000000" w:fill="A0D07F"/>
            <w:noWrap/>
            <w:vAlign w:val="bottom"/>
            <w:hideMark/>
          </w:tcPr>
          <w:p w14:paraId="28B699A1"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0.942</w:t>
            </w:r>
          </w:p>
        </w:tc>
        <w:tc>
          <w:tcPr>
            <w:tcW w:w="940" w:type="dxa"/>
            <w:tcBorders>
              <w:top w:val="nil"/>
              <w:left w:val="nil"/>
              <w:bottom w:val="nil"/>
              <w:right w:val="nil"/>
            </w:tcBorders>
            <w:shd w:val="clear" w:color="000000" w:fill="9ACE7F"/>
            <w:noWrap/>
            <w:vAlign w:val="bottom"/>
            <w:hideMark/>
          </w:tcPr>
          <w:p w14:paraId="00306DFD"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0.947</w:t>
            </w:r>
          </w:p>
        </w:tc>
        <w:tc>
          <w:tcPr>
            <w:tcW w:w="940" w:type="dxa"/>
            <w:tcBorders>
              <w:top w:val="nil"/>
              <w:left w:val="nil"/>
              <w:bottom w:val="nil"/>
              <w:right w:val="nil"/>
            </w:tcBorders>
            <w:shd w:val="clear" w:color="000000" w:fill="C7DB81"/>
            <w:noWrap/>
            <w:vAlign w:val="bottom"/>
            <w:hideMark/>
          </w:tcPr>
          <w:p w14:paraId="5CF834BC"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0.905</w:t>
            </w:r>
          </w:p>
        </w:tc>
      </w:tr>
      <w:tr w:rsidR="00DB5B29" w:rsidRPr="00DB5B29" w14:paraId="6DABF937" w14:textId="77777777" w:rsidTr="005B136B">
        <w:trPr>
          <w:trHeight w:val="300"/>
        </w:trPr>
        <w:tc>
          <w:tcPr>
            <w:tcW w:w="2244" w:type="dxa"/>
            <w:vMerge w:val="restart"/>
            <w:tcBorders>
              <w:top w:val="nil"/>
              <w:left w:val="nil"/>
              <w:bottom w:val="nil"/>
              <w:right w:val="nil"/>
            </w:tcBorders>
            <w:shd w:val="clear" w:color="auto" w:fill="auto"/>
            <w:hideMark/>
          </w:tcPr>
          <w:p w14:paraId="1DAE4C66" w14:textId="2281D76C" w:rsidR="00DB5B29" w:rsidRPr="00DB5B29" w:rsidRDefault="00DB5B29" w:rsidP="00DB5B29">
            <w:pPr>
              <w:spacing w:after="0" w:line="240" w:lineRule="auto"/>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Cortical volume</w:t>
            </w:r>
            <w:r w:rsidRPr="00DB5B29">
              <w:rPr>
                <w:rFonts w:ascii="Calibri" w:eastAsia="Times New Roman" w:hAnsi="Calibri" w:cs="Calibri"/>
                <w:color w:val="000000"/>
                <w:sz w:val="22"/>
                <w:vertAlign w:val="superscript"/>
                <w:lang w:eastAsia="en-GB"/>
              </w:rPr>
              <w:t>2</w:t>
            </w:r>
          </w:p>
        </w:tc>
        <w:tc>
          <w:tcPr>
            <w:tcW w:w="473" w:type="dxa"/>
            <w:tcBorders>
              <w:top w:val="nil"/>
              <w:left w:val="nil"/>
              <w:bottom w:val="nil"/>
              <w:right w:val="nil"/>
            </w:tcBorders>
            <w:shd w:val="clear" w:color="auto" w:fill="auto"/>
            <w:noWrap/>
            <w:hideMark/>
          </w:tcPr>
          <w:p w14:paraId="42B5A63E" w14:textId="77777777" w:rsidR="00DB5B29" w:rsidRPr="00DB5B29" w:rsidRDefault="00DB5B29" w:rsidP="00DB5B29">
            <w:pPr>
              <w:spacing w:after="0" w:line="240" w:lineRule="auto"/>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LH</w:t>
            </w:r>
          </w:p>
        </w:tc>
        <w:tc>
          <w:tcPr>
            <w:tcW w:w="940" w:type="dxa"/>
            <w:tcBorders>
              <w:top w:val="nil"/>
              <w:left w:val="nil"/>
              <w:bottom w:val="nil"/>
              <w:right w:val="nil"/>
            </w:tcBorders>
            <w:shd w:val="clear" w:color="000000" w:fill="79C57D"/>
            <w:noWrap/>
            <w:vAlign w:val="bottom"/>
            <w:hideMark/>
          </w:tcPr>
          <w:p w14:paraId="4DB77369" w14:textId="0829533E"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0.979</w:t>
            </w:r>
          </w:p>
        </w:tc>
        <w:tc>
          <w:tcPr>
            <w:tcW w:w="940" w:type="dxa"/>
            <w:tcBorders>
              <w:top w:val="nil"/>
              <w:left w:val="nil"/>
              <w:bottom w:val="nil"/>
              <w:right w:val="nil"/>
            </w:tcBorders>
            <w:shd w:val="clear" w:color="000000" w:fill="7BC57D"/>
            <w:noWrap/>
            <w:vAlign w:val="bottom"/>
            <w:hideMark/>
          </w:tcPr>
          <w:p w14:paraId="11D369A6"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0.978</w:t>
            </w:r>
          </w:p>
        </w:tc>
        <w:tc>
          <w:tcPr>
            <w:tcW w:w="940" w:type="dxa"/>
            <w:tcBorders>
              <w:top w:val="nil"/>
              <w:left w:val="nil"/>
              <w:bottom w:val="nil"/>
              <w:right w:val="nil"/>
            </w:tcBorders>
            <w:shd w:val="clear" w:color="000000" w:fill="8DCA7E"/>
            <w:noWrap/>
            <w:vAlign w:val="bottom"/>
            <w:hideMark/>
          </w:tcPr>
          <w:p w14:paraId="7688CB5C"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0.960</w:t>
            </w:r>
          </w:p>
        </w:tc>
        <w:tc>
          <w:tcPr>
            <w:tcW w:w="940" w:type="dxa"/>
            <w:tcBorders>
              <w:top w:val="nil"/>
              <w:left w:val="nil"/>
              <w:bottom w:val="nil"/>
              <w:right w:val="nil"/>
            </w:tcBorders>
            <w:shd w:val="clear" w:color="000000" w:fill="B4D680"/>
            <w:noWrap/>
            <w:vAlign w:val="bottom"/>
            <w:hideMark/>
          </w:tcPr>
          <w:p w14:paraId="78EE8241"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0.922</w:t>
            </w:r>
          </w:p>
        </w:tc>
        <w:tc>
          <w:tcPr>
            <w:tcW w:w="940" w:type="dxa"/>
            <w:tcBorders>
              <w:top w:val="nil"/>
              <w:left w:val="nil"/>
              <w:bottom w:val="nil"/>
              <w:right w:val="nil"/>
            </w:tcBorders>
            <w:shd w:val="clear" w:color="000000" w:fill="DBE182"/>
            <w:noWrap/>
            <w:vAlign w:val="bottom"/>
            <w:hideMark/>
          </w:tcPr>
          <w:p w14:paraId="7107DEF0"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0.885</w:t>
            </w:r>
          </w:p>
        </w:tc>
        <w:tc>
          <w:tcPr>
            <w:tcW w:w="940" w:type="dxa"/>
            <w:tcBorders>
              <w:top w:val="nil"/>
              <w:left w:val="nil"/>
              <w:bottom w:val="nil"/>
              <w:right w:val="nil"/>
            </w:tcBorders>
            <w:shd w:val="clear" w:color="000000" w:fill="E6E483"/>
            <w:noWrap/>
            <w:vAlign w:val="bottom"/>
            <w:hideMark/>
          </w:tcPr>
          <w:p w14:paraId="5600899C"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0.875</w:t>
            </w:r>
          </w:p>
        </w:tc>
      </w:tr>
      <w:tr w:rsidR="00DB5B29" w:rsidRPr="00DB5B29" w14:paraId="32EC6121" w14:textId="77777777" w:rsidTr="005B136B">
        <w:trPr>
          <w:trHeight w:val="300"/>
        </w:trPr>
        <w:tc>
          <w:tcPr>
            <w:tcW w:w="2244" w:type="dxa"/>
            <w:vMerge/>
            <w:tcBorders>
              <w:top w:val="nil"/>
              <w:left w:val="nil"/>
              <w:bottom w:val="nil"/>
              <w:right w:val="nil"/>
            </w:tcBorders>
            <w:vAlign w:val="center"/>
            <w:hideMark/>
          </w:tcPr>
          <w:p w14:paraId="7984A11F" w14:textId="77777777" w:rsidR="00DB5B29" w:rsidRPr="00DB5B29" w:rsidRDefault="00DB5B29" w:rsidP="00DB5B29">
            <w:pPr>
              <w:spacing w:after="0" w:line="240" w:lineRule="auto"/>
              <w:rPr>
                <w:rFonts w:ascii="Calibri" w:eastAsia="Times New Roman" w:hAnsi="Calibri" w:cs="Calibri"/>
                <w:color w:val="000000"/>
                <w:sz w:val="22"/>
                <w:lang w:eastAsia="en-GB"/>
              </w:rPr>
            </w:pPr>
          </w:p>
        </w:tc>
        <w:tc>
          <w:tcPr>
            <w:tcW w:w="473" w:type="dxa"/>
            <w:tcBorders>
              <w:top w:val="nil"/>
              <w:left w:val="nil"/>
              <w:bottom w:val="nil"/>
              <w:right w:val="nil"/>
            </w:tcBorders>
            <w:shd w:val="clear" w:color="auto" w:fill="auto"/>
            <w:noWrap/>
            <w:hideMark/>
          </w:tcPr>
          <w:p w14:paraId="70262310" w14:textId="77777777" w:rsidR="00DB5B29" w:rsidRPr="00DB5B29" w:rsidRDefault="00DB5B29" w:rsidP="00DB5B29">
            <w:pPr>
              <w:spacing w:after="0" w:line="240" w:lineRule="auto"/>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RH</w:t>
            </w:r>
          </w:p>
        </w:tc>
        <w:tc>
          <w:tcPr>
            <w:tcW w:w="940" w:type="dxa"/>
            <w:tcBorders>
              <w:top w:val="nil"/>
              <w:left w:val="nil"/>
              <w:bottom w:val="nil"/>
              <w:right w:val="nil"/>
            </w:tcBorders>
            <w:shd w:val="clear" w:color="000000" w:fill="7AC57D"/>
            <w:noWrap/>
            <w:vAlign w:val="bottom"/>
            <w:hideMark/>
          </w:tcPr>
          <w:p w14:paraId="021BFFF2" w14:textId="6D77856E"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0.979</w:t>
            </w:r>
          </w:p>
        </w:tc>
        <w:tc>
          <w:tcPr>
            <w:tcW w:w="940" w:type="dxa"/>
            <w:tcBorders>
              <w:top w:val="nil"/>
              <w:left w:val="nil"/>
              <w:bottom w:val="nil"/>
              <w:right w:val="nil"/>
            </w:tcBorders>
            <w:shd w:val="clear" w:color="000000" w:fill="82C77D"/>
            <w:noWrap/>
            <w:vAlign w:val="bottom"/>
            <w:hideMark/>
          </w:tcPr>
          <w:p w14:paraId="0736A662"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0.971</w:t>
            </w:r>
          </w:p>
        </w:tc>
        <w:tc>
          <w:tcPr>
            <w:tcW w:w="940" w:type="dxa"/>
            <w:tcBorders>
              <w:top w:val="nil"/>
              <w:left w:val="nil"/>
              <w:bottom w:val="nil"/>
              <w:right w:val="nil"/>
            </w:tcBorders>
            <w:shd w:val="clear" w:color="000000" w:fill="89C97E"/>
            <w:noWrap/>
            <w:vAlign w:val="bottom"/>
            <w:hideMark/>
          </w:tcPr>
          <w:p w14:paraId="5699AB4F"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0.964</w:t>
            </w:r>
          </w:p>
        </w:tc>
        <w:tc>
          <w:tcPr>
            <w:tcW w:w="940" w:type="dxa"/>
            <w:tcBorders>
              <w:top w:val="nil"/>
              <w:left w:val="nil"/>
              <w:bottom w:val="nil"/>
              <w:right w:val="nil"/>
            </w:tcBorders>
            <w:shd w:val="clear" w:color="000000" w:fill="BCD881"/>
            <w:noWrap/>
            <w:vAlign w:val="bottom"/>
            <w:hideMark/>
          </w:tcPr>
          <w:p w14:paraId="604DDEE3"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0.915</w:t>
            </w:r>
          </w:p>
        </w:tc>
        <w:tc>
          <w:tcPr>
            <w:tcW w:w="940" w:type="dxa"/>
            <w:tcBorders>
              <w:top w:val="nil"/>
              <w:left w:val="nil"/>
              <w:bottom w:val="nil"/>
              <w:right w:val="nil"/>
            </w:tcBorders>
            <w:shd w:val="clear" w:color="000000" w:fill="F8E984"/>
            <w:noWrap/>
            <w:vAlign w:val="bottom"/>
            <w:hideMark/>
          </w:tcPr>
          <w:p w14:paraId="266C9C48"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0.857</w:t>
            </w:r>
          </w:p>
        </w:tc>
        <w:tc>
          <w:tcPr>
            <w:tcW w:w="940" w:type="dxa"/>
            <w:tcBorders>
              <w:top w:val="nil"/>
              <w:left w:val="nil"/>
              <w:bottom w:val="nil"/>
              <w:right w:val="nil"/>
            </w:tcBorders>
            <w:shd w:val="clear" w:color="000000" w:fill="FDC97D"/>
            <w:noWrap/>
            <w:vAlign w:val="bottom"/>
            <w:hideMark/>
          </w:tcPr>
          <w:p w14:paraId="2FB44CA0"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0.812</w:t>
            </w:r>
          </w:p>
        </w:tc>
      </w:tr>
      <w:tr w:rsidR="00DB5B29" w:rsidRPr="00DB5B29" w14:paraId="78FB71DA" w14:textId="77777777" w:rsidTr="005B136B">
        <w:trPr>
          <w:trHeight w:val="300"/>
        </w:trPr>
        <w:tc>
          <w:tcPr>
            <w:tcW w:w="2244" w:type="dxa"/>
            <w:vMerge w:val="restart"/>
            <w:tcBorders>
              <w:top w:val="nil"/>
              <w:left w:val="nil"/>
              <w:bottom w:val="nil"/>
              <w:right w:val="nil"/>
            </w:tcBorders>
            <w:shd w:val="clear" w:color="auto" w:fill="auto"/>
            <w:hideMark/>
          </w:tcPr>
          <w:p w14:paraId="31570203" w14:textId="592FE519" w:rsidR="00DB5B29" w:rsidRPr="00DB5B29" w:rsidRDefault="00DB5B29" w:rsidP="00DB5B29">
            <w:pPr>
              <w:spacing w:after="0" w:line="240" w:lineRule="auto"/>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Cortical thickness</w:t>
            </w:r>
            <w:r w:rsidRPr="00DB5B29">
              <w:rPr>
                <w:rFonts w:ascii="Calibri" w:eastAsia="Times New Roman" w:hAnsi="Calibri" w:cs="Calibri"/>
                <w:color w:val="000000"/>
                <w:sz w:val="22"/>
                <w:vertAlign w:val="superscript"/>
                <w:lang w:eastAsia="en-GB"/>
              </w:rPr>
              <w:t>2</w:t>
            </w:r>
          </w:p>
        </w:tc>
        <w:tc>
          <w:tcPr>
            <w:tcW w:w="473" w:type="dxa"/>
            <w:tcBorders>
              <w:top w:val="nil"/>
              <w:left w:val="nil"/>
              <w:bottom w:val="nil"/>
              <w:right w:val="nil"/>
            </w:tcBorders>
            <w:shd w:val="clear" w:color="auto" w:fill="auto"/>
            <w:noWrap/>
            <w:hideMark/>
          </w:tcPr>
          <w:p w14:paraId="71F4EA74" w14:textId="77777777" w:rsidR="00DB5B29" w:rsidRPr="00DB5B29" w:rsidRDefault="00DB5B29" w:rsidP="00DB5B29">
            <w:pPr>
              <w:spacing w:after="0" w:line="240" w:lineRule="auto"/>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LH</w:t>
            </w:r>
          </w:p>
        </w:tc>
        <w:tc>
          <w:tcPr>
            <w:tcW w:w="940" w:type="dxa"/>
            <w:tcBorders>
              <w:top w:val="nil"/>
              <w:left w:val="nil"/>
              <w:bottom w:val="nil"/>
              <w:right w:val="nil"/>
            </w:tcBorders>
            <w:shd w:val="clear" w:color="000000" w:fill="D4DF82"/>
            <w:noWrap/>
            <w:vAlign w:val="bottom"/>
            <w:hideMark/>
          </w:tcPr>
          <w:p w14:paraId="5BD35B46" w14:textId="780A4372"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0.892</w:t>
            </w:r>
          </w:p>
        </w:tc>
        <w:tc>
          <w:tcPr>
            <w:tcW w:w="940" w:type="dxa"/>
            <w:tcBorders>
              <w:top w:val="nil"/>
              <w:left w:val="nil"/>
              <w:bottom w:val="nil"/>
              <w:right w:val="nil"/>
            </w:tcBorders>
            <w:shd w:val="clear" w:color="000000" w:fill="C9DC81"/>
            <w:noWrap/>
            <w:vAlign w:val="bottom"/>
            <w:hideMark/>
          </w:tcPr>
          <w:p w14:paraId="56618570"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0.902</w:t>
            </w:r>
          </w:p>
        </w:tc>
        <w:tc>
          <w:tcPr>
            <w:tcW w:w="940" w:type="dxa"/>
            <w:tcBorders>
              <w:top w:val="nil"/>
              <w:left w:val="nil"/>
              <w:bottom w:val="nil"/>
              <w:right w:val="nil"/>
            </w:tcBorders>
            <w:shd w:val="clear" w:color="000000" w:fill="FEE783"/>
            <w:noWrap/>
            <w:vAlign w:val="bottom"/>
            <w:hideMark/>
          </w:tcPr>
          <w:p w14:paraId="764900F0"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0.845</w:t>
            </w:r>
          </w:p>
        </w:tc>
        <w:tc>
          <w:tcPr>
            <w:tcW w:w="940" w:type="dxa"/>
            <w:tcBorders>
              <w:top w:val="nil"/>
              <w:left w:val="nil"/>
              <w:bottom w:val="nil"/>
              <w:right w:val="nil"/>
            </w:tcBorders>
            <w:shd w:val="clear" w:color="000000" w:fill="FCB479"/>
            <w:noWrap/>
            <w:vAlign w:val="bottom"/>
            <w:hideMark/>
          </w:tcPr>
          <w:p w14:paraId="69B5DC90"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0.787</w:t>
            </w:r>
          </w:p>
        </w:tc>
        <w:tc>
          <w:tcPr>
            <w:tcW w:w="940" w:type="dxa"/>
            <w:tcBorders>
              <w:top w:val="nil"/>
              <w:left w:val="nil"/>
              <w:bottom w:val="nil"/>
              <w:right w:val="nil"/>
            </w:tcBorders>
            <w:shd w:val="clear" w:color="000000" w:fill="FBA576"/>
            <w:noWrap/>
            <w:vAlign w:val="bottom"/>
            <w:hideMark/>
          </w:tcPr>
          <w:p w14:paraId="00DB7761"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0.770</w:t>
            </w:r>
          </w:p>
        </w:tc>
        <w:tc>
          <w:tcPr>
            <w:tcW w:w="940" w:type="dxa"/>
            <w:tcBorders>
              <w:top w:val="nil"/>
              <w:left w:val="nil"/>
              <w:bottom w:val="nil"/>
              <w:right w:val="nil"/>
            </w:tcBorders>
            <w:shd w:val="clear" w:color="000000" w:fill="FA9673"/>
            <w:noWrap/>
            <w:vAlign w:val="bottom"/>
            <w:hideMark/>
          </w:tcPr>
          <w:p w14:paraId="7E7F6966"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0.752</w:t>
            </w:r>
          </w:p>
        </w:tc>
      </w:tr>
      <w:tr w:rsidR="00DB5B29" w:rsidRPr="00DB5B29" w14:paraId="75D658AD" w14:textId="77777777" w:rsidTr="005B136B">
        <w:trPr>
          <w:trHeight w:val="300"/>
        </w:trPr>
        <w:tc>
          <w:tcPr>
            <w:tcW w:w="2244" w:type="dxa"/>
            <w:vMerge/>
            <w:tcBorders>
              <w:top w:val="nil"/>
              <w:left w:val="nil"/>
              <w:bottom w:val="nil"/>
              <w:right w:val="nil"/>
            </w:tcBorders>
            <w:vAlign w:val="center"/>
            <w:hideMark/>
          </w:tcPr>
          <w:p w14:paraId="614BB10E" w14:textId="77777777" w:rsidR="00DB5B29" w:rsidRPr="00DB5B29" w:rsidRDefault="00DB5B29" w:rsidP="00DB5B29">
            <w:pPr>
              <w:spacing w:after="0" w:line="240" w:lineRule="auto"/>
              <w:rPr>
                <w:rFonts w:ascii="Calibri" w:eastAsia="Times New Roman" w:hAnsi="Calibri" w:cs="Calibri"/>
                <w:color w:val="000000"/>
                <w:sz w:val="22"/>
                <w:lang w:eastAsia="en-GB"/>
              </w:rPr>
            </w:pPr>
          </w:p>
        </w:tc>
        <w:tc>
          <w:tcPr>
            <w:tcW w:w="473" w:type="dxa"/>
            <w:tcBorders>
              <w:top w:val="nil"/>
              <w:left w:val="nil"/>
              <w:bottom w:val="nil"/>
              <w:right w:val="nil"/>
            </w:tcBorders>
            <w:shd w:val="clear" w:color="auto" w:fill="auto"/>
            <w:noWrap/>
            <w:hideMark/>
          </w:tcPr>
          <w:p w14:paraId="2FD43F7A" w14:textId="77777777" w:rsidR="00DB5B29" w:rsidRPr="00DB5B29" w:rsidRDefault="00DB5B29" w:rsidP="00DB5B29">
            <w:pPr>
              <w:spacing w:after="0" w:line="240" w:lineRule="auto"/>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RH</w:t>
            </w:r>
          </w:p>
        </w:tc>
        <w:tc>
          <w:tcPr>
            <w:tcW w:w="940" w:type="dxa"/>
            <w:tcBorders>
              <w:top w:val="nil"/>
              <w:left w:val="nil"/>
              <w:bottom w:val="nil"/>
              <w:right w:val="nil"/>
            </w:tcBorders>
            <w:shd w:val="clear" w:color="000000" w:fill="F8E984"/>
            <w:noWrap/>
            <w:vAlign w:val="bottom"/>
            <w:hideMark/>
          </w:tcPr>
          <w:p w14:paraId="7C93F98B" w14:textId="1D45E4AD"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0.858</w:t>
            </w:r>
          </w:p>
        </w:tc>
        <w:tc>
          <w:tcPr>
            <w:tcW w:w="940" w:type="dxa"/>
            <w:tcBorders>
              <w:top w:val="nil"/>
              <w:left w:val="nil"/>
              <w:bottom w:val="nil"/>
              <w:right w:val="nil"/>
            </w:tcBorders>
            <w:shd w:val="clear" w:color="000000" w:fill="F6E984"/>
            <w:noWrap/>
            <w:vAlign w:val="bottom"/>
            <w:hideMark/>
          </w:tcPr>
          <w:p w14:paraId="53D93B9C"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0.859</w:t>
            </w:r>
          </w:p>
        </w:tc>
        <w:tc>
          <w:tcPr>
            <w:tcW w:w="940" w:type="dxa"/>
            <w:tcBorders>
              <w:top w:val="nil"/>
              <w:left w:val="nil"/>
              <w:bottom w:val="nil"/>
              <w:right w:val="nil"/>
            </w:tcBorders>
            <w:shd w:val="clear" w:color="000000" w:fill="FCC17C"/>
            <w:noWrap/>
            <w:vAlign w:val="bottom"/>
            <w:hideMark/>
          </w:tcPr>
          <w:p w14:paraId="4FD0C216"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0.802</w:t>
            </w:r>
          </w:p>
        </w:tc>
        <w:tc>
          <w:tcPr>
            <w:tcW w:w="940" w:type="dxa"/>
            <w:tcBorders>
              <w:top w:val="nil"/>
              <w:left w:val="nil"/>
              <w:bottom w:val="nil"/>
              <w:right w:val="nil"/>
            </w:tcBorders>
            <w:shd w:val="clear" w:color="000000" w:fill="FBA977"/>
            <w:noWrap/>
            <w:vAlign w:val="bottom"/>
            <w:hideMark/>
          </w:tcPr>
          <w:p w14:paraId="16B2ADD8"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0.774</w:t>
            </w:r>
          </w:p>
        </w:tc>
        <w:tc>
          <w:tcPr>
            <w:tcW w:w="940" w:type="dxa"/>
            <w:tcBorders>
              <w:top w:val="nil"/>
              <w:left w:val="nil"/>
              <w:bottom w:val="nil"/>
              <w:right w:val="nil"/>
            </w:tcBorders>
            <w:shd w:val="clear" w:color="000000" w:fill="FA9C74"/>
            <w:noWrap/>
            <w:vAlign w:val="bottom"/>
            <w:hideMark/>
          </w:tcPr>
          <w:p w14:paraId="5FC407DD"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0.759</w:t>
            </w:r>
          </w:p>
        </w:tc>
        <w:tc>
          <w:tcPr>
            <w:tcW w:w="940" w:type="dxa"/>
            <w:tcBorders>
              <w:top w:val="nil"/>
              <w:left w:val="nil"/>
              <w:bottom w:val="nil"/>
              <w:right w:val="nil"/>
            </w:tcBorders>
            <w:shd w:val="clear" w:color="000000" w:fill="F97C6E"/>
            <w:noWrap/>
            <w:vAlign w:val="bottom"/>
            <w:hideMark/>
          </w:tcPr>
          <w:p w14:paraId="7E6EA5AA"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0.722</w:t>
            </w:r>
          </w:p>
        </w:tc>
      </w:tr>
      <w:tr w:rsidR="00DB5B29" w:rsidRPr="00DB5B29" w14:paraId="54580D41" w14:textId="77777777" w:rsidTr="005B136B">
        <w:trPr>
          <w:trHeight w:val="300"/>
        </w:trPr>
        <w:tc>
          <w:tcPr>
            <w:tcW w:w="2244" w:type="dxa"/>
            <w:vMerge w:val="restart"/>
            <w:tcBorders>
              <w:top w:val="nil"/>
              <w:left w:val="nil"/>
              <w:bottom w:val="nil"/>
              <w:right w:val="nil"/>
            </w:tcBorders>
            <w:shd w:val="clear" w:color="auto" w:fill="auto"/>
            <w:hideMark/>
          </w:tcPr>
          <w:p w14:paraId="3B14D0AC" w14:textId="1CA4846A" w:rsidR="00DB5B29" w:rsidRPr="00DB5B29" w:rsidRDefault="00DB5B29" w:rsidP="00DB5B29">
            <w:pPr>
              <w:spacing w:after="0" w:line="240" w:lineRule="auto"/>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 xml:space="preserve">Cortical </w:t>
            </w:r>
            <w:r w:rsidR="00A12580">
              <w:rPr>
                <w:rFonts w:ascii="Calibri" w:eastAsia="Times New Roman" w:hAnsi="Calibri" w:cs="Calibri"/>
                <w:color w:val="000000"/>
                <w:sz w:val="22"/>
                <w:lang w:eastAsia="en-GB"/>
              </w:rPr>
              <w:t xml:space="preserve">surface </w:t>
            </w:r>
            <w:r w:rsidRPr="00DB5B29">
              <w:rPr>
                <w:rFonts w:ascii="Calibri" w:eastAsia="Times New Roman" w:hAnsi="Calibri" w:cs="Calibri"/>
                <w:color w:val="000000"/>
                <w:sz w:val="22"/>
                <w:lang w:eastAsia="en-GB"/>
              </w:rPr>
              <w:t>area</w:t>
            </w:r>
            <w:r w:rsidRPr="00DB5B29">
              <w:rPr>
                <w:rFonts w:ascii="Calibri" w:eastAsia="Times New Roman" w:hAnsi="Calibri" w:cs="Calibri"/>
                <w:color w:val="000000"/>
                <w:sz w:val="22"/>
                <w:vertAlign w:val="superscript"/>
                <w:lang w:eastAsia="en-GB"/>
              </w:rPr>
              <w:t>2</w:t>
            </w:r>
          </w:p>
        </w:tc>
        <w:tc>
          <w:tcPr>
            <w:tcW w:w="473" w:type="dxa"/>
            <w:tcBorders>
              <w:top w:val="nil"/>
              <w:left w:val="nil"/>
              <w:bottom w:val="nil"/>
              <w:right w:val="nil"/>
            </w:tcBorders>
            <w:shd w:val="clear" w:color="auto" w:fill="auto"/>
            <w:noWrap/>
            <w:hideMark/>
          </w:tcPr>
          <w:p w14:paraId="289618A6" w14:textId="77777777" w:rsidR="00DB5B29" w:rsidRPr="00DB5B29" w:rsidRDefault="00DB5B29" w:rsidP="00DB5B29">
            <w:pPr>
              <w:spacing w:after="0" w:line="240" w:lineRule="auto"/>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LH</w:t>
            </w:r>
          </w:p>
        </w:tc>
        <w:tc>
          <w:tcPr>
            <w:tcW w:w="940" w:type="dxa"/>
            <w:tcBorders>
              <w:top w:val="nil"/>
              <w:left w:val="nil"/>
              <w:bottom w:val="nil"/>
              <w:right w:val="nil"/>
            </w:tcBorders>
            <w:shd w:val="clear" w:color="000000" w:fill="71C37C"/>
            <w:noWrap/>
            <w:vAlign w:val="bottom"/>
            <w:hideMark/>
          </w:tcPr>
          <w:p w14:paraId="213C5AB2"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0.987</w:t>
            </w:r>
          </w:p>
        </w:tc>
        <w:tc>
          <w:tcPr>
            <w:tcW w:w="940" w:type="dxa"/>
            <w:tcBorders>
              <w:top w:val="nil"/>
              <w:left w:val="nil"/>
              <w:bottom w:val="nil"/>
              <w:right w:val="nil"/>
            </w:tcBorders>
            <w:shd w:val="clear" w:color="000000" w:fill="73C37C"/>
            <w:noWrap/>
            <w:vAlign w:val="bottom"/>
            <w:hideMark/>
          </w:tcPr>
          <w:p w14:paraId="23700F98"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0.985</w:t>
            </w:r>
          </w:p>
        </w:tc>
        <w:tc>
          <w:tcPr>
            <w:tcW w:w="940" w:type="dxa"/>
            <w:tcBorders>
              <w:top w:val="nil"/>
              <w:left w:val="nil"/>
              <w:bottom w:val="nil"/>
              <w:right w:val="nil"/>
            </w:tcBorders>
            <w:shd w:val="clear" w:color="000000" w:fill="75C47D"/>
            <w:noWrap/>
            <w:vAlign w:val="bottom"/>
            <w:hideMark/>
          </w:tcPr>
          <w:p w14:paraId="1D130526"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0.983</w:t>
            </w:r>
          </w:p>
        </w:tc>
        <w:tc>
          <w:tcPr>
            <w:tcW w:w="940" w:type="dxa"/>
            <w:tcBorders>
              <w:top w:val="nil"/>
              <w:left w:val="nil"/>
              <w:bottom w:val="nil"/>
              <w:right w:val="nil"/>
            </w:tcBorders>
            <w:shd w:val="clear" w:color="000000" w:fill="A0D07F"/>
            <w:noWrap/>
            <w:vAlign w:val="bottom"/>
            <w:hideMark/>
          </w:tcPr>
          <w:p w14:paraId="7DB94EDA"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0.942</w:t>
            </w:r>
          </w:p>
        </w:tc>
        <w:tc>
          <w:tcPr>
            <w:tcW w:w="940" w:type="dxa"/>
            <w:tcBorders>
              <w:top w:val="nil"/>
              <w:left w:val="nil"/>
              <w:bottom w:val="nil"/>
              <w:right w:val="nil"/>
            </w:tcBorders>
            <w:shd w:val="clear" w:color="000000" w:fill="CBDC81"/>
            <w:noWrap/>
            <w:vAlign w:val="bottom"/>
            <w:hideMark/>
          </w:tcPr>
          <w:p w14:paraId="49130F69"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0.900</w:t>
            </w:r>
          </w:p>
        </w:tc>
        <w:tc>
          <w:tcPr>
            <w:tcW w:w="940" w:type="dxa"/>
            <w:tcBorders>
              <w:top w:val="nil"/>
              <w:left w:val="nil"/>
              <w:bottom w:val="nil"/>
              <w:right w:val="nil"/>
            </w:tcBorders>
            <w:shd w:val="clear" w:color="000000" w:fill="D0DE82"/>
            <w:noWrap/>
            <w:vAlign w:val="bottom"/>
            <w:hideMark/>
          </w:tcPr>
          <w:p w14:paraId="7B42FFB0"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0.896</w:t>
            </w:r>
          </w:p>
        </w:tc>
      </w:tr>
      <w:tr w:rsidR="00DB5B29" w:rsidRPr="00DB5B29" w14:paraId="3A23DD08" w14:textId="77777777" w:rsidTr="005B136B">
        <w:trPr>
          <w:trHeight w:val="300"/>
        </w:trPr>
        <w:tc>
          <w:tcPr>
            <w:tcW w:w="2244" w:type="dxa"/>
            <w:vMerge/>
            <w:tcBorders>
              <w:top w:val="nil"/>
              <w:left w:val="nil"/>
              <w:bottom w:val="nil"/>
              <w:right w:val="nil"/>
            </w:tcBorders>
            <w:vAlign w:val="center"/>
            <w:hideMark/>
          </w:tcPr>
          <w:p w14:paraId="51015C71" w14:textId="77777777" w:rsidR="00DB5B29" w:rsidRPr="00DB5B29" w:rsidRDefault="00DB5B29" w:rsidP="00DB5B29">
            <w:pPr>
              <w:spacing w:after="0" w:line="240" w:lineRule="auto"/>
              <w:rPr>
                <w:rFonts w:ascii="Calibri" w:eastAsia="Times New Roman" w:hAnsi="Calibri" w:cs="Calibri"/>
                <w:color w:val="000000"/>
                <w:sz w:val="22"/>
                <w:lang w:eastAsia="en-GB"/>
              </w:rPr>
            </w:pPr>
          </w:p>
        </w:tc>
        <w:tc>
          <w:tcPr>
            <w:tcW w:w="473" w:type="dxa"/>
            <w:tcBorders>
              <w:top w:val="nil"/>
              <w:left w:val="nil"/>
              <w:bottom w:val="nil"/>
              <w:right w:val="nil"/>
            </w:tcBorders>
            <w:shd w:val="clear" w:color="auto" w:fill="auto"/>
            <w:noWrap/>
            <w:hideMark/>
          </w:tcPr>
          <w:p w14:paraId="3C442F1F" w14:textId="052CBFCF" w:rsidR="00DB5B29" w:rsidRPr="00DB5B29" w:rsidRDefault="00DB5B29" w:rsidP="00DB5B29">
            <w:pPr>
              <w:spacing w:after="0" w:line="240" w:lineRule="auto"/>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RH</w:t>
            </w:r>
          </w:p>
        </w:tc>
        <w:tc>
          <w:tcPr>
            <w:tcW w:w="940" w:type="dxa"/>
            <w:tcBorders>
              <w:top w:val="nil"/>
              <w:left w:val="nil"/>
              <w:bottom w:val="nil"/>
              <w:right w:val="nil"/>
            </w:tcBorders>
            <w:shd w:val="clear" w:color="000000" w:fill="73C37C"/>
            <w:noWrap/>
            <w:vAlign w:val="bottom"/>
            <w:hideMark/>
          </w:tcPr>
          <w:p w14:paraId="1ED08A76"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0.985</w:t>
            </w:r>
          </w:p>
        </w:tc>
        <w:tc>
          <w:tcPr>
            <w:tcW w:w="940" w:type="dxa"/>
            <w:tcBorders>
              <w:top w:val="nil"/>
              <w:left w:val="nil"/>
              <w:bottom w:val="nil"/>
              <w:right w:val="nil"/>
            </w:tcBorders>
            <w:shd w:val="clear" w:color="000000" w:fill="76C47D"/>
            <w:noWrap/>
            <w:vAlign w:val="bottom"/>
            <w:hideMark/>
          </w:tcPr>
          <w:p w14:paraId="415C8E4F"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0.982</w:t>
            </w:r>
          </w:p>
        </w:tc>
        <w:tc>
          <w:tcPr>
            <w:tcW w:w="940" w:type="dxa"/>
            <w:tcBorders>
              <w:top w:val="nil"/>
              <w:left w:val="nil"/>
              <w:bottom w:val="nil"/>
              <w:right w:val="nil"/>
            </w:tcBorders>
            <w:shd w:val="clear" w:color="000000" w:fill="73C37C"/>
            <w:noWrap/>
            <w:vAlign w:val="bottom"/>
            <w:hideMark/>
          </w:tcPr>
          <w:p w14:paraId="16CC4471" w14:textId="0BA1CDE8"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0.985</w:t>
            </w:r>
          </w:p>
        </w:tc>
        <w:tc>
          <w:tcPr>
            <w:tcW w:w="940" w:type="dxa"/>
            <w:tcBorders>
              <w:top w:val="nil"/>
              <w:left w:val="nil"/>
              <w:bottom w:val="nil"/>
              <w:right w:val="nil"/>
            </w:tcBorders>
            <w:shd w:val="clear" w:color="000000" w:fill="ADD480"/>
            <w:noWrap/>
            <w:vAlign w:val="bottom"/>
            <w:hideMark/>
          </w:tcPr>
          <w:p w14:paraId="356A716D"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0.929</w:t>
            </w:r>
          </w:p>
        </w:tc>
        <w:tc>
          <w:tcPr>
            <w:tcW w:w="940" w:type="dxa"/>
            <w:tcBorders>
              <w:top w:val="nil"/>
              <w:left w:val="nil"/>
              <w:bottom w:val="nil"/>
              <w:right w:val="nil"/>
            </w:tcBorders>
            <w:shd w:val="clear" w:color="000000" w:fill="EDE683"/>
            <w:noWrap/>
            <w:vAlign w:val="bottom"/>
            <w:hideMark/>
          </w:tcPr>
          <w:p w14:paraId="4F8E3C49"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0.868</w:t>
            </w:r>
          </w:p>
        </w:tc>
        <w:tc>
          <w:tcPr>
            <w:tcW w:w="940" w:type="dxa"/>
            <w:tcBorders>
              <w:top w:val="nil"/>
              <w:left w:val="nil"/>
              <w:bottom w:val="nil"/>
              <w:right w:val="nil"/>
            </w:tcBorders>
            <w:shd w:val="clear" w:color="000000" w:fill="FEE282"/>
            <w:noWrap/>
            <w:vAlign w:val="bottom"/>
            <w:hideMark/>
          </w:tcPr>
          <w:p w14:paraId="1EABA69F"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0.841</w:t>
            </w:r>
          </w:p>
        </w:tc>
      </w:tr>
      <w:tr w:rsidR="00DB5B29" w:rsidRPr="00DB5B29" w14:paraId="28BE02F7" w14:textId="77777777" w:rsidTr="005B136B">
        <w:trPr>
          <w:trHeight w:val="300"/>
        </w:trPr>
        <w:tc>
          <w:tcPr>
            <w:tcW w:w="2717" w:type="dxa"/>
            <w:gridSpan w:val="2"/>
            <w:tcBorders>
              <w:top w:val="nil"/>
              <w:left w:val="nil"/>
              <w:bottom w:val="single" w:sz="4" w:space="0" w:color="auto"/>
              <w:right w:val="nil"/>
            </w:tcBorders>
            <w:shd w:val="clear" w:color="auto" w:fill="auto"/>
            <w:noWrap/>
            <w:hideMark/>
          </w:tcPr>
          <w:p w14:paraId="0CE34963" w14:textId="32F2DF8D" w:rsidR="00DB5B29" w:rsidRPr="00DB5B29" w:rsidRDefault="00DB5B29" w:rsidP="00DB5B29">
            <w:pPr>
              <w:spacing w:after="0" w:line="240" w:lineRule="auto"/>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FreeSurfer mean value</w:t>
            </w:r>
            <w:r w:rsidRPr="00DB5B29">
              <w:rPr>
                <w:rFonts w:ascii="Calibri" w:eastAsia="Times New Roman" w:hAnsi="Calibri" w:cs="Calibri"/>
                <w:color w:val="000000"/>
                <w:sz w:val="22"/>
                <w:vertAlign w:val="superscript"/>
                <w:lang w:eastAsia="en-GB"/>
              </w:rPr>
              <w:t>3</w:t>
            </w:r>
          </w:p>
        </w:tc>
        <w:tc>
          <w:tcPr>
            <w:tcW w:w="940" w:type="dxa"/>
            <w:tcBorders>
              <w:top w:val="nil"/>
              <w:left w:val="nil"/>
              <w:bottom w:val="single" w:sz="4" w:space="0" w:color="auto"/>
              <w:right w:val="nil"/>
            </w:tcBorders>
            <w:shd w:val="clear" w:color="000000" w:fill="97CD7E"/>
            <w:noWrap/>
            <w:vAlign w:val="bottom"/>
            <w:hideMark/>
          </w:tcPr>
          <w:p w14:paraId="06830767"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0.951</w:t>
            </w:r>
          </w:p>
        </w:tc>
        <w:tc>
          <w:tcPr>
            <w:tcW w:w="940" w:type="dxa"/>
            <w:tcBorders>
              <w:top w:val="nil"/>
              <w:left w:val="nil"/>
              <w:bottom w:val="single" w:sz="4" w:space="0" w:color="auto"/>
              <w:right w:val="nil"/>
            </w:tcBorders>
            <w:shd w:val="clear" w:color="000000" w:fill="97CD7E"/>
            <w:noWrap/>
            <w:vAlign w:val="bottom"/>
            <w:hideMark/>
          </w:tcPr>
          <w:p w14:paraId="6BBFA2E0"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0.950</w:t>
            </w:r>
          </w:p>
        </w:tc>
        <w:tc>
          <w:tcPr>
            <w:tcW w:w="940" w:type="dxa"/>
            <w:tcBorders>
              <w:top w:val="nil"/>
              <w:left w:val="nil"/>
              <w:bottom w:val="single" w:sz="4" w:space="0" w:color="auto"/>
              <w:right w:val="nil"/>
            </w:tcBorders>
            <w:shd w:val="clear" w:color="000000" w:fill="ACD380"/>
            <w:noWrap/>
            <w:vAlign w:val="bottom"/>
            <w:hideMark/>
          </w:tcPr>
          <w:p w14:paraId="31D86EE0"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0.930</w:t>
            </w:r>
          </w:p>
        </w:tc>
        <w:tc>
          <w:tcPr>
            <w:tcW w:w="940" w:type="dxa"/>
            <w:tcBorders>
              <w:top w:val="nil"/>
              <w:left w:val="nil"/>
              <w:bottom w:val="single" w:sz="4" w:space="0" w:color="auto"/>
              <w:right w:val="nil"/>
            </w:tcBorders>
            <w:shd w:val="clear" w:color="000000" w:fill="D9E082"/>
            <w:noWrap/>
            <w:vAlign w:val="bottom"/>
            <w:hideMark/>
          </w:tcPr>
          <w:p w14:paraId="572258D2"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0.887</w:t>
            </w:r>
          </w:p>
        </w:tc>
        <w:tc>
          <w:tcPr>
            <w:tcW w:w="940" w:type="dxa"/>
            <w:tcBorders>
              <w:top w:val="nil"/>
              <w:left w:val="nil"/>
              <w:bottom w:val="single" w:sz="4" w:space="0" w:color="auto"/>
              <w:right w:val="nil"/>
            </w:tcBorders>
            <w:shd w:val="clear" w:color="000000" w:fill="FAEA84"/>
            <w:noWrap/>
            <w:vAlign w:val="bottom"/>
            <w:hideMark/>
          </w:tcPr>
          <w:p w14:paraId="5BB65B23" w14:textId="728349CC"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0.855</w:t>
            </w:r>
          </w:p>
        </w:tc>
        <w:tc>
          <w:tcPr>
            <w:tcW w:w="940" w:type="dxa"/>
            <w:tcBorders>
              <w:top w:val="nil"/>
              <w:left w:val="nil"/>
              <w:bottom w:val="single" w:sz="4" w:space="0" w:color="auto"/>
              <w:right w:val="nil"/>
            </w:tcBorders>
            <w:shd w:val="clear" w:color="000000" w:fill="FED880"/>
            <w:noWrap/>
            <w:vAlign w:val="bottom"/>
            <w:hideMark/>
          </w:tcPr>
          <w:p w14:paraId="7DD3284D" w14:textId="77777777" w:rsidR="00DB5B29" w:rsidRPr="00DB5B29" w:rsidRDefault="00DB5B29" w:rsidP="00DB5B29">
            <w:pPr>
              <w:spacing w:after="0" w:line="240" w:lineRule="auto"/>
              <w:jc w:val="center"/>
              <w:rPr>
                <w:rFonts w:ascii="Calibri" w:eastAsia="Times New Roman" w:hAnsi="Calibri" w:cs="Calibri"/>
                <w:color w:val="000000"/>
                <w:sz w:val="22"/>
                <w:lang w:eastAsia="en-GB"/>
              </w:rPr>
            </w:pPr>
            <w:r w:rsidRPr="00DB5B29">
              <w:rPr>
                <w:rFonts w:ascii="Calibri" w:eastAsia="Times New Roman" w:hAnsi="Calibri" w:cs="Calibri"/>
                <w:color w:val="000000"/>
                <w:sz w:val="22"/>
                <w:lang w:eastAsia="en-GB"/>
              </w:rPr>
              <w:t>0.829</w:t>
            </w:r>
          </w:p>
        </w:tc>
      </w:tr>
    </w:tbl>
    <w:p w14:paraId="30FEA200" w14:textId="28AF16DA" w:rsidR="001C011E" w:rsidRPr="00231333" w:rsidRDefault="00810E69">
      <w:r>
        <w:rPr>
          <w:noProof/>
        </w:rPr>
        <mc:AlternateContent>
          <mc:Choice Requires="wps">
            <w:drawing>
              <wp:anchor distT="45720" distB="45720" distL="114300" distR="114300" simplePos="0" relativeHeight="251671552" behindDoc="1" locked="0" layoutInCell="1" allowOverlap="1" wp14:anchorId="13D67384" wp14:editId="4A234341">
                <wp:simplePos x="0" y="0"/>
                <wp:positionH relativeFrom="margin">
                  <wp:posOffset>-69850</wp:posOffset>
                </wp:positionH>
                <wp:positionV relativeFrom="paragraph">
                  <wp:posOffset>208915</wp:posOffset>
                </wp:positionV>
                <wp:extent cx="6400800" cy="984885"/>
                <wp:effectExtent l="0" t="0" r="0" b="5715"/>
                <wp:wrapTight wrapText="bothSides">
                  <wp:wrapPolygon edited="0">
                    <wp:start x="193" y="0"/>
                    <wp:lineTo x="193" y="21308"/>
                    <wp:lineTo x="21343" y="21308"/>
                    <wp:lineTo x="21343" y="0"/>
                    <wp:lineTo x="193"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84885"/>
                        </a:xfrm>
                        <a:prstGeom prst="rect">
                          <a:avLst/>
                        </a:prstGeom>
                        <a:noFill/>
                        <a:ln w="9525">
                          <a:noFill/>
                          <a:miter lim="800000"/>
                          <a:headEnd/>
                          <a:tailEnd/>
                        </a:ln>
                      </wps:spPr>
                      <wps:txbx>
                        <w:txbxContent>
                          <w:p w14:paraId="51B8DAE0" w14:textId="77777777" w:rsidR="00F45C7C" w:rsidRPr="00570B72" w:rsidRDefault="00F45C7C" w:rsidP="009B64BB">
                            <w:pPr>
                              <w:spacing w:after="0" w:line="240" w:lineRule="auto"/>
                              <w:rPr>
                                <w:szCs w:val="20"/>
                              </w:rPr>
                            </w:pPr>
                            <w:r w:rsidRPr="00570B72">
                              <w:rPr>
                                <w:szCs w:val="20"/>
                              </w:rPr>
                              <w:t>LH, left hemisphere; RH, right hemisphere</w:t>
                            </w:r>
                          </w:p>
                          <w:p w14:paraId="3BB19BF1" w14:textId="60D18A2D" w:rsidR="00F45C7C" w:rsidRPr="00570B72" w:rsidRDefault="00F45C7C" w:rsidP="009B64BB">
                            <w:pPr>
                              <w:spacing w:after="0" w:line="240" w:lineRule="auto"/>
                              <w:rPr>
                                <w:szCs w:val="20"/>
                              </w:rPr>
                            </w:pPr>
                            <w:r w:rsidRPr="00570B72">
                              <w:rPr>
                                <w:szCs w:val="20"/>
                                <w:vertAlign w:val="superscript"/>
                              </w:rPr>
                              <w:t>1</w:t>
                            </w:r>
                            <w:r w:rsidRPr="00570B72">
                              <w:rPr>
                                <w:szCs w:val="20"/>
                              </w:rPr>
                              <w:t>generated from subcortical segmentation (aseg.stats)</w:t>
                            </w:r>
                          </w:p>
                          <w:p w14:paraId="61B68FEA" w14:textId="4166912C" w:rsidR="00F45C7C" w:rsidRPr="00570B72" w:rsidRDefault="00F45C7C" w:rsidP="009B64BB">
                            <w:pPr>
                              <w:spacing w:after="0" w:line="240" w:lineRule="auto"/>
                              <w:rPr>
                                <w:szCs w:val="20"/>
                              </w:rPr>
                            </w:pPr>
                            <w:r w:rsidRPr="00570B72">
                              <w:rPr>
                                <w:szCs w:val="20"/>
                                <w:vertAlign w:val="superscript"/>
                              </w:rPr>
                              <w:t>2</w:t>
                            </w:r>
                            <w:r w:rsidRPr="00570B72">
                              <w:rPr>
                                <w:szCs w:val="20"/>
                              </w:rPr>
                              <w:t xml:space="preserve">generated from cortical parcellation (aparc.stats) </w:t>
                            </w:r>
                          </w:p>
                          <w:p w14:paraId="38EFEF8D" w14:textId="3193A549" w:rsidR="00F45C7C" w:rsidRPr="00570B72" w:rsidRDefault="00F45C7C" w:rsidP="00F8347C">
                            <w:pPr>
                              <w:spacing w:after="0" w:line="240" w:lineRule="auto"/>
                              <w:rPr>
                                <w:rFonts w:ascii="Calibri" w:eastAsia="Times New Roman" w:hAnsi="Calibri" w:cs="Calibri"/>
                                <w:color w:val="000000"/>
                                <w:szCs w:val="20"/>
                                <w:lang w:eastAsia="en-GB"/>
                              </w:rPr>
                            </w:pPr>
                            <w:r w:rsidRPr="00570B72">
                              <w:rPr>
                                <w:rFonts w:ascii="Calibri" w:eastAsia="Times New Roman" w:hAnsi="Calibri" w:cs="Calibri"/>
                                <w:color w:val="000000"/>
                                <w:szCs w:val="20"/>
                                <w:vertAlign w:val="superscript"/>
                                <w:lang w:eastAsia="en-GB"/>
                              </w:rPr>
                              <w:t>3</w:t>
                            </w:r>
                            <w:r w:rsidRPr="00570B72">
                              <w:rPr>
                                <w:rFonts w:ascii="Calibri" w:eastAsia="Times New Roman" w:hAnsi="Calibri" w:cs="Calibri"/>
                                <w:color w:val="000000"/>
                                <w:szCs w:val="20"/>
                                <w:lang w:eastAsia="en-GB"/>
                              </w:rPr>
                              <w:t xml:space="preserve">calculated for each FreeSurfer processing stream as the mean ICC value of subcortical volume and cortical volume, thickness, and </w:t>
                            </w:r>
                            <w:r w:rsidR="009117D0">
                              <w:rPr>
                                <w:rFonts w:ascii="Calibri" w:eastAsia="Times New Roman" w:hAnsi="Calibri" w:cs="Calibri"/>
                                <w:color w:val="000000"/>
                                <w:szCs w:val="20"/>
                                <w:lang w:eastAsia="en-GB"/>
                              </w:rPr>
                              <w:t xml:space="preserve">surface </w:t>
                            </w:r>
                            <w:r w:rsidRPr="00570B72">
                              <w:rPr>
                                <w:rFonts w:ascii="Calibri" w:eastAsia="Times New Roman" w:hAnsi="Calibri" w:cs="Calibri"/>
                                <w:color w:val="000000"/>
                                <w:szCs w:val="20"/>
                                <w:lang w:eastAsia="en-GB"/>
                              </w:rPr>
                              <w:t>area measurements</w:t>
                            </w:r>
                          </w:p>
                          <w:p w14:paraId="16DC2439" w14:textId="77777777" w:rsidR="00F45C7C" w:rsidRPr="00570B72" w:rsidRDefault="00F45C7C" w:rsidP="009B64BB">
                            <w:pPr>
                              <w:spacing w:after="0" w:line="240" w:lineRule="auto"/>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67384" id="_x0000_s1035" type="#_x0000_t202" style="position:absolute;margin-left:-5.5pt;margin-top:16.45pt;width:7in;height:77.5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" filled="f" stroked="f">
                <v:textbox>
                  <w:txbxContent>
                    <w:p w14:paraId="51B8DAE0" w14:textId="77777777" w:rsidR="00F45C7C" w:rsidRPr="00570B72" w:rsidRDefault="00F45C7C" w:rsidP="009B64BB">
                      <w:pPr>
                        <w:spacing w:after="0" w:line="240" w:lineRule="auto"/>
                        <w:rPr>
                          <w:szCs w:val="20"/>
                        </w:rPr>
                      </w:pPr>
                      <w:r w:rsidRPr="00570B72">
                        <w:rPr>
                          <w:szCs w:val="20"/>
                        </w:rPr>
                        <w:t xml:space="preserve">LH, left </w:t>
                      </w:r>
                      <w:proofErr w:type="gramStart"/>
                      <w:r w:rsidRPr="00570B72">
                        <w:rPr>
                          <w:szCs w:val="20"/>
                        </w:rPr>
                        <w:t>hemisphere;</w:t>
                      </w:r>
                      <w:proofErr w:type="gramEnd"/>
                      <w:r w:rsidRPr="00570B72">
                        <w:rPr>
                          <w:szCs w:val="20"/>
                        </w:rPr>
                        <w:t xml:space="preserve"> RH, right hemisphere</w:t>
                      </w:r>
                    </w:p>
                    <w:p w14:paraId="3BB19BF1" w14:textId="60D18A2D" w:rsidR="00F45C7C" w:rsidRPr="00570B72" w:rsidRDefault="00F45C7C" w:rsidP="009B64BB">
                      <w:pPr>
                        <w:spacing w:after="0" w:line="240" w:lineRule="auto"/>
                        <w:rPr>
                          <w:szCs w:val="20"/>
                        </w:rPr>
                      </w:pPr>
                      <w:r w:rsidRPr="00570B72">
                        <w:rPr>
                          <w:szCs w:val="20"/>
                          <w:vertAlign w:val="superscript"/>
                        </w:rPr>
                        <w:t>1</w:t>
                      </w:r>
                      <w:r w:rsidRPr="00570B72">
                        <w:rPr>
                          <w:szCs w:val="20"/>
                        </w:rPr>
                        <w:t>generated from subcortical segmentation (aseg.stats)</w:t>
                      </w:r>
                    </w:p>
                    <w:p w14:paraId="61B68FEA" w14:textId="4166912C" w:rsidR="00F45C7C" w:rsidRPr="00570B72" w:rsidRDefault="00F45C7C" w:rsidP="009B64BB">
                      <w:pPr>
                        <w:spacing w:after="0" w:line="240" w:lineRule="auto"/>
                        <w:rPr>
                          <w:szCs w:val="20"/>
                        </w:rPr>
                      </w:pPr>
                      <w:r w:rsidRPr="00570B72">
                        <w:rPr>
                          <w:szCs w:val="20"/>
                          <w:vertAlign w:val="superscript"/>
                        </w:rPr>
                        <w:t>2</w:t>
                      </w:r>
                      <w:r w:rsidRPr="00570B72">
                        <w:rPr>
                          <w:szCs w:val="20"/>
                        </w:rPr>
                        <w:t xml:space="preserve">generated from cortical parcellation (aparc.stats) </w:t>
                      </w:r>
                    </w:p>
                    <w:p w14:paraId="38EFEF8D" w14:textId="3193A549" w:rsidR="00F45C7C" w:rsidRPr="00570B72" w:rsidRDefault="00F45C7C" w:rsidP="00F8347C">
                      <w:pPr>
                        <w:spacing w:after="0" w:line="240" w:lineRule="auto"/>
                        <w:rPr>
                          <w:rFonts w:ascii="Calibri" w:eastAsia="Times New Roman" w:hAnsi="Calibri" w:cs="Calibri"/>
                          <w:color w:val="000000"/>
                          <w:szCs w:val="20"/>
                          <w:lang w:eastAsia="en-GB"/>
                        </w:rPr>
                      </w:pPr>
                      <w:r w:rsidRPr="00570B72">
                        <w:rPr>
                          <w:rFonts w:ascii="Calibri" w:eastAsia="Times New Roman" w:hAnsi="Calibri" w:cs="Calibri"/>
                          <w:color w:val="000000"/>
                          <w:szCs w:val="20"/>
                          <w:vertAlign w:val="superscript"/>
                          <w:lang w:eastAsia="en-GB"/>
                        </w:rPr>
                        <w:t>3</w:t>
                      </w:r>
                      <w:r w:rsidRPr="00570B72">
                        <w:rPr>
                          <w:rFonts w:ascii="Calibri" w:eastAsia="Times New Roman" w:hAnsi="Calibri" w:cs="Calibri"/>
                          <w:color w:val="000000"/>
                          <w:szCs w:val="20"/>
                          <w:lang w:eastAsia="en-GB"/>
                        </w:rPr>
                        <w:t xml:space="preserve">calculated for each FreeSurfer processing stream as the mean ICC value of subcortical volume and cortical volume, thickness, and </w:t>
                      </w:r>
                      <w:r w:rsidR="009117D0">
                        <w:rPr>
                          <w:rFonts w:ascii="Calibri" w:eastAsia="Times New Roman" w:hAnsi="Calibri" w:cs="Calibri"/>
                          <w:color w:val="000000"/>
                          <w:szCs w:val="20"/>
                          <w:lang w:eastAsia="en-GB"/>
                        </w:rPr>
                        <w:t xml:space="preserve">surface </w:t>
                      </w:r>
                      <w:r w:rsidRPr="00570B72">
                        <w:rPr>
                          <w:rFonts w:ascii="Calibri" w:eastAsia="Times New Roman" w:hAnsi="Calibri" w:cs="Calibri"/>
                          <w:color w:val="000000"/>
                          <w:szCs w:val="20"/>
                          <w:lang w:eastAsia="en-GB"/>
                        </w:rPr>
                        <w:t>area measurements</w:t>
                      </w:r>
                    </w:p>
                    <w:p w14:paraId="16DC2439" w14:textId="77777777" w:rsidR="00F45C7C" w:rsidRPr="00570B72" w:rsidRDefault="00F45C7C" w:rsidP="009B64BB">
                      <w:pPr>
                        <w:spacing w:after="0" w:line="240" w:lineRule="auto"/>
                        <w:rPr>
                          <w:sz w:val="22"/>
                        </w:rPr>
                      </w:pPr>
                    </w:p>
                  </w:txbxContent>
                </v:textbox>
                <w10:wrap type="tight" anchorx="margin"/>
              </v:shape>
            </w:pict>
          </mc:Fallback>
        </mc:AlternateContent>
      </w:r>
      <w:r w:rsidR="00570B72" w:rsidRPr="003F3B99">
        <w:rPr>
          <w:rFonts w:ascii="Calibri" w:eastAsia="Times New Roman" w:hAnsi="Calibri" w:cs="Calibri"/>
          <w:i/>
          <w:iCs/>
          <w:noProof/>
          <w:color w:val="000000"/>
          <w:sz w:val="22"/>
          <w:lang w:eastAsia="en-GB"/>
        </w:rPr>
        <mc:AlternateContent>
          <mc:Choice Requires="wps">
            <w:drawing>
              <wp:anchor distT="45720" distB="45720" distL="114300" distR="114300" simplePos="0" relativeHeight="251667456" behindDoc="0" locked="0" layoutInCell="1" allowOverlap="1" wp14:anchorId="20B9D76B" wp14:editId="1D105D05">
                <wp:simplePos x="0" y="0"/>
                <wp:positionH relativeFrom="margin">
                  <wp:align>center</wp:align>
                </wp:positionH>
                <wp:positionV relativeFrom="paragraph">
                  <wp:posOffset>-2091410</wp:posOffset>
                </wp:positionV>
                <wp:extent cx="6083935" cy="42862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428625"/>
                        </a:xfrm>
                        <a:prstGeom prst="rect">
                          <a:avLst/>
                        </a:prstGeom>
                        <a:noFill/>
                        <a:ln w="9525">
                          <a:noFill/>
                          <a:miter lim="800000"/>
                          <a:headEnd/>
                          <a:tailEnd/>
                        </a:ln>
                      </wps:spPr>
                      <wps:txbx>
                        <w:txbxContent>
                          <w:p w14:paraId="07B785F6" w14:textId="35FB7D29" w:rsidR="00F45C7C" w:rsidRPr="00570B72" w:rsidRDefault="00F45C7C" w:rsidP="00703921">
                            <w:pPr>
                              <w:spacing w:after="0" w:line="240" w:lineRule="auto"/>
                              <w:rPr>
                                <w:i/>
                                <w:iCs/>
                                <w:sz w:val="22"/>
                              </w:rPr>
                            </w:pPr>
                            <w:r w:rsidRPr="00570B72">
                              <w:rPr>
                                <w:i/>
                                <w:iCs/>
                                <w:sz w:val="22"/>
                              </w:rPr>
                              <w:t xml:space="preserve">Table 3: Mean ICC values of subcortical and cortical volume, cortical thickness, and cortical </w:t>
                            </w:r>
                            <w:r>
                              <w:rPr>
                                <w:i/>
                                <w:iCs/>
                                <w:sz w:val="22"/>
                              </w:rPr>
                              <w:t xml:space="preserve">surface </w:t>
                            </w:r>
                            <w:r w:rsidRPr="00570B72">
                              <w:rPr>
                                <w:i/>
                                <w:iCs/>
                                <w:sz w:val="22"/>
                              </w:rPr>
                              <w:t>area morphometric measurements from t</w:t>
                            </w:r>
                            <w:r>
                              <w:rPr>
                                <w:i/>
                                <w:iCs/>
                                <w:sz w:val="22"/>
                              </w:rPr>
                              <w:t>hree</w:t>
                            </w:r>
                            <w:r w:rsidRPr="00570B72">
                              <w:rPr>
                                <w:i/>
                                <w:iCs/>
                                <w:sz w:val="22"/>
                              </w:rPr>
                              <w:t>-week</w:t>
                            </w:r>
                            <w:r>
                              <w:rPr>
                                <w:i/>
                                <w:iCs/>
                                <w:sz w:val="22"/>
                              </w:rPr>
                              <w:t>s</w:t>
                            </w:r>
                            <w:r w:rsidRPr="00570B72">
                              <w:rPr>
                                <w:i/>
                                <w:iCs/>
                                <w:sz w:val="22"/>
                              </w:rPr>
                              <w:t xml:space="preserve"> (A1 vs B1) comparison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9D76B" id="Text Box 5" o:spid="_x0000_s1036" type="#_x0000_t202" style="position:absolute;margin-left:0;margin-top:-164.7pt;width:479.05pt;height:33.7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" filled="f" stroked="f">
                <v:textbox>
                  <w:txbxContent>
                    <w:p w14:paraId="07B785F6" w14:textId="35FB7D29" w:rsidR="00F45C7C" w:rsidRPr="00570B72" w:rsidRDefault="00F45C7C" w:rsidP="00703921">
                      <w:pPr>
                        <w:spacing w:after="0" w:line="240" w:lineRule="auto"/>
                        <w:rPr>
                          <w:i/>
                          <w:iCs/>
                          <w:sz w:val="22"/>
                        </w:rPr>
                      </w:pPr>
                      <w:r w:rsidRPr="00570B72">
                        <w:rPr>
                          <w:i/>
                          <w:iCs/>
                          <w:sz w:val="22"/>
                        </w:rPr>
                        <w:t xml:space="preserve">Table 3: Mean ICC values of subcortical and cortical volume, cortical thickness, and cortical </w:t>
                      </w:r>
                      <w:r>
                        <w:rPr>
                          <w:i/>
                          <w:iCs/>
                          <w:sz w:val="22"/>
                        </w:rPr>
                        <w:t xml:space="preserve">surface </w:t>
                      </w:r>
                      <w:r w:rsidRPr="00570B72">
                        <w:rPr>
                          <w:i/>
                          <w:iCs/>
                          <w:sz w:val="22"/>
                        </w:rPr>
                        <w:t>area morphometric measurements from t</w:t>
                      </w:r>
                      <w:r>
                        <w:rPr>
                          <w:i/>
                          <w:iCs/>
                          <w:sz w:val="22"/>
                        </w:rPr>
                        <w:t>hree</w:t>
                      </w:r>
                      <w:r w:rsidRPr="00570B72">
                        <w:rPr>
                          <w:i/>
                          <w:iCs/>
                          <w:sz w:val="22"/>
                        </w:rPr>
                        <w:t>-week</w:t>
                      </w:r>
                      <w:r>
                        <w:rPr>
                          <w:i/>
                          <w:iCs/>
                          <w:sz w:val="22"/>
                        </w:rPr>
                        <w:t>s</w:t>
                      </w:r>
                      <w:r w:rsidRPr="00570B72">
                        <w:rPr>
                          <w:i/>
                          <w:iCs/>
                          <w:sz w:val="22"/>
                        </w:rPr>
                        <w:t xml:space="preserve"> (A1 vs B1) comparison</w:t>
                      </w:r>
                    </w:p>
                  </w:txbxContent>
                </v:textbox>
                <w10:wrap type="square" anchorx="margin"/>
              </v:shape>
            </w:pict>
          </mc:Fallback>
        </mc:AlternateContent>
      </w:r>
    </w:p>
    <w:p w14:paraId="4B6BA0C7" w14:textId="7475B254" w:rsidR="00070B4D" w:rsidRDefault="0015544E" w:rsidP="000952D3">
      <w:pPr>
        <w:pStyle w:val="Heading2"/>
        <w:spacing w:after="120"/>
      </w:pPr>
      <w:r>
        <w:lastRenderedPageBreak/>
        <w:t>3.3 Supplementary analyses</w:t>
      </w:r>
      <w:r w:rsidR="008163D7">
        <w:t xml:space="preserve"> using mean absolute percentage </w:t>
      </w:r>
      <w:r w:rsidR="009B576E">
        <w:t>difference</w:t>
      </w:r>
    </w:p>
    <w:p w14:paraId="2AD23B4B" w14:textId="553A08DD" w:rsidR="00CE4839" w:rsidRPr="000952D3" w:rsidRDefault="001A3F5A" w:rsidP="000952D3">
      <w:pPr>
        <w:spacing w:after="240" w:line="360" w:lineRule="auto"/>
        <w:jc w:val="both"/>
        <w:rPr>
          <w:sz w:val="22"/>
        </w:rPr>
      </w:pPr>
      <w:r>
        <w:rPr>
          <w:sz w:val="22"/>
        </w:rPr>
        <w:t xml:space="preserve">Focusing on results from </w:t>
      </w:r>
      <w:r w:rsidR="00D01B46">
        <w:rPr>
          <w:sz w:val="22"/>
        </w:rPr>
        <w:t xml:space="preserve">the </w:t>
      </w:r>
      <w:r>
        <w:rPr>
          <w:sz w:val="22"/>
        </w:rPr>
        <w:t xml:space="preserve">FreeSurfer v7.1.0 longitudinal stream, </w:t>
      </w:r>
      <w:r w:rsidR="00597E9D">
        <w:rPr>
          <w:sz w:val="22"/>
        </w:rPr>
        <w:t>the</w:t>
      </w:r>
      <w:r w:rsidR="0003211D">
        <w:rPr>
          <w:sz w:val="22"/>
        </w:rPr>
        <w:t xml:space="preserve"> mean absolute percentage difference</w:t>
      </w:r>
      <w:r w:rsidR="00597E9D">
        <w:rPr>
          <w:sz w:val="22"/>
        </w:rPr>
        <w:t xml:space="preserve"> </w:t>
      </w:r>
      <w:r w:rsidR="00B94984">
        <w:rPr>
          <w:sz w:val="22"/>
        </w:rPr>
        <w:t>(</w:t>
      </w:r>
      <w:r w:rsidR="00597E9D">
        <w:rPr>
          <w:sz w:val="22"/>
        </w:rPr>
        <w:t>MPD</w:t>
      </w:r>
      <w:r w:rsidR="00B94984">
        <w:rPr>
          <w:sz w:val="22"/>
        </w:rPr>
        <w:t>)</w:t>
      </w:r>
      <w:r w:rsidR="00597E9D">
        <w:rPr>
          <w:sz w:val="22"/>
        </w:rPr>
        <w:t xml:space="preserve"> values for cortical volume, surface area and thickness measurements </w:t>
      </w:r>
      <w:r w:rsidR="00C01741">
        <w:rPr>
          <w:sz w:val="22"/>
        </w:rPr>
        <w:t>supported</w:t>
      </w:r>
      <w:r w:rsidR="00597E9D">
        <w:rPr>
          <w:sz w:val="22"/>
        </w:rPr>
        <w:t xml:space="preserve"> the IC</w:t>
      </w:r>
      <w:r w:rsidR="00855C1F">
        <w:rPr>
          <w:sz w:val="22"/>
        </w:rPr>
        <w:t>C results, where head tilt had the greatest adverse effect on reproducibility</w:t>
      </w:r>
      <w:r w:rsidR="00BF4EB8">
        <w:rPr>
          <w:sz w:val="22"/>
        </w:rPr>
        <w:t xml:space="preserve">. </w:t>
      </w:r>
      <w:r w:rsidR="005943CC">
        <w:rPr>
          <w:sz w:val="22"/>
        </w:rPr>
        <w:t>Generally, the MPD values were higher for subcortical volume measurements</w:t>
      </w:r>
      <w:r w:rsidR="00921675">
        <w:rPr>
          <w:sz w:val="22"/>
        </w:rPr>
        <w:t xml:space="preserve"> (1.948% to 2.852%)</w:t>
      </w:r>
      <w:r w:rsidR="00D61EAB">
        <w:rPr>
          <w:sz w:val="22"/>
        </w:rPr>
        <w:t>, which w</w:t>
      </w:r>
      <w:r w:rsidR="00934CAF">
        <w:rPr>
          <w:sz w:val="22"/>
        </w:rPr>
        <w:t>ere</w:t>
      </w:r>
      <w:r w:rsidR="00D61EAB">
        <w:rPr>
          <w:sz w:val="22"/>
        </w:rPr>
        <w:t xml:space="preserve"> particularly </w:t>
      </w:r>
      <w:r w:rsidR="00015FA1">
        <w:rPr>
          <w:sz w:val="22"/>
        </w:rPr>
        <w:t>impacted</w:t>
      </w:r>
      <w:r w:rsidR="00D61EAB">
        <w:rPr>
          <w:sz w:val="22"/>
        </w:rPr>
        <w:t xml:space="preserve"> by </w:t>
      </w:r>
      <w:r w:rsidR="00DD41C3">
        <w:rPr>
          <w:sz w:val="22"/>
        </w:rPr>
        <w:t>poor inferior lateral ventricle reproducibility, and were</w:t>
      </w:r>
      <w:r w:rsidR="00015FA1">
        <w:rPr>
          <w:sz w:val="22"/>
        </w:rPr>
        <w:t xml:space="preserve"> more affected </w:t>
      </w:r>
      <w:r w:rsidR="00BF4EB8">
        <w:rPr>
          <w:sz w:val="22"/>
        </w:rPr>
        <w:t xml:space="preserve">by the inter-scan interval, </w:t>
      </w:r>
      <w:r w:rsidR="003A472C">
        <w:rPr>
          <w:sz w:val="22"/>
        </w:rPr>
        <w:t xml:space="preserve">and </w:t>
      </w:r>
      <w:r w:rsidR="00BF4EB8">
        <w:rPr>
          <w:sz w:val="22"/>
        </w:rPr>
        <w:t xml:space="preserve">change in MRI sequence </w:t>
      </w:r>
      <w:r w:rsidR="003A472C">
        <w:rPr>
          <w:sz w:val="22"/>
        </w:rPr>
        <w:t>or</w:t>
      </w:r>
      <w:r w:rsidR="00BF4EB8">
        <w:rPr>
          <w:sz w:val="22"/>
        </w:rPr>
        <w:t xml:space="preserve"> scanner (Supplementary S1 eTable 1). </w:t>
      </w:r>
      <w:r w:rsidR="00585ED0">
        <w:rPr>
          <w:sz w:val="22"/>
        </w:rPr>
        <w:t xml:space="preserve">From the MPD results, we observed that </w:t>
      </w:r>
      <w:r w:rsidR="005A17E0">
        <w:rPr>
          <w:sz w:val="22"/>
        </w:rPr>
        <w:t xml:space="preserve">brain measurements processed by </w:t>
      </w:r>
      <w:r w:rsidR="006D6A38">
        <w:rPr>
          <w:sz w:val="22"/>
        </w:rPr>
        <w:t xml:space="preserve">FreeSurfer v7.1.0 longitudinal stream typically </w:t>
      </w:r>
      <w:r w:rsidR="005A17E0">
        <w:rPr>
          <w:sz w:val="22"/>
        </w:rPr>
        <w:t xml:space="preserve">had higher reproducibility </w:t>
      </w:r>
      <w:r w:rsidR="00AD3D01">
        <w:rPr>
          <w:sz w:val="22"/>
        </w:rPr>
        <w:t>(</w:t>
      </w:r>
      <w:r w:rsidR="00941D96">
        <w:rPr>
          <w:sz w:val="22"/>
        </w:rPr>
        <w:t>mean MPD of 1.978</w:t>
      </w:r>
      <w:r w:rsidR="00BA2898">
        <w:rPr>
          <w:sz w:val="22"/>
        </w:rPr>
        <w:t xml:space="preserve">%) </w:t>
      </w:r>
      <w:r w:rsidR="005A17E0">
        <w:rPr>
          <w:sz w:val="22"/>
        </w:rPr>
        <w:t xml:space="preserve">than the cross-sectional stream and earlier FreeSurfer versions </w:t>
      </w:r>
      <w:r w:rsidR="00BA2898">
        <w:rPr>
          <w:sz w:val="22"/>
        </w:rPr>
        <w:t xml:space="preserve">(mean MPDs of 2.046% to 5.038%) </w:t>
      </w:r>
      <w:r w:rsidR="00296EB4">
        <w:rPr>
          <w:sz w:val="22"/>
        </w:rPr>
        <w:t xml:space="preserve">(Supplementary S1 eTables 2 and 3). </w:t>
      </w:r>
      <w:r w:rsidR="00300328">
        <w:rPr>
          <w:sz w:val="22"/>
        </w:rPr>
        <w:t xml:space="preserve">Results for individual brain regions have been provided in Supplementary Materials S3. </w:t>
      </w:r>
      <w:r w:rsidR="00CE4839">
        <w:rPr>
          <w:bCs/>
        </w:rPr>
        <w:br w:type="page"/>
      </w:r>
    </w:p>
    <w:p w14:paraId="6BC0953A" w14:textId="66216951" w:rsidR="002B463C" w:rsidRPr="001C011E" w:rsidRDefault="00390293" w:rsidP="00141469">
      <w:pPr>
        <w:pStyle w:val="Heading1"/>
        <w:spacing w:after="120" w:line="360" w:lineRule="auto"/>
        <w:rPr>
          <w:bCs/>
        </w:rPr>
      </w:pPr>
      <w:r w:rsidRPr="001C011E">
        <w:rPr>
          <w:bCs/>
        </w:rPr>
        <w:lastRenderedPageBreak/>
        <w:t xml:space="preserve">4. </w:t>
      </w:r>
      <w:r w:rsidR="002B463C" w:rsidRPr="001C011E">
        <w:rPr>
          <w:bCs/>
        </w:rPr>
        <w:t>Discussion</w:t>
      </w:r>
    </w:p>
    <w:p w14:paraId="27EE0FBB" w14:textId="24990B5C" w:rsidR="00FC43A7" w:rsidRPr="002F1C13" w:rsidRDefault="006F5F72" w:rsidP="002F1C13">
      <w:pPr>
        <w:pStyle w:val="NoSpacing"/>
        <w:spacing w:after="120" w:line="360" w:lineRule="auto"/>
        <w:jc w:val="both"/>
        <w:rPr>
          <w:sz w:val="22"/>
        </w:rPr>
      </w:pPr>
      <w:r>
        <w:rPr>
          <w:sz w:val="22"/>
        </w:rPr>
        <w:t>We</w:t>
      </w:r>
      <w:r w:rsidR="00E11D5B" w:rsidRPr="003B48C1">
        <w:rPr>
          <w:sz w:val="22"/>
        </w:rPr>
        <w:t xml:space="preserve"> </w:t>
      </w:r>
      <w:r w:rsidR="00527E1E" w:rsidRPr="003B48C1">
        <w:rPr>
          <w:sz w:val="22"/>
        </w:rPr>
        <w:t xml:space="preserve">reported a </w:t>
      </w:r>
      <w:r w:rsidR="00940F40" w:rsidRPr="003B48C1">
        <w:rPr>
          <w:sz w:val="22"/>
        </w:rPr>
        <w:t>minimal</w:t>
      </w:r>
      <w:r w:rsidR="00527E1E" w:rsidRPr="003B48C1">
        <w:rPr>
          <w:sz w:val="22"/>
        </w:rPr>
        <w:t xml:space="preserve"> decrease in </w:t>
      </w:r>
      <w:r w:rsidR="008D5298" w:rsidRPr="003B48C1">
        <w:rPr>
          <w:sz w:val="22"/>
        </w:rPr>
        <w:t>reliability of longitudinal</w:t>
      </w:r>
      <w:r w:rsidR="00667EE8" w:rsidRPr="003B48C1">
        <w:rPr>
          <w:sz w:val="22"/>
        </w:rPr>
        <w:t xml:space="preserve"> MRI</w:t>
      </w:r>
      <w:r w:rsidR="008D5298" w:rsidRPr="003B48C1">
        <w:rPr>
          <w:sz w:val="22"/>
        </w:rPr>
        <w:t xml:space="preserve"> measures from </w:t>
      </w:r>
      <w:r w:rsidR="00282EFA" w:rsidRPr="003B48C1">
        <w:rPr>
          <w:sz w:val="22"/>
        </w:rPr>
        <w:t>within-session</w:t>
      </w:r>
      <w:r w:rsidR="00667EE8" w:rsidRPr="003B48C1">
        <w:rPr>
          <w:sz w:val="22"/>
        </w:rPr>
        <w:t xml:space="preserve"> to t</w:t>
      </w:r>
      <w:r w:rsidR="005B136B">
        <w:rPr>
          <w:sz w:val="22"/>
        </w:rPr>
        <w:t>hree</w:t>
      </w:r>
      <w:r w:rsidR="00667EE8" w:rsidRPr="003B48C1">
        <w:rPr>
          <w:sz w:val="22"/>
        </w:rPr>
        <w:t xml:space="preserve"> weeks and one year. </w:t>
      </w:r>
      <w:r w:rsidR="00070882" w:rsidRPr="003B48C1">
        <w:rPr>
          <w:sz w:val="22"/>
        </w:rPr>
        <w:t>Generally</w:t>
      </w:r>
      <w:r w:rsidR="00F448AA" w:rsidRPr="003B48C1">
        <w:rPr>
          <w:sz w:val="22"/>
        </w:rPr>
        <w:t xml:space="preserve">, head tilt </w:t>
      </w:r>
      <w:r w:rsidR="00056A9C" w:rsidRPr="003B48C1">
        <w:rPr>
          <w:sz w:val="22"/>
        </w:rPr>
        <w:t>had a greater</w:t>
      </w:r>
      <w:r>
        <w:rPr>
          <w:sz w:val="22"/>
        </w:rPr>
        <w:t xml:space="preserve"> adverse</w:t>
      </w:r>
      <w:r w:rsidR="00056A9C" w:rsidRPr="003B48C1">
        <w:rPr>
          <w:sz w:val="22"/>
        </w:rPr>
        <w:t xml:space="preserve"> impact on </w:t>
      </w:r>
      <w:r w:rsidR="00571E20">
        <w:rPr>
          <w:sz w:val="22"/>
        </w:rPr>
        <w:t>reliability</w:t>
      </w:r>
      <w:r w:rsidR="00364755" w:rsidRPr="003B48C1">
        <w:rPr>
          <w:sz w:val="22"/>
        </w:rPr>
        <w:t xml:space="preserve"> of brain </w:t>
      </w:r>
      <w:r w:rsidR="00EA525B">
        <w:rPr>
          <w:sz w:val="22"/>
        </w:rPr>
        <w:t>measurements</w:t>
      </w:r>
      <w:r w:rsidR="00364755" w:rsidRPr="003B48C1">
        <w:rPr>
          <w:sz w:val="22"/>
        </w:rPr>
        <w:t xml:space="preserve"> compared to </w:t>
      </w:r>
      <w:r w:rsidR="00E76D1F">
        <w:rPr>
          <w:sz w:val="22"/>
        </w:rPr>
        <w:t>participant</w:t>
      </w:r>
      <w:r w:rsidR="00364755" w:rsidRPr="003B48C1">
        <w:rPr>
          <w:sz w:val="22"/>
        </w:rPr>
        <w:t xml:space="preserve"> </w:t>
      </w:r>
      <w:r w:rsidR="006F1BCA">
        <w:rPr>
          <w:sz w:val="22"/>
        </w:rPr>
        <w:t>re</w:t>
      </w:r>
      <w:r w:rsidR="00364755" w:rsidRPr="003B48C1">
        <w:rPr>
          <w:sz w:val="22"/>
        </w:rPr>
        <w:t>positioning</w:t>
      </w:r>
      <w:r w:rsidR="00F455B8" w:rsidRPr="003B48C1">
        <w:rPr>
          <w:sz w:val="22"/>
        </w:rPr>
        <w:t xml:space="preserve"> and changes in MRI sequence or scanner</w:t>
      </w:r>
      <w:r w:rsidR="00364755" w:rsidRPr="003B48C1">
        <w:rPr>
          <w:sz w:val="22"/>
        </w:rPr>
        <w:t>.</w:t>
      </w:r>
      <w:r w:rsidR="00F455B8" w:rsidRPr="003B48C1">
        <w:rPr>
          <w:sz w:val="22"/>
        </w:rPr>
        <w:t xml:space="preserve"> Notably</w:t>
      </w:r>
      <w:r w:rsidR="00D51C54" w:rsidRPr="003B48C1">
        <w:rPr>
          <w:sz w:val="22"/>
        </w:rPr>
        <w:t xml:space="preserve">, the study demonstrated </w:t>
      </w:r>
      <w:r w:rsidR="001F428A" w:rsidRPr="003B48C1">
        <w:rPr>
          <w:sz w:val="22"/>
        </w:rPr>
        <w:t xml:space="preserve">the reliability advantages of </w:t>
      </w:r>
      <w:r w:rsidR="006E156C" w:rsidRPr="003B48C1">
        <w:rPr>
          <w:sz w:val="22"/>
        </w:rPr>
        <w:t>the FreeSurfer</w:t>
      </w:r>
      <w:r w:rsidR="004B4FF0" w:rsidRPr="003B48C1">
        <w:rPr>
          <w:sz w:val="22"/>
        </w:rPr>
        <w:t xml:space="preserve"> </w:t>
      </w:r>
      <w:r w:rsidR="005405E1" w:rsidRPr="003B48C1">
        <w:rPr>
          <w:sz w:val="22"/>
        </w:rPr>
        <w:t xml:space="preserve">longitudinal stream compared to </w:t>
      </w:r>
      <w:r w:rsidR="005D2B8E" w:rsidRPr="003B48C1">
        <w:rPr>
          <w:sz w:val="22"/>
        </w:rPr>
        <w:t>the cross-sectional stream</w:t>
      </w:r>
      <w:r w:rsidR="005405E1" w:rsidRPr="003B48C1">
        <w:rPr>
          <w:sz w:val="22"/>
        </w:rPr>
        <w:t xml:space="preserve">. </w:t>
      </w:r>
      <w:r w:rsidR="0042689D">
        <w:rPr>
          <w:sz w:val="22"/>
        </w:rPr>
        <w:t>These f</w:t>
      </w:r>
      <w:r w:rsidR="00F03A1E">
        <w:rPr>
          <w:sz w:val="22"/>
        </w:rPr>
        <w:t>indings wer</w:t>
      </w:r>
      <w:r w:rsidR="0042689D">
        <w:rPr>
          <w:sz w:val="22"/>
        </w:rPr>
        <w:t xml:space="preserve">e </w:t>
      </w:r>
      <w:r w:rsidR="00F03A1E">
        <w:rPr>
          <w:sz w:val="22"/>
        </w:rPr>
        <w:t xml:space="preserve">supported by supplementary MPD analyses. </w:t>
      </w:r>
      <w:r w:rsidR="002209A6" w:rsidRPr="003B48C1">
        <w:rPr>
          <w:sz w:val="22"/>
        </w:rPr>
        <w:t xml:space="preserve">To our knowledge, this is the first study to provide </w:t>
      </w:r>
      <w:r w:rsidR="00302336" w:rsidRPr="003B48C1">
        <w:rPr>
          <w:sz w:val="22"/>
        </w:rPr>
        <w:t>ICC</w:t>
      </w:r>
      <w:r w:rsidR="00B643DF" w:rsidRPr="003B48C1">
        <w:rPr>
          <w:sz w:val="22"/>
        </w:rPr>
        <w:t xml:space="preserve"> reliability </w:t>
      </w:r>
      <w:r w:rsidR="00DE3804">
        <w:rPr>
          <w:sz w:val="22"/>
        </w:rPr>
        <w:t xml:space="preserve">and MPD </w:t>
      </w:r>
      <w:r w:rsidR="00302336" w:rsidRPr="003B48C1">
        <w:rPr>
          <w:sz w:val="22"/>
        </w:rPr>
        <w:t>values</w:t>
      </w:r>
      <w:r w:rsidR="00B643DF" w:rsidRPr="003B48C1">
        <w:rPr>
          <w:sz w:val="22"/>
        </w:rPr>
        <w:t xml:space="preserve"> for </w:t>
      </w:r>
      <w:r w:rsidR="00A733A1">
        <w:rPr>
          <w:sz w:val="22"/>
        </w:rPr>
        <w:t xml:space="preserve">all </w:t>
      </w:r>
      <w:r w:rsidR="0062727E" w:rsidRPr="003B48C1">
        <w:rPr>
          <w:sz w:val="22"/>
        </w:rPr>
        <w:t>FreeSurfer</w:t>
      </w:r>
      <w:r w:rsidR="00A40CBC">
        <w:rPr>
          <w:sz w:val="22"/>
        </w:rPr>
        <w:t>-segmented</w:t>
      </w:r>
      <w:r w:rsidR="00715EEB">
        <w:rPr>
          <w:sz w:val="22"/>
        </w:rPr>
        <w:t xml:space="preserve"> regions,</w:t>
      </w:r>
      <w:r w:rsidR="0062727E" w:rsidRPr="003B48C1">
        <w:rPr>
          <w:sz w:val="22"/>
        </w:rPr>
        <w:t xml:space="preserve"> </w:t>
      </w:r>
      <w:r w:rsidR="008F41A8" w:rsidRPr="003B48C1">
        <w:rPr>
          <w:sz w:val="22"/>
        </w:rPr>
        <w:t xml:space="preserve">which may inform </w:t>
      </w:r>
      <w:r w:rsidR="007832A1" w:rsidRPr="003B48C1">
        <w:rPr>
          <w:sz w:val="22"/>
        </w:rPr>
        <w:t xml:space="preserve">power calculations and </w:t>
      </w:r>
      <w:r w:rsidR="005B229D" w:rsidRPr="003B48C1">
        <w:rPr>
          <w:sz w:val="22"/>
        </w:rPr>
        <w:t xml:space="preserve">study design for future longitudinal MRI studies. </w:t>
      </w:r>
    </w:p>
    <w:p w14:paraId="278B78C4" w14:textId="03598716" w:rsidR="00EB3F77" w:rsidRDefault="005D2B8E" w:rsidP="002F1C13">
      <w:pPr>
        <w:pStyle w:val="NoSpacing"/>
        <w:spacing w:after="120" w:line="360" w:lineRule="auto"/>
        <w:jc w:val="both"/>
        <w:rPr>
          <w:sz w:val="22"/>
        </w:rPr>
      </w:pPr>
      <w:r>
        <w:rPr>
          <w:sz w:val="22"/>
        </w:rPr>
        <w:t>We</w:t>
      </w:r>
      <w:r w:rsidR="00F51619" w:rsidRPr="003B48C1">
        <w:rPr>
          <w:sz w:val="22"/>
        </w:rPr>
        <w:t xml:space="preserve"> </w:t>
      </w:r>
      <w:r w:rsidR="00277E32" w:rsidRPr="003B48C1">
        <w:rPr>
          <w:sz w:val="22"/>
        </w:rPr>
        <w:t xml:space="preserve">first </w:t>
      </w:r>
      <w:r w:rsidR="00715EEB">
        <w:rPr>
          <w:sz w:val="22"/>
        </w:rPr>
        <w:t>demonstrated</w:t>
      </w:r>
      <w:r w:rsidR="00F51619" w:rsidRPr="003B48C1">
        <w:rPr>
          <w:sz w:val="22"/>
        </w:rPr>
        <w:t xml:space="preserve"> </w:t>
      </w:r>
      <w:r w:rsidR="00494A94" w:rsidRPr="003B48C1">
        <w:rPr>
          <w:sz w:val="22"/>
        </w:rPr>
        <w:t xml:space="preserve">how </w:t>
      </w:r>
      <w:r w:rsidR="00D73313" w:rsidRPr="003B48C1">
        <w:rPr>
          <w:sz w:val="22"/>
        </w:rPr>
        <w:t xml:space="preserve">the </w:t>
      </w:r>
      <w:r w:rsidR="00494A94" w:rsidRPr="003B48C1">
        <w:rPr>
          <w:sz w:val="22"/>
        </w:rPr>
        <w:t xml:space="preserve">test-retest reliability of MRI-derived measurements are </w:t>
      </w:r>
      <w:r w:rsidR="006B6493" w:rsidRPr="003B48C1">
        <w:rPr>
          <w:sz w:val="22"/>
        </w:rPr>
        <w:t xml:space="preserve">impacted by </w:t>
      </w:r>
      <w:r w:rsidR="00A7537F" w:rsidRPr="003B48C1">
        <w:rPr>
          <w:sz w:val="22"/>
        </w:rPr>
        <w:t>image acquisition factors</w:t>
      </w:r>
      <w:r w:rsidR="004A4468" w:rsidRPr="003B48C1">
        <w:rPr>
          <w:sz w:val="22"/>
        </w:rPr>
        <w:t>, namely</w:t>
      </w:r>
      <w:r w:rsidR="00A7537F" w:rsidRPr="003B48C1">
        <w:rPr>
          <w:sz w:val="22"/>
        </w:rPr>
        <w:t xml:space="preserve"> </w:t>
      </w:r>
      <w:r w:rsidR="0076264A" w:rsidRPr="003B48C1">
        <w:rPr>
          <w:sz w:val="22"/>
        </w:rPr>
        <w:t>scan session (</w:t>
      </w:r>
      <w:r w:rsidR="00DE3FD6">
        <w:rPr>
          <w:sz w:val="22"/>
        </w:rPr>
        <w:t>repetition</w:t>
      </w:r>
      <w:r w:rsidR="001E07A4">
        <w:rPr>
          <w:sz w:val="22"/>
        </w:rPr>
        <w:t>), inter-scan interval</w:t>
      </w:r>
      <w:r w:rsidR="0076264A" w:rsidRPr="003B48C1">
        <w:rPr>
          <w:sz w:val="22"/>
        </w:rPr>
        <w:t xml:space="preserve"> </w:t>
      </w:r>
      <w:r w:rsidR="001E07A4">
        <w:rPr>
          <w:sz w:val="22"/>
        </w:rPr>
        <w:t>(</w:t>
      </w:r>
      <w:r w:rsidR="0076264A" w:rsidRPr="003B48C1">
        <w:rPr>
          <w:sz w:val="22"/>
        </w:rPr>
        <w:t>t</w:t>
      </w:r>
      <w:r w:rsidR="005B136B">
        <w:rPr>
          <w:sz w:val="22"/>
        </w:rPr>
        <w:t>hree</w:t>
      </w:r>
      <w:r w:rsidR="0076264A" w:rsidRPr="003B48C1">
        <w:rPr>
          <w:sz w:val="22"/>
        </w:rPr>
        <w:t xml:space="preserve"> weeks and one year), </w:t>
      </w:r>
      <w:r w:rsidR="00866F51" w:rsidRPr="003B48C1">
        <w:rPr>
          <w:sz w:val="22"/>
        </w:rPr>
        <w:t>participant position</w:t>
      </w:r>
      <w:r w:rsidR="00337FCB" w:rsidRPr="003B48C1">
        <w:rPr>
          <w:sz w:val="22"/>
        </w:rPr>
        <w:t>ing</w:t>
      </w:r>
      <w:r w:rsidR="00866F51" w:rsidRPr="003B48C1">
        <w:rPr>
          <w:sz w:val="22"/>
        </w:rPr>
        <w:t xml:space="preserve">, head tilt, </w:t>
      </w:r>
      <w:r w:rsidR="00DE3FD6">
        <w:rPr>
          <w:sz w:val="22"/>
        </w:rPr>
        <w:t xml:space="preserve">MRI </w:t>
      </w:r>
      <w:r w:rsidR="00866F51" w:rsidRPr="003B48C1">
        <w:rPr>
          <w:sz w:val="22"/>
        </w:rPr>
        <w:t>sequence and</w:t>
      </w:r>
      <w:r w:rsidR="00DE3FD6">
        <w:rPr>
          <w:sz w:val="22"/>
        </w:rPr>
        <w:t xml:space="preserve"> </w:t>
      </w:r>
      <w:r w:rsidR="00866F51" w:rsidRPr="003B48C1">
        <w:rPr>
          <w:sz w:val="22"/>
        </w:rPr>
        <w:t xml:space="preserve">scanner. </w:t>
      </w:r>
      <w:r w:rsidR="00462684" w:rsidRPr="003B48C1">
        <w:rPr>
          <w:sz w:val="22"/>
        </w:rPr>
        <w:t>F</w:t>
      </w:r>
      <w:r w:rsidR="00474E5D" w:rsidRPr="003B48C1">
        <w:rPr>
          <w:sz w:val="22"/>
        </w:rPr>
        <w:t xml:space="preserve">ocusing on </w:t>
      </w:r>
      <w:r w:rsidR="004A4468" w:rsidRPr="003B48C1">
        <w:rPr>
          <w:sz w:val="22"/>
        </w:rPr>
        <w:t xml:space="preserve">results obtained </w:t>
      </w:r>
      <w:r w:rsidR="007E55E3" w:rsidRPr="003B48C1">
        <w:rPr>
          <w:sz w:val="22"/>
        </w:rPr>
        <w:t>fro</w:t>
      </w:r>
      <w:r w:rsidR="00DE3FD6">
        <w:rPr>
          <w:sz w:val="22"/>
        </w:rPr>
        <w:t xml:space="preserve">m </w:t>
      </w:r>
      <w:r w:rsidR="004A4468" w:rsidRPr="003B48C1">
        <w:rPr>
          <w:sz w:val="22"/>
        </w:rPr>
        <w:t xml:space="preserve">the FreeSurfer </w:t>
      </w:r>
      <w:r w:rsidR="00C5333C">
        <w:rPr>
          <w:sz w:val="22"/>
        </w:rPr>
        <w:t>v</w:t>
      </w:r>
      <w:r w:rsidR="004A4468" w:rsidRPr="003B48C1">
        <w:rPr>
          <w:sz w:val="22"/>
        </w:rPr>
        <w:t xml:space="preserve">7.1.0 longitudinal stream, </w:t>
      </w:r>
      <w:r w:rsidR="008169E8">
        <w:rPr>
          <w:sz w:val="22"/>
        </w:rPr>
        <w:t xml:space="preserve">repetition </w:t>
      </w:r>
      <w:r w:rsidR="00AF0886" w:rsidRPr="003B48C1">
        <w:rPr>
          <w:sz w:val="22"/>
        </w:rPr>
        <w:t xml:space="preserve">had </w:t>
      </w:r>
      <w:r w:rsidR="000B4AAB" w:rsidRPr="003B48C1">
        <w:rPr>
          <w:sz w:val="22"/>
        </w:rPr>
        <w:t>the greatest</w:t>
      </w:r>
      <w:r w:rsidR="00AF0886" w:rsidRPr="003B48C1">
        <w:rPr>
          <w:sz w:val="22"/>
        </w:rPr>
        <w:t xml:space="preserve"> reliability</w:t>
      </w:r>
      <w:r w:rsidR="00921931" w:rsidRPr="003B48C1">
        <w:rPr>
          <w:sz w:val="22"/>
        </w:rPr>
        <w:t xml:space="preserve"> </w:t>
      </w:r>
      <w:r w:rsidR="001C78C8" w:rsidRPr="003B48C1">
        <w:rPr>
          <w:sz w:val="22"/>
        </w:rPr>
        <w:t xml:space="preserve">but the ICCs </w:t>
      </w:r>
      <w:r w:rsidR="000B4AAB" w:rsidRPr="003B48C1">
        <w:rPr>
          <w:sz w:val="22"/>
        </w:rPr>
        <w:t>at t</w:t>
      </w:r>
      <w:r w:rsidR="005B136B">
        <w:rPr>
          <w:sz w:val="22"/>
        </w:rPr>
        <w:t>hree</w:t>
      </w:r>
      <w:r w:rsidR="000B4AAB" w:rsidRPr="003B48C1">
        <w:rPr>
          <w:sz w:val="22"/>
        </w:rPr>
        <w:t xml:space="preserve"> weeks and one year </w:t>
      </w:r>
      <w:r w:rsidR="001313B0" w:rsidRPr="003B48C1">
        <w:rPr>
          <w:sz w:val="22"/>
        </w:rPr>
        <w:t xml:space="preserve">still </w:t>
      </w:r>
      <w:r w:rsidR="006E56C5" w:rsidRPr="003B48C1">
        <w:rPr>
          <w:sz w:val="22"/>
        </w:rPr>
        <w:t>indicat</w:t>
      </w:r>
      <w:r w:rsidR="001313B0" w:rsidRPr="003B48C1">
        <w:rPr>
          <w:sz w:val="22"/>
        </w:rPr>
        <w:t xml:space="preserve">ed </w:t>
      </w:r>
      <w:r w:rsidR="000C2B2B">
        <w:rPr>
          <w:sz w:val="22"/>
        </w:rPr>
        <w:t xml:space="preserve">high </w:t>
      </w:r>
      <w:r w:rsidR="001313B0" w:rsidRPr="003B48C1">
        <w:rPr>
          <w:sz w:val="22"/>
        </w:rPr>
        <w:t>reliability</w:t>
      </w:r>
      <w:r w:rsidR="00517DD6" w:rsidRPr="003B48C1">
        <w:rPr>
          <w:sz w:val="22"/>
        </w:rPr>
        <w:t xml:space="preserve"> of </w:t>
      </w:r>
      <w:r w:rsidR="007F4297">
        <w:rPr>
          <w:sz w:val="22"/>
        </w:rPr>
        <w:t xml:space="preserve">structural </w:t>
      </w:r>
      <w:r w:rsidR="00517DD6" w:rsidRPr="003B48C1">
        <w:rPr>
          <w:sz w:val="22"/>
        </w:rPr>
        <w:t>brain measurements</w:t>
      </w:r>
      <w:r w:rsidR="001313B0" w:rsidRPr="003B48C1">
        <w:rPr>
          <w:sz w:val="22"/>
        </w:rPr>
        <w:t xml:space="preserve">. </w:t>
      </w:r>
      <w:r w:rsidR="00442C81" w:rsidRPr="003B48C1">
        <w:rPr>
          <w:sz w:val="22"/>
        </w:rPr>
        <w:t>These results are in line with</w:t>
      </w:r>
      <w:r w:rsidR="0058167B" w:rsidRPr="003B48C1">
        <w:rPr>
          <w:sz w:val="22"/>
        </w:rPr>
        <w:t xml:space="preserve"> early</w:t>
      </w:r>
      <w:r w:rsidR="00442C81" w:rsidRPr="003B48C1">
        <w:rPr>
          <w:sz w:val="22"/>
        </w:rPr>
        <w:t xml:space="preserve"> findings by Jovicich and colleagues (2009) who reported comparable within- and between-session reliability of </w:t>
      </w:r>
      <w:r w:rsidR="0004075D" w:rsidRPr="003B48C1">
        <w:rPr>
          <w:sz w:val="22"/>
        </w:rPr>
        <w:t>subcortical volume estimates</w:t>
      </w:r>
      <w:r w:rsidR="009274D7" w:rsidRPr="003B48C1">
        <w:rPr>
          <w:sz w:val="22"/>
        </w:rPr>
        <w:t xml:space="preserve"> </w:t>
      </w:r>
      <w:r w:rsidR="001452A1" w:rsidRPr="003B48C1">
        <w:rPr>
          <w:sz w:val="22"/>
        </w:rPr>
        <w:t>from FreeSurfer</w:t>
      </w:r>
      <w:r w:rsidR="0097636E" w:rsidRPr="003B48C1">
        <w:rPr>
          <w:sz w:val="22"/>
        </w:rPr>
        <w:t xml:space="preserve"> </w:t>
      </w:r>
      <w:r w:rsidR="00E546EF">
        <w:rPr>
          <w:sz w:val="22"/>
        </w:rPr>
        <w:t>v</w:t>
      </w:r>
      <w:r w:rsidR="00983696">
        <w:rPr>
          <w:sz w:val="22"/>
        </w:rPr>
        <w:t>4.0</w:t>
      </w:r>
      <w:r w:rsidR="001452A1" w:rsidRPr="003B48C1">
        <w:rPr>
          <w:sz w:val="22"/>
        </w:rPr>
        <w:t xml:space="preserve">. </w:t>
      </w:r>
      <w:r w:rsidR="00E06A49" w:rsidRPr="003B48C1">
        <w:rPr>
          <w:sz w:val="22"/>
        </w:rPr>
        <w:t>In our study, the small decrease</w:t>
      </w:r>
      <w:r w:rsidR="00730FA5" w:rsidRPr="003B48C1">
        <w:rPr>
          <w:sz w:val="22"/>
        </w:rPr>
        <w:t xml:space="preserve"> in reproducibility of brain </w:t>
      </w:r>
      <w:r w:rsidR="00B8402C">
        <w:rPr>
          <w:sz w:val="22"/>
        </w:rPr>
        <w:t>measurements</w:t>
      </w:r>
      <w:r w:rsidR="00B8402C" w:rsidRPr="003B48C1">
        <w:rPr>
          <w:sz w:val="22"/>
        </w:rPr>
        <w:t xml:space="preserve"> </w:t>
      </w:r>
      <w:r w:rsidR="00730FA5" w:rsidRPr="003B48C1">
        <w:rPr>
          <w:sz w:val="22"/>
        </w:rPr>
        <w:t>at one year may reflect physiological changes, such as normal aging</w:t>
      </w:r>
      <w:r w:rsidR="00B55718">
        <w:rPr>
          <w:sz w:val="22"/>
        </w:rPr>
        <w:t xml:space="preserve"> </w:t>
      </w:r>
      <w:r w:rsidR="00362FF1">
        <w:rPr>
          <w:noProof/>
          <w:sz w:val="22"/>
        </w:rPr>
        <w:t>(Scahill et al., 2003)</w:t>
      </w:r>
      <w:r w:rsidR="00362FF1">
        <w:rPr>
          <w:sz w:val="22"/>
        </w:rPr>
        <w:t xml:space="preserve">. </w:t>
      </w:r>
      <w:r w:rsidR="000A4B43" w:rsidRPr="003B48C1">
        <w:rPr>
          <w:sz w:val="22"/>
        </w:rPr>
        <w:t xml:space="preserve">In general, </w:t>
      </w:r>
      <w:r w:rsidR="002454F5">
        <w:rPr>
          <w:sz w:val="22"/>
        </w:rPr>
        <w:t xml:space="preserve">the </w:t>
      </w:r>
      <w:r w:rsidR="000A4B43" w:rsidRPr="003B48C1">
        <w:rPr>
          <w:sz w:val="22"/>
        </w:rPr>
        <w:t>r</w:t>
      </w:r>
      <w:r w:rsidR="00032D30" w:rsidRPr="003B48C1">
        <w:rPr>
          <w:sz w:val="22"/>
        </w:rPr>
        <w:t xml:space="preserve">eliability of </w:t>
      </w:r>
      <w:r w:rsidR="001D29BF" w:rsidRPr="003B48C1">
        <w:rPr>
          <w:sz w:val="22"/>
        </w:rPr>
        <w:t xml:space="preserve">brain </w:t>
      </w:r>
      <w:r w:rsidR="00B8402C">
        <w:rPr>
          <w:sz w:val="22"/>
        </w:rPr>
        <w:t>measurements</w:t>
      </w:r>
      <w:r w:rsidR="000E5ECC">
        <w:rPr>
          <w:sz w:val="22"/>
        </w:rPr>
        <w:t>, and particularly cortical thickness,</w:t>
      </w:r>
      <w:r w:rsidR="00B8402C" w:rsidRPr="003B48C1">
        <w:rPr>
          <w:sz w:val="22"/>
        </w:rPr>
        <w:t xml:space="preserve"> </w:t>
      </w:r>
      <w:r w:rsidR="00730FA5" w:rsidRPr="003B48C1">
        <w:rPr>
          <w:sz w:val="22"/>
        </w:rPr>
        <w:t xml:space="preserve">seemed to be most affected by </w:t>
      </w:r>
      <w:r w:rsidR="007E7934" w:rsidRPr="003B48C1">
        <w:rPr>
          <w:sz w:val="22"/>
        </w:rPr>
        <w:t>participants’ head tilt</w:t>
      </w:r>
      <w:r w:rsidR="000A4B43" w:rsidRPr="003B48C1">
        <w:rPr>
          <w:sz w:val="22"/>
        </w:rPr>
        <w:t>.</w:t>
      </w:r>
      <w:r w:rsidR="00F03DC2">
        <w:rPr>
          <w:sz w:val="22"/>
        </w:rPr>
        <w:t xml:space="preserve"> </w:t>
      </w:r>
      <w:r w:rsidR="002454F5">
        <w:rPr>
          <w:sz w:val="22"/>
        </w:rPr>
        <w:t>Furthermore, p</w:t>
      </w:r>
      <w:r w:rsidR="00F03DC2">
        <w:rPr>
          <w:sz w:val="22"/>
        </w:rPr>
        <w:t>ost-hoc statistical power calculations</w:t>
      </w:r>
      <w:r w:rsidR="008C57AE">
        <w:rPr>
          <w:sz w:val="22"/>
        </w:rPr>
        <w:t xml:space="preserve"> showed that, on average, an increased number of participants would be needed to detect longitudinal </w:t>
      </w:r>
      <w:r w:rsidR="00A57586">
        <w:rPr>
          <w:sz w:val="22"/>
        </w:rPr>
        <w:t>thickness</w:t>
      </w:r>
      <w:r w:rsidR="008C57AE">
        <w:rPr>
          <w:sz w:val="22"/>
        </w:rPr>
        <w:t xml:space="preserve"> changes following a head tilt compared to </w:t>
      </w:r>
      <w:r w:rsidR="00177E38">
        <w:rPr>
          <w:sz w:val="22"/>
        </w:rPr>
        <w:t>three-week scan.</w:t>
      </w:r>
      <w:r w:rsidR="000A4B43" w:rsidRPr="003B48C1">
        <w:rPr>
          <w:sz w:val="22"/>
        </w:rPr>
        <w:t xml:space="preserve"> </w:t>
      </w:r>
      <w:r w:rsidR="00517F79">
        <w:rPr>
          <w:sz w:val="22"/>
        </w:rPr>
        <w:t xml:space="preserve">We have demonstrated </w:t>
      </w:r>
      <w:r w:rsidR="007D1F12">
        <w:rPr>
          <w:sz w:val="22"/>
        </w:rPr>
        <w:t>evidence that reduced cortical thickness in the head tilt condition may arise due to reduced contrast-to-noise ratio in the MRI data.</w:t>
      </w:r>
      <w:r w:rsidR="00DB5744">
        <w:rPr>
          <w:sz w:val="22"/>
        </w:rPr>
        <w:t xml:space="preserve"> </w:t>
      </w:r>
      <w:r w:rsidR="005A4CEE">
        <w:rPr>
          <w:sz w:val="22"/>
        </w:rPr>
        <w:t xml:space="preserve">Although other head rotations </w:t>
      </w:r>
      <w:r w:rsidR="002216E2">
        <w:rPr>
          <w:sz w:val="22"/>
        </w:rPr>
        <w:t>could</w:t>
      </w:r>
      <w:r w:rsidR="005A4CEE">
        <w:rPr>
          <w:sz w:val="22"/>
        </w:rPr>
        <w:t xml:space="preserve"> also have</w:t>
      </w:r>
      <w:r w:rsidR="00E46294">
        <w:rPr>
          <w:sz w:val="22"/>
        </w:rPr>
        <w:t xml:space="preserve"> had</w:t>
      </w:r>
      <w:r w:rsidR="005A4CEE">
        <w:rPr>
          <w:sz w:val="22"/>
        </w:rPr>
        <w:t xml:space="preserve"> an impact, </w:t>
      </w:r>
      <w:r w:rsidR="002216E2">
        <w:rPr>
          <w:sz w:val="22"/>
        </w:rPr>
        <w:t>w</w:t>
      </w:r>
      <w:r w:rsidR="00E35F8D">
        <w:rPr>
          <w:sz w:val="22"/>
        </w:rPr>
        <w:t>e chose to examine the change in pitch</w:t>
      </w:r>
      <w:r w:rsidR="00E77E7F">
        <w:rPr>
          <w:sz w:val="22"/>
        </w:rPr>
        <w:t xml:space="preserve"> (i.e., chin moving towards the neck) as this is a common motion over time during long</w:t>
      </w:r>
      <w:r w:rsidR="00197322">
        <w:rPr>
          <w:sz w:val="22"/>
        </w:rPr>
        <w:t xml:space="preserve"> scans. </w:t>
      </w:r>
      <w:r w:rsidR="00D22829">
        <w:rPr>
          <w:sz w:val="22"/>
        </w:rPr>
        <w:t>The head tilt (of seven degrees)</w:t>
      </w:r>
      <w:r w:rsidR="00E34D2E">
        <w:rPr>
          <w:sz w:val="22"/>
        </w:rPr>
        <w:t xml:space="preserve"> occurred after the </w:t>
      </w:r>
      <w:r w:rsidR="006109F1">
        <w:rPr>
          <w:sz w:val="22"/>
        </w:rPr>
        <w:t>localizer</w:t>
      </w:r>
      <w:r w:rsidR="00E34D2E">
        <w:rPr>
          <w:sz w:val="22"/>
        </w:rPr>
        <w:t xml:space="preserve"> image</w:t>
      </w:r>
      <w:r w:rsidR="00CA19A7">
        <w:rPr>
          <w:sz w:val="22"/>
        </w:rPr>
        <w:t>, but before the start of the scan,</w:t>
      </w:r>
      <w:r w:rsidR="00E34D2E">
        <w:rPr>
          <w:sz w:val="22"/>
        </w:rPr>
        <w:t xml:space="preserve"> which may occur in a clinical study if the structural scan is acquired later in the protocol a</w:t>
      </w:r>
      <w:r w:rsidR="00041DB5">
        <w:rPr>
          <w:sz w:val="22"/>
        </w:rPr>
        <w:t xml:space="preserve">nd </w:t>
      </w:r>
      <w:r w:rsidR="00C1563D">
        <w:rPr>
          <w:sz w:val="22"/>
        </w:rPr>
        <w:t xml:space="preserve">the </w:t>
      </w:r>
      <w:r w:rsidR="00041DB5">
        <w:rPr>
          <w:sz w:val="22"/>
        </w:rPr>
        <w:t xml:space="preserve">participant’s head has </w:t>
      </w:r>
      <w:r w:rsidR="00A22C11">
        <w:rPr>
          <w:sz w:val="22"/>
        </w:rPr>
        <w:t xml:space="preserve">since </w:t>
      </w:r>
      <w:r w:rsidR="006B7AE1">
        <w:rPr>
          <w:sz w:val="22"/>
        </w:rPr>
        <w:t>moved</w:t>
      </w:r>
      <w:r w:rsidR="00041DB5">
        <w:rPr>
          <w:sz w:val="22"/>
        </w:rPr>
        <w:t xml:space="preserve">. </w:t>
      </w:r>
      <w:r w:rsidR="00403F8D">
        <w:rPr>
          <w:sz w:val="22"/>
        </w:rPr>
        <w:t xml:space="preserve">Previous research </w:t>
      </w:r>
      <w:r w:rsidR="009614CF">
        <w:rPr>
          <w:sz w:val="22"/>
        </w:rPr>
        <w:t>has only reported on the effects of head motion during a scan</w:t>
      </w:r>
      <w:r w:rsidR="00CA19A7">
        <w:rPr>
          <w:sz w:val="22"/>
        </w:rPr>
        <w:t>, which can</w:t>
      </w:r>
      <w:r w:rsidR="007C1970">
        <w:rPr>
          <w:sz w:val="22"/>
        </w:rPr>
        <w:t xml:space="preserve"> also</w:t>
      </w:r>
      <w:r w:rsidR="00CA19A7">
        <w:rPr>
          <w:sz w:val="22"/>
        </w:rPr>
        <w:t xml:space="preserve"> lead to systematic biases in brain estimation</w:t>
      </w:r>
      <w:r w:rsidR="00362FF1">
        <w:rPr>
          <w:sz w:val="22"/>
        </w:rPr>
        <w:t xml:space="preserve"> </w:t>
      </w:r>
      <w:r w:rsidR="007D1CF0">
        <w:rPr>
          <w:noProof/>
          <w:sz w:val="22"/>
        </w:rPr>
        <w:t>(Alexander‐Bloch et al., 2016, Reuter et al., 2015, Savalia et al., 2017)</w:t>
      </w:r>
      <w:r w:rsidR="007D1CF0">
        <w:rPr>
          <w:sz w:val="22"/>
        </w:rPr>
        <w:t>.</w:t>
      </w:r>
      <w:r w:rsidR="006B7AE1">
        <w:rPr>
          <w:sz w:val="22"/>
        </w:rPr>
        <w:t xml:space="preserve"> </w:t>
      </w:r>
      <w:r w:rsidR="00134B64">
        <w:rPr>
          <w:sz w:val="22"/>
        </w:rPr>
        <w:t xml:space="preserve">As well as reducing </w:t>
      </w:r>
      <w:r w:rsidR="00C34FAF">
        <w:rPr>
          <w:sz w:val="22"/>
        </w:rPr>
        <w:t>head motion during the scan</w:t>
      </w:r>
      <w:r w:rsidR="007D1CF0">
        <w:rPr>
          <w:sz w:val="22"/>
        </w:rPr>
        <w:t xml:space="preserve"> </w:t>
      </w:r>
      <w:r w:rsidR="007D1CF0">
        <w:rPr>
          <w:noProof/>
          <w:sz w:val="22"/>
        </w:rPr>
        <w:t>(Reuter et al., 2015)</w:t>
      </w:r>
      <w:r w:rsidR="007D1CF0">
        <w:rPr>
          <w:sz w:val="22"/>
        </w:rPr>
        <w:t xml:space="preserve">, </w:t>
      </w:r>
      <w:r w:rsidR="000778B5">
        <w:rPr>
          <w:sz w:val="22"/>
        </w:rPr>
        <w:t>we recommend that studies monitor or control for head tilt after the locali</w:t>
      </w:r>
      <w:r w:rsidR="006109F1">
        <w:rPr>
          <w:sz w:val="22"/>
        </w:rPr>
        <w:t>z</w:t>
      </w:r>
      <w:r w:rsidR="000778B5">
        <w:rPr>
          <w:sz w:val="22"/>
        </w:rPr>
        <w:t xml:space="preserve">er scan. </w:t>
      </w:r>
      <w:r w:rsidR="00374AFC">
        <w:rPr>
          <w:sz w:val="22"/>
        </w:rPr>
        <w:t>Furthermore</w:t>
      </w:r>
      <w:r w:rsidR="00A77FC4" w:rsidRPr="003B48C1">
        <w:rPr>
          <w:sz w:val="22"/>
        </w:rPr>
        <w:t xml:space="preserve">, we reported that </w:t>
      </w:r>
      <w:r w:rsidR="0000765B" w:rsidRPr="003B48C1">
        <w:rPr>
          <w:sz w:val="22"/>
        </w:rPr>
        <w:t>comparison</w:t>
      </w:r>
      <w:r w:rsidR="00887D7B" w:rsidRPr="003B48C1">
        <w:rPr>
          <w:sz w:val="22"/>
        </w:rPr>
        <w:t>s</w:t>
      </w:r>
      <w:r w:rsidR="0000765B" w:rsidRPr="003B48C1">
        <w:rPr>
          <w:sz w:val="22"/>
        </w:rPr>
        <w:t xml:space="preserve"> of different</w:t>
      </w:r>
      <w:r w:rsidR="00A77FC4" w:rsidRPr="003B48C1">
        <w:rPr>
          <w:sz w:val="22"/>
        </w:rPr>
        <w:t xml:space="preserve"> </w:t>
      </w:r>
      <w:r w:rsidR="0000765B" w:rsidRPr="003B48C1">
        <w:rPr>
          <w:sz w:val="22"/>
        </w:rPr>
        <w:t>MRI sequences</w:t>
      </w:r>
      <w:r w:rsidR="000A7F72" w:rsidRPr="003B48C1">
        <w:rPr>
          <w:sz w:val="22"/>
        </w:rPr>
        <w:t xml:space="preserve"> and scanners</w:t>
      </w:r>
      <w:r w:rsidR="0000765B" w:rsidRPr="003B48C1">
        <w:rPr>
          <w:sz w:val="22"/>
        </w:rPr>
        <w:t xml:space="preserve"> </w:t>
      </w:r>
      <w:r w:rsidR="00556117" w:rsidRPr="003B48C1">
        <w:rPr>
          <w:sz w:val="22"/>
        </w:rPr>
        <w:t xml:space="preserve">produced </w:t>
      </w:r>
      <w:r w:rsidR="0063229D">
        <w:rPr>
          <w:sz w:val="22"/>
        </w:rPr>
        <w:t xml:space="preserve">high </w:t>
      </w:r>
      <w:r w:rsidR="00556117" w:rsidRPr="003B48C1">
        <w:rPr>
          <w:sz w:val="22"/>
        </w:rPr>
        <w:t>r</w:t>
      </w:r>
      <w:r w:rsidR="00105E44">
        <w:rPr>
          <w:sz w:val="22"/>
        </w:rPr>
        <w:t>eliability</w:t>
      </w:r>
      <w:r w:rsidR="00556117" w:rsidRPr="003B48C1">
        <w:rPr>
          <w:sz w:val="22"/>
        </w:rPr>
        <w:t xml:space="preserve"> of brain </w:t>
      </w:r>
      <w:r w:rsidR="00B8402C">
        <w:rPr>
          <w:sz w:val="22"/>
        </w:rPr>
        <w:t>measurements</w:t>
      </w:r>
      <w:r w:rsidR="00556117" w:rsidRPr="003B48C1">
        <w:rPr>
          <w:sz w:val="22"/>
        </w:rPr>
        <w:t xml:space="preserve">. </w:t>
      </w:r>
      <w:r w:rsidR="006F2D93" w:rsidRPr="003B48C1">
        <w:rPr>
          <w:sz w:val="22"/>
        </w:rPr>
        <w:t xml:space="preserve">Similarly, </w:t>
      </w:r>
      <w:r w:rsidR="00E43CEA">
        <w:rPr>
          <w:sz w:val="22"/>
        </w:rPr>
        <w:t xml:space="preserve">Jovicich and colleagues (2009) </w:t>
      </w:r>
      <w:r w:rsidR="009C65D5">
        <w:rPr>
          <w:sz w:val="22"/>
        </w:rPr>
        <w:t xml:space="preserve">have shown comparable reliability results </w:t>
      </w:r>
      <w:r w:rsidR="00EC5C37">
        <w:rPr>
          <w:sz w:val="22"/>
        </w:rPr>
        <w:t>of</w:t>
      </w:r>
      <w:r w:rsidR="009C65D5">
        <w:rPr>
          <w:sz w:val="22"/>
        </w:rPr>
        <w:t xml:space="preserve"> two imaging sequences (MPRAGE and multi-echo FLASH), indicating that FreeSurfer segmentation of </w:t>
      </w:r>
      <w:r w:rsidR="009C65D5">
        <w:rPr>
          <w:sz w:val="22"/>
        </w:rPr>
        <w:lastRenderedPageBreak/>
        <w:t>brain volumes is robust across similar image contrast properties.</w:t>
      </w:r>
      <w:r w:rsidR="003138F6">
        <w:rPr>
          <w:sz w:val="22"/>
        </w:rPr>
        <w:t xml:space="preserve"> </w:t>
      </w:r>
      <w:r w:rsidR="004E3E2C">
        <w:rPr>
          <w:sz w:val="22"/>
        </w:rPr>
        <w:t xml:space="preserve">In </w:t>
      </w:r>
      <w:r w:rsidR="006C7D0C" w:rsidRPr="003B48C1">
        <w:rPr>
          <w:sz w:val="22"/>
        </w:rPr>
        <w:t xml:space="preserve">a </w:t>
      </w:r>
      <w:r w:rsidR="00007893" w:rsidRPr="003B48C1">
        <w:rPr>
          <w:sz w:val="22"/>
        </w:rPr>
        <w:t xml:space="preserve">more </w:t>
      </w:r>
      <w:r w:rsidR="006C7D0C" w:rsidRPr="003B48C1">
        <w:rPr>
          <w:sz w:val="22"/>
        </w:rPr>
        <w:t xml:space="preserve">recent study of 24 participants scanned across three models of Siemens MRI scanners, </w:t>
      </w:r>
      <w:r w:rsidR="00DD0532" w:rsidRPr="003B48C1">
        <w:rPr>
          <w:sz w:val="22"/>
        </w:rPr>
        <w:t>Sederev</w:t>
      </w:r>
      <w:r w:rsidR="00DD0532" w:rsidRPr="0023436D">
        <w:rPr>
          <w:sz w:val="22"/>
        </w:rPr>
        <w:t>i</w:t>
      </w:r>
      <w:r w:rsidR="0023436D" w:rsidRPr="0023436D">
        <w:rPr>
          <w:sz w:val="22"/>
        </w:rPr>
        <w:t>č</w:t>
      </w:r>
      <w:r w:rsidR="00DD0532" w:rsidRPr="003B48C1">
        <w:rPr>
          <w:sz w:val="22"/>
        </w:rPr>
        <w:t>ius</w:t>
      </w:r>
      <w:r w:rsidR="004E3E2C">
        <w:rPr>
          <w:sz w:val="22"/>
        </w:rPr>
        <w:t xml:space="preserve"> </w:t>
      </w:r>
      <w:r w:rsidR="00DD0532" w:rsidRPr="003B48C1">
        <w:rPr>
          <w:sz w:val="22"/>
        </w:rPr>
        <w:t xml:space="preserve">and colleagues (2021) </w:t>
      </w:r>
      <w:r w:rsidR="00535471" w:rsidRPr="003B48C1">
        <w:rPr>
          <w:sz w:val="22"/>
        </w:rPr>
        <w:t>reported</w:t>
      </w:r>
      <w:r w:rsidR="00DD0532" w:rsidRPr="003B48C1">
        <w:rPr>
          <w:sz w:val="22"/>
        </w:rPr>
        <w:t xml:space="preserve"> high test-retest </w:t>
      </w:r>
      <w:r w:rsidR="00A91B7A" w:rsidRPr="003B48C1">
        <w:rPr>
          <w:sz w:val="22"/>
        </w:rPr>
        <w:t xml:space="preserve">reliability </w:t>
      </w:r>
      <w:r w:rsidR="007A04BE" w:rsidRPr="003B48C1">
        <w:rPr>
          <w:sz w:val="22"/>
        </w:rPr>
        <w:t xml:space="preserve">of FreeSurfer </w:t>
      </w:r>
      <w:r w:rsidR="005A2528">
        <w:rPr>
          <w:sz w:val="22"/>
        </w:rPr>
        <w:t>v</w:t>
      </w:r>
      <w:r w:rsidR="007A04BE" w:rsidRPr="003B48C1">
        <w:rPr>
          <w:sz w:val="22"/>
        </w:rPr>
        <w:t>7.1.0 automated subcortical segmentation (ASEG)</w:t>
      </w:r>
      <w:r w:rsidR="00535471" w:rsidRPr="003B48C1">
        <w:rPr>
          <w:sz w:val="22"/>
        </w:rPr>
        <w:t xml:space="preserve">. However, ASEG showed </w:t>
      </w:r>
      <w:r w:rsidR="003A2CA3" w:rsidRPr="003B48C1">
        <w:rPr>
          <w:sz w:val="22"/>
        </w:rPr>
        <w:t xml:space="preserve">increased </w:t>
      </w:r>
      <w:r w:rsidR="00535471" w:rsidRPr="003B48C1">
        <w:rPr>
          <w:sz w:val="22"/>
        </w:rPr>
        <w:t xml:space="preserve">inter-scanner variability of repeated measures compared to </w:t>
      </w:r>
      <w:r w:rsidR="009B750F" w:rsidRPr="003B48C1">
        <w:rPr>
          <w:sz w:val="22"/>
        </w:rPr>
        <w:t>Sequence Adaptive Multimodal Segmentation approach,</w:t>
      </w:r>
      <w:r w:rsidR="000239DD" w:rsidRPr="003B48C1">
        <w:rPr>
          <w:sz w:val="22"/>
        </w:rPr>
        <w:t xml:space="preserve"> newly</w:t>
      </w:r>
      <w:r w:rsidR="009B750F" w:rsidRPr="003B48C1">
        <w:rPr>
          <w:sz w:val="22"/>
        </w:rPr>
        <w:t xml:space="preserve"> re</w:t>
      </w:r>
      <w:r w:rsidR="00451471" w:rsidRPr="003B48C1">
        <w:rPr>
          <w:sz w:val="22"/>
        </w:rPr>
        <w:t xml:space="preserve">leased as part of FreeSurfer </w:t>
      </w:r>
      <w:r w:rsidR="005A2528">
        <w:rPr>
          <w:sz w:val="22"/>
        </w:rPr>
        <w:t>v</w:t>
      </w:r>
      <w:r w:rsidR="00451471" w:rsidRPr="003B48C1">
        <w:rPr>
          <w:sz w:val="22"/>
        </w:rPr>
        <w:t>7.1 software.</w:t>
      </w:r>
      <w:r w:rsidR="005753D4" w:rsidRPr="003B48C1">
        <w:rPr>
          <w:sz w:val="22"/>
        </w:rPr>
        <w:t xml:space="preserve"> </w:t>
      </w:r>
      <w:r w:rsidR="0063229D">
        <w:rPr>
          <w:sz w:val="22"/>
        </w:rPr>
        <w:t xml:space="preserve">As the ICC values </w:t>
      </w:r>
      <w:r w:rsidR="00EB3F77">
        <w:rPr>
          <w:sz w:val="22"/>
        </w:rPr>
        <w:t>for both the MRI sequence and scanner comparisons are similar to those at three weeks</w:t>
      </w:r>
      <w:r w:rsidR="00753501">
        <w:rPr>
          <w:sz w:val="22"/>
        </w:rPr>
        <w:t xml:space="preserve"> (using the same sequence and scanner), this suggests that </w:t>
      </w:r>
      <w:r w:rsidR="009074DF">
        <w:rPr>
          <w:sz w:val="22"/>
        </w:rPr>
        <w:t xml:space="preserve">these sequences and GE MR750 scanner could be combined in a longitudinal MRI study. </w:t>
      </w:r>
    </w:p>
    <w:p w14:paraId="54F7C9FB" w14:textId="7CBCE45C" w:rsidR="00E052D2" w:rsidRPr="003B48C1" w:rsidRDefault="00A96836" w:rsidP="00E052D2">
      <w:pPr>
        <w:pStyle w:val="NoSpacing"/>
        <w:spacing w:after="120" w:line="360" w:lineRule="auto"/>
        <w:jc w:val="both"/>
        <w:rPr>
          <w:sz w:val="22"/>
        </w:rPr>
      </w:pPr>
      <w:r>
        <w:rPr>
          <w:sz w:val="22"/>
        </w:rPr>
        <w:t>T</w:t>
      </w:r>
      <w:r w:rsidR="00E052D2" w:rsidRPr="003B48C1">
        <w:rPr>
          <w:sz w:val="22"/>
        </w:rPr>
        <w:t xml:space="preserve">he present study examined the test-retest reliability of subcortical and cortical volume, cortical </w:t>
      </w:r>
      <w:r w:rsidR="00E052D2">
        <w:rPr>
          <w:sz w:val="22"/>
        </w:rPr>
        <w:t xml:space="preserve">surface </w:t>
      </w:r>
      <w:r w:rsidR="00E052D2" w:rsidRPr="003B48C1">
        <w:rPr>
          <w:sz w:val="22"/>
        </w:rPr>
        <w:t xml:space="preserve">area, and cortical thickness estimates. For FreeSurfer v7.1.0 longitudinal </w:t>
      </w:r>
      <w:r w:rsidR="00491625">
        <w:rPr>
          <w:sz w:val="22"/>
        </w:rPr>
        <w:t>processing</w:t>
      </w:r>
      <w:r w:rsidR="00E052D2" w:rsidRPr="003B48C1">
        <w:rPr>
          <w:sz w:val="22"/>
        </w:rPr>
        <w:t xml:space="preserve">, we found that volume and surface area measurements appeared to be more reliable measures, whereas cortical thickness estimates had lower </w:t>
      </w:r>
      <w:r w:rsidR="00FF70D5">
        <w:rPr>
          <w:sz w:val="22"/>
        </w:rPr>
        <w:t>reliability</w:t>
      </w:r>
      <w:r w:rsidR="00E052D2" w:rsidRPr="003B48C1">
        <w:rPr>
          <w:sz w:val="22"/>
        </w:rPr>
        <w:t>. Specifically, our findings indicated high reproducibility of cortical thickness measurements for scans obtained within the same session (repetition and subject reposition</w:t>
      </w:r>
      <w:r w:rsidR="00E052D2">
        <w:rPr>
          <w:sz w:val="22"/>
        </w:rPr>
        <w:t>ing</w:t>
      </w:r>
      <w:r w:rsidR="00E052D2" w:rsidRPr="003B48C1">
        <w:rPr>
          <w:sz w:val="22"/>
        </w:rPr>
        <w:t>), but reliability estimates did vary by brain region and were more affected by changes in acquisition and processing factors, such as head tilt, one year scan and MRI scanner or sequence change. This finding is similar to previous studies</w:t>
      </w:r>
      <w:r w:rsidR="0023436D">
        <w:rPr>
          <w:sz w:val="22"/>
        </w:rPr>
        <w:t xml:space="preserve"> </w:t>
      </w:r>
      <w:r w:rsidR="00AA5C13">
        <w:rPr>
          <w:noProof/>
          <w:sz w:val="22"/>
        </w:rPr>
        <w:t>(Han et al., 2006, McGuire et al., 2017)</w:t>
      </w:r>
      <w:r w:rsidR="00AA5C13">
        <w:rPr>
          <w:sz w:val="22"/>
        </w:rPr>
        <w:t xml:space="preserve">. </w:t>
      </w:r>
      <w:r w:rsidR="00E052D2" w:rsidRPr="003B48C1">
        <w:rPr>
          <w:sz w:val="22"/>
        </w:rPr>
        <w:t xml:space="preserve">Authors reported that cortical thickness measurements showed excellent ICC </w:t>
      </w:r>
      <w:r w:rsidR="003138F6" w:rsidRPr="003B48C1">
        <w:rPr>
          <w:sz w:val="22"/>
        </w:rPr>
        <w:t>values but</w:t>
      </w:r>
      <w:r w:rsidR="00E052D2" w:rsidRPr="003B48C1">
        <w:rPr>
          <w:sz w:val="22"/>
        </w:rPr>
        <w:t xml:space="preserve"> were impacted by imaging sequence and field strength</w:t>
      </w:r>
      <w:r w:rsidR="00AA5C13">
        <w:rPr>
          <w:sz w:val="22"/>
        </w:rPr>
        <w:t xml:space="preserve"> </w:t>
      </w:r>
      <w:r w:rsidR="00AA5C13">
        <w:rPr>
          <w:noProof/>
          <w:sz w:val="22"/>
        </w:rPr>
        <w:t>(Han et al., 2006)</w:t>
      </w:r>
      <w:r w:rsidR="00AA5C13">
        <w:rPr>
          <w:sz w:val="22"/>
        </w:rPr>
        <w:t xml:space="preserve"> </w:t>
      </w:r>
      <w:r w:rsidR="00E052D2" w:rsidRPr="003B48C1">
        <w:rPr>
          <w:sz w:val="22"/>
        </w:rPr>
        <w:t>and were lower for certain brain structures, including the entorhinal, insula and medial orbitofrontal</w:t>
      </w:r>
      <w:r w:rsidR="00AA5C13">
        <w:rPr>
          <w:sz w:val="22"/>
        </w:rPr>
        <w:t xml:space="preserve"> </w:t>
      </w:r>
      <w:r w:rsidR="002B07A2">
        <w:rPr>
          <w:noProof/>
          <w:sz w:val="22"/>
        </w:rPr>
        <w:t>(McGuire et al., 2017)</w:t>
      </w:r>
      <w:r w:rsidR="002B07A2">
        <w:rPr>
          <w:sz w:val="22"/>
        </w:rPr>
        <w:t>.</w:t>
      </w:r>
      <w:r w:rsidR="00E052D2" w:rsidRPr="003B48C1">
        <w:rPr>
          <w:sz w:val="22"/>
        </w:rPr>
        <w:t xml:space="preserve"> For particular brain regions with low ICC reliability, it may be beneficial to use</w:t>
      </w:r>
      <w:r w:rsidR="00E052D2">
        <w:rPr>
          <w:sz w:val="22"/>
        </w:rPr>
        <w:t xml:space="preserve"> other software or even</w:t>
      </w:r>
      <w:r w:rsidR="00E052D2" w:rsidRPr="003B48C1">
        <w:rPr>
          <w:sz w:val="22"/>
        </w:rPr>
        <w:t xml:space="preserve"> manual tracing measures to increase precision</w:t>
      </w:r>
      <w:r w:rsidR="00D675D3">
        <w:rPr>
          <w:sz w:val="22"/>
        </w:rPr>
        <w:t xml:space="preserve"> </w:t>
      </w:r>
      <w:r w:rsidR="00D675D3">
        <w:rPr>
          <w:noProof/>
          <w:sz w:val="22"/>
        </w:rPr>
        <w:t>(Du et al., 2020)</w:t>
      </w:r>
      <w:r w:rsidR="00D675D3">
        <w:rPr>
          <w:sz w:val="22"/>
        </w:rPr>
        <w:t>.</w:t>
      </w:r>
      <w:r w:rsidR="00E052D2" w:rsidRPr="003B48C1">
        <w:rPr>
          <w:sz w:val="22"/>
        </w:rPr>
        <w:t xml:space="preserve"> Overall, we determined that FreeSurfer-derived </w:t>
      </w:r>
      <w:r w:rsidR="002A5EF0">
        <w:rPr>
          <w:sz w:val="22"/>
        </w:rPr>
        <w:t>measurements</w:t>
      </w:r>
      <w:r w:rsidR="00E052D2" w:rsidRPr="003B48C1">
        <w:rPr>
          <w:sz w:val="22"/>
        </w:rPr>
        <w:t xml:space="preserve"> are highly reproducible, particularly when acquisition and processing factors are controlled for. Therefore, it is important to consider these factors during the design of a longitudinal MRI study</w:t>
      </w:r>
      <w:r w:rsidR="00D675D3">
        <w:rPr>
          <w:sz w:val="22"/>
        </w:rPr>
        <w:t xml:space="preserve"> </w:t>
      </w:r>
      <w:r w:rsidR="003069D2">
        <w:rPr>
          <w:noProof/>
          <w:sz w:val="22"/>
        </w:rPr>
        <w:t>(Han et al., 2006)</w:t>
      </w:r>
      <w:r w:rsidR="003069D2">
        <w:rPr>
          <w:sz w:val="22"/>
        </w:rPr>
        <w:t>.</w:t>
      </w:r>
      <w:r w:rsidR="00E052D2" w:rsidRPr="003B48C1">
        <w:rPr>
          <w:sz w:val="22"/>
        </w:rPr>
        <w:t xml:space="preserve"> </w:t>
      </w:r>
    </w:p>
    <w:p w14:paraId="01F4FC19" w14:textId="02342579" w:rsidR="0089020C" w:rsidRPr="002F1C13" w:rsidRDefault="0082589C" w:rsidP="002F1C13">
      <w:pPr>
        <w:pStyle w:val="NoSpacing"/>
        <w:spacing w:after="120" w:line="360" w:lineRule="auto"/>
        <w:jc w:val="both"/>
        <w:rPr>
          <w:sz w:val="22"/>
        </w:rPr>
      </w:pPr>
      <w:r w:rsidRPr="003B48C1">
        <w:rPr>
          <w:sz w:val="22"/>
        </w:rPr>
        <w:t>Looking at the effect of image processing factors on reliability, o</w:t>
      </w:r>
      <w:r w:rsidR="00C85BD2" w:rsidRPr="003B48C1">
        <w:rPr>
          <w:sz w:val="22"/>
        </w:rPr>
        <w:t xml:space="preserve">ur study highlighted </w:t>
      </w:r>
      <w:r w:rsidR="004B65EE" w:rsidRPr="003B48C1">
        <w:rPr>
          <w:sz w:val="22"/>
        </w:rPr>
        <w:t>the advantage</w:t>
      </w:r>
      <w:r w:rsidRPr="003B48C1">
        <w:rPr>
          <w:sz w:val="22"/>
        </w:rPr>
        <w:t>s</w:t>
      </w:r>
      <w:r w:rsidR="004B65EE" w:rsidRPr="003B48C1">
        <w:rPr>
          <w:sz w:val="22"/>
        </w:rPr>
        <w:t xml:space="preserve"> of </w:t>
      </w:r>
      <w:r w:rsidR="00E1550D" w:rsidRPr="003B48C1">
        <w:rPr>
          <w:sz w:val="22"/>
        </w:rPr>
        <w:t xml:space="preserve">using </w:t>
      </w:r>
      <w:r w:rsidR="004B65EE" w:rsidRPr="003B48C1">
        <w:rPr>
          <w:sz w:val="22"/>
        </w:rPr>
        <w:t xml:space="preserve">the FreeSurfer </w:t>
      </w:r>
      <w:r w:rsidR="005A2528">
        <w:rPr>
          <w:sz w:val="22"/>
        </w:rPr>
        <w:t>v</w:t>
      </w:r>
      <w:r w:rsidR="004B65EE" w:rsidRPr="003B48C1">
        <w:rPr>
          <w:sz w:val="22"/>
        </w:rPr>
        <w:t>7.1.0 longitudinal stream</w:t>
      </w:r>
      <w:r w:rsidR="00B71CC0" w:rsidRPr="003B48C1">
        <w:rPr>
          <w:sz w:val="22"/>
        </w:rPr>
        <w:t xml:space="preserve">. </w:t>
      </w:r>
      <w:r w:rsidR="00E3012C" w:rsidRPr="003B48C1">
        <w:rPr>
          <w:sz w:val="22"/>
        </w:rPr>
        <w:t>In line with previous findings</w:t>
      </w:r>
      <w:r w:rsidR="003069D2">
        <w:rPr>
          <w:sz w:val="22"/>
        </w:rPr>
        <w:t xml:space="preserve"> </w:t>
      </w:r>
      <w:r w:rsidR="004539A2">
        <w:rPr>
          <w:noProof/>
          <w:sz w:val="22"/>
        </w:rPr>
        <w:t>(Han et al., 2006, Jovicich et al., 2013)</w:t>
      </w:r>
      <w:r w:rsidR="00E3012C" w:rsidRPr="003B48C1">
        <w:rPr>
          <w:sz w:val="22"/>
        </w:rPr>
        <w:t xml:space="preserve">, our results showed that </w:t>
      </w:r>
      <w:r w:rsidR="00001D16">
        <w:rPr>
          <w:sz w:val="22"/>
        </w:rPr>
        <w:t xml:space="preserve">the </w:t>
      </w:r>
      <w:r w:rsidR="00E3012C" w:rsidRPr="003B48C1">
        <w:rPr>
          <w:sz w:val="22"/>
        </w:rPr>
        <w:t xml:space="preserve">longitudinal stream offers </w:t>
      </w:r>
      <w:r w:rsidR="008E5FB3" w:rsidRPr="003B48C1">
        <w:rPr>
          <w:sz w:val="22"/>
        </w:rPr>
        <w:t xml:space="preserve">an improvement of </w:t>
      </w:r>
      <w:r w:rsidR="001E40BA" w:rsidRPr="003B48C1">
        <w:rPr>
          <w:sz w:val="22"/>
        </w:rPr>
        <w:t xml:space="preserve">reliability for </w:t>
      </w:r>
      <w:r w:rsidR="00456000" w:rsidRPr="003B48C1">
        <w:rPr>
          <w:sz w:val="22"/>
        </w:rPr>
        <w:t xml:space="preserve">both </w:t>
      </w:r>
      <w:r w:rsidR="001E40BA" w:rsidRPr="003B48C1">
        <w:rPr>
          <w:sz w:val="22"/>
        </w:rPr>
        <w:t>within- and between-session brain</w:t>
      </w:r>
      <w:r w:rsidR="00456000" w:rsidRPr="003B48C1">
        <w:rPr>
          <w:sz w:val="22"/>
        </w:rPr>
        <w:t xml:space="preserve"> </w:t>
      </w:r>
      <w:r w:rsidR="00493B9B">
        <w:rPr>
          <w:sz w:val="22"/>
        </w:rPr>
        <w:t>measurements</w:t>
      </w:r>
      <w:r w:rsidR="00493B9B" w:rsidRPr="003B48C1">
        <w:rPr>
          <w:sz w:val="22"/>
        </w:rPr>
        <w:t xml:space="preserve"> </w:t>
      </w:r>
      <w:r w:rsidR="00456000" w:rsidRPr="003B48C1">
        <w:rPr>
          <w:sz w:val="22"/>
        </w:rPr>
        <w:t>compared to the cross-sectional stream</w:t>
      </w:r>
      <w:r w:rsidR="001E40BA" w:rsidRPr="003B48C1">
        <w:rPr>
          <w:sz w:val="22"/>
        </w:rPr>
        <w:t>.</w:t>
      </w:r>
      <w:r w:rsidR="00BC2679" w:rsidRPr="003B48C1">
        <w:rPr>
          <w:sz w:val="22"/>
        </w:rPr>
        <w:t xml:space="preserve"> </w:t>
      </w:r>
      <w:r w:rsidR="00DA6595" w:rsidRPr="003B48C1">
        <w:rPr>
          <w:sz w:val="22"/>
        </w:rPr>
        <w:t xml:space="preserve">Furthermore, our results demonstrated increasing reliability </w:t>
      </w:r>
      <w:r w:rsidR="00B332DE" w:rsidRPr="003B48C1">
        <w:rPr>
          <w:sz w:val="22"/>
        </w:rPr>
        <w:t>of</w:t>
      </w:r>
      <w:r w:rsidR="00DA6595" w:rsidRPr="003B48C1">
        <w:rPr>
          <w:sz w:val="22"/>
        </w:rPr>
        <w:t xml:space="preserve"> software versions</w:t>
      </w:r>
      <w:r w:rsidR="00B332DE" w:rsidRPr="003B48C1">
        <w:rPr>
          <w:sz w:val="22"/>
        </w:rPr>
        <w:t xml:space="preserve"> over time</w:t>
      </w:r>
      <w:r w:rsidR="007154CF" w:rsidRPr="003B48C1">
        <w:rPr>
          <w:sz w:val="22"/>
        </w:rPr>
        <w:t xml:space="preserve"> (from </w:t>
      </w:r>
      <w:r w:rsidR="002A70C4">
        <w:rPr>
          <w:sz w:val="22"/>
        </w:rPr>
        <w:t>v</w:t>
      </w:r>
      <w:r w:rsidR="007154CF" w:rsidRPr="003B48C1">
        <w:rPr>
          <w:sz w:val="22"/>
        </w:rPr>
        <w:t xml:space="preserve">5.3.0 to </w:t>
      </w:r>
      <w:r w:rsidR="002A70C4">
        <w:rPr>
          <w:sz w:val="22"/>
        </w:rPr>
        <w:t>v</w:t>
      </w:r>
      <w:r w:rsidR="007154CF" w:rsidRPr="003B48C1">
        <w:rPr>
          <w:sz w:val="22"/>
        </w:rPr>
        <w:t>7.1.0)</w:t>
      </w:r>
      <w:r w:rsidR="00265DFC" w:rsidRPr="003B48C1">
        <w:rPr>
          <w:sz w:val="22"/>
        </w:rPr>
        <w:t xml:space="preserve">, </w:t>
      </w:r>
      <w:r w:rsidR="00D87496">
        <w:rPr>
          <w:sz w:val="22"/>
        </w:rPr>
        <w:t xml:space="preserve">although the longitudinal streams of </w:t>
      </w:r>
      <w:r w:rsidR="00125B20">
        <w:rPr>
          <w:sz w:val="22"/>
        </w:rPr>
        <w:t xml:space="preserve">v7.1.0 and v6.0.0 showed similar reliability. </w:t>
      </w:r>
      <w:r w:rsidR="001C7F4F">
        <w:rPr>
          <w:sz w:val="22"/>
        </w:rPr>
        <w:t>E</w:t>
      </w:r>
      <w:r w:rsidR="00265DFC" w:rsidRPr="003B48C1">
        <w:rPr>
          <w:sz w:val="22"/>
        </w:rPr>
        <w:t xml:space="preserve">arlier reliability studies have </w:t>
      </w:r>
      <w:r w:rsidR="0091139C">
        <w:rPr>
          <w:sz w:val="22"/>
        </w:rPr>
        <w:t xml:space="preserve">also </w:t>
      </w:r>
      <w:r w:rsidR="00265DFC" w:rsidRPr="003B48C1">
        <w:rPr>
          <w:sz w:val="22"/>
        </w:rPr>
        <w:t xml:space="preserve">reported an effect of FreeSurfer software version (from </w:t>
      </w:r>
      <w:r w:rsidR="002A70C4">
        <w:rPr>
          <w:sz w:val="22"/>
        </w:rPr>
        <w:t>v</w:t>
      </w:r>
      <w:r w:rsidR="00265DFC" w:rsidRPr="003B48C1">
        <w:rPr>
          <w:sz w:val="22"/>
        </w:rPr>
        <w:t xml:space="preserve">4.1.0 to </w:t>
      </w:r>
      <w:r w:rsidR="002A70C4">
        <w:rPr>
          <w:sz w:val="22"/>
        </w:rPr>
        <w:t>v</w:t>
      </w:r>
      <w:r w:rsidR="00265DFC" w:rsidRPr="003B48C1">
        <w:rPr>
          <w:sz w:val="22"/>
        </w:rPr>
        <w:t>5.1.0) on cortical thickness estimates</w:t>
      </w:r>
      <w:r w:rsidR="0018192B">
        <w:rPr>
          <w:sz w:val="22"/>
        </w:rPr>
        <w:t xml:space="preserve"> </w:t>
      </w:r>
      <w:r w:rsidR="0018192B">
        <w:rPr>
          <w:noProof/>
          <w:sz w:val="22"/>
        </w:rPr>
        <w:t>(Chepkoech et al., 2016, Gronenschild et al., 2012)</w:t>
      </w:r>
      <w:r w:rsidR="0074156E">
        <w:rPr>
          <w:noProof/>
          <w:sz w:val="22"/>
        </w:rPr>
        <w:t xml:space="preserve">, suggesting that </w:t>
      </w:r>
      <w:r w:rsidR="00FE03DE">
        <w:rPr>
          <w:noProof/>
          <w:sz w:val="22"/>
        </w:rPr>
        <w:t>reliability is affected by FreeSurfer processing conditions</w:t>
      </w:r>
      <w:r w:rsidR="0018192B">
        <w:rPr>
          <w:sz w:val="22"/>
        </w:rPr>
        <w:t>.</w:t>
      </w:r>
      <w:r w:rsidR="00265DFC" w:rsidRPr="003B48C1">
        <w:rPr>
          <w:sz w:val="22"/>
        </w:rPr>
        <w:t xml:space="preserve"> </w:t>
      </w:r>
      <w:r w:rsidR="0091139C">
        <w:rPr>
          <w:sz w:val="22"/>
        </w:rPr>
        <w:t>D</w:t>
      </w:r>
      <w:r w:rsidR="00DE7E5F" w:rsidRPr="003B48C1">
        <w:rPr>
          <w:sz w:val="22"/>
        </w:rPr>
        <w:t xml:space="preserve">ue to version differences, </w:t>
      </w:r>
      <w:r w:rsidR="00265DFC" w:rsidRPr="003B48C1">
        <w:rPr>
          <w:sz w:val="22"/>
        </w:rPr>
        <w:lastRenderedPageBreak/>
        <w:t xml:space="preserve">we </w:t>
      </w:r>
      <w:r w:rsidR="008C04A5">
        <w:rPr>
          <w:sz w:val="22"/>
        </w:rPr>
        <w:t>recommend</w:t>
      </w:r>
      <w:r w:rsidR="008C04A5" w:rsidRPr="003B48C1">
        <w:rPr>
          <w:sz w:val="22"/>
        </w:rPr>
        <w:t xml:space="preserve"> </w:t>
      </w:r>
      <w:r w:rsidR="00265DFC" w:rsidRPr="003B48C1">
        <w:rPr>
          <w:sz w:val="22"/>
        </w:rPr>
        <w:t xml:space="preserve">that consistent FreeSurfer versions should be used for MRI data processing in ongoing longitudinal studies. </w:t>
      </w:r>
    </w:p>
    <w:p w14:paraId="4EA05ABC" w14:textId="3A093E1D" w:rsidR="005B1A63" w:rsidRPr="003B48C1" w:rsidRDefault="00FC43A7" w:rsidP="002F1C13">
      <w:pPr>
        <w:pStyle w:val="NoSpacing"/>
        <w:spacing w:after="120" w:line="360" w:lineRule="auto"/>
        <w:jc w:val="both"/>
        <w:rPr>
          <w:sz w:val="22"/>
        </w:rPr>
      </w:pPr>
      <w:r w:rsidRPr="003B48C1">
        <w:rPr>
          <w:sz w:val="22"/>
        </w:rPr>
        <w:t xml:space="preserve">The present study has several strengths and limitations. </w:t>
      </w:r>
      <w:r w:rsidR="00A9522F" w:rsidRPr="003B48C1">
        <w:rPr>
          <w:sz w:val="22"/>
        </w:rPr>
        <w:t xml:space="preserve">First, </w:t>
      </w:r>
      <w:r w:rsidR="00812397" w:rsidRPr="003B48C1">
        <w:rPr>
          <w:sz w:val="22"/>
        </w:rPr>
        <w:t>we have conducted</w:t>
      </w:r>
      <w:r w:rsidR="00F31982">
        <w:rPr>
          <w:sz w:val="22"/>
        </w:rPr>
        <w:t xml:space="preserve"> and shared</w:t>
      </w:r>
      <w:r w:rsidR="00812397" w:rsidRPr="003B48C1">
        <w:rPr>
          <w:sz w:val="22"/>
        </w:rPr>
        <w:t xml:space="preserve"> a comprehensive </w:t>
      </w:r>
      <w:r w:rsidR="00630474">
        <w:rPr>
          <w:sz w:val="22"/>
        </w:rPr>
        <w:t xml:space="preserve">reliability </w:t>
      </w:r>
      <w:r w:rsidR="00812397" w:rsidRPr="003B48C1">
        <w:rPr>
          <w:sz w:val="22"/>
        </w:rPr>
        <w:t xml:space="preserve">assessment </w:t>
      </w:r>
      <w:r w:rsidR="00801667" w:rsidRPr="003B48C1">
        <w:rPr>
          <w:sz w:val="22"/>
        </w:rPr>
        <w:t xml:space="preserve">of </w:t>
      </w:r>
      <w:r w:rsidR="00E12023">
        <w:rPr>
          <w:sz w:val="22"/>
        </w:rPr>
        <w:t xml:space="preserve">structural </w:t>
      </w:r>
      <w:r w:rsidR="00801667" w:rsidRPr="003B48C1">
        <w:rPr>
          <w:sz w:val="22"/>
        </w:rPr>
        <w:t>brain measurements</w:t>
      </w:r>
      <w:r w:rsidR="00FB0C60" w:rsidRPr="003B48C1">
        <w:rPr>
          <w:sz w:val="22"/>
        </w:rPr>
        <w:t xml:space="preserve"> in </w:t>
      </w:r>
      <w:r w:rsidR="00810F4B" w:rsidRPr="003B48C1">
        <w:rPr>
          <w:sz w:val="22"/>
        </w:rPr>
        <w:t xml:space="preserve">a group of </w:t>
      </w:r>
      <w:r w:rsidR="00FB0C60" w:rsidRPr="003B48C1">
        <w:rPr>
          <w:sz w:val="22"/>
        </w:rPr>
        <w:t xml:space="preserve">healthy participants. </w:t>
      </w:r>
      <w:r w:rsidR="002C3C24">
        <w:rPr>
          <w:sz w:val="22"/>
        </w:rPr>
        <w:t xml:space="preserve">Further, we have </w:t>
      </w:r>
      <w:r w:rsidR="004941D3">
        <w:rPr>
          <w:sz w:val="22"/>
        </w:rPr>
        <w:t>made the raw</w:t>
      </w:r>
      <w:r w:rsidR="00271637">
        <w:rPr>
          <w:sz w:val="22"/>
        </w:rPr>
        <w:t>, defaced</w:t>
      </w:r>
      <w:r w:rsidR="004941D3">
        <w:rPr>
          <w:sz w:val="22"/>
        </w:rPr>
        <w:t xml:space="preserve"> MRI data for a subset of participants publicly available to other researchers (</w:t>
      </w:r>
      <w:hyperlink r:id="rId18" w:history="1">
        <w:r w:rsidR="00DD4A6A">
          <w:rPr>
            <w:rStyle w:val="Hyperlink"/>
            <w:sz w:val="22"/>
          </w:rPr>
          <w:t>https://sites.google.com/view/pinstudy</w:t>
        </w:r>
      </w:hyperlink>
      <w:r w:rsidR="004941D3">
        <w:rPr>
          <w:sz w:val="22"/>
        </w:rPr>
        <w:t xml:space="preserve">). </w:t>
      </w:r>
      <w:r w:rsidR="004B4DF5" w:rsidRPr="003B48C1">
        <w:rPr>
          <w:sz w:val="22"/>
        </w:rPr>
        <w:t xml:space="preserve">A </w:t>
      </w:r>
      <w:r w:rsidR="004941D3">
        <w:rPr>
          <w:sz w:val="22"/>
        </w:rPr>
        <w:t>third</w:t>
      </w:r>
      <w:r w:rsidR="004941D3" w:rsidRPr="003B48C1">
        <w:rPr>
          <w:sz w:val="22"/>
        </w:rPr>
        <w:t xml:space="preserve"> </w:t>
      </w:r>
      <w:r w:rsidR="004B4DF5" w:rsidRPr="003B48C1">
        <w:rPr>
          <w:sz w:val="22"/>
        </w:rPr>
        <w:t>strength is that</w:t>
      </w:r>
      <w:r w:rsidR="00982AD9" w:rsidRPr="003B48C1">
        <w:rPr>
          <w:sz w:val="22"/>
        </w:rPr>
        <w:t xml:space="preserve"> we </w:t>
      </w:r>
      <w:r w:rsidR="0093410C" w:rsidRPr="003B48C1">
        <w:rPr>
          <w:sz w:val="22"/>
        </w:rPr>
        <w:t xml:space="preserve">selected the </w:t>
      </w:r>
      <w:r w:rsidR="0060276F" w:rsidRPr="003B48C1">
        <w:rPr>
          <w:sz w:val="22"/>
        </w:rPr>
        <w:t>widely used</w:t>
      </w:r>
      <w:r w:rsidR="0093410C" w:rsidRPr="003B48C1">
        <w:rPr>
          <w:sz w:val="22"/>
        </w:rPr>
        <w:t xml:space="preserve"> ADNI-</w:t>
      </w:r>
      <w:r w:rsidR="00720E7F">
        <w:rPr>
          <w:sz w:val="22"/>
        </w:rPr>
        <w:t>3</w:t>
      </w:r>
      <w:r w:rsidR="0093410C" w:rsidRPr="003B48C1">
        <w:rPr>
          <w:sz w:val="22"/>
        </w:rPr>
        <w:t xml:space="preserve"> sequence</w:t>
      </w:r>
      <w:r w:rsidR="0048128E" w:rsidRPr="003B48C1">
        <w:rPr>
          <w:sz w:val="22"/>
        </w:rPr>
        <w:t xml:space="preserve"> </w:t>
      </w:r>
      <w:r w:rsidR="002559BF" w:rsidRPr="003B48C1">
        <w:rPr>
          <w:sz w:val="22"/>
        </w:rPr>
        <w:t xml:space="preserve">for MRI acquisition </w:t>
      </w:r>
      <w:r w:rsidR="0048128E" w:rsidRPr="003B48C1">
        <w:rPr>
          <w:sz w:val="22"/>
        </w:rPr>
        <w:t xml:space="preserve">which </w:t>
      </w:r>
      <w:r w:rsidR="00A63E44" w:rsidRPr="003B48C1">
        <w:rPr>
          <w:sz w:val="22"/>
        </w:rPr>
        <w:t xml:space="preserve">has been specifically developed for multi-site studies </w:t>
      </w:r>
      <w:r w:rsidR="00023939">
        <w:rPr>
          <w:noProof/>
          <w:sz w:val="22"/>
        </w:rPr>
        <w:t>(Jack Jr et al., 2008)</w:t>
      </w:r>
      <w:r w:rsidR="00023939">
        <w:rPr>
          <w:sz w:val="22"/>
        </w:rPr>
        <w:t xml:space="preserve"> </w:t>
      </w:r>
      <w:r w:rsidR="00A63E44" w:rsidRPr="003B48C1">
        <w:rPr>
          <w:sz w:val="22"/>
        </w:rPr>
        <w:t xml:space="preserve">and is likely to be </w:t>
      </w:r>
      <w:r w:rsidR="002971A8" w:rsidRPr="003B48C1">
        <w:rPr>
          <w:sz w:val="22"/>
        </w:rPr>
        <w:t>us</w:t>
      </w:r>
      <w:r w:rsidR="00A63E44" w:rsidRPr="003B48C1">
        <w:rPr>
          <w:sz w:val="22"/>
        </w:rPr>
        <w:t>ed</w:t>
      </w:r>
      <w:r w:rsidR="002971A8" w:rsidRPr="003B48C1">
        <w:rPr>
          <w:sz w:val="22"/>
        </w:rPr>
        <w:t xml:space="preserve"> in </w:t>
      </w:r>
      <w:r w:rsidR="0011750C" w:rsidRPr="003B48C1">
        <w:rPr>
          <w:sz w:val="22"/>
        </w:rPr>
        <w:t>future longitudinal MRI studies.</w:t>
      </w:r>
      <w:r w:rsidR="00F674E4" w:rsidRPr="003B48C1">
        <w:rPr>
          <w:sz w:val="22"/>
        </w:rPr>
        <w:t xml:space="preserve"> A limitation </w:t>
      </w:r>
      <w:r w:rsidR="00316B48" w:rsidRPr="003B48C1">
        <w:rPr>
          <w:sz w:val="22"/>
        </w:rPr>
        <w:t>is that</w:t>
      </w:r>
      <w:r w:rsidR="00BB6532" w:rsidRPr="003B48C1">
        <w:rPr>
          <w:sz w:val="22"/>
        </w:rPr>
        <w:t xml:space="preserve"> </w:t>
      </w:r>
      <w:r w:rsidR="00D66C68" w:rsidRPr="003B48C1">
        <w:rPr>
          <w:sz w:val="22"/>
        </w:rPr>
        <w:t xml:space="preserve">our sample </w:t>
      </w:r>
      <w:r w:rsidR="00C87421">
        <w:rPr>
          <w:sz w:val="22"/>
        </w:rPr>
        <w:t xml:space="preserve">consisted of </w:t>
      </w:r>
      <w:r w:rsidR="004051AE" w:rsidRPr="003B48C1">
        <w:rPr>
          <w:sz w:val="22"/>
        </w:rPr>
        <w:t xml:space="preserve">20 </w:t>
      </w:r>
      <w:r w:rsidR="00557FF3">
        <w:rPr>
          <w:sz w:val="22"/>
        </w:rPr>
        <w:t xml:space="preserve">healthy </w:t>
      </w:r>
      <w:r w:rsidR="004321BD" w:rsidRPr="003B48C1">
        <w:rPr>
          <w:sz w:val="22"/>
        </w:rPr>
        <w:t>individuals</w:t>
      </w:r>
      <w:r w:rsidR="00C87421">
        <w:rPr>
          <w:sz w:val="22"/>
        </w:rPr>
        <w:t>,</w:t>
      </w:r>
      <w:r w:rsidR="004051AE" w:rsidRPr="003B48C1">
        <w:rPr>
          <w:sz w:val="22"/>
        </w:rPr>
        <w:t xml:space="preserve"> which limits the </w:t>
      </w:r>
      <w:r w:rsidR="004439D2" w:rsidRPr="003B48C1">
        <w:rPr>
          <w:sz w:val="22"/>
        </w:rPr>
        <w:t xml:space="preserve">interpretation </w:t>
      </w:r>
      <w:r w:rsidR="004E0D26">
        <w:rPr>
          <w:sz w:val="22"/>
        </w:rPr>
        <w:t xml:space="preserve">and generalisability </w:t>
      </w:r>
      <w:r w:rsidR="004439D2" w:rsidRPr="003B48C1">
        <w:rPr>
          <w:sz w:val="22"/>
        </w:rPr>
        <w:t>of</w:t>
      </w:r>
      <w:r w:rsidR="004439D2" w:rsidRPr="00E7213A">
        <w:rPr>
          <w:sz w:val="22"/>
        </w:rPr>
        <w:t xml:space="preserve"> our results</w:t>
      </w:r>
      <w:r w:rsidR="00271A81" w:rsidRPr="00E7213A">
        <w:rPr>
          <w:sz w:val="22"/>
        </w:rPr>
        <w:t xml:space="preserve"> (i.e., to samples of older adults and individuals with neurodegenerative disorders). However, this study recruited young adults as our clinical research focuses on mental health disorders, where the typical age of onset is in late adolescence and early adulthood (Kessler et al., 200</w:t>
      </w:r>
      <w:r w:rsidR="00E36313" w:rsidRPr="00E7213A">
        <w:rPr>
          <w:sz w:val="22"/>
        </w:rPr>
        <w:t>8</w:t>
      </w:r>
      <w:r w:rsidR="00271A81" w:rsidRPr="00E7213A">
        <w:rPr>
          <w:sz w:val="22"/>
        </w:rPr>
        <w:t xml:space="preserve">) and where we expect to see much smaller structural brain changes </w:t>
      </w:r>
      <w:r w:rsidR="000766D3" w:rsidRPr="00E7213A">
        <w:rPr>
          <w:sz w:val="22"/>
        </w:rPr>
        <w:t xml:space="preserve">over time </w:t>
      </w:r>
      <w:r w:rsidR="00271A81" w:rsidRPr="00E7213A">
        <w:rPr>
          <w:sz w:val="22"/>
        </w:rPr>
        <w:t>(Olabi et al., 2011)</w:t>
      </w:r>
      <w:r w:rsidR="004439D2" w:rsidRPr="00E7213A">
        <w:rPr>
          <w:sz w:val="22"/>
        </w:rPr>
        <w:t xml:space="preserve">. </w:t>
      </w:r>
      <w:r w:rsidR="000766D3" w:rsidRPr="00E7213A">
        <w:rPr>
          <w:sz w:val="22"/>
        </w:rPr>
        <w:t>In addi</w:t>
      </w:r>
      <w:r w:rsidR="00E55247" w:rsidRPr="00E7213A">
        <w:rPr>
          <w:sz w:val="22"/>
        </w:rPr>
        <w:t>t</w:t>
      </w:r>
      <w:r w:rsidR="000766D3" w:rsidRPr="00E7213A">
        <w:rPr>
          <w:sz w:val="22"/>
        </w:rPr>
        <w:t>ion</w:t>
      </w:r>
      <w:r w:rsidR="000766D3">
        <w:rPr>
          <w:sz w:val="22"/>
        </w:rPr>
        <w:t>,</w:t>
      </w:r>
      <w:r w:rsidR="004439D2" w:rsidRPr="003B48C1">
        <w:rPr>
          <w:sz w:val="22"/>
        </w:rPr>
        <w:t xml:space="preserve"> </w:t>
      </w:r>
      <w:r w:rsidR="00146FC1" w:rsidRPr="003B48C1">
        <w:rPr>
          <w:sz w:val="22"/>
        </w:rPr>
        <w:t>our sample size</w:t>
      </w:r>
      <w:r w:rsidR="00FE3C17" w:rsidRPr="003B48C1">
        <w:rPr>
          <w:sz w:val="22"/>
        </w:rPr>
        <w:t xml:space="preserve"> of healthy participants</w:t>
      </w:r>
      <w:r w:rsidR="00146FC1" w:rsidRPr="003B48C1">
        <w:rPr>
          <w:sz w:val="22"/>
        </w:rPr>
        <w:t xml:space="preserve"> is </w:t>
      </w:r>
      <w:r w:rsidR="002844E4" w:rsidRPr="003B48C1">
        <w:rPr>
          <w:sz w:val="22"/>
        </w:rPr>
        <w:t>similar</w:t>
      </w:r>
      <w:r w:rsidR="005167ED" w:rsidRPr="003B48C1">
        <w:rPr>
          <w:sz w:val="22"/>
        </w:rPr>
        <w:t xml:space="preserve"> to</w:t>
      </w:r>
      <w:r w:rsidR="002844E4" w:rsidRPr="003B48C1">
        <w:rPr>
          <w:sz w:val="22"/>
        </w:rPr>
        <w:t>, if not greater</w:t>
      </w:r>
      <w:r w:rsidR="00D715EC" w:rsidRPr="003B48C1">
        <w:rPr>
          <w:sz w:val="22"/>
        </w:rPr>
        <w:t xml:space="preserve"> than</w:t>
      </w:r>
      <w:r w:rsidR="005167ED" w:rsidRPr="003B48C1">
        <w:rPr>
          <w:sz w:val="22"/>
        </w:rPr>
        <w:t>,</w:t>
      </w:r>
      <w:r w:rsidR="00D715EC" w:rsidRPr="003B48C1">
        <w:rPr>
          <w:sz w:val="22"/>
        </w:rPr>
        <w:t xml:space="preserve"> </w:t>
      </w:r>
      <w:r w:rsidR="00966C3B">
        <w:rPr>
          <w:sz w:val="22"/>
        </w:rPr>
        <w:t>previous</w:t>
      </w:r>
      <w:r w:rsidR="00D715EC" w:rsidRPr="003B48C1">
        <w:rPr>
          <w:sz w:val="22"/>
        </w:rPr>
        <w:t xml:space="preserve"> reliability studies</w:t>
      </w:r>
      <w:r w:rsidR="00265D52" w:rsidRPr="003B48C1">
        <w:rPr>
          <w:sz w:val="22"/>
        </w:rPr>
        <w:t xml:space="preserve"> </w:t>
      </w:r>
      <w:r w:rsidR="000C10AA">
        <w:rPr>
          <w:noProof/>
          <w:sz w:val="22"/>
        </w:rPr>
        <w:t>(Du et al., 2020, Jovicich et al., 2009, McGuire et al., 2017, Morey et al., 2010, Reuter et al., 2015)</w:t>
      </w:r>
      <w:r w:rsidR="000C10AA">
        <w:rPr>
          <w:sz w:val="22"/>
        </w:rPr>
        <w:t xml:space="preserve">. </w:t>
      </w:r>
      <w:r w:rsidR="00B910D1" w:rsidRPr="003B48C1">
        <w:rPr>
          <w:sz w:val="22"/>
        </w:rPr>
        <w:t xml:space="preserve">Furthermore, longitudinal neuroimaging studies require </w:t>
      </w:r>
      <w:r w:rsidR="00E21645" w:rsidRPr="003B48C1">
        <w:rPr>
          <w:sz w:val="22"/>
        </w:rPr>
        <w:t>smaller sample sizes</w:t>
      </w:r>
      <w:r w:rsidR="00DC0B44" w:rsidRPr="003B48C1">
        <w:rPr>
          <w:sz w:val="22"/>
        </w:rPr>
        <w:t xml:space="preserve"> </w:t>
      </w:r>
      <w:r w:rsidR="00C5619A" w:rsidRPr="003B48C1">
        <w:rPr>
          <w:sz w:val="22"/>
        </w:rPr>
        <w:t xml:space="preserve">to detect </w:t>
      </w:r>
      <w:r w:rsidR="00E21645" w:rsidRPr="003B48C1">
        <w:rPr>
          <w:sz w:val="22"/>
        </w:rPr>
        <w:t>small effect size differences in brain structure</w:t>
      </w:r>
      <w:r w:rsidR="00DC0B44" w:rsidRPr="003B48C1">
        <w:rPr>
          <w:sz w:val="22"/>
        </w:rPr>
        <w:t xml:space="preserve"> compared to cross-sectional studies</w:t>
      </w:r>
      <w:r w:rsidR="000C10AA">
        <w:rPr>
          <w:sz w:val="22"/>
        </w:rPr>
        <w:t xml:space="preserve"> </w:t>
      </w:r>
      <w:r w:rsidR="00142795">
        <w:rPr>
          <w:noProof/>
          <w:sz w:val="22"/>
        </w:rPr>
        <w:t>(Steen et al., 2007)</w:t>
      </w:r>
      <w:r w:rsidR="00142795">
        <w:rPr>
          <w:sz w:val="22"/>
        </w:rPr>
        <w:t>.</w:t>
      </w:r>
      <w:r w:rsidR="00DC0B44" w:rsidRPr="003B48C1">
        <w:rPr>
          <w:sz w:val="22"/>
        </w:rPr>
        <w:t xml:space="preserve"> </w:t>
      </w:r>
      <w:r w:rsidR="00DC6568" w:rsidRPr="003B48C1">
        <w:rPr>
          <w:sz w:val="22"/>
        </w:rPr>
        <w:t>For example, for brain regions with ICCs close to 1.0, a longitudinal study requires approximately ten participants to be powered to detect small to large effect sizes</w:t>
      </w:r>
      <w:r w:rsidR="00142795">
        <w:rPr>
          <w:sz w:val="22"/>
        </w:rPr>
        <w:t xml:space="preserve"> </w:t>
      </w:r>
      <w:r w:rsidR="00142795">
        <w:rPr>
          <w:noProof/>
          <w:sz w:val="22"/>
        </w:rPr>
        <w:t>(Morey et al., 2010)</w:t>
      </w:r>
      <w:r w:rsidR="00DC6568" w:rsidRPr="003B48C1">
        <w:rPr>
          <w:sz w:val="22"/>
        </w:rPr>
        <w:t xml:space="preserve">. </w:t>
      </w:r>
      <w:r w:rsidR="00EF7B56" w:rsidRPr="003B48C1">
        <w:rPr>
          <w:sz w:val="22"/>
        </w:rPr>
        <w:t xml:space="preserve">Another limitation is that, although we obtained data from two MRI scanners, </w:t>
      </w:r>
      <w:r w:rsidR="0038788F" w:rsidRPr="003B48C1">
        <w:rPr>
          <w:sz w:val="22"/>
        </w:rPr>
        <w:t xml:space="preserve">they were both </w:t>
      </w:r>
      <w:r w:rsidR="001D376E" w:rsidRPr="003B48C1">
        <w:rPr>
          <w:sz w:val="22"/>
        </w:rPr>
        <w:t xml:space="preserve">GE </w:t>
      </w:r>
      <w:r w:rsidR="00851DB5" w:rsidRPr="003B48C1">
        <w:rPr>
          <w:sz w:val="22"/>
        </w:rPr>
        <w:t xml:space="preserve">Discovery MR750 </w:t>
      </w:r>
      <w:r w:rsidR="001D376E" w:rsidRPr="003B48C1">
        <w:rPr>
          <w:sz w:val="22"/>
        </w:rPr>
        <w:t>scanner</w:t>
      </w:r>
      <w:r w:rsidR="00DD0127" w:rsidRPr="003B48C1">
        <w:rPr>
          <w:sz w:val="22"/>
        </w:rPr>
        <w:t xml:space="preserve">s. Therefore, our results </w:t>
      </w:r>
      <w:r w:rsidR="00920EF3" w:rsidRPr="003B48C1">
        <w:rPr>
          <w:sz w:val="22"/>
        </w:rPr>
        <w:t xml:space="preserve">cannot </w:t>
      </w:r>
      <w:r w:rsidR="00BE0A3A">
        <w:rPr>
          <w:sz w:val="22"/>
        </w:rPr>
        <w:t xml:space="preserve">necessarily </w:t>
      </w:r>
      <w:r w:rsidR="00920EF3" w:rsidRPr="003B48C1">
        <w:rPr>
          <w:sz w:val="22"/>
        </w:rPr>
        <w:t>be generalised to MRI data combined from different scanner manufacturers</w:t>
      </w:r>
      <w:r w:rsidR="00F55881" w:rsidRPr="003B48C1">
        <w:rPr>
          <w:sz w:val="22"/>
        </w:rPr>
        <w:t xml:space="preserve"> in multi-</w:t>
      </w:r>
      <w:r w:rsidR="00B2676A">
        <w:rPr>
          <w:sz w:val="22"/>
        </w:rPr>
        <w:t>centre</w:t>
      </w:r>
      <w:r w:rsidR="00F55881" w:rsidRPr="003B48C1">
        <w:rPr>
          <w:sz w:val="22"/>
        </w:rPr>
        <w:t xml:space="preserve"> studies</w:t>
      </w:r>
      <w:r w:rsidR="00920EF3" w:rsidRPr="003B48C1">
        <w:rPr>
          <w:sz w:val="22"/>
        </w:rPr>
        <w:t xml:space="preserve">. </w:t>
      </w:r>
      <w:r w:rsidR="00316B48" w:rsidRPr="003B48C1">
        <w:rPr>
          <w:sz w:val="22"/>
        </w:rPr>
        <w:t xml:space="preserve"> </w:t>
      </w:r>
      <w:r w:rsidR="0011750C" w:rsidRPr="003B48C1">
        <w:rPr>
          <w:sz w:val="22"/>
        </w:rPr>
        <w:t xml:space="preserve"> </w:t>
      </w:r>
      <w:r w:rsidR="00A63E44" w:rsidRPr="003B48C1">
        <w:rPr>
          <w:sz w:val="22"/>
        </w:rPr>
        <w:t xml:space="preserve"> </w:t>
      </w:r>
      <w:r w:rsidR="0093410C" w:rsidRPr="003B48C1">
        <w:rPr>
          <w:sz w:val="22"/>
        </w:rPr>
        <w:t xml:space="preserve"> </w:t>
      </w:r>
      <w:r w:rsidR="00341D10" w:rsidRPr="003B48C1">
        <w:rPr>
          <w:sz w:val="22"/>
        </w:rPr>
        <w:t xml:space="preserve"> </w:t>
      </w:r>
      <w:r w:rsidR="007C1F33" w:rsidRPr="003B48C1">
        <w:rPr>
          <w:sz w:val="22"/>
        </w:rPr>
        <w:t xml:space="preserve"> </w:t>
      </w:r>
    </w:p>
    <w:p w14:paraId="25BEF911" w14:textId="5772FB38" w:rsidR="00141469" w:rsidRPr="00141469" w:rsidRDefault="009439E1" w:rsidP="00141469">
      <w:pPr>
        <w:spacing w:after="120" w:line="360" w:lineRule="auto"/>
        <w:jc w:val="both"/>
        <w:rPr>
          <w:sz w:val="22"/>
        </w:rPr>
      </w:pPr>
      <w:r>
        <w:rPr>
          <w:sz w:val="22"/>
        </w:rPr>
        <w:t>As accurate and reliable automated segmentation is essential for longitudinal studies</w:t>
      </w:r>
      <w:r w:rsidR="00142795">
        <w:rPr>
          <w:sz w:val="22"/>
        </w:rPr>
        <w:t xml:space="preserve"> </w:t>
      </w:r>
      <w:r w:rsidR="001601C7">
        <w:rPr>
          <w:noProof/>
          <w:sz w:val="22"/>
        </w:rPr>
        <w:t>(Sederevičius et al., 2021)</w:t>
      </w:r>
      <w:r w:rsidR="001601C7">
        <w:rPr>
          <w:sz w:val="22"/>
        </w:rPr>
        <w:t xml:space="preserve">, </w:t>
      </w:r>
      <w:r>
        <w:rPr>
          <w:sz w:val="22"/>
        </w:rPr>
        <w:t>it is crucial to examine and report the reproducibility of quant</w:t>
      </w:r>
      <w:r w:rsidR="00C84BE8">
        <w:rPr>
          <w:sz w:val="22"/>
        </w:rPr>
        <w:t>itative brain morphometry results</w:t>
      </w:r>
      <w:r w:rsidR="001601C7">
        <w:rPr>
          <w:sz w:val="22"/>
        </w:rPr>
        <w:t xml:space="preserve"> </w:t>
      </w:r>
      <w:r w:rsidR="001601C7">
        <w:rPr>
          <w:noProof/>
          <w:sz w:val="22"/>
        </w:rPr>
        <w:t>(Jovicich et al., 2006)</w:t>
      </w:r>
      <w:r w:rsidR="001601C7">
        <w:rPr>
          <w:sz w:val="22"/>
        </w:rPr>
        <w:t>.</w:t>
      </w:r>
      <w:r w:rsidR="00C84BE8">
        <w:rPr>
          <w:sz w:val="22"/>
        </w:rPr>
        <w:t xml:space="preserve"> </w:t>
      </w:r>
      <w:r w:rsidR="00397F00" w:rsidRPr="003B48C1">
        <w:rPr>
          <w:sz w:val="22"/>
        </w:rPr>
        <w:t>Overall, t</w:t>
      </w:r>
      <w:r w:rsidR="00A83285" w:rsidRPr="003B48C1">
        <w:rPr>
          <w:sz w:val="22"/>
        </w:rPr>
        <w:t>he present study demonstrated high test-retest reliability of FreeSurfer-derived measurements</w:t>
      </w:r>
      <w:r w:rsidR="008F6C08" w:rsidRPr="003B48C1">
        <w:rPr>
          <w:sz w:val="22"/>
        </w:rPr>
        <w:t xml:space="preserve"> </w:t>
      </w:r>
      <w:r w:rsidR="002C5520">
        <w:rPr>
          <w:sz w:val="22"/>
        </w:rPr>
        <w:t xml:space="preserve">and </w:t>
      </w:r>
      <w:r w:rsidR="008F6C08" w:rsidRPr="003B48C1">
        <w:rPr>
          <w:sz w:val="22"/>
        </w:rPr>
        <w:t xml:space="preserve">showed superiority of FreeSurfer v7.1.0 </w:t>
      </w:r>
      <w:r w:rsidR="00167D66">
        <w:rPr>
          <w:sz w:val="22"/>
        </w:rPr>
        <w:t xml:space="preserve">and v6.0.0 </w:t>
      </w:r>
      <w:r w:rsidR="008F6C08" w:rsidRPr="003B48C1">
        <w:rPr>
          <w:sz w:val="22"/>
        </w:rPr>
        <w:t>longitudinal stream</w:t>
      </w:r>
      <w:r w:rsidR="00167D66">
        <w:rPr>
          <w:sz w:val="22"/>
        </w:rPr>
        <w:t>s</w:t>
      </w:r>
      <w:r w:rsidR="008F6C08" w:rsidRPr="003B48C1">
        <w:rPr>
          <w:sz w:val="22"/>
        </w:rPr>
        <w:t xml:space="preserve">. </w:t>
      </w:r>
      <w:r w:rsidR="00CC78E2" w:rsidRPr="003B48C1">
        <w:rPr>
          <w:sz w:val="22"/>
        </w:rPr>
        <w:t xml:space="preserve">However, reliability of </w:t>
      </w:r>
      <w:r w:rsidR="0084431A" w:rsidRPr="003B48C1">
        <w:rPr>
          <w:sz w:val="22"/>
        </w:rPr>
        <w:t xml:space="preserve">measurements </w:t>
      </w:r>
      <w:r w:rsidR="006D71BC" w:rsidRPr="003B48C1">
        <w:rPr>
          <w:sz w:val="22"/>
        </w:rPr>
        <w:t xml:space="preserve">still </w:t>
      </w:r>
      <w:r w:rsidR="0084431A" w:rsidRPr="003B48C1">
        <w:rPr>
          <w:sz w:val="22"/>
        </w:rPr>
        <w:t>varied depend</w:t>
      </w:r>
      <w:r w:rsidR="004D05BC" w:rsidRPr="003B48C1">
        <w:rPr>
          <w:sz w:val="22"/>
        </w:rPr>
        <w:t>ing</w:t>
      </w:r>
      <w:r w:rsidR="0084431A" w:rsidRPr="003B48C1">
        <w:rPr>
          <w:sz w:val="22"/>
        </w:rPr>
        <w:t xml:space="preserve"> upon </w:t>
      </w:r>
      <w:r w:rsidR="008F6C08" w:rsidRPr="003B48C1">
        <w:rPr>
          <w:sz w:val="22"/>
        </w:rPr>
        <w:t xml:space="preserve">other </w:t>
      </w:r>
      <w:r w:rsidR="0084431A" w:rsidRPr="003B48C1">
        <w:rPr>
          <w:sz w:val="22"/>
        </w:rPr>
        <w:t>image acquisition</w:t>
      </w:r>
      <w:r w:rsidR="006D71BC" w:rsidRPr="003B48C1">
        <w:rPr>
          <w:sz w:val="22"/>
        </w:rPr>
        <w:t xml:space="preserve"> </w:t>
      </w:r>
      <w:r w:rsidR="0084431A" w:rsidRPr="003B48C1">
        <w:rPr>
          <w:sz w:val="22"/>
        </w:rPr>
        <w:t>factors.</w:t>
      </w:r>
      <w:r w:rsidR="008A034E" w:rsidRPr="003B48C1">
        <w:rPr>
          <w:sz w:val="22"/>
        </w:rPr>
        <w:t xml:space="preserve"> </w:t>
      </w:r>
      <w:r w:rsidR="008D03EA">
        <w:rPr>
          <w:sz w:val="22"/>
        </w:rPr>
        <w:t xml:space="preserve">Cortical thickness reliability </w:t>
      </w:r>
      <w:r w:rsidR="008D03EA" w:rsidRPr="003B48C1">
        <w:rPr>
          <w:sz w:val="22"/>
        </w:rPr>
        <w:t>estimates w</w:t>
      </w:r>
      <w:r w:rsidR="008D03EA">
        <w:rPr>
          <w:sz w:val="22"/>
        </w:rPr>
        <w:t>ere</w:t>
      </w:r>
      <w:r w:rsidR="008D03EA" w:rsidRPr="003B48C1">
        <w:rPr>
          <w:sz w:val="22"/>
        </w:rPr>
        <w:t xml:space="preserve"> lower</w:t>
      </w:r>
      <w:r w:rsidR="008D03EA">
        <w:rPr>
          <w:sz w:val="22"/>
        </w:rPr>
        <w:t xml:space="preserve"> for certain brain regions and so researchers</w:t>
      </w:r>
      <w:r w:rsidR="008D03EA" w:rsidRPr="003B48C1">
        <w:rPr>
          <w:sz w:val="22"/>
        </w:rPr>
        <w:t xml:space="preserve"> may want to consider using </w:t>
      </w:r>
      <w:r w:rsidR="008D03EA">
        <w:rPr>
          <w:sz w:val="22"/>
        </w:rPr>
        <w:t xml:space="preserve">alternative software, </w:t>
      </w:r>
      <w:r w:rsidR="008D03EA" w:rsidRPr="003B48C1">
        <w:rPr>
          <w:sz w:val="22"/>
        </w:rPr>
        <w:t>manual tracing methods</w:t>
      </w:r>
      <w:r w:rsidR="008D03EA">
        <w:rPr>
          <w:sz w:val="22"/>
        </w:rPr>
        <w:t>, or even excluding these regions in their analysis. As head tilt</w:t>
      </w:r>
      <w:r w:rsidR="008D03EA" w:rsidRPr="008D03EA">
        <w:rPr>
          <w:sz w:val="22"/>
        </w:rPr>
        <w:t xml:space="preserve"> </w:t>
      </w:r>
      <w:r w:rsidR="008D03EA" w:rsidRPr="003B48C1">
        <w:rPr>
          <w:sz w:val="22"/>
        </w:rPr>
        <w:t>seemed to have the greatest impact on re</w:t>
      </w:r>
      <w:r w:rsidR="005C7CCE">
        <w:rPr>
          <w:sz w:val="22"/>
        </w:rPr>
        <w:t>liability</w:t>
      </w:r>
      <w:r w:rsidR="008D03EA" w:rsidRPr="003B48C1">
        <w:rPr>
          <w:sz w:val="22"/>
        </w:rPr>
        <w:t xml:space="preserve"> of </w:t>
      </w:r>
      <w:r w:rsidR="00B8402C">
        <w:rPr>
          <w:sz w:val="22"/>
        </w:rPr>
        <w:t xml:space="preserve">structural </w:t>
      </w:r>
      <w:r w:rsidR="008D03EA" w:rsidRPr="003B48C1">
        <w:rPr>
          <w:sz w:val="22"/>
        </w:rPr>
        <w:t xml:space="preserve">brain </w:t>
      </w:r>
      <w:r w:rsidR="00B8402C">
        <w:rPr>
          <w:sz w:val="22"/>
        </w:rPr>
        <w:t>measurements</w:t>
      </w:r>
      <w:r w:rsidR="008D03EA">
        <w:rPr>
          <w:sz w:val="22"/>
        </w:rPr>
        <w:t>, we suggest that future longitudinal studies monitor and/or control head tilt after the localizer scan.</w:t>
      </w:r>
      <w:r w:rsidR="00141469">
        <w:rPr>
          <w:bCs/>
        </w:rPr>
        <w:br w:type="page"/>
      </w:r>
    </w:p>
    <w:p w14:paraId="5D9A86FE" w14:textId="66C81AF4" w:rsidR="009832CF" w:rsidRDefault="009832CF" w:rsidP="009832CF">
      <w:pPr>
        <w:pStyle w:val="Heading2"/>
        <w:spacing w:after="120" w:line="360" w:lineRule="auto"/>
        <w:jc w:val="both"/>
      </w:pPr>
      <w:r w:rsidRPr="00AA4530">
        <w:rPr>
          <w:bCs/>
        </w:rPr>
        <w:lastRenderedPageBreak/>
        <w:t>Data</w:t>
      </w:r>
      <w:r>
        <w:t xml:space="preserve"> availability statement</w:t>
      </w:r>
    </w:p>
    <w:p w14:paraId="3ED4AFD4" w14:textId="76CE12AF" w:rsidR="00E7213A" w:rsidRDefault="00BC1CD0" w:rsidP="00D421AE">
      <w:pPr>
        <w:spacing w:after="240" w:line="360" w:lineRule="auto"/>
        <w:jc w:val="both"/>
        <w:rPr>
          <w:sz w:val="22"/>
        </w:rPr>
      </w:pPr>
      <w:r>
        <w:rPr>
          <w:sz w:val="22"/>
        </w:rPr>
        <w:t xml:space="preserve">Data is available from </w:t>
      </w:r>
      <w:hyperlink r:id="rId19" w:history="1">
        <w:r>
          <w:rPr>
            <w:rStyle w:val="Hyperlink"/>
            <w:sz w:val="22"/>
          </w:rPr>
          <w:t>https://sites.google.com/view/pinstudy</w:t>
        </w:r>
      </w:hyperlink>
      <w:r w:rsidR="00E2135A">
        <w:rPr>
          <w:sz w:val="22"/>
        </w:rPr>
        <w:t xml:space="preserve"> for a subset of participants who provided consent for their </w:t>
      </w:r>
      <w:r w:rsidR="00712992">
        <w:rPr>
          <w:sz w:val="22"/>
        </w:rPr>
        <w:t xml:space="preserve">demographic and </w:t>
      </w:r>
      <w:r w:rsidR="00E2135A">
        <w:rPr>
          <w:sz w:val="22"/>
        </w:rPr>
        <w:t>defaced neuroimaging data to be made publicly available</w:t>
      </w:r>
      <w:r w:rsidR="005C4CF9">
        <w:rPr>
          <w:sz w:val="22"/>
        </w:rPr>
        <w:t>.</w:t>
      </w:r>
    </w:p>
    <w:p w14:paraId="7E8DA8D0" w14:textId="1B9226F4" w:rsidR="00986868" w:rsidRDefault="00986868" w:rsidP="009832CF">
      <w:pPr>
        <w:pStyle w:val="Heading2"/>
        <w:spacing w:after="120" w:line="360" w:lineRule="auto"/>
      </w:pPr>
      <w:r>
        <w:t>CRediT authorship contribution statement</w:t>
      </w:r>
    </w:p>
    <w:p w14:paraId="33DA16C4" w14:textId="140BF66D" w:rsidR="00E77260" w:rsidRPr="00E77260" w:rsidRDefault="00E77260" w:rsidP="00E77260">
      <w:pPr>
        <w:spacing w:after="240" w:line="360" w:lineRule="auto"/>
        <w:jc w:val="both"/>
        <w:rPr>
          <w:sz w:val="22"/>
        </w:rPr>
      </w:pPr>
      <w:r w:rsidRPr="00E77260">
        <w:rPr>
          <w:b/>
          <w:bCs/>
          <w:sz w:val="22"/>
        </w:rPr>
        <w:t>Emily P Hedges:</w:t>
      </w:r>
      <w:r w:rsidRPr="00E77260">
        <w:rPr>
          <w:sz w:val="22"/>
        </w:rPr>
        <w:t xml:space="preserve"> Methodology, Software, Validation, Formal analysis, Investigation, Data curation, Writing – original draft, Writing – review &amp; editing, Visualization</w:t>
      </w:r>
      <w:r>
        <w:rPr>
          <w:sz w:val="22"/>
        </w:rPr>
        <w:t xml:space="preserve">. </w:t>
      </w:r>
      <w:r w:rsidRPr="00E77260">
        <w:rPr>
          <w:b/>
          <w:bCs/>
          <w:sz w:val="22"/>
        </w:rPr>
        <w:t>Mihail Dimitrov:</w:t>
      </w:r>
      <w:r w:rsidRPr="00E77260">
        <w:rPr>
          <w:sz w:val="22"/>
        </w:rPr>
        <w:t xml:space="preserve"> Methodology, Software, Investigation, Data curation, Writing – review &amp; editing</w:t>
      </w:r>
      <w:r>
        <w:rPr>
          <w:sz w:val="22"/>
        </w:rPr>
        <w:t xml:space="preserve">. </w:t>
      </w:r>
      <w:r w:rsidRPr="00E77260">
        <w:rPr>
          <w:b/>
          <w:bCs/>
          <w:sz w:val="22"/>
        </w:rPr>
        <w:t>Uzma Zahid:</w:t>
      </w:r>
      <w:r w:rsidRPr="00E77260">
        <w:rPr>
          <w:sz w:val="22"/>
        </w:rPr>
        <w:t xml:space="preserve"> Methodology, Investigation, Data curation, Writing – review &amp; editing</w:t>
      </w:r>
      <w:r>
        <w:rPr>
          <w:sz w:val="22"/>
        </w:rPr>
        <w:t xml:space="preserve">. </w:t>
      </w:r>
      <w:r w:rsidRPr="00E77260">
        <w:rPr>
          <w:b/>
          <w:bCs/>
          <w:sz w:val="22"/>
        </w:rPr>
        <w:t>Barbara Brito Vega:</w:t>
      </w:r>
      <w:r w:rsidRPr="00E77260">
        <w:rPr>
          <w:sz w:val="22"/>
        </w:rPr>
        <w:t xml:space="preserve"> Investigation, Writing – review &amp; editing</w:t>
      </w:r>
      <w:r>
        <w:rPr>
          <w:sz w:val="22"/>
        </w:rPr>
        <w:t xml:space="preserve">. </w:t>
      </w:r>
      <w:r w:rsidRPr="00E77260">
        <w:rPr>
          <w:b/>
          <w:bCs/>
          <w:sz w:val="22"/>
        </w:rPr>
        <w:t>Shuqing Si:</w:t>
      </w:r>
      <w:r w:rsidRPr="00E77260">
        <w:rPr>
          <w:sz w:val="22"/>
        </w:rPr>
        <w:t xml:space="preserve"> Validation, Formal analysis, Writing – review &amp; editing, Visualization</w:t>
      </w:r>
      <w:r>
        <w:rPr>
          <w:sz w:val="22"/>
        </w:rPr>
        <w:t xml:space="preserve">. </w:t>
      </w:r>
      <w:r w:rsidRPr="00E77260">
        <w:rPr>
          <w:b/>
          <w:bCs/>
          <w:sz w:val="22"/>
        </w:rPr>
        <w:t>Hannah Dickson:</w:t>
      </w:r>
      <w:r w:rsidRPr="00E77260">
        <w:rPr>
          <w:sz w:val="22"/>
        </w:rPr>
        <w:t xml:space="preserve"> Writing – review &amp; editing</w:t>
      </w:r>
      <w:r>
        <w:rPr>
          <w:sz w:val="22"/>
        </w:rPr>
        <w:t xml:space="preserve">. </w:t>
      </w:r>
      <w:r w:rsidRPr="00E77260">
        <w:rPr>
          <w:b/>
          <w:bCs/>
          <w:sz w:val="22"/>
        </w:rPr>
        <w:t>Philip McGuire:</w:t>
      </w:r>
      <w:r w:rsidRPr="00E77260">
        <w:rPr>
          <w:sz w:val="22"/>
        </w:rPr>
        <w:t xml:space="preserve"> Writing – review &amp; editing</w:t>
      </w:r>
      <w:r>
        <w:rPr>
          <w:sz w:val="22"/>
        </w:rPr>
        <w:t xml:space="preserve">. </w:t>
      </w:r>
      <w:r w:rsidRPr="00E77260">
        <w:rPr>
          <w:b/>
          <w:bCs/>
          <w:sz w:val="22"/>
        </w:rPr>
        <w:t>Steve Williams:</w:t>
      </w:r>
      <w:r w:rsidRPr="00E77260">
        <w:rPr>
          <w:sz w:val="22"/>
        </w:rPr>
        <w:t xml:space="preserve"> Writing – review &amp; editing, Funding acquisition</w:t>
      </w:r>
      <w:r>
        <w:rPr>
          <w:sz w:val="22"/>
        </w:rPr>
        <w:t xml:space="preserve">. </w:t>
      </w:r>
      <w:r w:rsidRPr="00E77260">
        <w:rPr>
          <w:b/>
          <w:bCs/>
          <w:sz w:val="22"/>
        </w:rPr>
        <w:t>Gareth J Barker:</w:t>
      </w:r>
      <w:r w:rsidRPr="00E77260">
        <w:rPr>
          <w:sz w:val="22"/>
        </w:rPr>
        <w:t xml:space="preserve"> Methodology, Writing – review &amp; editing</w:t>
      </w:r>
      <w:r>
        <w:rPr>
          <w:sz w:val="22"/>
        </w:rPr>
        <w:t xml:space="preserve">. </w:t>
      </w:r>
      <w:r w:rsidRPr="00E77260">
        <w:rPr>
          <w:b/>
          <w:bCs/>
          <w:sz w:val="22"/>
        </w:rPr>
        <w:t>Matthew J Kempton:</w:t>
      </w:r>
      <w:r w:rsidRPr="00E77260">
        <w:rPr>
          <w:sz w:val="22"/>
        </w:rPr>
        <w:t xml:space="preserve"> Conceptualization, Methodology, Resources, Writing – review &amp; editing, Visualization, Supervision, Project administration, Funding acquisition</w:t>
      </w:r>
      <w:r>
        <w:rPr>
          <w:sz w:val="22"/>
        </w:rPr>
        <w:t>.</w:t>
      </w:r>
    </w:p>
    <w:p w14:paraId="559D0061" w14:textId="0183CD5D" w:rsidR="006D71BC" w:rsidRDefault="00F62FE1" w:rsidP="009832CF">
      <w:pPr>
        <w:pStyle w:val="Heading2"/>
        <w:spacing w:after="120" w:line="360" w:lineRule="auto"/>
      </w:pPr>
      <w:r>
        <w:t>Declaration of competing interest</w:t>
      </w:r>
    </w:p>
    <w:p w14:paraId="3B3758FB" w14:textId="167A5BBA" w:rsidR="00517EFE" w:rsidRPr="001C16CC" w:rsidRDefault="00C233BB" w:rsidP="00D421AE">
      <w:pPr>
        <w:spacing w:after="240" w:line="360" w:lineRule="auto"/>
        <w:jc w:val="both"/>
        <w:rPr>
          <w:sz w:val="22"/>
        </w:rPr>
      </w:pPr>
      <w:r>
        <w:rPr>
          <w:sz w:val="22"/>
        </w:rPr>
        <w:t>The authors declare no conflict of interest.</w:t>
      </w:r>
    </w:p>
    <w:p w14:paraId="44A85382" w14:textId="033E5B66" w:rsidR="00517EFE" w:rsidRDefault="00517EFE" w:rsidP="002F1C13">
      <w:pPr>
        <w:pStyle w:val="Heading2"/>
        <w:spacing w:after="120" w:line="360" w:lineRule="auto"/>
      </w:pPr>
      <w:r>
        <w:t>Acknowledgements</w:t>
      </w:r>
    </w:p>
    <w:p w14:paraId="1D6639E7" w14:textId="7AE9D887" w:rsidR="002B463C" w:rsidRPr="00141469" w:rsidRDefault="00517EFE" w:rsidP="00141469">
      <w:pPr>
        <w:spacing w:after="120" w:line="360" w:lineRule="auto"/>
        <w:jc w:val="both"/>
        <w:rPr>
          <w:rFonts w:cstheme="minorHAnsi"/>
          <w:sz w:val="22"/>
        </w:rPr>
      </w:pPr>
      <w:r>
        <w:rPr>
          <w:rFonts w:cstheme="minorHAnsi"/>
          <w:sz w:val="22"/>
        </w:rPr>
        <w:t xml:space="preserve">M Kempton was </w:t>
      </w:r>
      <w:r w:rsidRPr="007E0CBE">
        <w:rPr>
          <w:rFonts w:cstheme="minorHAnsi"/>
          <w:sz w:val="22"/>
        </w:rPr>
        <w:t xml:space="preserve">supported </w:t>
      </w:r>
      <w:r w:rsidRPr="007741A7">
        <w:rPr>
          <w:rFonts w:cstheme="minorHAnsi"/>
          <w:sz w:val="22"/>
        </w:rPr>
        <w:t>a Medical Research Council Career Development Fellowship (grant MR/J008915/1)</w:t>
      </w:r>
      <w:r>
        <w:rPr>
          <w:rFonts w:cstheme="minorHAnsi"/>
          <w:sz w:val="22"/>
        </w:rPr>
        <w:t>.</w:t>
      </w:r>
      <w:r w:rsidR="0036534E">
        <w:rPr>
          <w:rFonts w:cstheme="minorHAnsi"/>
          <w:sz w:val="22"/>
        </w:rPr>
        <w:t xml:space="preserve"> </w:t>
      </w:r>
      <w:r w:rsidR="00C7266E">
        <w:rPr>
          <w:rFonts w:cstheme="minorHAnsi"/>
          <w:sz w:val="22"/>
        </w:rPr>
        <w:t xml:space="preserve"> </w:t>
      </w:r>
      <w:r w:rsidR="00C7266E" w:rsidRPr="00C7266E">
        <w:rPr>
          <w:rFonts w:cstheme="minorHAnsi"/>
          <w:sz w:val="22"/>
        </w:rPr>
        <w:t>This study</w:t>
      </w:r>
      <w:r w:rsidR="00C7266E">
        <w:rPr>
          <w:rFonts w:cstheme="minorHAnsi"/>
          <w:sz w:val="22"/>
        </w:rPr>
        <w:t xml:space="preserve"> was partly</w:t>
      </w:r>
      <w:r w:rsidR="00C7266E" w:rsidRPr="00C7266E">
        <w:rPr>
          <w:rFonts w:cstheme="minorHAnsi"/>
          <w:sz w:val="22"/>
        </w:rPr>
        <w:t xml:space="preserve"> funded by the National Institute for Health Research (NIHR) Maudsley Biomedical Research Centre at South London and Maudsley NHS Foundation Trust and King's College London. The views expressed are those of the author(s) and not necessarily those of the NIHR or the Department of Health and Social Care</w:t>
      </w:r>
      <w:r w:rsidR="00141469">
        <w:rPr>
          <w:rFonts w:cstheme="minorHAnsi"/>
          <w:sz w:val="22"/>
        </w:rPr>
        <w:t>.</w:t>
      </w:r>
      <w:r w:rsidR="002B463C" w:rsidRPr="00D87467">
        <w:br w:type="page"/>
      </w:r>
    </w:p>
    <w:p w14:paraId="272AA258" w14:textId="6D7393A1" w:rsidR="009A1FF5" w:rsidRDefault="007F3B33" w:rsidP="00DC0635">
      <w:pPr>
        <w:pStyle w:val="Heading1"/>
        <w:spacing w:after="120" w:line="360" w:lineRule="auto"/>
      </w:pPr>
      <w:r w:rsidRPr="00193080">
        <w:rPr>
          <w:bCs/>
        </w:rPr>
        <w:lastRenderedPageBreak/>
        <w:t>References</w:t>
      </w:r>
    </w:p>
    <w:p w14:paraId="2B99C555" w14:textId="1DB501D7" w:rsidR="00657E79" w:rsidRPr="00657E79" w:rsidRDefault="00657E79" w:rsidP="000A24B3">
      <w:pPr>
        <w:pStyle w:val="EndNoteBibliography"/>
        <w:spacing w:after="0" w:line="360" w:lineRule="auto"/>
        <w:ind w:left="720" w:hanging="720"/>
      </w:pPr>
      <w:r w:rsidRPr="00657E79">
        <w:t xml:space="preserve">ALEXANDER‐BLOCH, A., CLASEN, L., STOCKMAN, M., RONAN, L., LALONDE, F., GIEDD, J. &amp; RAZNAHAN, A. 2016. Subtle in‐scanner motion biases automated measurement of brain anatomy from in vivo MRI. </w:t>
      </w:r>
      <w:r w:rsidRPr="00657E79">
        <w:rPr>
          <w:i/>
        </w:rPr>
        <w:t>Human brain mapping,</w:t>
      </w:r>
      <w:r w:rsidRPr="00657E79">
        <w:t xml:space="preserve"> 37</w:t>
      </w:r>
      <w:r w:rsidRPr="00657E79">
        <w:rPr>
          <w:b/>
        </w:rPr>
        <w:t>,</w:t>
      </w:r>
      <w:r w:rsidRPr="00657E79">
        <w:t xml:space="preserve"> 2385-2397.</w:t>
      </w:r>
    </w:p>
    <w:p w14:paraId="6BEB0B1C" w14:textId="77777777" w:rsidR="00657E79" w:rsidRPr="00657E79" w:rsidRDefault="00657E79" w:rsidP="000A24B3">
      <w:pPr>
        <w:pStyle w:val="EndNoteBibliography"/>
        <w:spacing w:after="0" w:line="360" w:lineRule="auto"/>
        <w:ind w:left="720" w:hanging="720"/>
      </w:pPr>
      <w:r w:rsidRPr="00657E79">
        <w:t xml:space="preserve">CHEPKOECH, J. L., WALHOVD, K. B., GRYDELAND, H., FJELL, A. M. &amp; INITIATIVE, A. S. D. N. 2016. Effects of change in FreeSurfer version on classification accuracy of patients with Alzheimer's disease and mild cognitive impairment. </w:t>
      </w:r>
      <w:r w:rsidRPr="00657E79">
        <w:rPr>
          <w:i/>
        </w:rPr>
        <w:t>Human brain mapping,</w:t>
      </w:r>
      <w:r w:rsidRPr="00657E79">
        <w:t xml:space="preserve"> 37</w:t>
      </w:r>
      <w:r w:rsidRPr="00657E79">
        <w:rPr>
          <w:b/>
        </w:rPr>
        <w:t>,</w:t>
      </w:r>
      <w:r w:rsidRPr="00657E79">
        <w:t xml:space="preserve"> 1831-1841.</w:t>
      </w:r>
    </w:p>
    <w:p w14:paraId="4AF727CF" w14:textId="40102AEB" w:rsidR="00FE3D58" w:rsidRDefault="00FE3D58" w:rsidP="000A24B3">
      <w:pPr>
        <w:pStyle w:val="EndNoteBibliography"/>
        <w:spacing w:after="0" w:line="360" w:lineRule="auto"/>
        <w:ind w:left="720" w:hanging="720"/>
      </w:pPr>
      <w:r>
        <w:t>COHEN, J. 1988. Chapter 2. The t Test for Means. In Statistical Power Analysis for the Behav</w:t>
      </w:r>
      <w:r w:rsidR="00A147F1">
        <w:t>ioral Sciences. Academic Press, CY</w:t>
      </w:r>
      <w:r w:rsidR="00192EED">
        <w:t>, pp. 19-74.</w:t>
      </w:r>
      <w:r w:rsidR="00A147F1">
        <w:t xml:space="preserve"> </w:t>
      </w:r>
    </w:p>
    <w:p w14:paraId="7D0C481E" w14:textId="1D9DD4BD" w:rsidR="00DD538B" w:rsidRPr="00C97566" w:rsidRDefault="00DD538B" w:rsidP="000A24B3">
      <w:pPr>
        <w:pStyle w:val="EndNoteBibliography"/>
        <w:spacing w:after="0" w:line="360" w:lineRule="auto"/>
        <w:ind w:left="720" w:hanging="720"/>
      </w:pPr>
      <w:r w:rsidRPr="00C97566">
        <w:t xml:space="preserve">CUSACK, R., LINKE, A. C., ZUBIAURRE-ELORZA, L., DUFFY, H., HERZMANN, C., STOJANOSKI, B., HAN, V. K., LEE, D. S. C. &amp; WILD, C. 2017. Differences in the spatial and temporal patterns of head motion during MRI of adults and infants. </w:t>
      </w:r>
      <w:r w:rsidRPr="00895690">
        <w:rPr>
          <w:i/>
          <w:iCs/>
        </w:rPr>
        <w:t>bioRxiv</w:t>
      </w:r>
      <w:r w:rsidRPr="00C97566">
        <w:t>, 114447.</w:t>
      </w:r>
    </w:p>
    <w:p w14:paraId="1E947258" w14:textId="78E4CFFE" w:rsidR="00657E79" w:rsidRPr="00657E79" w:rsidRDefault="00657E79" w:rsidP="000A24B3">
      <w:pPr>
        <w:pStyle w:val="EndNoteBibliography"/>
        <w:spacing w:after="0" w:line="360" w:lineRule="auto"/>
        <w:ind w:left="720" w:hanging="720"/>
      </w:pPr>
      <w:r w:rsidRPr="00657E79">
        <w:t xml:space="preserve">DU, J., LIANG, P., HE, H., TONG, Q., GONG, T., QIAN, T., SUN, Y., ZHONG, J. &amp; LI, K. 2020. Reproducibility of volume and asymmetry measurements of hippocampus, amygdala, and entorhinal cortex on traveling volunteers: a multisite MP2RAGE prospective study. </w:t>
      </w:r>
      <w:r w:rsidRPr="00657E79">
        <w:rPr>
          <w:i/>
        </w:rPr>
        <w:t>Acta Radiologica</w:t>
      </w:r>
      <w:r w:rsidRPr="00657E79">
        <w:rPr>
          <w:b/>
        </w:rPr>
        <w:t>,</w:t>
      </w:r>
      <w:r w:rsidRPr="00657E79">
        <w:t xml:space="preserve"> 0284185120963919.</w:t>
      </w:r>
    </w:p>
    <w:p w14:paraId="7484595C" w14:textId="77777777" w:rsidR="00657E79" w:rsidRPr="00657E79" w:rsidRDefault="00657E79" w:rsidP="000A24B3">
      <w:pPr>
        <w:pStyle w:val="EndNoteBibliography"/>
        <w:spacing w:after="0" w:line="360" w:lineRule="auto"/>
        <w:ind w:left="720" w:hanging="720"/>
      </w:pPr>
      <w:r w:rsidRPr="00657E79">
        <w:t xml:space="preserve">ELLIOTT, L. T., SHARP, K., ALFARO-ALMAGRO, F., SHI, S., MILLER, K. L., DOUAUD, G., MARCHINI, J. &amp; SMITH, S. M. 2018. Genome-wide association studies of brain imaging phenotypes in UK Biobank. </w:t>
      </w:r>
      <w:r w:rsidRPr="00657E79">
        <w:rPr>
          <w:i/>
        </w:rPr>
        <w:t>Nature,</w:t>
      </w:r>
      <w:r w:rsidRPr="00657E79">
        <w:t xml:space="preserve"> 562</w:t>
      </w:r>
      <w:r w:rsidRPr="00657E79">
        <w:rPr>
          <w:b/>
        </w:rPr>
        <w:t>,</w:t>
      </w:r>
      <w:r w:rsidRPr="00657E79">
        <w:t xml:space="preserve"> 210-216.</w:t>
      </w:r>
    </w:p>
    <w:p w14:paraId="7027BBD0" w14:textId="77777777" w:rsidR="00873173" w:rsidRPr="00873173" w:rsidRDefault="00B03CF3" w:rsidP="000A24B3">
      <w:pPr>
        <w:pStyle w:val="EndNoteBibliography"/>
        <w:spacing w:after="0" w:line="360" w:lineRule="auto"/>
        <w:ind w:left="720" w:hanging="720"/>
      </w:pPr>
      <w:r w:rsidRPr="00873173">
        <w:t xml:space="preserve">FAUL, F., ERDFELDER, E., LANG, A.-G. &amp; BUCHNER, A. 2007. G* Power 3: A flexible statistical power analysis program for the social, behavioral, and biomedical sciences. </w:t>
      </w:r>
      <w:r w:rsidRPr="00873173">
        <w:rPr>
          <w:i/>
          <w:iCs/>
        </w:rPr>
        <w:t>Behavior research methods</w:t>
      </w:r>
      <w:r w:rsidRPr="00873173">
        <w:t>, 39, 175-191.</w:t>
      </w:r>
    </w:p>
    <w:p w14:paraId="74AE9FD6" w14:textId="77777777" w:rsidR="00E81A90" w:rsidRPr="00DB0857" w:rsidRDefault="00E81A90" w:rsidP="000A24B3">
      <w:pPr>
        <w:pStyle w:val="EndNoteBibliography"/>
        <w:spacing w:after="0" w:line="360" w:lineRule="auto"/>
        <w:ind w:left="720" w:hanging="720"/>
      </w:pPr>
      <w:r w:rsidRPr="00DB0857">
        <w:t xml:space="preserve">FRINGS, L., YEW, B., FLANAGAN, E., LAM, B. Y., HÜLL, M., HUPPERTZ, H.-J., HODGES, J. R. &amp; HORNBERGER, M. 2014. Longitudinal grey and white matter changes in frontotemporal dementia and Alzheimer’s disease. </w:t>
      </w:r>
      <w:r w:rsidRPr="00DB0857">
        <w:rPr>
          <w:i/>
          <w:iCs/>
        </w:rPr>
        <w:t>PloS one,</w:t>
      </w:r>
      <w:r w:rsidRPr="00DB0857">
        <w:t xml:space="preserve"> 9, e90814.</w:t>
      </w:r>
    </w:p>
    <w:p w14:paraId="3E90C308" w14:textId="3EE1BA23" w:rsidR="00FC1576" w:rsidRDefault="00FC1576" w:rsidP="000A24B3">
      <w:pPr>
        <w:pStyle w:val="CommentText"/>
        <w:spacing w:after="0" w:line="360" w:lineRule="auto"/>
      </w:pPr>
      <w:r>
        <w:t xml:space="preserve">GAMER, M., LEMON, J., FELLOWS, I. &amp; SINGH, P. 2019. </w:t>
      </w:r>
      <w:r w:rsidRPr="00060A3A">
        <w:rPr>
          <w:i/>
          <w:iCs/>
        </w:rPr>
        <w:t xml:space="preserve">irr: Various Coefficients of Interrater Reliability and </w:t>
      </w:r>
      <w:r>
        <w:rPr>
          <w:i/>
          <w:iCs/>
        </w:rPr>
        <w:tab/>
      </w:r>
      <w:r w:rsidRPr="00060A3A">
        <w:rPr>
          <w:i/>
          <w:iCs/>
        </w:rPr>
        <w:t>Agreement.</w:t>
      </w:r>
      <w:r>
        <w:t xml:space="preserve"> R package version 0.84.1. https://CRAN.R-project.org/package=irr</w:t>
      </w:r>
    </w:p>
    <w:p w14:paraId="2A0E05D4" w14:textId="77777777" w:rsidR="00657E79" w:rsidRPr="00657E79" w:rsidRDefault="00657E79" w:rsidP="000A24B3">
      <w:pPr>
        <w:pStyle w:val="EndNoteBibliography"/>
        <w:spacing w:after="0" w:line="360" w:lineRule="auto"/>
        <w:ind w:left="720" w:hanging="720"/>
      </w:pPr>
      <w:r w:rsidRPr="00657E79">
        <w:t xml:space="preserve">GIBERT, P., MORETEAU, B., MORETEAU, J.-C. &amp; DAVID, J. R. 1998. Genetic variability of quantitative traits in Drosophila melanogaster (fruit fly) natural populations: analysis of wild-living flies and of several laboratory generations. </w:t>
      </w:r>
      <w:r w:rsidRPr="00657E79">
        <w:rPr>
          <w:i/>
        </w:rPr>
        <w:t>Heredity,</w:t>
      </w:r>
      <w:r w:rsidRPr="00657E79">
        <w:t xml:space="preserve"> 80</w:t>
      </w:r>
      <w:r w:rsidRPr="00657E79">
        <w:rPr>
          <w:b/>
        </w:rPr>
        <w:t>,</w:t>
      </w:r>
      <w:r w:rsidRPr="00657E79">
        <w:t xml:space="preserve"> 326-335.</w:t>
      </w:r>
    </w:p>
    <w:p w14:paraId="23C175D2" w14:textId="77777777" w:rsidR="00657E79" w:rsidRPr="00657E79" w:rsidRDefault="00657E79" w:rsidP="000A24B3">
      <w:pPr>
        <w:pStyle w:val="EndNoteBibliography"/>
        <w:spacing w:after="0" w:line="360" w:lineRule="auto"/>
        <w:ind w:left="720" w:hanging="720"/>
      </w:pPr>
      <w:r w:rsidRPr="00657E79">
        <w:t xml:space="preserve">GRONENSCHILD, E. H., HABETS, P., JACOBS, H. I., MENGELERS, R., ROZENDAAL, N., VAN OS, J. &amp; MARCELIS, M. 2012. The effects of FreeSurfer version, workstation type, and Macintosh operating system version on anatomical volume and cortical thickness measurements. </w:t>
      </w:r>
      <w:r w:rsidRPr="00657E79">
        <w:rPr>
          <w:i/>
        </w:rPr>
        <w:t>PloS one,</w:t>
      </w:r>
      <w:r w:rsidRPr="00657E79">
        <w:t xml:space="preserve"> 7</w:t>
      </w:r>
      <w:r w:rsidRPr="00657E79">
        <w:rPr>
          <w:b/>
        </w:rPr>
        <w:t>,</w:t>
      </w:r>
      <w:r w:rsidRPr="00657E79">
        <w:t xml:space="preserve"> e38234.</w:t>
      </w:r>
    </w:p>
    <w:p w14:paraId="2B72D8C5" w14:textId="77777777" w:rsidR="00657E79" w:rsidRPr="00657E79" w:rsidRDefault="00657E79" w:rsidP="000A24B3">
      <w:pPr>
        <w:pStyle w:val="EndNoteBibliography"/>
        <w:spacing w:after="0" w:line="360" w:lineRule="auto"/>
        <w:ind w:left="720" w:hanging="720"/>
      </w:pPr>
      <w:r w:rsidRPr="00657E79">
        <w:t xml:space="preserve">HAN, X., JOVICICH, J., SALAT, D., VAN DER KOUWE, A., QUINN, B., CZANNER, S., BUSA, E., PACHECO, J., ALBERT, M. &amp; KILLIANY, R. 2006. Reliability of MRI-derived measurements of human cerebral cortical thickness: the effects of field strength, scanner upgrade and manufacturer. </w:t>
      </w:r>
      <w:r w:rsidRPr="00657E79">
        <w:rPr>
          <w:i/>
        </w:rPr>
        <w:t>Neuroimage,</w:t>
      </w:r>
      <w:r w:rsidRPr="00657E79">
        <w:t xml:space="preserve"> 32</w:t>
      </w:r>
      <w:r w:rsidRPr="00657E79">
        <w:rPr>
          <w:b/>
        </w:rPr>
        <w:t>,</w:t>
      </w:r>
      <w:r w:rsidRPr="00657E79">
        <w:t xml:space="preserve"> 180-194.</w:t>
      </w:r>
    </w:p>
    <w:p w14:paraId="21B24A8F" w14:textId="77777777" w:rsidR="00657E79" w:rsidRPr="00657E79" w:rsidRDefault="00657E79" w:rsidP="000A24B3">
      <w:pPr>
        <w:pStyle w:val="EndNoteBibliography"/>
        <w:spacing w:after="0" w:line="360" w:lineRule="auto"/>
        <w:ind w:left="720" w:hanging="720"/>
      </w:pPr>
      <w:r w:rsidRPr="00657E79">
        <w:t xml:space="preserve">ISCAN, Z., JIN, T. B., KENDRICK, A., SZEGLIN, B., LU, H., TRIVEDI, M., FAVA, M., MCGRATH, P. J., WEISSMAN, M. &amp; KURIAN, B. T. 2015. Test–retest reliability of freesurfer measurements within and between sites: Effects of visual approval process. </w:t>
      </w:r>
      <w:r w:rsidRPr="00657E79">
        <w:rPr>
          <w:i/>
        </w:rPr>
        <w:t>Human brain mapping,</w:t>
      </w:r>
      <w:r w:rsidRPr="00657E79">
        <w:t xml:space="preserve"> 36</w:t>
      </w:r>
      <w:r w:rsidRPr="00657E79">
        <w:rPr>
          <w:b/>
        </w:rPr>
        <w:t>,</w:t>
      </w:r>
      <w:r w:rsidRPr="00657E79">
        <w:t xml:space="preserve"> 3472-3485.</w:t>
      </w:r>
    </w:p>
    <w:p w14:paraId="08910205" w14:textId="77777777" w:rsidR="00657E79" w:rsidRPr="00657E79" w:rsidRDefault="00657E79" w:rsidP="000A24B3">
      <w:pPr>
        <w:pStyle w:val="EndNoteBibliography"/>
        <w:spacing w:after="0" w:line="360" w:lineRule="auto"/>
        <w:ind w:left="720" w:hanging="720"/>
      </w:pPr>
      <w:r w:rsidRPr="00657E79">
        <w:lastRenderedPageBreak/>
        <w:t xml:space="preserve">JACK JR, C. R., BERNSTEIN, M. A., FOX, N. C., THOMPSON, P., ALEXANDER, G., HARVEY, D., BOROWSKI, B., BRITSON, P. J., L. WHITWELL, J. &amp; WARD, C. 2008. The Alzheimer's disease neuroimaging initiative (ADNI): MRI methods. </w:t>
      </w:r>
      <w:r w:rsidRPr="00657E79">
        <w:rPr>
          <w:i/>
        </w:rPr>
        <w:t>Journal of Magnetic Resonance Imaging: An Official Journal of the International Society for Magnetic Resonance in Medicine,</w:t>
      </w:r>
      <w:r w:rsidRPr="00657E79">
        <w:t xml:space="preserve"> 27</w:t>
      </w:r>
      <w:r w:rsidRPr="00657E79">
        <w:rPr>
          <w:b/>
        </w:rPr>
        <w:t>,</w:t>
      </w:r>
      <w:r w:rsidRPr="00657E79">
        <w:t xml:space="preserve"> 685-691.</w:t>
      </w:r>
    </w:p>
    <w:p w14:paraId="1FF48072" w14:textId="77777777" w:rsidR="00657E79" w:rsidRPr="00657E79" w:rsidRDefault="00657E79" w:rsidP="000A24B3">
      <w:pPr>
        <w:pStyle w:val="EndNoteBibliography"/>
        <w:spacing w:after="0" w:line="360" w:lineRule="auto"/>
        <w:ind w:left="720" w:hanging="720"/>
      </w:pPr>
      <w:r w:rsidRPr="00657E79">
        <w:t xml:space="preserve">JOVICICH, J., CZANNER, S., GREVE, D., HALEY, E., VAN DER KOUWE, A., GOLLUB, R., KENNEDY, D., SCHMITT, F., BROWN, G. &amp; MACFALL, J. 2006. Reliability in multi-site structural MRI studies: effects of gradient non-linearity correction on phantom and human data. </w:t>
      </w:r>
      <w:r w:rsidRPr="00657E79">
        <w:rPr>
          <w:i/>
        </w:rPr>
        <w:t>Neuroimage,</w:t>
      </w:r>
      <w:r w:rsidRPr="00657E79">
        <w:t xml:space="preserve"> 30</w:t>
      </w:r>
      <w:r w:rsidRPr="00657E79">
        <w:rPr>
          <w:b/>
        </w:rPr>
        <w:t>,</w:t>
      </w:r>
      <w:r w:rsidRPr="00657E79">
        <w:t xml:space="preserve"> 436-443.</w:t>
      </w:r>
    </w:p>
    <w:p w14:paraId="15E369BC" w14:textId="77777777" w:rsidR="00657E79" w:rsidRPr="00657E79" w:rsidRDefault="00657E79" w:rsidP="000A24B3">
      <w:pPr>
        <w:pStyle w:val="EndNoteBibliography"/>
        <w:spacing w:after="0" w:line="360" w:lineRule="auto"/>
        <w:ind w:left="720" w:hanging="720"/>
      </w:pPr>
      <w:r w:rsidRPr="00657E79">
        <w:t xml:space="preserve">JOVICICH, J., CZANNER, S., HAN, X., SALAT, D., VAN DER KOUWE, A., QUINN, B., PACHECO, J., ALBERT, M., KILLIANY, R. &amp; BLACKER, D. 2009. MRI-derived measurements of human subcortical, ventricular and intracranial brain volumes: reliability effects of scan sessions, acquisition sequences, data analyses, scanner upgrade, scanner vendors and field strengths. </w:t>
      </w:r>
      <w:r w:rsidRPr="00657E79">
        <w:rPr>
          <w:i/>
        </w:rPr>
        <w:t>Neuroimage,</w:t>
      </w:r>
      <w:r w:rsidRPr="00657E79">
        <w:t xml:space="preserve"> 46</w:t>
      </w:r>
      <w:r w:rsidRPr="00657E79">
        <w:rPr>
          <w:b/>
        </w:rPr>
        <w:t>,</w:t>
      </w:r>
      <w:r w:rsidRPr="00657E79">
        <w:t xml:space="preserve"> 177-192.</w:t>
      </w:r>
    </w:p>
    <w:p w14:paraId="1034D19B" w14:textId="694A0D51" w:rsidR="00657E79" w:rsidRDefault="00657E79" w:rsidP="000A24B3">
      <w:pPr>
        <w:pStyle w:val="EndNoteBibliography"/>
        <w:spacing w:after="0" w:line="360" w:lineRule="auto"/>
        <w:ind w:left="720" w:hanging="720"/>
      </w:pPr>
      <w:r w:rsidRPr="00657E79">
        <w:t xml:space="preserve">JOVICICH, J., MARIZZONI, M., SALA-LLONCH, R., BOSCH, B., BARTRÉS-FAZ, D., ARNOLD, J., BENNINGHOFF, J., WILTFANG, J., ROCCATAGLIATA, L. &amp; NOBILI, F. 2013. Brain morphometry reproducibility in multi-center 3 T MRI studies: a comparison of cross-sectional and longitudinal segmentations. </w:t>
      </w:r>
      <w:r w:rsidRPr="00657E79">
        <w:rPr>
          <w:i/>
        </w:rPr>
        <w:t>Neuroimage,</w:t>
      </w:r>
      <w:r w:rsidRPr="00657E79">
        <w:t xml:space="preserve"> 83</w:t>
      </w:r>
      <w:r w:rsidRPr="00657E79">
        <w:rPr>
          <w:b/>
        </w:rPr>
        <w:t>,</w:t>
      </w:r>
      <w:r w:rsidRPr="00657E79">
        <w:t xml:space="preserve"> 472-484.</w:t>
      </w:r>
    </w:p>
    <w:p w14:paraId="58EDD4AF" w14:textId="541118A7" w:rsidR="00E568B1" w:rsidRPr="00A462EF" w:rsidRDefault="00A462EF" w:rsidP="00A462EF">
      <w:pPr>
        <w:autoSpaceDE w:val="0"/>
        <w:autoSpaceDN w:val="0"/>
        <w:adjustRightInd w:val="0"/>
        <w:spacing w:after="0" w:line="360" w:lineRule="auto"/>
        <w:ind w:left="720" w:hanging="720"/>
        <w:rPr>
          <w:rFonts w:ascii="Segoe UI" w:hAnsi="Segoe UI" w:cs="Segoe UI"/>
          <w:sz w:val="18"/>
          <w:szCs w:val="18"/>
        </w:rPr>
      </w:pPr>
      <w:r>
        <w:rPr>
          <w:rFonts w:ascii="Segoe UI" w:hAnsi="Segoe UI" w:cs="Segoe UI"/>
          <w:sz w:val="18"/>
          <w:szCs w:val="18"/>
        </w:rPr>
        <w:t xml:space="preserve">KESSLER, R. C., AGUILAR-GAXIOLA, S., ALONSO, J., ANGERMEYER, M. C., ANTHONY, J. C., BERGLUND, P. A., CHATTERJI, S., DE GIROLAMO, G., DE GRAAF, R. &amp; DEMYTTENAERE, K. 2008. Lifetime prevalence and age of onset distributions of mental disorders in the World Mental Health Survey Initiative. </w:t>
      </w:r>
      <w:r>
        <w:rPr>
          <w:rFonts w:ascii="Segoe UI" w:hAnsi="Segoe UI" w:cs="Segoe UI"/>
          <w:i/>
          <w:iCs/>
          <w:sz w:val="18"/>
          <w:szCs w:val="18"/>
        </w:rPr>
        <w:t>The WHO world mental health surveys: Global perspectives on the epidemiology of mental disorders.</w:t>
      </w:r>
      <w:r>
        <w:rPr>
          <w:rFonts w:ascii="Segoe UI" w:hAnsi="Segoe UI" w:cs="Segoe UI"/>
          <w:sz w:val="18"/>
          <w:szCs w:val="18"/>
        </w:rPr>
        <w:t xml:space="preserve"> Cambridge University Press.</w:t>
      </w:r>
    </w:p>
    <w:p w14:paraId="5FC8C125" w14:textId="77777777" w:rsidR="00394993" w:rsidRPr="002B36FB" w:rsidRDefault="00394993" w:rsidP="000A24B3">
      <w:pPr>
        <w:pStyle w:val="EndNoteBibliography"/>
        <w:spacing w:after="0" w:line="360" w:lineRule="auto"/>
        <w:ind w:left="720" w:hanging="720"/>
      </w:pPr>
      <w:r w:rsidRPr="002B36FB">
        <w:t xml:space="preserve">LAGUNA, P. A. L., COMBES, A. J., STREFFER, J., EINSTEIN, S., TIMMERS, M., WILLIAMS, S. C. &amp; DELL'ACQUA, F. 2020. Reproducibility, reliability and variability of FA and MD in the older healthy population: A test-retest multiparametric analysis. </w:t>
      </w:r>
      <w:r w:rsidRPr="002B36FB">
        <w:rPr>
          <w:i/>
          <w:iCs/>
        </w:rPr>
        <w:t>NeuroImage: Clinical</w:t>
      </w:r>
      <w:r w:rsidRPr="002B36FB">
        <w:t>, 26.</w:t>
      </w:r>
    </w:p>
    <w:p w14:paraId="492B24C0" w14:textId="77777777" w:rsidR="00657E79" w:rsidRPr="00657E79" w:rsidRDefault="00657E79" w:rsidP="000A24B3">
      <w:pPr>
        <w:pStyle w:val="EndNoteBibliography"/>
        <w:spacing w:after="0" w:line="360" w:lineRule="auto"/>
        <w:ind w:left="720" w:hanging="720"/>
      </w:pPr>
      <w:r w:rsidRPr="00657E79">
        <w:t xml:space="preserve">LEHMANN, M., DOUIRI, A., KIM, L. G., MODAT, M., CHAN, D., OURSELIN, S., BARNES, J. &amp; FOX, N. C. 2010. Atrophy patterns in Alzheimer's disease and semantic dementia: a comparison of FreeSurfer and manual volumetric measurements. </w:t>
      </w:r>
      <w:r w:rsidRPr="00657E79">
        <w:rPr>
          <w:i/>
        </w:rPr>
        <w:t>Neuroimage,</w:t>
      </w:r>
      <w:r w:rsidRPr="00657E79">
        <w:t xml:space="preserve"> 49</w:t>
      </w:r>
      <w:r w:rsidRPr="00657E79">
        <w:rPr>
          <w:b/>
        </w:rPr>
        <w:t>,</w:t>
      </w:r>
      <w:r w:rsidRPr="00657E79">
        <w:t xml:space="preserve"> 2264-2274.</w:t>
      </w:r>
    </w:p>
    <w:p w14:paraId="1EEC3599" w14:textId="77777777" w:rsidR="00657E79" w:rsidRPr="00657E79" w:rsidRDefault="00657E79" w:rsidP="000A24B3">
      <w:pPr>
        <w:pStyle w:val="EndNoteBibliography"/>
        <w:spacing w:after="0" w:line="360" w:lineRule="auto"/>
        <w:ind w:left="720" w:hanging="720"/>
      </w:pPr>
      <w:r w:rsidRPr="00657E79">
        <w:t xml:space="preserve">LIEM, F., MÉRILLAT, S., BEZZOLA, L., HIRSIGER, S., PHILIPP, M., MADHYASTHA, T. &amp; JÄNCKE, L. 2015. Reliability and statistical power analysis of cortical and subcortical FreeSurfer metrics in a large sample of healthy elderly. </w:t>
      </w:r>
      <w:r w:rsidRPr="00657E79">
        <w:rPr>
          <w:i/>
        </w:rPr>
        <w:t>Neuroimage,</w:t>
      </w:r>
      <w:r w:rsidRPr="00657E79">
        <w:t xml:space="preserve"> 108</w:t>
      </w:r>
      <w:r w:rsidRPr="00657E79">
        <w:rPr>
          <w:b/>
        </w:rPr>
        <w:t>,</w:t>
      </w:r>
      <w:r w:rsidRPr="00657E79">
        <w:t xml:space="preserve"> 95-109.</w:t>
      </w:r>
    </w:p>
    <w:p w14:paraId="71451566" w14:textId="77777777" w:rsidR="00657E79" w:rsidRPr="00657E79" w:rsidRDefault="00657E79" w:rsidP="000A24B3">
      <w:pPr>
        <w:pStyle w:val="EndNoteBibliography"/>
        <w:spacing w:after="0" w:line="360" w:lineRule="auto"/>
        <w:ind w:left="720" w:hanging="720"/>
      </w:pPr>
      <w:r w:rsidRPr="00657E79">
        <w:t xml:space="preserve">MCCARTHY, C. S., RAMPRASHAD, A., THOMPSON, C., BOTTI, J.-A., COMAN, I. L. &amp; KATES, W. R. 2015. A comparison of FreeSurfer-generated data with and without manual intervention. </w:t>
      </w:r>
      <w:r w:rsidRPr="00657E79">
        <w:rPr>
          <w:i/>
        </w:rPr>
        <w:t>Frontiers in neuroscience,</w:t>
      </w:r>
      <w:r w:rsidRPr="00657E79">
        <w:t xml:space="preserve"> 9</w:t>
      </w:r>
      <w:r w:rsidRPr="00657E79">
        <w:rPr>
          <w:b/>
        </w:rPr>
        <w:t>,</w:t>
      </w:r>
      <w:r w:rsidRPr="00657E79">
        <w:t xml:space="preserve"> 379.</w:t>
      </w:r>
    </w:p>
    <w:p w14:paraId="40F4C31B" w14:textId="77777777" w:rsidR="00657E79" w:rsidRPr="00657E79" w:rsidRDefault="00657E79" w:rsidP="000A24B3">
      <w:pPr>
        <w:pStyle w:val="EndNoteBibliography"/>
        <w:spacing w:after="0" w:line="360" w:lineRule="auto"/>
        <w:ind w:left="720" w:hanging="720"/>
      </w:pPr>
      <w:r w:rsidRPr="00657E79">
        <w:t xml:space="preserve">MCGRAW, K. O. &amp; WONG, S. P. 1996. Forming inferences about some intraclass correlation coefficients. </w:t>
      </w:r>
      <w:r w:rsidRPr="00657E79">
        <w:rPr>
          <w:i/>
        </w:rPr>
        <w:t>Psychological methods,</w:t>
      </w:r>
      <w:r w:rsidRPr="00657E79">
        <w:t xml:space="preserve"> 1</w:t>
      </w:r>
      <w:r w:rsidRPr="00657E79">
        <w:rPr>
          <w:b/>
        </w:rPr>
        <w:t>,</w:t>
      </w:r>
      <w:r w:rsidRPr="00657E79">
        <w:t xml:space="preserve"> 30.</w:t>
      </w:r>
    </w:p>
    <w:p w14:paraId="3AFADC9C" w14:textId="77777777" w:rsidR="00657E79" w:rsidRPr="00657E79" w:rsidRDefault="00657E79" w:rsidP="000A24B3">
      <w:pPr>
        <w:pStyle w:val="EndNoteBibliography"/>
        <w:spacing w:after="0" w:line="360" w:lineRule="auto"/>
        <w:ind w:left="720" w:hanging="720"/>
      </w:pPr>
      <w:r w:rsidRPr="00657E79">
        <w:t xml:space="preserve">MCGUIRE, S. A., WIJTENBURG, S. A., SHERMAN, P. M., ROWLAND, L. M., RYAN, M., SLADKY, J. H. &amp; KOCHUNOV, P. V. 2017. Reproducibility of quantitative structural and physiological MRI measurements. </w:t>
      </w:r>
      <w:r w:rsidRPr="00657E79">
        <w:rPr>
          <w:i/>
        </w:rPr>
        <w:t>Brain and behavior,</w:t>
      </w:r>
      <w:r w:rsidRPr="00657E79">
        <w:t xml:space="preserve"> 7</w:t>
      </w:r>
      <w:r w:rsidRPr="00657E79">
        <w:rPr>
          <w:b/>
        </w:rPr>
        <w:t>,</w:t>
      </w:r>
      <w:r w:rsidRPr="00657E79">
        <w:t xml:space="preserve"> e00759.</w:t>
      </w:r>
    </w:p>
    <w:p w14:paraId="749B5805" w14:textId="77777777" w:rsidR="00657E79" w:rsidRPr="00657E79" w:rsidRDefault="00657E79" w:rsidP="000A24B3">
      <w:pPr>
        <w:pStyle w:val="EndNoteBibliography"/>
        <w:spacing w:after="0" w:line="360" w:lineRule="auto"/>
        <w:ind w:left="720" w:hanging="720"/>
      </w:pPr>
      <w:r w:rsidRPr="00657E79">
        <w:lastRenderedPageBreak/>
        <w:t xml:space="preserve">MISRA, C., FAN, Y. &amp; DAVATZIKOS, C. 2009. Baseline and longitudinal patterns of brain atrophy in MCI patients, and their use in prediction of short-term conversion to AD: results from ADNI. </w:t>
      </w:r>
      <w:r w:rsidRPr="00657E79">
        <w:rPr>
          <w:i/>
        </w:rPr>
        <w:t>Neuroimage,</w:t>
      </w:r>
      <w:r w:rsidRPr="00657E79">
        <w:t xml:space="preserve"> 44</w:t>
      </w:r>
      <w:r w:rsidRPr="00657E79">
        <w:rPr>
          <w:b/>
        </w:rPr>
        <w:t>,</w:t>
      </w:r>
      <w:r w:rsidRPr="00657E79">
        <w:t xml:space="preserve"> 1415-1422.</w:t>
      </w:r>
    </w:p>
    <w:p w14:paraId="7836791A" w14:textId="77777777" w:rsidR="00657E79" w:rsidRPr="00657E79" w:rsidRDefault="00657E79" w:rsidP="000A24B3">
      <w:pPr>
        <w:pStyle w:val="EndNoteBibliography"/>
        <w:spacing w:after="0" w:line="360" w:lineRule="auto"/>
        <w:ind w:left="720" w:hanging="720"/>
      </w:pPr>
      <w:r w:rsidRPr="00657E79">
        <w:t xml:space="preserve">MODINOS, G., KEMPTON, M. J., TOGNIN, S., CALEM, M., PORFFY, L., ANTONIADES, M., MASON, A., AZIS, M., ALLEN, P. &amp; NELSON, B. 2020. Association of adverse outcomes with emotion processing and its neural substrate in individuals at clinical high risk for psychosis. </w:t>
      </w:r>
      <w:r w:rsidRPr="00657E79">
        <w:rPr>
          <w:i/>
        </w:rPr>
        <w:t>JAMA psychiatry,</w:t>
      </w:r>
      <w:r w:rsidRPr="00657E79">
        <w:t xml:space="preserve"> 77</w:t>
      </w:r>
      <w:r w:rsidRPr="00657E79">
        <w:rPr>
          <w:b/>
        </w:rPr>
        <w:t>,</w:t>
      </w:r>
      <w:r w:rsidRPr="00657E79">
        <w:t xml:space="preserve"> 190-200.</w:t>
      </w:r>
    </w:p>
    <w:p w14:paraId="68A5EF3C" w14:textId="77777777" w:rsidR="00657E79" w:rsidRPr="00657E79" w:rsidRDefault="00657E79" w:rsidP="000A24B3">
      <w:pPr>
        <w:pStyle w:val="EndNoteBibliography"/>
        <w:spacing w:after="0" w:line="360" w:lineRule="auto"/>
        <w:ind w:left="720" w:hanging="720"/>
      </w:pPr>
      <w:r w:rsidRPr="00657E79">
        <w:t xml:space="preserve">MOREY, R. A., PETTY, C. M., XU, Y., HAYES, J. P., WAGNER II, H. R., LEWIS, D. V., LABAR, K. S., STYNER, M. &amp; MCCARTHY, G. 2009. A comparison of automated segmentation and manual tracing for quantifying hippocampal and amygdala volumes. </w:t>
      </w:r>
      <w:r w:rsidRPr="00657E79">
        <w:rPr>
          <w:i/>
        </w:rPr>
        <w:t>Neuroimage,</w:t>
      </w:r>
      <w:r w:rsidRPr="00657E79">
        <w:t xml:space="preserve"> 45</w:t>
      </w:r>
      <w:r w:rsidRPr="00657E79">
        <w:rPr>
          <w:b/>
        </w:rPr>
        <w:t>,</w:t>
      </w:r>
      <w:r w:rsidRPr="00657E79">
        <w:t xml:space="preserve"> 855-866.</w:t>
      </w:r>
    </w:p>
    <w:p w14:paraId="358F319C" w14:textId="77777777" w:rsidR="00657E79" w:rsidRPr="00657E79" w:rsidRDefault="00657E79" w:rsidP="000A24B3">
      <w:pPr>
        <w:pStyle w:val="EndNoteBibliography"/>
        <w:spacing w:after="0" w:line="360" w:lineRule="auto"/>
        <w:ind w:left="720" w:hanging="720"/>
      </w:pPr>
      <w:r w:rsidRPr="00657E79">
        <w:t xml:space="preserve">MOREY, R. A., SELGRADE, E. S., WAGNER, H. R., HUETTEL, S. A., WANG, L. &amp; MCCARTHY, G. 2010. Scan–rescan reliability of subcortical brain volumes derived from automated segmentation. </w:t>
      </w:r>
      <w:r w:rsidRPr="00657E79">
        <w:rPr>
          <w:i/>
        </w:rPr>
        <w:t>Human brain mapping,</w:t>
      </w:r>
      <w:r w:rsidRPr="00657E79">
        <w:t xml:space="preserve"> 31</w:t>
      </w:r>
      <w:r w:rsidRPr="00657E79">
        <w:rPr>
          <w:b/>
        </w:rPr>
        <w:t>,</w:t>
      </w:r>
      <w:r w:rsidRPr="00657E79">
        <w:t xml:space="preserve"> 1751-1762.</w:t>
      </w:r>
    </w:p>
    <w:p w14:paraId="2539923D" w14:textId="77777777" w:rsidR="00FC1576" w:rsidRDefault="00FC1576" w:rsidP="000A24B3">
      <w:pPr>
        <w:pStyle w:val="CommentText"/>
        <w:spacing w:after="0" w:line="360" w:lineRule="auto"/>
      </w:pPr>
      <w:r w:rsidRPr="00F54EA2">
        <w:t xml:space="preserve">MOWINCKEL, A. M. &amp; VIDAL-PIÑEIRO, D. 2020. Visualization of brain statistics with R Packages ggseg and </w:t>
      </w:r>
      <w:r>
        <w:tab/>
      </w:r>
      <w:r w:rsidRPr="00F54EA2">
        <w:t xml:space="preserve">ggseg3d. </w:t>
      </w:r>
      <w:r w:rsidRPr="00F54EA2">
        <w:rPr>
          <w:i/>
          <w:iCs/>
        </w:rPr>
        <w:t xml:space="preserve">Advances in Methods and Practices in Psychological Science, </w:t>
      </w:r>
      <w:r w:rsidRPr="00F54EA2">
        <w:t>3, 466-483.</w:t>
      </w:r>
      <w:r w:rsidRPr="00FC1576">
        <w:t xml:space="preserve"> </w:t>
      </w:r>
    </w:p>
    <w:p w14:paraId="50DBE76D" w14:textId="77777777" w:rsidR="00657E79" w:rsidRPr="00657E79" w:rsidRDefault="00657E79" w:rsidP="000A24B3">
      <w:pPr>
        <w:pStyle w:val="EndNoteBibliography"/>
        <w:spacing w:after="0" w:line="360" w:lineRule="auto"/>
        <w:ind w:left="720" w:hanging="720"/>
      </w:pPr>
      <w:r w:rsidRPr="00657E79">
        <w:t xml:space="preserve">NUECHTERLEIN, K. H., GREEN, M. F., KERN, R. S., BAADE, L. E., BARCH, D. M., COHEN, J. D., ESSOCK, S., FENTON, W. S., FRESE III, P. D., FREDERICK J &amp; GOLD, J. M. 2008. The MATRICS Consensus Cognitive Battery, part 1: test selection, reliability, and validity. </w:t>
      </w:r>
      <w:r w:rsidRPr="00657E79">
        <w:rPr>
          <w:i/>
        </w:rPr>
        <w:t>American Journal of Psychiatry,</w:t>
      </w:r>
      <w:r w:rsidRPr="00657E79">
        <w:t xml:space="preserve"> 165</w:t>
      </w:r>
      <w:r w:rsidRPr="00657E79">
        <w:rPr>
          <w:b/>
        </w:rPr>
        <w:t>,</w:t>
      </w:r>
      <w:r w:rsidRPr="00657E79">
        <w:t xml:space="preserve"> 203-213.</w:t>
      </w:r>
    </w:p>
    <w:p w14:paraId="77A29DE1" w14:textId="77777777" w:rsidR="00A36C29" w:rsidRPr="00A36C29" w:rsidRDefault="00A36C29" w:rsidP="000A24B3">
      <w:pPr>
        <w:pStyle w:val="EndNoteBibliography"/>
        <w:spacing w:after="0" w:line="360" w:lineRule="auto"/>
        <w:ind w:left="720" w:hanging="720"/>
      </w:pPr>
      <w:r w:rsidRPr="00A36C29">
        <w:t xml:space="preserve">OLABI, B., ELLISON-WRIGHT, I., MCINTOSH, A. M., WOOD, S. J., BULLMORE, E. &amp; LAWRIE, S. M. 2011. Are there progressive brain changes in schizophrenia? A meta-analysis of structural magnetic resonance imaging studies. </w:t>
      </w:r>
      <w:r w:rsidRPr="00A36C29">
        <w:rPr>
          <w:i/>
          <w:iCs/>
        </w:rPr>
        <w:t>Biological psychiatry</w:t>
      </w:r>
      <w:r w:rsidRPr="00A36C29">
        <w:t>, 70, 88-96.</w:t>
      </w:r>
    </w:p>
    <w:p w14:paraId="65F6264A" w14:textId="2C8EA6D2" w:rsidR="00657E79" w:rsidRPr="00657E79" w:rsidRDefault="00657E79" w:rsidP="000A24B3">
      <w:pPr>
        <w:pStyle w:val="EndNoteBibliography"/>
        <w:spacing w:after="0" w:line="360" w:lineRule="auto"/>
        <w:ind w:left="720" w:hanging="720"/>
      </w:pPr>
      <w:r w:rsidRPr="00657E79">
        <w:t xml:space="preserve">REUTER, M., ROSAS, H. D. &amp; FISCHL, B. 2010. Highly accurate inverse consistent registration: a robust approach. </w:t>
      </w:r>
      <w:r w:rsidRPr="00657E79">
        <w:rPr>
          <w:i/>
        </w:rPr>
        <w:t>Neuroimage,</w:t>
      </w:r>
      <w:r w:rsidRPr="00657E79">
        <w:t xml:space="preserve"> 53</w:t>
      </w:r>
      <w:r w:rsidRPr="00657E79">
        <w:rPr>
          <w:b/>
        </w:rPr>
        <w:t>,</w:t>
      </w:r>
      <w:r w:rsidRPr="00657E79">
        <w:t xml:space="preserve"> 1181-1196.</w:t>
      </w:r>
    </w:p>
    <w:p w14:paraId="2852D141" w14:textId="77777777" w:rsidR="00657E79" w:rsidRPr="00657E79" w:rsidRDefault="00657E79" w:rsidP="000A24B3">
      <w:pPr>
        <w:pStyle w:val="EndNoteBibliography"/>
        <w:spacing w:after="0" w:line="360" w:lineRule="auto"/>
        <w:ind w:left="720" w:hanging="720"/>
      </w:pPr>
      <w:r w:rsidRPr="00657E79">
        <w:t xml:space="preserve">REUTER, M., SCHMANSKY, N. J., ROSAS, H. D. &amp; FISCHL, B. 2012. Within-subject template estimation for unbiased longitudinal image analysis. </w:t>
      </w:r>
      <w:r w:rsidRPr="00657E79">
        <w:rPr>
          <w:i/>
        </w:rPr>
        <w:t>Neuroimage,</w:t>
      </w:r>
      <w:r w:rsidRPr="00657E79">
        <w:t xml:space="preserve"> 61</w:t>
      </w:r>
      <w:r w:rsidRPr="00657E79">
        <w:rPr>
          <w:b/>
        </w:rPr>
        <w:t>,</w:t>
      </w:r>
      <w:r w:rsidRPr="00657E79">
        <w:t xml:space="preserve"> 1402-1418.</w:t>
      </w:r>
    </w:p>
    <w:p w14:paraId="66415C47" w14:textId="77777777" w:rsidR="00657E79" w:rsidRPr="00657E79" w:rsidRDefault="00657E79" w:rsidP="000A24B3">
      <w:pPr>
        <w:pStyle w:val="EndNoteBibliography"/>
        <w:spacing w:after="0" w:line="360" w:lineRule="auto"/>
        <w:ind w:left="720" w:hanging="720"/>
      </w:pPr>
      <w:r w:rsidRPr="00657E79">
        <w:t xml:space="preserve">REUTER, M., TISDALL, M. D., QURESHI, A., BUCKNER, R. L., VAN DER KOUWE, A. J. &amp; FISCHL, B. 2015. Head motion during MRI acquisition reduces gray matter volume and thickness estimates. </w:t>
      </w:r>
      <w:r w:rsidRPr="00657E79">
        <w:rPr>
          <w:i/>
        </w:rPr>
        <w:t>Neuroimage,</w:t>
      </w:r>
      <w:r w:rsidRPr="00657E79">
        <w:t xml:space="preserve"> 107</w:t>
      </w:r>
      <w:r w:rsidRPr="00657E79">
        <w:rPr>
          <w:b/>
        </w:rPr>
        <w:t>,</w:t>
      </w:r>
      <w:r w:rsidRPr="00657E79">
        <w:t xml:space="preserve"> 107-115.</w:t>
      </w:r>
    </w:p>
    <w:p w14:paraId="3BAE3FD3" w14:textId="19493DEE" w:rsidR="00657E79" w:rsidRPr="00657E79" w:rsidRDefault="00657E79" w:rsidP="000A24B3">
      <w:pPr>
        <w:pStyle w:val="EndNoteBibliography"/>
        <w:spacing w:after="0" w:line="360" w:lineRule="auto"/>
        <w:ind w:left="720" w:hanging="720"/>
      </w:pPr>
      <w:r w:rsidRPr="00657E79">
        <w:t xml:space="preserve">RSTUDIO TEAM. 2021. </w:t>
      </w:r>
      <w:r w:rsidRPr="00657E79">
        <w:rPr>
          <w:i/>
        </w:rPr>
        <w:t xml:space="preserve">RStudio: Integrated Development Environment for R. </w:t>
      </w:r>
      <w:r w:rsidRPr="00657E79">
        <w:t xml:space="preserve">[Online]. RStudio, PBC, Boston, MA. Available: </w:t>
      </w:r>
      <w:r w:rsidRPr="004809D5">
        <w:t>http://www.rstudio.com/</w:t>
      </w:r>
      <w:r w:rsidRPr="00657E79">
        <w:t xml:space="preserve"> [Accessed].</w:t>
      </w:r>
    </w:p>
    <w:p w14:paraId="44CD7EF1" w14:textId="77777777" w:rsidR="00657E79" w:rsidRPr="00657E79" w:rsidRDefault="00657E79" w:rsidP="000A24B3">
      <w:pPr>
        <w:pStyle w:val="EndNoteBibliography"/>
        <w:spacing w:after="0" w:line="360" w:lineRule="auto"/>
        <w:ind w:left="720" w:hanging="720"/>
      </w:pPr>
      <w:r w:rsidRPr="00657E79">
        <w:t xml:space="preserve">SAVALIA, N. K., AGRES, P. F., CHAN, M. Y., FECZKO, E. J., KENNEDY, K. M. &amp; WIG, G. S. 2017. Motion‐related artifacts in structural brain images revealed with independent estimates of in‐scanner head motion. </w:t>
      </w:r>
      <w:r w:rsidRPr="00657E79">
        <w:rPr>
          <w:i/>
        </w:rPr>
        <w:t>Human brain mapping,</w:t>
      </w:r>
      <w:r w:rsidRPr="00657E79">
        <w:t xml:space="preserve"> 38</w:t>
      </w:r>
      <w:r w:rsidRPr="00657E79">
        <w:rPr>
          <w:b/>
        </w:rPr>
        <w:t>,</w:t>
      </w:r>
      <w:r w:rsidRPr="00657E79">
        <w:t xml:space="preserve"> 472-492.</w:t>
      </w:r>
    </w:p>
    <w:p w14:paraId="4F852E0A" w14:textId="77777777" w:rsidR="00657E79" w:rsidRPr="00657E79" w:rsidRDefault="00657E79" w:rsidP="000A24B3">
      <w:pPr>
        <w:pStyle w:val="EndNoteBibliography"/>
        <w:spacing w:after="0" w:line="360" w:lineRule="auto"/>
        <w:ind w:left="720" w:hanging="720"/>
      </w:pPr>
      <w:r w:rsidRPr="00657E79">
        <w:t xml:space="preserve">SCAHILL, R. I., FROST, C., JENKINS, R., WHITWELL, J. L., ROSSOR, M. N. &amp; FOX, N. C. 2003. A longitudinal study of brain volume changes in normal aging using serial registered magnetic resonance imaging. </w:t>
      </w:r>
      <w:r w:rsidRPr="00657E79">
        <w:rPr>
          <w:i/>
        </w:rPr>
        <w:t>Archives of neurology,</w:t>
      </w:r>
      <w:r w:rsidRPr="00657E79">
        <w:t xml:space="preserve"> 60</w:t>
      </w:r>
      <w:r w:rsidRPr="00657E79">
        <w:rPr>
          <w:b/>
        </w:rPr>
        <w:t>,</w:t>
      </w:r>
      <w:r w:rsidRPr="00657E79">
        <w:t xml:space="preserve"> 989-994.</w:t>
      </w:r>
    </w:p>
    <w:p w14:paraId="1CF66500" w14:textId="77777777" w:rsidR="00657E79" w:rsidRPr="00657E79" w:rsidRDefault="00657E79" w:rsidP="000A24B3">
      <w:pPr>
        <w:pStyle w:val="EndNoteBibliography"/>
        <w:spacing w:after="0" w:line="360" w:lineRule="auto"/>
        <w:ind w:left="720" w:hanging="720"/>
      </w:pPr>
      <w:r w:rsidRPr="00657E79">
        <w:t xml:space="preserve">SCHNACK, H. G., VAN HAREN, N. E., HULSHOFF POL, H. E., PICCHIONI, M., WEISBROD, M., SAUER, H., CANNON, T., HUTTUNEN, M., MURRAY, R. &amp; KAHN, R. S. 2004. Reliability of brain volumes from multicenter MRI acquisition: a calibration study. </w:t>
      </w:r>
      <w:r w:rsidRPr="00657E79">
        <w:rPr>
          <w:i/>
        </w:rPr>
        <w:t>Human brain mapping,</w:t>
      </w:r>
      <w:r w:rsidRPr="00657E79">
        <w:t xml:space="preserve"> 22</w:t>
      </w:r>
      <w:r w:rsidRPr="00657E79">
        <w:rPr>
          <w:b/>
        </w:rPr>
        <w:t>,</w:t>
      </w:r>
      <w:r w:rsidRPr="00657E79">
        <w:t xml:space="preserve"> 312-320.</w:t>
      </w:r>
    </w:p>
    <w:p w14:paraId="6C09C740" w14:textId="77777777" w:rsidR="00657E79" w:rsidRPr="00657E79" w:rsidRDefault="00657E79" w:rsidP="000A24B3">
      <w:pPr>
        <w:pStyle w:val="EndNoteBibliography"/>
        <w:spacing w:after="0" w:line="360" w:lineRule="auto"/>
        <w:ind w:left="720" w:hanging="720"/>
      </w:pPr>
      <w:r w:rsidRPr="00657E79">
        <w:lastRenderedPageBreak/>
        <w:t xml:space="preserve">SEDEREVIČIUS, D., VIDAL-PIÑEIRO, D., SØRENSEN, Ø., VAN LEEMPUT, K., IGLESIAS, J. E., DALCA, A. V., GREVE, D. N., FISCHL, B., BJØRNERUD, A. &amp; WALHOVD, K. B. 2021. Reliability and sensitivity of two whole-brain segmentation approaches included in FreeSurfer–ASEG and SAMSEG. </w:t>
      </w:r>
      <w:r w:rsidRPr="00657E79">
        <w:rPr>
          <w:i/>
        </w:rPr>
        <w:t>NeuroImage,</w:t>
      </w:r>
      <w:r w:rsidRPr="00657E79">
        <w:t xml:space="preserve"> 237</w:t>
      </w:r>
      <w:r w:rsidRPr="00657E79">
        <w:rPr>
          <w:b/>
        </w:rPr>
        <w:t>,</w:t>
      </w:r>
      <w:r w:rsidRPr="00657E79">
        <w:t xml:space="preserve"> 118113.</w:t>
      </w:r>
    </w:p>
    <w:p w14:paraId="456EBFA7" w14:textId="77777777" w:rsidR="00657E79" w:rsidRPr="00657E79" w:rsidRDefault="00657E79" w:rsidP="000A24B3">
      <w:pPr>
        <w:pStyle w:val="EndNoteBibliography"/>
        <w:spacing w:after="0" w:line="360" w:lineRule="auto"/>
        <w:ind w:left="720" w:hanging="720"/>
      </w:pPr>
      <w:r w:rsidRPr="00657E79">
        <w:t xml:space="preserve">STEEN, R., HAMER, R. &amp; LIEBERMAN, J. 2007. Measuring brain volume by MR imaging: impact of measurement precision and natural variation on sample size requirements. </w:t>
      </w:r>
      <w:r w:rsidRPr="00657E79">
        <w:rPr>
          <w:i/>
        </w:rPr>
        <w:t>American journal of neuroradiology,</w:t>
      </w:r>
      <w:r w:rsidRPr="00657E79">
        <w:t xml:space="preserve"> 28</w:t>
      </w:r>
      <w:r w:rsidRPr="00657E79">
        <w:rPr>
          <w:b/>
        </w:rPr>
        <w:t>,</w:t>
      </w:r>
      <w:r w:rsidRPr="00657E79">
        <w:t xml:space="preserve"> 1119-1125.</w:t>
      </w:r>
    </w:p>
    <w:p w14:paraId="7B663422" w14:textId="77777777" w:rsidR="00657E79" w:rsidRPr="00657E79" w:rsidRDefault="00657E79" w:rsidP="000A24B3">
      <w:pPr>
        <w:pStyle w:val="EndNoteBibliography"/>
        <w:spacing w:after="0" w:line="360" w:lineRule="auto"/>
        <w:ind w:left="720" w:hanging="720"/>
      </w:pPr>
      <w:r w:rsidRPr="00657E79">
        <w:t xml:space="preserve">TAKAO, H., AMEMIYA, S., ABE, O. &amp; INITIATIVE, A. S. D. N. 2021. Reliability of Changes in Brain Volume Determined by Longitudinal Voxel‐Based Morphometry. </w:t>
      </w:r>
      <w:r w:rsidRPr="00657E79">
        <w:rPr>
          <w:i/>
        </w:rPr>
        <w:t>Journal of Magnetic Resonance Imaging,</w:t>
      </w:r>
      <w:r w:rsidRPr="00657E79">
        <w:t xml:space="preserve"> 54</w:t>
      </w:r>
      <w:r w:rsidRPr="00657E79">
        <w:rPr>
          <w:b/>
        </w:rPr>
        <w:t>,</w:t>
      </w:r>
      <w:r w:rsidRPr="00657E79">
        <w:t xml:space="preserve"> 672.</w:t>
      </w:r>
    </w:p>
    <w:p w14:paraId="73CD2640" w14:textId="77777777" w:rsidR="00657E79" w:rsidRPr="00657E79" w:rsidRDefault="00657E79" w:rsidP="000A24B3">
      <w:pPr>
        <w:pStyle w:val="EndNoteBibliography"/>
        <w:spacing w:after="0" w:line="360" w:lineRule="auto"/>
        <w:ind w:left="720" w:hanging="720"/>
      </w:pPr>
      <w:r w:rsidRPr="00657E79">
        <w:t xml:space="preserve">THOMPSON, P. M., STEIN, J. L., MEDLAND, S. E., HIBAR, D. P., VASQUEZ, A. A., RENTERIA, M. E., TORO, R., JAHANSHAD, N., SCHUMANN, G. &amp; FRANKE, B. 2014. The ENIGMA Consortium: large-scale collaborative analyses of neuroimaging and genetic data. </w:t>
      </w:r>
      <w:r w:rsidRPr="00657E79">
        <w:rPr>
          <w:i/>
        </w:rPr>
        <w:t>Brain imaging and behavior,</w:t>
      </w:r>
      <w:r w:rsidRPr="00657E79">
        <w:t xml:space="preserve"> 8</w:t>
      </w:r>
      <w:r w:rsidRPr="00657E79">
        <w:rPr>
          <w:b/>
        </w:rPr>
        <w:t>,</w:t>
      </w:r>
      <w:r w:rsidRPr="00657E79">
        <w:t xml:space="preserve"> 153-182.</w:t>
      </w:r>
    </w:p>
    <w:p w14:paraId="262BBB38" w14:textId="77777777" w:rsidR="00657E79" w:rsidRPr="00657E79" w:rsidRDefault="00657E79" w:rsidP="000A24B3">
      <w:pPr>
        <w:pStyle w:val="EndNoteBibliography"/>
        <w:spacing w:after="0" w:line="360" w:lineRule="auto"/>
        <w:ind w:left="720" w:hanging="720"/>
      </w:pPr>
      <w:r w:rsidRPr="00657E79">
        <w:t xml:space="preserve">TOGNIN, S., VAN HELL, H. H., MERRITT, K., WINTER-VAN ROSSUM, I., BOSSONG, M. G., KEMPTON, M. J., MODINOS, G., FUSAR-POLI, P., MECHELLI, A. &amp; DAZZAN, P. 2020. Towards precision medicine in psychosis: benefits and challenges of multimodal multicenter studies—PSYSCAN: translating neuroimaging findings from research into clinical practice. </w:t>
      </w:r>
      <w:r w:rsidRPr="00657E79">
        <w:rPr>
          <w:i/>
        </w:rPr>
        <w:t>Schizophrenia bulletin,</w:t>
      </w:r>
      <w:r w:rsidRPr="00657E79">
        <w:t xml:space="preserve"> 46</w:t>
      </w:r>
      <w:r w:rsidRPr="00657E79">
        <w:rPr>
          <w:b/>
        </w:rPr>
        <w:t>,</w:t>
      </w:r>
      <w:r w:rsidRPr="00657E79">
        <w:t xml:space="preserve"> 432-441.</w:t>
      </w:r>
    </w:p>
    <w:p w14:paraId="39CB8848" w14:textId="77777777" w:rsidR="00657E79" w:rsidRPr="00657E79" w:rsidRDefault="00657E79" w:rsidP="000A24B3">
      <w:pPr>
        <w:pStyle w:val="EndNoteBibliography"/>
        <w:spacing w:after="0" w:line="360" w:lineRule="auto"/>
        <w:ind w:left="720" w:hanging="720"/>
      </w:pPr>
      <w:r w:rsidRPr="00657E79">
        <w:t xml:space="preserve">VAN ERP, T. G., HIBAR, D. P., RASMUSSEN, J. M., GLAHN, D. C., PEARLSON, G. D., ANDREASSEN, O. A., AGARTZ, I., WESTLYE, L. T., HAUKVIK, U. K. &amp; DALE, A. M. 2016. Subcortical brain volume abnormalities in 2028 individuals with schizophrenia and 2540 healthy controls via the ENIGMA consortium. </w:t>
      </w:r>
      <w:r w:rsidRPr="00657E79">
        <w:rPr>
          <w:i/>
        </w:rPr>
        <w:t>Molecular psychiatry,</w:t>
      </w:r>
      <w:r w:rsidRPr="00657E79">
        <w:t xml:space="preserve"> 21</w:t>
      </w:r>
      <w:r w:rsidRPr="00657E79">
        <w:rPr>
          <w:b/>
        </w:rPr>
        <w:t>,</w:t>
      </w:r>
      <w:r w:rsidRPr="00657E79">
        <w:t xml:space="preserve"> 547-553.</w:t>
      </w:r>
    </w:p>
    <w:p w14:paraId="3E3446B0" w14:textId="77777777" w:rsidR="00657E79" w:rsidRPr="00657E79" w:rsidRDefault="00657E79" w:rsidP="000A24B3">
      <w:pPr>
        <w:pStyle w:val="EndNoteBibliography"/>
        <w:spacing w:after="0" w:line="360" w:lineRule="auto"/>
        <w:ind w:left="720" w:hanging="720"/>
      </w:pPr>
      <w:r w:rsidRPr="00657E79">
        <w:t xml:space="preserve">WALHOVD, K. B., FJELL, A. M., WESTERHAUSEN, R., NYBERG, L., EBMEIER, K. P., LINDENBERGER, U., BARTRÉS-FAZ, D., BAARÉ, W. F., SIEBNER, H. R. &amp; HENSON, R. 2018. Healthy minds 0–100 years: Optimising the use of European brain imaging cohorts (“Lifebrain”). </w:t>
      </w:r>
      <w:r w:rsidRPr="00657E79">
        <w:rPr>
          <w:i/>
        </w:rPr>
        <w:t>European Psychiatry,</w:t>
      </w:r>
      <w:r w:rsidRPr="00657E79">
        <w:t xml:space="preserve"> 50</w:t>
      </w:r>
      <w:r w:rsidRPr="00657E79">
        <w:rPr>
          <w:b/>
        </w:rPr>
        <w:t>,</w:t>
      </w:r>
      <w:r w:rsidRPr="00657E79">
        <w:t xml:space="preserve"> 47-56.</w:t>
      </w:r>
    </w:p>
    <w:p w14:paraId="05010ECF" w14:textId="5D694885" w:rsidR="00FC1576" w:rsidRDefault="00657E79" w:rsidP="000A24B3">
      <w:pPr>
        <w:pStyle w:val="EndNoteBibliography"/>
        <w:spacing w:line="360" w:lineRule="auto"/>
        <w:ind w:left="720" w:hanging="720"/>
      </w:pPr>
      <w:r w:rsidRPr="00657E79">
        <w:t xml:space="preserve">WHELAN, C. D., HIBAR, D. P., VAN VELZEN, L. S., ZANNAS, A. S., CARRILLO-ROA, T., MCMAHON, K., PRASAD, G., KELLY, S., FASKOWITZ, J. &amp; DEZUBIRACAY, G. 2016. Heritability and reliability of automatically segmented human hippocampal formation subregions. </w:t>
      </w:r>
      <w:r w:rsidRPr="00657E79">
        <w:rPr>
          <w:i/>
        </w:rPr>
        <w:t>Neuroimage,</w:t>
      </w:r>
      <w:r w:rsidRPr="00657E79">
        <w:t xml:space="preserve"> 128</w:t>
      </w:r>
      <w:r w:rsidRPr="00657E79">
        <w:rPr>
          <w:b/>
        </w:rPr>
        <w:t>,</w:t>
      </w:r>
      <w:r w:rsidRPr="00657E79">
        <w:t xml:space="preserve"> 125-137.</w:t>
      </w:r>
    </w:p>
    <w:p w14:paraId="2B0FEEF5" w14:textId="3E604A27" w:rsidR="004D59D3" w:rsidRPr="00160FE7" w:rsidRDefault="004D59D3" w:rsidP="000A24B3">
      <w:pPr>
        <w:pStyle w:val="EndNoteBibliography"/>
        <w:spacing w:line="360" w:lineRule="auto"/>
        <w:ind w:left="720" w:hanging="720"/>
      </w:pPr>
      <w:r>
        <w:t xml:space="preserve">ZAHID, </w:t>
      </w:r>
      <w:r w:rsidR="00C11ABB">
        <w:t>U., HEDGES, E. P., DIMITROV, M., MURRAY, R. M., BARKER, G. J.</w:t>
      </w:r>
      <w:r w:rsidR="00160FE7">
        <w:t xml:space="preserve"> &amp; KEMPTON, M. J. 2021. Impact of physiological factors on longitudinal structural MRI measures of the brain, </w:t>
      </w:r>
      <w:r w:rsidR="00160FE7">
        <w:rPr>
          <w:i/>
          <w:iCs/>
        </w:rPr>
        <w:t>in press.</w:t>
      </w:r>
      <w:r w:rsidR="00160FE7">
        <w:t xml:space="preserve"> </w:t>
      </w:r>
    </w:p>
    <w:sectPr w:rsidR="004D59D3" w:rsidRPr="00160FE7" w:rsidSect="006B7B80">
      <w:footerReference w:type="default" r:id="rId2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F5AF" w14:textId="77777777" w:rsidR="007A13A3" w:rsidRDefault="007A13A3" w:rsidP="0077220C">
      <w:pPr>
        <w:spacing w:after="0" w:line="240" w:lineRule="auto"/>
      </w:pPr>
      <w:r>
        <w:separator/>
      </w:r>
    </w:p>
  </w:endnote>
  <w:endnote w:type="continuationSeparator" w:id="0">
    <w:p w14:paraId="02AF850F" w14:textId="77777777" w:rsidR="007A13A3" w:rsidRDefault="007A13A3" w:rsidP="0077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155184"/>
      <w:docPartObj>
        <w:docPartGallery w:val="Page Numbers (Bottom of Page)"/>
        <w:docPartUnique/>
      </w:docPartObj>
    </w:sdtPr>
    <w:sdtEndPr>
      <w:rPr>
        <w:noProof/>
      </w:rPr>
    </w:sdtEndPr>
    <w:sdtContent>
      <w:p w14:paraId="5B208DA2" w14:textId="2A0422F7" w:rsidR="00F45C7C" w:rsidRDefault="00F45C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2C4452" w14:textId="77777777" w:rsidR="00F45C7C" w:rsidRDefault="00F45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A58A" w14:textId="77777777" w:rsidR="007A13A3" w:rsidRDefault="007A13A3" w:rsidP="0077220C">
      <w:pPr>
        <w:spacing w:after="0" w:line="240" w:lineRule="auto"/>
      </w:pPr>
      <w:r>
        <w:separator/>
      </w:r>
    </w:p>
  </w:footnote>
  <w:footnote w:type="continuationSeparator" w:id="0">
    <w:p w14:paraId="4E5B4529" w14:textId="77777777" w:rsidR="007A13A3" w:rsidRDefault="007A13A3" w:rsidP="00772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AB4"/>
    <w:multiLevelType w:val="hybridMultilevel"/>
    <w:tmpl w:val="214A59A8"/>
    <w:lvl w:ilvl="0" w:tplc="7E24B1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076C3"/>
    <w:multiLevelType w:val="hybridMultilevel"/>
    <w:tmpl w:val="30DE0BAC"/>
    <w:lvl w:ilvl="0" w:tplc="8A7E7A82">
      <w:start w:val="1"/>
      <w:numFmt w:val="decimal"/>
      <w:lvlText w:val="%1."/>
      <w:lvlJc w:val="left"/>
      <w:pPr>
        <w:ind w:left="720" w:hanging="360"/>
      </w:pPr>
      <w:rPr>
        <w:rFonts w:asciiTheme="minorHAnsi" w:eastAsiaTheme="minorHAnsi" w:hAnsiTheme="minorHAnsi" w:cstheme="minorBidi" w:hint="default"/>
        <w:b w:val="0"/>
        <w:color w:val="FF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B77AFE"/>
    <w:multiLevelType w:val="hybridMultilevel"/>
    <w:tmpl w:val="A6E2D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47498"/>
    <w:multiLevelType w:val="hybridMultilevel"/>
    <w:tmpl w:val="94CE483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3CF83B6B"/>
    <w:multiLevelType w:val="hybridMultilevel"/>
    <w:tmpl w:val="5D7CE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296CE3"/>
    <w:multiLevelType w:val="hybridMultilevel"/>
    <w:tmpl w:val="EDD22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A1746D"/>
    <w:multiLevelType w:val="hybridMultilevel"/>
    <w:tmpl w:val="8264D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FF4E18"/>
    <w:multiLevelType w:val="hybridMultilevel"/>
    <w:tmpl w:val="40A6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016DAF"/>
    <w:multiLevelType w:val="hybridMultilevel"/>
    <w:tmpl w:val="5D7CE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C404CE"/>
    <w:multiLevelType w:val="hybridMultilevel"/>
    <w:tmpl w:val="E52C8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7C7F10"/>
    <w:multiLevelType w:val="hybridMultilevel"/>
    <w:tmpl w:val="B1A23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9909E4"/>
    <w:multiLevelType w:val="hybridMultilevel"/>
    <w:tmpl w:val="832CB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0C359D"/>
    <w:multiLevelType w:val="multilevel"/>
    <w:tmpl w:val="18A6DE5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8"/>
  </w:num>
  <w:num w:numId="7">
    <w:abstractNumId w:val="6"/>
  </w:num>
  <w:num w:numId="8">
    <w:abstractNumId w:val="7"/>
  </w:num>
  <w:num w:numId="9">
    <w:abstractNumId w:val="11"/>
  </w:num>
  <w:num w:numId="10">
    <w:abstractNumId w:val="12"/>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edxp909pdd5zefdpsptrat99traf9pxpx9&quot;&gt;My EndNote Library_MRI-Converte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8&lt;/item&gt;&lt;item&gt;19&lt;/item&gt;&lt;item&gt;20&lt;/item&gt;&lt;item&gt;21&lt;/item&gt;&lt;item&gt;22&lt;/item&gt;&lt;item&gt;23&lt;/item&gt;&lt;item&gt;24&lt;/item&gt;&lt;item&gt;25&lt;/item&gt;&lt;item&gt;26&lt;/item&gt;&lt;item&gt;27&lt;/item&gt;&lt;item&gt;28&lt;/item&gt;&lt;item&gt;29&lt;/item&gt;&lt;item&gt;30&lt;/item&gt;&lt;item&gt;31&lt;/item&gt;&lt;item&gt;33&lt;/item&gt;&lt;item&gt;34&lt;/item&gt;&lt;item&gt;35&lt;/item&gt;&lt;item&gt;36&lt;/item&gt;&lt;item&gt;37&lt;/item&gt;&lt;item&gt;38&lt;/item&gt;&lt;item&gt;39&lt;/item&gt;&lt;/record-ids&gt;&lt;/item&gt;&lt;/Libraries&gt;"/>
  </w:docVars>
  <w:rsids>
    <w:rsidRoot w:val="00D53E7D"/>
    <w:rsid w:val="0000033D"/>
    <w:rsid w:val="00001A7D"/>
    <w:rsid w:val="00001D16"/>
    <w:rsid w:val="00002273"/>
    <w:rsid w:val="000029C6"/>
    <w:rsid w:val="00007642"/>
    <w:rsid w:val="0000765B"/>
    <w:rsid w:val="00007893"/>
    <w:rsid w:val="00010B07"/>
    <w:rsid w:val="00011E21"/>
    <w:rsid w:val="00011E6D"/>
    <w:rsid w:val="0001276C"/>
    <w:rsid w:val="00012DFE"/>
    <w:rsid w:val="00013151"/>
    <w:rsid w:val="00014158"/>
    <w:rsid w:val="00015A01"/>
    <w:rsid w:val="00015FA1"/>
    <w:rsid w:val="00015FE5"/>
    <w:rsid w:val="000169A2"/>
    <w:rsid w:val="00016EFF"/>
    <w:rsid w:val="0001715D"/>
    <w:rsid w:val="0001715E"/>
    <w:rsid w:val="000175F6"/>
    <w:rsid w:val="000177D3"/>
    <w:rsid w:val="00017837"/>
    <w:rsid w:val="00020958"/>
    <w:rsid w:val="00020F92"/>
    <w:rsid w:val="000214F2"/>
    <w:rsid w:val="000215D5"/>
    <w:rsid w:val="00023939"/>
    <w:rsid w:val="000239DD"/>
    <w:rsid w:val="00023F2E"/>
    <w:rsid w:val="000244F1"/>
    <w:rsid w:val="00024793"/>
    <w:rsid w:val="000255BB"/>
    <w:rsid w:val="00025E0E"/>
    <w:rsid w:val="00026243"/>
    <w:rsid w:val="00026970"/>
    <w:rsid w:val="00026DDF"/>
    <w:rsid w:val="000270E4"/>
    <w:rsid w:val="00027E51"/>
    <w:rsid w:val="000309D7"/>
    <w:rsid w:val="0003211D"/>
    <w:rsid w:val="000322A4"/>
    <w:rsid w:val="00032D30"/>
    <w:rsid w:val="000344FF"/>
    <w:rsid w:val="00034FB4"/>
    <w:rsid w:val="00035D29"/>
    <w:rsid w:val="00036AC8"/>
    <w:rsid w:val="00037459"/>
    <w:rsid w:val="0004075D"/>
    <w:rsid w:val="00040FFD"/>
    <w:rsid w:val="00041735"/>
    <w:rsid w:val="00041C51"/>
    <w:rsid w:val="00041DB5"/>
    <w:rsid w:val="0004288A"/>
    <w:rsid w:val="00042B55"/>
    <w:rsid w:val="00043658"/>
    <w:rsid w:val="00043752"/>
    <w:rsid w:val="00047379"/>
    <w:rsid w:val="0004767A"/>
    <w:rsid w:val="0005041C"/>
    <w:rsid w:val="00051290"/>
    <w:rsid w:val="00052599"/>
    <w:rsid w:val="00052FF4"/>
    <w:rsid w:val="000542B4"/>
    <w:rsid w:val="0005441D"/>
    <w:rsid w:val="00054951"/>
    <w:rsid w:val="00054BCF"/>
    <w:rsid w:val="00055B41"/>
    <w:rsid w:val="00056A9C"/>
    <w:rsid w:val="00056B01"/>
    <w:rsid w:val="00060A3A"/>
    <w:rsid w:val="00060B5A"/>
    <w:rsid w:val="00061C3A"/>
    <w:rsid w:val="000629E9"/>
    <w:rsid w:val="0006357F"/>
    <w:rsid w:val="00063971"/>
    <w:rsid w:val="000640B3"/>
    <w:rsid w:val="0006492C"/>
    <w:rsid w:val="00065176"/>
    <w:rsid w:val="0006527F"/>
    <w:rsid w:val="000653AA"/>
    <w:rsid w:val="0006554B"/>
    <w:rsid w:val="0006620F"/>
    <w:rsid w:val="0006676F"/>
    <w:rsid w:val="0006714C"/>
    <w:rsid w:val="0006782A"/>
    <w:rsid w:val="00070721"/>
    <w:rsid w:val="00070882"/>
    <w:rsid w:val="00070B4D"/>
    <w:rsid w:val="000715DD"/>
    <w:rsid w:val="000719AD"/>
    <w:rsid w:val="00071E40"/>
    <w:rsid w:val="00071F97"/>
    <w:rsid w:val="00072526"/>
    <w:rsid w:val="00072B0D"/>
    <w:rsid w:val="00074664"/>
    <w:rsid w:val="00075ADB"/>
    <w:rsid w:val="000763FB"/>
    <w:rsid w:val="000766D3"/>
    <w:rsid w:val="000778B5"/>
    <w:rsid w:val="000778DA"/>
    <w:rsid w:val="00080CBF"/>
    <w:rsid w:val="00082000"/>
    <w:rsid w:val="000824AA"/>
    <w:rsid w:val="00083398"/>
    <w:rsid w:val="00083C85"/>
    <w:rsid w:val="0008521D"/>
    <w:rsid w:val="00085522"/>
    <w:rsid w:val="00086D78"/>
    <w:rsid w:val="00086F24"/>
    <w:rsid w:val="000878AC"/>
    <w:rsid w:val="000879F9"/>
    <w:rsid w:val="00090388"/>
    <w:rsid w:val="00090C11"/>
    <w:rsid w:val="00092682"/>
    <w:rsid w:val="00093743"/>
    <w:rsid w:val="00093FED"/>
    <w:rsid w:val="000943DC"/>
    <w:rsid w:val="000946C3"/>
    <w:rsid w:val="000952D3"/>
    <w:rsid w:val="00096594"/>
    <w:rsid w:val="0009686F"/>
    <w:rsid w:val="00096930"/>
    <w:rsid w:val="00096E43"/>
    <w:rsid w:val="00097500"/>
    <w:rsid w:val="000A0352"/>
    <w:rsid w:val="000A08D3"/>
    <w:rsid w:val="000A24B3"/>
    <w:rsid w:val="000A2A59"/>
    <w:rsid w:val="000A2F1E"/>
    <w:rsid w:val="000A3E89"/>
    <w:rsid w:val="000A4B43"/>
    <w:rsid w:val="000A4C2E"/>
    <w:rsid w:val="000A5595"/>
    <w:rsid w:val="000A6606"/>
    <w:rsid w:val="000A7035"/>
    <w:rsid w:val="000A7F72"/>
    <w:rsid w:val="000B0DA1"/>
    <w:rsid w:val="000B1181"/>
    <w:rsid w:val="000B136B"/>
    <w:rsid w:val="000B2483"/>
    <w:rsid w:val="000B2C8C"/>
    <w:rsid w:val="000B2D5B"/>
    <w:rsid w:val="000B2F9F"/>
    <w:rsid w:val="000B4A77"/>
    <w:rsid w:val="000B4AAB"/>
    <w:rsid w:val="000B4EFE"/>
    <w:rsid w:val="000B4F20"/>
    <w:rsid w:val="000B5B85"/>
    <w:rsid w:val="000B5F70"/>
    <w:rsid w:val="000B7103"/>
    <w:rsid w:val="000B7243"/>
    <w:rsid w:val="000B7521"/>
    <w:rsid w:val="000B7A80"/>
    <w:rsid w:val="000B7EB8"/>
    <w:rsid w:val="000C0057"/>
    <w:rsid w:val="000C10AA"/>
    <w:rsid w:val="000C1A46"/>
    <w:rsid w:val="000C1BEB"/>
    <w:rsid w:val="000C26D5"/>
    <w:rsid w:val="000C2B2B"/>
    <w:rsid w:val="000C4A8A"/>
    <w:rsid w:val="000C50F9"/>
    <w:rsid w:val="000C609B"/>
    <w:rsid w:val="000C6116"/>
    <w:rsid w:val="000C749F"/>
    <w:rsid w:val="000C78A4"/>
    <w:rsid w:val="000C7924"/>
    <w:rsid w:val="000D131F"/>
    <w:rsid w:val="000D294A"/>
    <w:rsid w:val="000D3A7C"/>
    <w:rsid w:val="000D417D"/>
    <w:rsid w:val="000D4E38"/>
    <w:rsid w:val="000D5A00"/>
    <w:rsid w:val="000D62BC"/>
    <w:rsid w:val="000D69D1"/>
    <w:rsid w:val="000D6C45"/>
    <w:rsid w:val="000D6E85"/>
    <w:rsid w:val="000D72CE"/>
    <w:rsid w:val="000D72F0"/>
    <w:rsid w:val="000D7372"/>
    <w:rsid w:val="000E1053"/>
    <w:rsid w:val="000E2804"/>
    <w:rsid w:val="000E5ECC"/>
    <w:rsid w:val="000E60FD"/>
    <w:rsid w:val="000E69B3"/>
    <w:rsid w:val="000E6B19"/>
    <w:rsid w:val="000E7595"/>
    <w:rsid w:val="000F1718"/>
    <w:rsid w:val="000F1B31"/>
    <w:rsid w:val="000F25F1"/>
    <w:rsid w:val="000F28CB"/>
    <w:rsid w:val="000F4539"/>
    <w:rsid w:val="000F4A39"/>
    <w:rsid w:val="000F5BB0"/>
    <w:rsid w:val="000F69BD"/>
    <w:rsid w:val="000F6EF5"/>
    <w:rsid w:val="001000AA"/>
    <w:rsid w:val="00100179"/>
    <w:rsid w:val="00100CA9"/>
    <w:rsid w:val="0010199D"/>
    <w:rsid w:val="00101E09"/>
    <w:rsid w:val="00102076"/>
    <w:rsid w:val="00102108"/>
    <w:rsid w:val="0010289A"/>
    <w:rsid w:val="001037C6"/>
    <w:rsid w:val="00103FC8"/>
    <w:rsid w:val="00104090"/>
    <w:rsid w:val="001047A3"/>
    <w:rsid w:val="00105C37"/>
    <w:rsid w:val="00105E44"/>
    <w:rsid w:val="0010678F"/>
    <w:rsid w:val="00106B70"/>
    <w:rsid w:val="001079F7"/>
    <w:rsid w:val="00111835"/>
    <w:rsid w:val="00111C19"/>
    <w:rsid w:val="001131EE"/>
    <w:rsid w:val="00113538"/>
    <w:rsid w:val="001135C5"/>
    <w:rsid w:val="001142FF"/>
    <w:rsid w:val="00114BF1"/>
    <w:rsid w:val="0011542F"/>
    <w:rsid w:val="001162D1"/>
    <w:rsid w:val="00116328"/>
    <w:rsid w:val="00116A38"/>
    <w:rsid w:val="00116F49"/>
    <w:rsid w:val="0011750C"/>
    <w:rsid w:val="0012054C"/>
    <w:rsid w:val="00121003"/>
    <w:rsid w:val="00121698"/>
    <w:rsid w:val="00123E74"/>
    <w:rsid w:val="00125172"/>
    <w:rsid w:val="00125224"/>
    <w:rsid w:val="00125427"/>
    <w:rsid w:val="001255C6"/>
    <w:rsid w:val="0012593A"/>
    <w:rsid w:val="00125B20"/>
    <w:rsid w:val="00125B53"/>
    <w:rsid w:val="00125FC6"/>
    <w:rsid w:val="001262D2"/>
    <w:rsid w:val="00126D03"/>
    <w:rsid w:val="00126D7D"/>
    <w:rsid w:val="001272C5"/>
    <w:rsid w:val="00130689"/>
    <w:rsid w:val="001308DB"/>
    <w:rsid w:val="00130C42"/>
    <w:rsid w:val="00130CA8"/>
    <w:rsid w:val="001313B0"/>
    <w:rsid w:val="00131943"/>
    <w:rsid w:val="00131E34"/>
    <w:rsid w:val="0013258D"/>
    <w:rsid w:val="00133EA4"/>
    <w:rsid w:val="0013471C"/>
    <w:rsid w:val="00134B64"/>
    <w:rsid w:val="00135518"/>
    <w:rsid w:val="001356B9"/>
    <w:rsid w:val="0013771A"/>
    <w:rsid w:val="00140866"/>
    <w:rsid w:val="00140B8E"/>
    <w:rsid w:val="00141469"/>
    <w:rsid w:val="00142795"/>
    <w:rsid w:val="001434B7"/>
    <w:rsid w:val="001437CB"/>
    <w:rsid w:val="00143BEA"/>
    <w:rsid w:val="001446C9"/>
    <w:rsid w:val="00144D7D"/>
    <w:rsid w:val="001452A1"/>
    <w:rsid w:val="00145BF7"/>
    <w:rsid w:val="00146915"/>
    <w:rsid w:val="00146FC1"/>
    <w:rsid w:val="00150CE3"/>
    <w:rsid w:val="00151068"/>
    <w:rsid w:val="00152260"/>
    <w:rsid w:val="00152CBF"/>
    <w:rsid w:val="001535CC"/>
    <w:rsid w:val="00153D3E"/>
    <w:rsid w:val="00153E3A"/>
    <w:rsid w:val="00154420"/>
    <w:rsid w:val="0015544E"/>
    <w:rsid w:val="00155A52"/>
    <w:rsid w:val="00156C89"/>
    <w:rsid w:val="00160173"/>
    <w:rsid w:val="001601C7"/>
    <w:rsid w:val="00160FE7"/>
    <w:rsid w:val="0016170C"/>
    <w:rsid w:val="00161791"/>
    <w:rsid w:val="001617E7"/>
    <w:rsid w:val="00162103"/>
    <w:rsid w:val="00162953"/>
    <w:rsid w:val="00163A77"/>
    <w:rsid w:val="00163C6B"/>
    <w:rsid w:val="00164C66"/>
    <w:rsid w:val="00164DEC"/>
    <w:rsid w:val="00164FEA"/>
    <w:rsid w:val="0016552E"/>
    <w:rsid w:val="00167D66"/>
    <w:rsid w:val="00170025"/>
    <w:rsid w:val="00170621"/>
    <w:rsid w:val="00170994"/>
    <w:rsid w:val="00170E5E"/>
    <w:rsid w:val="00171185"/>
    <w:rsid w:val="00171E8A"/>
    <w:rsid w:val="001737AA"/>
    <w:rsid w:val="00173D21"/>
    <w:rsid w:val="001745C8"/>
    <w:rsid w:val="00174845"/>
    <w:rsid w:val="00174D99"/>
    <w:rsid w:val="001760C0"/>
    <w:rsid w:val="00176224"/>
    <w:rsid w:val="001772CF"/>
    <w:rsid w:val="00177B2B"/>
    <w:rsid w:val="00177E38"/>
    <w:rsid w:val="0018010B"/>
    <w:rsid w:val="0018076F"/>
    <w:rsid w:val="0018115D"/>
    <w:rsid w:val="001814C6"/>
    <w:rsid w:val="00181821"/>
    <w:rsid w:val="0018192B"/>
    <w:rsid w:val="00183666"/>
    <w:rsid w:val="0018391B"/>
    <w:rsid w:val="001841FE"/>
    <w:rsid w:val="0018442C"/>
    <w:rsid w:val="00186110"/>
    <w:rsid w:val="00186BBF"/>
    <w:rsid w:val="0018734B"/>
    <w:rsid w:val="0019025C"/>
    <w:rsid w:val="001909AE"/>
    <w:rsid w:val="00191499"/>
    <w:rsid w:val="00192459"/>
    <w:rsid w:val="00192821"/>
    <w:rsid w:val="00192EED"/>
    <w:rsid w:val="00193080"/>
    <w:rsid w:val="00193385"/>
    <w:rsid w:val="001942F0"/>
    <w:rsid w:val="00194D83"/>
    <w:rsid w:val="0019511D"/>
    <w:rsid w:val="00195AB8"/>
    <w:rsid w:val="00196CDB"/>
    <w:rsid w:val="00197322"/>
    <w:rsid w:val="001A06E9"/>
    <w:rsid w:val="001A0956"/>
    <w:rsid w:val="001A0B87"/>
    <w:rsid w:val="001A1D60"/>
    <w:rsid w:val="001A2283"/>
    <w:rsid w:val="001A2571"/>
    <w:rsid w:val="001A2BC7"/>
    <w:rsid w:val="001A3F5A"/>
    <w:rsid w:val="001A4421"/>
    <w:rsid w:val="001A4701"/>
    <w:rsid w:val="001A6216"/>
    <w:rsid w:val="001B0267"/>
    <w:rsid w:val="001B15AB"/>
    <w:rsid w:val="001B16C1"/>
    <w:rsid w:val="001B1947"/>
    <w:rsid w:val="001B3645"/>
    <w:rsid w:val="001B3884"/>
    <w:rsid w:val="001B4C3F"/>
    <w:rsid w:val="001B5B7D"/>
    <w:rsid w:val="001B5E40"/>
    <w:rsid w:val="001B706A"/>
    <w:rsid w:val="001B7914"/>
    <w:rsid w:val="001B7A83"/>
    <w:rsid w:val="001C011E"/>
    <w:rsid w:val="001C0418"/>
    <w:rsid w:val="001C16CC"/>
    <w:rsid w:val="001C1C86"/>
    <w:rsid w:val="001C2490"/>
    <w:rsid w:val="001C30CA"/>
    <w:rsid w:val="001C361A"/>
    <w:rsid w:val="001C57B3"/>
    <w:rsid w:val="001C6D0B"/>
    <w:rsid w:val="001C78C8"/>
    <w:rsid w:val="001C7F14"/>
    <w:rsid w:val="001C7F4F"/>
    <w:rsid w:val="001D0051"/>
    <w:rsid w:val="001D0A9C"/>
    <w:rsid w:val="001D0FB5"/>
    <w:rsid w:val="001D1410"/>
    <w:rsid w:val="001D1AF2"/>
    <w:rsid w:val="001D277B"/>
    <w:rsid w:val="001D29BF"/>
    <w:rsid w:val="001D2EF7"/>
    <w:rsid w:val="001D376E"/>
    <w:rsid w:val="001D4019"/>
    <w:rsid w:val="001D417B"/>
    <w:rsid w:val="001D462A"/>
    <w:rsid w:val="001D631C"/>
    <w:rsid w:val="001D64EC"/>
    <w:rsid w:val="001D6AF2"/>
    <w:rsid w:val="001E07A4"/>
    <w:rsid w:val="001E0C02"/>
    <w:rsid w:val="001E18F7"/>
    <w:rsid w:val="001E3120"/>
    <w:rsid w:val="001E3DD8"/>
    <w:rsid w:val="001E40BA"/>
    <w:rsid w:val="001E43B5"/>
    <w:rsid w:val="001E499D"/>
    <w:rsid w:val="001E649A"/>
    <w:rsid w:val="001E74F4"/>
    <w:rsid w:val="001F03D6"/>
    <w:rsid w:val="001F08BF"/>
    <w:rsid w:val="001F0A4E"/>
    <w:rsid w:val="001F0DCB"/>
    <w:rsid w:val="001F1064"/>
    <w:rsid w:val="001F1523"/>
    <w:rsid w:val="001F2075"/>
    <w:rsid w:val="001F428A"/>
    <w:rsid w:val="001F4B9C"/>
    <w:rsid w:val="001F6E6C"/>
    <w:rsid w:val="00200EB4"/>
    <w:rsid w:val="00201181"/>
    <w:rsid w:val="00201C23"/>
    <w:rsid w:val="00202B39"/>
    <w:rsid w:val="00203BF7"/>
    <w:rsid w:val="00204438"/>
    <w:rsid w:val="00204FE4"/>
    <w:rsid w:val="00205FE7"/>
    <w:rsid w:val="00206C89"/>
    <w:rsid w:val="00207094"/>
    <w:rsid w:val="00207E3C"/>
    <w:rsid w:val="002110F1"/>
    <w:rsid w:val="002112A2"/>
    <w:rsid w:val="00211942"/>
    <w:rsid w:val="00211FFF"/>
    <w:rsid w:val="0021235B"/>
    <w:rsid w:val="00212728"/>
    <w:rsid w:val="00212E3E"/>
    <w:rsid w:val="002136F4"/>
    <w:rsid w:val="00213AF7"/>
    <w:rsid w:val="00213D78"/>
    <w:rsid w:val="002140C9"/>
    <w:rsid w:val="002146BE"/>
    <w:rsid w:val="002176C9"/>
    <w:rsid w:val="002176CA"/>
    <w:rsid w:val="00217CA6"/>
    <w:rsid w:val="00220139"/>
    <w:rsid w:val="00220582"/>
    <w:rsid w:val="002209A6"/>
    <w:rsid w:val="00220CC1"/>
    <w:rsid w:val="002216E2"/>
    <w:rsid w:val="002219C8"/>
    <w:rsid w:val="00222473"/>
    <w:rsid w:val="00222B0A"/>
    <w:rsid w:val="002254B4"/>
    <w:rsid w:val="00225E53"/>
    <w:rsid w:val="00227DBE"/>
    <w:rsid w:val="002301A5"/>
    <w:rsid w:val="002305C0"/>
    <w:rsid w:val="00231333"/>
    <w:rsid w:val="0023175D"/>
    <w:rsid w:val="00231CAB"/>
    <w:rsid w:val="002325AD"/>
    <w:rsid w:val="002327C0"/>
    <w:rsid w:val="00233526"/>
    <w:rsid w:val="00233853"/>
    <w:rsid w:val="00233DA4"/>
    <w:rsid w:val="0023436D"/>
    <w:rsid w:val="00234FE0"/>
    <w:rsid w:val="00235A36"/>
    <w:rsid w:val="00237419"/>
    <w:rsid w:val="002374F6"/>
    <w:rsid w:val="002407A3"/>
    <w:rsid w:val="0024086D"/>
    <w:rsid w:val="0024177A"/>
    <w:rsid w:val="00242AB5"/>
    <w:rsid w:val="00243B8C"/>
    <w:rsid w:val="00243D0F"/>
    <w:rsid w:val="002445AE"/>
    <w:rsid w:val="002454F5"/>
    <w:rsid w:val="00245723"/>
    <w:rsid w:val="002469D8"/>
    <w:rsid w:val="00246E9D"/>
    <w:rsid w:val="002472DA"/>
    <w:rsid w:val="002505DD"/>
    <w:rsid w:val="00250E56"/>
    <w:rsid w:val="00251C1D"/>
    <w:rsid w:val="00251CB7"/>
    <w:rsid w:val="00252E5F"/>
    <w:rsid w:val="002535C2"/>
    <w:rsid w:val="0025363B"/>
    <w:rsid w:val="00254A47"/>
    <w:rsid w:val="002554A6"/>
    <w:rsid w:val="002559BF"/>
    <w:rsid w:val="00256A7A"/>
    <w:rsid w:val="002605D7"/>
    <w:rsid w:val="0026080F"/>
    <w:rsid w:val="0026281B"/>
    <w:rsid w:val="00263360"/>
    <w:rsid w:val="00263448"/>
    <w:rsid w:val="002636EE"/>
    <w:rsid w:val="00265906"/>
    <w:rsid w:val="00265C82"/>
    <w:rsid w:val="00265D52"/>
    <w:rsid w:val="00265DFC"/>
    <w:rsid w:val="00266140"/>
    <w:rsid w:val="00266B86"/>
    <w:rsid w:val="002671A1"/>
    <w:rsid w:val="0026779B"/>
    <w:rsid w:val="00267F73"/>
    <w:rsid w:val="00270D4F"/>
    <w:rsid w:val="00271637"/>
    <w:rsid w:val="00271A81"/>
    <w:rsid w:val="00272791"/>
    <w:rsid w:val="00274792"/>
    <w:rsid w:val="002748A7"/>
    <w:rsid w:val="00274F7B"/>
    <w:rsid w:val="00277E32"/>
    <w:rsid w:val="002805CA"/>
    <w:rsid w:val="00280661"/>
    <w:rsid w:val="00282A90"/>
    <w:rsid w:val="00282EFA"/>
    <w:rsid w:val="00283B2B"/>
    <w:rsid w:val="002841B9"/>
    <w:rsid w:val="002844E4"/>
    <w:rsid w:val="00284840"/>
    <w:rsid w:val="00284B3F"/>
    <w:rsid w:val="002859EF"/>
    <w:rsid w:val="002864E8"/>
    <w:rsid w:val="0028657F"/>
    <w:rsid w:val="00286BB0"/>
    <w:rsid w:val="00286FC1"/>
    <w:rsid w:val="00287703"/>
    <w:rsid w:val="00290410"/>
    <w:rsid w:val="00290F40"/>
    <w:rsid w:val="00291D93"/>
    <w:rsid w:val="00292340"/>
    <w:rsid w:val="002929B7"/>
    <w:rsid w:val="0029361E"/>
    <w:rsid w:val="00294A8C"/>
    <w:rsid w:val="0029505D"/>
    <w:rsid w:val="00296A20"/>
    <w:rsid w:val="00296EB4"/>
    <w:rsid w:val="00296F35"/>
    <w:rsid w:val="00296F65"/>
    <w:rsid w:val="002971A8"/>
    <w:rsid w:val="0029740E"/>
    <w:rsid w:val="00297A94"/>
    <w:rsid w:val="002A0355"/>
    <w:rsid w:val="002A072F"/>
    <w:rsid w:val="002A1557"/>
    <w:rsid w:val="002A16FC"/>
    <w:rsid w:val="002A18E8"/>
    <w:rsid w:val="002A1A54"/>
    <w:rsid w:val="002A3532"/>
    <w:rsid w:val="002A3C1B"/>
    <w:rsid w:val="002A4513"/>
    <w:rsid w:val="002A4F9C"/>
    <w:rsid w:val="002A52E6"/>
    <w:rsid w:val="002A5EF0"/>
    <w:rsid w:val="002A66EF"/>
    <w:rsid w:val="002A6D1E"/>
    <w:rsid w:val="002A70C4"/>
    <w:rsid w:val="002A75F8"/>
    <w:rsid w:val="002B07A2"/>
    <w:rsid w:val="002B0850"/>
    <w:rsid w:val="002B1591"/>
    <w:rsid w:val="002B1635"/>
    <w:rsid w:val="002B18FD"/>
    <w:rsid w:val="002B36FB"/>
    <w:rsid w:val="002B463C"/>
    <w:rsid w:val="002B5469"/>
    <w:rsid w:val="002B623C"/>
    <w:rsid w:val="002B68D6"/>
    <w:rsid w:val="002B777A"/>
    <w:rsid w:val="002C0118"/>
    <w:rsid w:val="002C0198"/>
    <w:rsid w:val="002C097E"/>
    <w:rsid w:val="002C0B0F"/>
    <w:rsid w:val="002C0C44"/>
    <w:rsid w:val="002C0CB1"/>
    <w:rsid w:val="002C11EB"/>
    <w:rsid w:val="002C12B8"/>
    <w:rsid w:val="002C1894"/>
    <w:rsid w:val="002C1AE0"/>
    <w:rsid w:val="002C1D41"/>
    <w:rsid w:val="002C3C24"/>
    <w:rsid w:val="002C490D"/>
    <w:rsid w:val="002C5520"/>
    <w:rsid w:val="002C5849"/>
    <w:rsid w:val="002C64AB"/>
    <w:rsid w:val="002C6F2D"/>
    <w:rsid w:val="002C7748"/>
    <w:rsid w:val="002C7F3A"/>
    <w:rsid w:val="002D2D76"/>
    <w:rsid w:val="002D2E57"/>
    <w:rsid w:val="002D443C"/>
    <w:rsid w:val="002D47B2"/>
    <w:rsid w:val="002D4C95"/>
    <w:rsid w:val="002D6558"/>
    <w:rsid w:val="002D68AF"/>
    <w:rsid w:val="002D72F3"/>
    <w:rsid w:val="002D76C6"/>
    <w:rsid w:val="002E00C6"/>
    <w:rsid w:val="002E0FB2"/>
    <w:rsid w:val="002E38AE"/>
    <w:rsid w:val="002E3CEB"/>
    <w:rsid w:val="002E3CF1"/>
    <w:rsid w:val="002E4608"/>
    <w:rsid w:val="002E5734"/>
    <w:rsid w:val="002E58CC"/>
    <w:rsid w:val="002E6535"/>
    <w:rsid w:val="002E6726"/>
    <w:rsid w:val="002F01B8"/>
    <w:rsid w:val="002F06AD"/>
    <w:rsid w:val="002F1215"/>
    <w:rsid w:val="002F1C13"/>
    <w:rsid w:val="002F2B02"/>
    <w:rsid w:val="002F2CA4"/>
    <w:rsid w:val="002F3929"/>
    <w:rsid w:val="002F43E9"/>
    <w:rsid w:val="002F4D39"/>
    <w:rsid w:val="002F4FAE"/>
    <w:rsid w:val="002F6F2C"/>
    <w:rsid w:val="002F7EBE"/>
    <w:rsid w:val="00300328"/>
    <w:rsid w:val="00300C5D"/>
    <w:rsid w:val="00300C83"/>
    <w:rsid w:val="00300CB0"/>
    <w:rsid w:val="00300CD0"/>
    <w:rsid w:val="00301939"/>
    <w:rsid w:val="00302336"/>
    <w:rsid w:val="00302E54"/>
    <w:rsid w:val="00303E8B"/>
    <w:rsid w:val="003041B5"/>
    <w:rsid w:val="00304FAE"/>
    <w:rsid w:val="00305712"/>
    <w:rsid w:val="003069D2"/>
    <w:rsid w:val="00307113"/>
    <w:rsid w:val="00310FDA"/>
    <w:rsid w:val="003124C5"/>
    <w:rsid w:val="0031293B"/>
    <w:rsid w:val="00312CD0"/>
    <w:rsid w:val="003138F6"/>
    <w:rsid w:val="00314159"/>
    <w:rsid w:val="0031419F"/>
    <w:rsid w:val="003159F6"/>
    <w:rsid w:val="00315A80"/>
    <w:rsid w:val="0031663A"/>
    <w:rsid w:val="00316B48"/>
    <w:rsid w:val="00317363"/>
    <w:rsid w:val="003175F1"/>
    <w:rsid w:val="0031765C"/>
    <w:rsid w:val="00320F8E"/>
    <w:rsid w:val="003215EC"/>
    <w:rsid w:val="0032282D"/>
    <w:rsid w:val="00322B71"/>
    <w:rsid w:val="0032302C"/>
    <w:rsid w:val="0032375A"/>
    <w:rsid w:val="00324267"/>
    <w:rsid w:val="003247B0"/>
    <w:rsid w:val="00324DF1"/>
    <w:rsid w:val="0032584D"/>
    <w:rsid w:val="00325DCA"/>
    <w:rsid w:val="00326EF1"/>
    <w:rsid w:val="003275E0"/>
    <w:rsid w:val="00327BB0"/>
    <w:rsid w:val="00330308"/>
    <w:rsid w:val="00331839"/>
    <w:rsid w:val="00331869"/>
    <w:rsid w:val="00332757"/>
    <w:rsid w:val="003327B8"/>
    <w:rsid w:val="00333C91"/>
    <w:rsid w:val="00335D7F"/>
    <w:rsid w:val="00335D96"/>
    <w:rsid w:val="003365EE"/>
    <w:rsid w:val="00336A46"/>
    <w:rsid w:val="00336DFC"/>
    <w:rsid w:val="00337FCB"/>
    <w:rsid w:val="00340619"/>
    <w:rsid w:val="00340834"/>
    <w:rsid w:val="0034178B"/>
    <w:rsid w:val="00341D10"/>
    <w:rsid w:val="00341D2B"/>
    <w:rsid w:val="00342044"/>
    <w:rsid w:val="003424E3"/>
    <w:rsid w:val="00344792"/>
    <w:rsid w:val="0034787F"/>
    <w:rsid w:val="0035045C"/>
    <w:rsid w:val="00350CBE"/>
    <w:rsid w:val="003527C7"/>
    <w:rsid w:val="00353175"/>
    <w:rsid w:val="003536A5"/>
    <w:rsid w:val="00353B9B"/>
    <w:rsid w:val="00354B8F"/>
    <w:rsid w:val="00354FE4"/>
    <w:rsid w:val="00355A5F"/>
    <w:rsid w:val="00355AA6"/>
    <w:rsid w:val="00361204"/>
    <w:rsid w:val="00361B06"/>
    <w:rsid w:val="00362FF1"/>
    <w:rsid w:val="003635D3"/>
    <w:rsid w:val="00363FCE"/>
    <w:rsid w:val="00364292"/>
    <w:rsid w:val="00364305"/>
    <w:rsid w:val="00364755"/>
    <w:rsid w:val="0036534E"/>
    <w:rsid w:val="00365973"/>
    <w:rsid w:val="00365BA9"/>
    <w:rsid w:val="00366548"/>
    <w:rsid w:val="003673B6"/>
    <w:rsid w:val="00367A13"/>
    <w:rsid w:val="00370AB3"/>
    <w:rsid w:val="00370AEE"/>
    <w:rsid w:val="00371489"/>
    <w:rsid w:val="0037200C"/>
    <w:rsid w:val="00372661"/>
    <w:rsid w:val="003728E2"/>
    <w:rsid w:val="00372F7E"/>
    <w:rsid w:val="0037337A"/>
    <w:rsid w:val="00373820"/>
    <w:rsid w:val="00374765"/>
    <w:rsid w:val="003747CE"/>
    <w:rsid w:val="00374AFC"/>
    <w:rsid w:val="00374B43"/>
    <w:rsid w:val="0037560E"/>
    <w:rsid w:val="00377854"/>
    <w:rsid w:val="00377948"/>
    <w:rsid w:val="003801D9"/>
    <w:rsid w:val="00380579"/>
    <w:rsid w:val="00380C53"/>
    <w:rsid w:val="00380D31"/>
    <w:rsid w:val="00380EBA"/>
    <w:rsid w:val="00381F6D"/>
    <w:rsid w:val="003827C3"/>
    <w:rsid w:val="00384B43"/>
    <w:rsid w:val="00384E1D"/>
    <w:rsid w:val="00386271"/>
    <w:rsid w:val="00387505"/>
    <w:rsid w:val="0038788F"/>
    <w:rsid w:val="0038797C"/>
    <w:rsid w:val="00387B08"/>
    <w:rsid w:val="00390293"/>
    <w:rsid w:val="00390CC5"/>
    <w:rsid w:val="00391198"/>
    <w:rsid w:val="0039133F"/>
    <w:rsid w:val="003916C3"/>
    <w:rsid w:val="00391C68"/>
    <w:rsid w:val="003931AB"/>
    <w:rsid w:val="003937F1"/>
    <w:rsid w:val="00393894"/>
    <w:rsid w:val="00393F3B"/>
    <w:rsid w:val="00394041"/>
    <w:rsid w:val="00394993"/>
    <w:rsid w:val="00395AFB"/>
    <w:rsid w:val="00395C0C"/>
    <w:rsid w:val="00396EA1"/>
    <w:rsid w:val="00397F00"/>
    <w:rsid w:val="003A03A1"/>
    <w:rsid w:val="003A1562"/>
    <w:rsid w:val="003A1C66"/>
    <w:rsid w:val="003A2338"/>
    <w:rsid w:val="003A2CA3"/>
    <w:rsid w:val="003A343B"/>
    <w:rsid w:val="003A3AA5"/>
    <w:rsid w:val="003A3C83"/>
    <w:rsid w:val="003A472C"/>
    <w:rsid w:val="003A6912"/>
    <w:rsid w:val="003A6A76"/>
    <w:rsid w:val="003B0294"/>
    <w:rsid w:val="003B03CB"/>
    <w:rsid w:val="003B0504"/>
    <w:rsid w:val="003B13EA"/>
    <w:rsid w:val="003B28D3"/>
    <w:rsid w:val="003B40A5"/>
    <w:rsid w:val="003B48C1"/>
    <w:rsid w:val="003B5A68"/>
    <w:rsid w:val="003B5B0F"/>
    <w:rsid w:val="003B5ED0"/>
    <w:rsid w:val="003B680A"/>
    <w:rsid w:val="003B688D"/>
    <w:rsid w:val="003B68D0"/>
    <w:rsid w:val="003B6F7D"/>
    <w:rsid w:val="003C2A0B"/>
    <w:rsid w:val="003C2B11"/>
    <w:rsid w:val="003C4148"/>
    <w:rsid w:val="003C43AE"/>
    <w:rsid w:val="003C508A"/>
    <w:rsid w:val="003C5DAB"/>
    <w:rsid w:val="003C6E90"/>
    <w:rsid w:val="003C7165"/>
    <w:rsid w:val="003C758B"/>
    <w:rsid w:val="003C7692"/>
    <w:rsid w:val="003C7928"/>
    <w:rsid w:val="003C7C1E"/>
    <w:rsid w:val="003D1083"/>
    <w:rsid w:val="003D19CA"/>
    <w:rsid w:val="003D202E"/>
    <w:rsid w:val="003D3B53"/>
    <w:rsid w:val="003D4497"/>
    <w:rsid w:val="003D466E"/>
    <w:rsid w:val="003D568B"/>
    <w:rsid w:val="003D5E6E"/>
    <w:rsid w:val="003E04DB"/>
    <w:rsid w:val="003E1FD3"/>
    <w:rsid w:val="003E37B9"/>
    <w:rsid w:val="003E4ACD"/>
    <w:rsid w:val="003E508F"/>
    <w:rsid w:val="003E515E"/>
    <w:rsid w:val="003E535A"/>
    <w:rsid w:val="003E6E09"/>
    <w:rsid w:val="003E746A"/>
    <w:rsid w:val="003E778E"/>
    <w:rsid w:val="003E7A1F"/>
    <w:rsid w:val="003F05E2"/>
    <w:rsid w:val="003F0ED1"/>
    <w:rsid w:val="003F14C7"/>
    <w:rsid w:val="003F207D"/>
    <w:rsid w:val="003F22AB"/>
    <w:rsid w:val="003F255F"/>
    <w:rsid w:val="003F2632"/>
    <w:rsid w:val="003F2AA3"/>
    <w:rsid w:val="003F3B99"/>
    <w:rsid w:val="003F470C"/>
    <w:rsid w:val="003F479C"/>
    <w:rsid w:val="003F5744"/>
    <w:rsid w:val="003F7053"/>
    <w:rsid w:val="00400FCF"/>
    <w:rsid w:val="004027DF"/>
    <w:rsid w:val="00402BD0"/>
    <w:rsid w:val="00403F8D"/>
    <w:rsid w:val="0040436A"/>
    <w:rsid w:val="00404FDF"/>
    <w:rsid w:val="004051AE"/>
    <w:rsid w:val="00405DBD"/>
    <w:rsid w:val="004066A2"/>
    <w:rsid w:val="004066BB"/>
    <w:rsid w:val="00407201"/>
    <w:rsid w:val="00410442"/>
    <w:rsid w:val="004106A3"/>
    <w:rsid w:val="00410A21"/>
    <w:rsid w:val="004115AE"/>
    <w:rsid w:val="00411D16"/>
    <w:rsid w:val="00412223"/>
    <w:rsid w:val="00413155"/>
    <w:rsid w:val="00413978"/>
    <w:rsid w:val="00413CBD"/>
    <w:rsid w:val="00413CFC"/>
    <w:rsid w:val="00414E60"/>
    <w:rsid w:val="0041522E"/>
    <w:rsid w:val="00420A65"/>
    <w:rsid w:val="00420EF7"/>
    <w:rsid w:val="004212C1"/>
    <w:rsid w:val="0042235E"/>
    <w:rsid w:val="004223BF"/>
    <w:rsid w:val="00423DDC"/>
    <w:rsid w:val="0042443D"/>
    <w:rsid w:val="0042661D"/>
    <w:rsid w:val="0042670B"/>
    <w:rsid w:val="0042689D"/>
    <w:rsid w:val="00426C01"/>
    <w:rsid w:val="00427D01"/>
    <w:rsid w:val="0043093B"/>
    <w:rsid w:val="0043180C"/>
    <w:rsid w:val="00431BB1"/>
    <w:rsid w:val="00431E77"/>
    <w:rsid w:val="00431EAE"/>
    <w:rsid w:val="004321BD"/>
    <w:rsid w:val="004325B0"/>
    <w:rsid w:val="00432C29"/>
    <w:rsid w:val="0043386D"/>
    <w:rsid w:val="00433CBC"/>
    <w:rsid w:val="0043421B"/>
    <w:rsid w:val="004346AC"/>
    <w:rsid w:val="00435694"/>
    <w:rsid w:val="00436224"/>
    <w:rsid w:val="00437040"/>
    <w:rsid w:val="00437564"/>
    <w:rsid w:val="0044198C"/>
    <w:rsid w:val="00441B3A"/>
    <w:rsid w:val="00442145"/>
    <w:rsid w:val="004425D3"/>
    <w:rsid w:val="00442C81"/>
    <w:rsid w:val="004432A7"/>
    <w:rsid w:val="004438DD"/>
    <w:rsid w:val="004439D2"/>
    <w:rsid w:val="004443BE"/>
    <w:rsid w:val="004444CC"/>
    <w:rsid w:val="00451471"/>
    <w:rsid w:val="00453637"/>
    <w:rsid w:val="00453659"/>
    <w:rsid w:val="004539A2"/>
    <w:rsid w:val="004539B5"/>
    <w:rsid w:val="00454D6C"/>
    <w:rsid w:val="00454ED9"/>
    <w:rsid w:val="00455E67"/>
    <w:rsid w:val="00456000"/>
    <w:rsid w:val="00456A63"/>
    <w:rsid w:val="004576F4"/>
    <w:rsid w:val="00457CBE"/>
    <w:rsid w:val="00460336"/>
    <w:rsid w:val="00460908"/>
    <w:rsid w:val="00460C71"/>
    <w:rsid w:val="00461790"/>
    <w:rsid w:val="004623A8"/>
    <w:rsid w:val="00462684"/>
    <w:rsid w:val="00463DB3"/>
    <w:rsid w:val="00463EA2"/>
    <w:rsid w:val="00464AE5"/>
    <w:rsid w:val="0046664B"/>
    <w:rsid w:val="004702DE"/>
    <w:rsid w:val="00470B96"/>
    <w:rsid w:val="00471BDD"/>
    <w:rsid w:val="0047231C"/>
    <w:rsid w:val="00472609"/>
    <w:rsid w:val="00472ED1"/>
    <w:rsid w:val="00472EE0"/>
    <w:rsid w:val="00473E13"/>
    <w:rsid w:val="00474967"/>
    <w:rsid w:val="00474E5D"/>
    <w:rsid w:val="00474F23"/>
    <w:rsid w:val="00476500"/>
    <w:rsid w:val="004768A2"/>
    <w:rsid w:val="00477100"/>
    <w:rsid w:val="00477669"/>
    <w:rsid w:val="00477A7B"/>
    <w:rsid w:val="00477FD2"/>
    <w:rsid w:val="00480905"/>
    <w:rsid w:val="004809D5"/>
    <w:rsid w:val="00480E28"/>
    <w:rsid w:val="0048112A"/>
    <w:rsid w:val="0048128E"/>
    <w:rsid w:val="00481499"/>
    <w:rsid w:val="00481C11"/>
    <w:rsid w:val="00481EAD"/>
    <w:rsid w:val="00483108"/>
    <w:rsid w:val="00483448"/>
    <w:rsid w:val="004850D8"/>
    <w:rsid w:val="00485613"/>
    <w:rsid w:val="004876A4"/>
    <w:rsid w:val="004900AB"/>
    <w:rsid w:val="004901BA"/>
    <w:rsid w:val="00490484"/>
    <w:rsid w:val="00490629"/>
    <w:rsid w:val="00491625"/>
    <w:rsid w:val="00491879"/>
    <w:rsid w:val="0049206E"/>
    <w:rsid w:val="00492196"/>
    <w:rsid w:val="0049316C"/>
    <w:rsid w:val="004937FD"/>
    <w:rsid w:val="00493B13"/>
    <w:rsid w:val="00493B9B"/>
    <w:rsid w:val="00493F33"/>
    <w:rsid w:val="0049401C"/>
    <w:rsid w:val="004941D3"/>
    <w:rsid w:val="004947A6"/>
    <w:rsid w:val="00494A94"/>
    <w:rsid w:val="00495392"/>
    <w:rsid w:val="004953F6"/>
    <w:rsid w:val="004959FB"/>
    <w:rsid w:val="00495E0E"/>
    <w:rsid w:val="00497CDB"/>
    <w:rsid w:val="004A05D8"/>
    <w:rsid w:val="004A082F"/>
    <w:rsid w:val="004A0B7D"/>
    <w:rsid w:val="004A0C91"/>
    <w:rsid w:val="004A0E46"/>
    <w:rsid w:val="004A115E"/>
    <w:rsid w:val="004A2A9E"/>
    <w:rsid w:val="004A2BA6"/>
    <w:rsid w:val="004A2DB3"/>
    <w:rsid w:val="004A4468"/>
    <w:rsid w:val="004A4CF0"/>
    <w:rsid w:val="004A580D"/>
    <w:rsid w:val="004A6887"/>
    <w:rsid w:val="004A7452"/>
    <w:rsid w:val="004B0A58"/>
    <w:rsid w:val="004B193E"/>
    <w:rsid w:val="004B1D64"/>
    <w:rsid w:val="004B2B20"/>
    <w:rsid w:val="004B2DC0"/>
    <w:rsid w:val="004B30A5"/>
    <w:rsid w:val="004B3E7A"/>
    <w:rsid w:val="004B4234"/>
    <w:rsid w:val="004B4A49"/>
    <w:rsid w:val="004B4DF5"/>
    <w:rsid w:val="004B4FF0"/>
    <w:rsid w:val="004B6445"/>
    <w:rsid w:val="004B65EE"/>
    <w:rsid w:val="004B7151"/>
    <w:rsid w:val="004C0CD1"/>
    <w:rsid w:val="004C2F50"/>
    <w:rsid w:val="004C3272"/>
    <w:rsid w:val="004C3F27"/>
    <w:rsid w:val="004C400E"/>
    <w:rsid w:val="004C400F"/>
    <w:rsid w:val="004C441B"/>
    <w:rsid w:val="004C5449"/>
    <w:rsid w:val="004C5B59"/>
    <w:rsid w:val="004C7BE2"/>
    <w:rsid w:val="004D03D9"/>
    <w:rsid w:val="004D05BC"/>
    <w:rsid w:val="004D0F79"/>
    <w:rsid w:val="004D1B49"/>
    <w:rsid w:val="004D1FF5"/>
    <w:rsid w:val="004D22C0"/>
    <w:rsid w:val="004D249D"/>
    <w:rsid w:val="004D3781"/>
    <w:rsid w:val="004D4D2A"/>
    <w:rsid w:val="004D53BF"/>
    <w:rsid w:val="004D59D3"/>
    <w:rsid w:val="004D7ED7"/>
    <w:rsid w:val="004E0D26"/>
    <w:rsid w:val="004E133F"/>
    <w:rsid w:val="004E16AD"/>
    <w:rsid w:val="004E20D7"/>
    <w:rsid w:val="004E327C"/>
    <w:rsid w:val="004E34B9"/>
    <w:rsid w:val="004E3A43"/>
    <w:rsid w:val="004E3D11"/>
    <w:rsid w:val="004E3E2C"/>
    <w:rsid w:val="004E48E4"/>
    <w:rsid w:val="004E50B0"/>
    <w:rsid w:val="004E5954"/>
    <w:rsid w:val="004E798D"/>
    <w:rsid w:val="004F0629"/>
    <w:rsid w:val="004F1621"/>
    <w:rsid w:val="004F21AB"/>
    <w:rsid w:val="004F25FE"/>
    <w:rsid w:val="004F2809"/>
    <w:rsid w:val="004F3F31"/>
    <w:rsid w:val="004F46C0"/>
    <w:rsid w:val="004F4C4B"/>
    <w:rsid w:val="004F4F5F"/>
    <w:rsid w:val="004F6D89"/>
    <w:rsid w:val="004F6F43"/>
    <w:rsid w:val="004F7295"/>
    <w:rsid w:val="004F739E"/>
    <w:rsid w:val="00500A10"/>
    <w:rsid w:val="00500C5E"/>
    <w:rsid w:val="00501876"/>
    <w:rsid w:val="00502E93"/>
    <w:rsid w:val="005030FD"/>
    <w:rsid w:val="00503351"/>
    <w:rsid w:val="00503D3F"/>
    <w:rsid w:val="00504F2E"/>
    <w:rsid w:val="005054E8"/>
    <w:rsid w:val="0050556E"/>
    <w:rsid w:val="005059C8"/>
    <w:rsid w:val="005069A6"/>
    <w:rsid w:val="00507C28"/>
    <w:rsid w:val="00510127"/>
    <w:rsid w:val="00510235"/>
    <w:rsid w:val="005102F3"/>
    <w:rsid w:val="00510A54"/>
    <w:rsid w:val="005115EA"/>
    <w:rsid w:val="005118C3"/>
    <w:rsid w:val="00511BFB"/>
    <w:rsid w:val="00511EAD"/>
    <w:rsid w:val="00512604"/>
    <w:rsid w:val="005129DE"/>
    <w:rsid w:val="00512BFD"/>
    <w:rsid w:val="00512F45"/>
    <w:rsid w:val="005136E8"/>
    <w:rsid w:val="00513A16"/>
    <w:rsid w:val="00513AB3"/>
    <w:rsid w:val="00513AD1"/>
    <w:rsid w:val="005148D0"/>
    <w:rsid w:val="00514E29"/>
    <w:rsid w:val="00516487"/>
    <w:rsid w:val="0051663A"/>
    <w:rsid w:val="005167ED"/>
    <w:rsid w:val="0051692F"/>
    <w:rsid w:val="0051783E"/>
    <w:rsid w:val="00517C27"/>
    <w:rsid w:val="00517DD6"/>
    <w:rsid w:val="00517EFE"/>
    <w:rsid w:val="00517F79"/>
    <w:rsid w:val="00520CD6"/>
    <w:rsid w:val="00521062"/>
    <w:rsid w:val="005210DF"/>
    <w:rsid w:val="005222CE"/>
    <w:rsid w:val="00522B61"/>
    <w:rsid w:val="00522B64"/>
    <w:rsid w:val="00522DB4"/>
    <w:rsid w:val="00523D09"/>
    <w:rsid w:val="00524560"/>
    <w:rsid w:val="00525802"/>
    <w:rsid w:val="005258A1"/>
    <w:rsid w:val="00525E4E"/>
    <w:rsid w:val="00526D3A"/>
    <w:rsid w:val="00527E1E"/>
    <w:rsid w:val="00527F56"/>
    <w:rsid w:val="005305B6"/>
    <w:rsid w:val="00530FE2"/>
    <w:rsid w:val="00531702"/>
    <w:rsid w:val="00531A80"/>
    <w:rsid w:val="00531C3F"/>
    <w:rsid w:val="00532363"/>
    <w:rsid w:val="005325E3"/>
    <w:rsid w:val="005334EA"/>
    <w:rsid w:val="00533869"/>
    <w:rsid w:val="00534515"/>
    <w:rsid w:val="00535471"/>
    <w:rsid w:val="00536300"/>
    <w:rsid w:val="005403DD"/>
    <w:rsid w:val="005405E1"/>
    <w:rsid w:val="00540619"/>
    <w:rsid w:val="0054236F"/>
    <w:rsid w:val="0054389B"/>
    <w:rsid w:val="00544F98"/>
    <w:rsid w:val="00546471"/>
    <w:rsid w:val="00546B96"/>
    <w:rsid w:val="00546F2E"/>
    <w:rsid w:val="00547061"/>
    <w:rsid w:val="00550886"/>
    <w:rsid w:val="005525FB"/>
    <w:rsid w:val="005525FE"/>
    <w:rsid w:val="005533B7"/>
    <w:rsid w:val="00553DD1"/>
    <w:rsid w:val="00553FA9"/>
    <w:rsid w:val="00554649"/>
    <w:rsid w:val="00556117"/>
    <w:rsid w:val="00557FF3"/>
    <w:rsid w:val="005605EA"/>
    <w:rsid w:val="00561BCF"/>
    <w:rsid w:val="00561D9F"/>
    <w:rsid w:val="00562332"/>
    <w:rsid w:val="00562709"/>
    <w:rsid w:val="00562DE2"/>
    <w:rsid w:val="005635AC"/>
    <w:rsid w:val="00564BED"/>
    <w:rsid w:val="00564DAF"/>
    <w:rsid w:val="00565D7C"/>
    <w:rsid w:val="00567615"/>
    <w:rsid w:val="005704A9"/>
    <w:rsid w:val="00570B72"/>
    <w:rsid w:val="005711C0"/>
    <w:rsid w:val="00571938"/>
    <w:rsid w:val="00571E20"/>
    <w:rsid w:val="0057221C"/>
    <w:rsid w:val="005746D6"/>
    <w:rsid w:val="005753D4"/>
    <w:rsid w:val="00575550"/>
    <w:rsid w:val="005762C3"/>
    <w:rsid w:val="00576BDA"/>
    <w:rsid w:val="00576F89"/>
    <w:rsid w:val="00577274"/>
    <w:rsid w:val="00580B33"/>
    <w:rsid w:val="0058167B"/>
    <w:rsid w:val="00581A52"/>
    <w:rsid w:val="00582321"/>
    <w:rsid w:val="005824D4"/>
    <w:rsid w:val="00582802"/>
    <w:rsid w:val="00582856"/>
    <w:rsid w:val="005837A5"/>
    <w:rsid w:val="005845B1"/>
    <w:rsid w:val="00584B9B"/>
    <w:rsid w:val="00585239"/>
    <w:rsid w:val="00585851"/>
    <w:rsid w:val="00585998"/>
    <w:rsid w:val="00585ED0"/>
    <w:rsid w:val="005869C1"/>
    <w:rsid w:val="00586F0E"/>
    <w:rsid w:val="00586F23"/>
    <w:rsid w:val="0058714A"/>
    <w:rsid w:val="0059127A"/>
    <w:rsid w:val="005915B3"/>
    <w:rsid w:val="0059182B"/>
    <w:rsid w:val="00591DB7"/>
    <w:rsid w:val="005929C2"/>
    <w:rsid w:val="00592F72"/>
    <w:rsid w:val="005934F3"/>
    <w:rsid w:val="005936B5"/>
    <w:rsid w:val="0059412C"/>
    <w:rsid w:val="005943CC"/>
    <w:rsid w:val="00594F49"/>
    <w:rsid w:val="005957C6"/>
    <w:rsid w:val="00596E61"/>
    <w:rsid w:val="0059748C"/>
    <w:rsid w:val="00597E9D"/>
    <w:rsid w:val="00597F32"/>
    <w:rsid w:val="005A036B"/>
    <w:rsid w:val="005A040A"/>
    <w:rsid w:val="005A09F2"/>
    <w:rsid w:val="005A17E0"/>
    <w:rsid w:val="005A1CE9"/>
    <w:rsid w:val="005A2528"/>
    <w:rsid w:val="005A270C"/>
    <w:rsid w:val="005A2E6B"/>
    <w:rsid w:val="005A421F"/>
    <w:rsid w:val="005A483F"/>
    <w:rsid w:val="005A4A60"/>
    <w:rsid w:val="005A4CEE"/>
    <w:rsid w:val="005A4E55"/>
    <w:rsid w:val="005A5784"/>
    <w:rsid w:val="005A5C08"/>
    <w:rsid w:val="005A5F35"/>
    <w:rsid w:val="005A6650"/>
    <w:rsid w:val="005B0C12"/>
    <w:rsid w:val="005B136B"/>
    <w:rsid w:val="005B142F"/>
    <w:rsid w:val="005B15D6"/>
    <w:rsid w:val="005B1A63"/>
    <w:rsid w:val="005B229D"/>
    <w:rsid w:val="005B326C"/>
    <w:rsid w:val="005B403D"/>
    <w:rsid w:val="005B45DB"/>
    <w:rsid w:val="005B4BC2"/>
    <w:rsid w:val="005B6D49"/>
    <w:rsid w:val="005B7542"/>
    <w:rsid w:val="005B7B99"/>
    <w:rsid w:val="005C03D1"/>
    <w:rsid w:val="005C0B4D"/>
    <w:rsid w:val="005C1190"/>
    <w:rsid w:val="005C11C8"/>
    <w:rsid w:val="005C17A9"/>
    <w:rsid w:val="005C2FF3"/>
    <w:rsid w:val="005C3351"/>
    <w:rsid w:val="005C3AAC"/>
    <w:rsid w:val="005C48C7"/>
    <w:rsid w:val="005C4CF9"/>
    <w:rsid w:val="005C6252"/>
    <w:rsid w:val="005C79DA"/>
    <w:rsid w:val="005C7CCE"/>
    <w:rsid w:val="005D09D0"/>
    <w:rsid w:val="005D1666"/>
    <w:rsid w:val="005D2AA2"/>
    <w:rsid w:val="005D2B2E"/>
    <w:rsid w:val="005D2B8E"/>
    <w:rsid w:val="005D2D59"/>
    <w:rsid w:val="005D36FB"/>
    <w:rsid w:val="005D3B5C"/>
    <w:rsid w:val="005D3D48"/>
    <w:rsid w:val="005D3D69"/>
    <w:rsid w:val="005D6E7C"/>
    <w:rsid w:val="005E010E"/>
    <w:rsid w:val="005E01A7"/>
    <w:rsid w:val="005E0303"/>
    <w:rsid w:val="005E05F2"/>
    <w:rsid w:val="005E12D6"/>
    <w:rsid w:val="005E2BBE"/>
    <w:rsid w:val="005E31CC"/>
    <w:rsid w:val="005E36CB"/>
    <w:rsid w:val="005E5A8D"/>
    <w:rsid w:val="005E644C"/>
    <w:rsid w:val="005E6C5B"/>
    <w:rsid w:val="005E741D"/>
    <w:rsid w:val="005E75EC"/>
    <w:rsid w:val="005E7C10"/>
    <w:rsid w:val="005F0AF5"/>
    <w:rsid w:val="005F4635"/>
    <w:rsid w:val="005F62F9"/>
    <w:rsid w:val="005F6942"/>
    <w:rsid w:val="005F6D99"/>
    <w:rsid w:val="005F793F"/>
    <w:rsid w:val="005F7A95"/>
    <w:rsid w:val="005F7AB4"/>
    <w:rsid w:val="00600959"/>
    <w:rsid w:val="00601241"/>
    <w:rsid w:val="0060276F"/>
    <w:rsid w:val="00603293"/>
    <w:rsid w:val="00604478"/>
    <w:rsid w:val="0060474E"/>
    <w:rsid w:val="0060475E"/>
    <w:rsid w:val="00604F7D"/>
    <w:rsid w:val="00607631"/>
    <w:rsid w:val="00607FD1"/>
    <w:rsid w:val="006105C1"/>
    <w:rsid w:val="006109F1"/>
    <w:rsid w:val="0061138B"/>
    <w:rsid w:val="0061270F"/>
    <w:rsid w:val="006135BC"/>
    <w:rsid w:val="00614AB6"/>
    <w:rsid w:val="00615669"/>
    <w:rsid w:val="00615DEF"/>
    <w:rsid w:val="006160F9"/>
    <w:rsid w:val="00616512"/>
    <w:rsid w:val="00616657"/>
    <w:rsid w:val="00617277"/>
    <w:rsid w:val="00617864"/>
    <w:rsid w:val="00620D0C"/>
    <w:rsid w:val="006214EE"/>
    <w:rsid w:val="00621D5E"/>
    <w:rsid w:val="00622039"/>
    <w:rsid w:val="00622845"/>
    <w:rsid w:val="00622F23"/>
    <w:rsid w:val="006232E5"/>
    <w:rsid w:val="006241B3"/>
    <w:rsid w:val="00625418"/>
    <w:rsid w:val="0062727E"/>
    <w:rsid w:val="00627A84"/>
    <w:rsid w:val="006301E3"/>
    <w:rsid w:val="00630474"/>
    <w:rsid w:val="00631EC1"/>
    <w:rsid w:val="0063229D"/>
    <w:rsid w:val="00633B7E"/>
    <w:rsid w:val="0063492D"/>
    <w:rsid w:val="006360D8"/>
    <w:rsid w:val="00636A7E"/>
    <w:rsid w:val="006375D3"/>
    <w:rsid w:val="006376EC"/>
    <w:rsid w:val="006400EC"/>
    <w:rsid w:val="006412C9"/>
    <w:rsid w:val="006415F7"/>
    <w:rsid w:val="00642247"/>
    <w:rsid w:val="0064341E"/>
    <w:rsid w:val="00643885"/>
    <w:rsid w:val="00644245"/>
    <w:rsid w:val="0064433F"/>
    <w:rsid w:val="006443AE"/>
    <w:rsid w:val="0064440A"/>
    <w:rsid w:val="0064499F"/>
    <w:rsid w:val="00644F47"/>
    <w:rsid w:val="006457EE"/>
    <w:rsid w:val="00645EA1"/>
    <w:rsid w:val="00646259"/>
    <w:rsid w:val="0064687A"/>
    <w:rsid w:val="00646ED4"/>
    <w:rsid w:val="00647D48"/>
    <w:rsid w:val="00652F73"/>
    <w:rsid w:val="00654BFA"/>
    <w:rsid w:val="006557F4"/>
    <w:rsid w:val="00655A46"/>
    <w:rsid w:val="006566EA"/>
    <w:rsid w:val="006569F4"/>
    <w:rsid w:val="0065766C"/>
    <w:rsid w:val="00657BE1"/>
    <w:rsid w:val="00657E39"/>
    <w:rsid w:val="00657E79"/>
    <w:rsid w:val="00660CD6"/>
    <w:rsid w:val="0066133D"/>
    <w:rsid w:val="006618F7"/>
    <w:rsid w:val="006621C1"/>
    <w:rsid w:val="0066355F"/>
    <w:rsid w:val="006635F2"/>
    <w:rsid w:val="0066475A"/>
    <w:rsid w:val="00664CCF"/>
    <w:rsid w:val="00664E4A"/>
    <w:rsid w:val="006651BB"/>
    <w:rsid w:val="006661AF"/>
    <w:rsid w:val="00666628"/>
    <w:rsid w:val="00666A16"/>
    <w:rsid w:val="00666C8B"/>
    <w:rsid w:val="00667EE8"/>
    <w:rsid w:val="0067170E"/>
    <w:rsid w:val="00672098"/>
    <w:rsid w:val="006721A9"/>
    <w:rsid w:val="006739E6"/>
    <w:rsid w:val="00674034"/>
    <w:rsid w:val="0067416A"/>
    <w:rsid w:val="006741DF"/>
    <w:rsid w:val="006744C1"/>
    <w:rsid w:val="006755C9"/>
    <w:rsid w:val="00676400"/>
    <w:rsid w:val="00676583"/>
    <w:rsid w:val="0067721B"/>
    <w:rsid w:val="0067759C"/>
    <w:rsid w:val="006800F3"/>
    <w:rsid w:val="0068032D"/>
    <w:rsid w:val="00680432"/>
    <w:rsid w:val="006814E0"/>
    <w:rsid w:val="0068190A"/>
    <w:rsid w:val="00682726"/>
    <w:rsid w:val="00683077"/>
    <w:rsid w:val="00684185"/>
    <w:rsid w:val="00684A11"/>
    <w:rsid w:val="006853DA"/>
    <w:rsid w:val="00685454"/>
    <w:rsid w:val="006856C7"/>
    <w:rsid w:val="00685BA1"/>
    <w:rsid w:val="00686399"/>
    <w:rsid w:val="0068751B"/>
    <w:rsid w:val="00687BFC"/>
    <w:rsid w:val="0069046A"/>
    <w:rsid w:val="00691E1F"/>
    <w:rsid w:val="00692589"/>
    <w:rsid w:val="00692DBA"/>
    <w:rsid w:val="00692EF7"/>
    <w:rsid w:val="00693578"/>
    <w:rsid w:val="00694252"/>
    <w:rsid w:val="00695FF8"/>
    <w:rsid w:val="0069632B"/>
    <w:rsid w:val="00696A58"/>
    <w:rsid w:val="00696BD5"/>
    <w:rsid w:val="00696F59"/>
    <w:rsid w:val="006978B4"/>
    <w:rsid w:val="006A0DBA"/>
    <w:rsid w:val="006A1893"/>
    <w:rsid w:val="006A18BF"/>
    <w:rsid w:val="006A1BA7"/>
    <w:rsid w:val="006A35A1"/>
    <w:rsid w:val="006A4454"/>
    <w:rsid w:val="006A496B"/>
    <w:rsid w:val="006A4A2B"/>
    <w:rsid w:val="006A5FEC"/>
    <w:rsid w:val="006A6757"/>
    <w:rsid w:val="006B0FE9"/>
    <w:rsid w:val="006B106C"/>
    <w:rsid w:val="006B115E"/>
    <w:rsid w:val="006B1B1E"/>
    <w:rsid w:val="006B2177"/>
    <w:rsid w:val="006B2822"/>
    <w:rsid w:val="006B2B9F"/>
    <w:rsid w:val="006B3835"/>
    <w:rsid w:val="006B3EDE"/>
    <w:rsid w:val="006B43AC"/>
    <w:rsid w:val="006B4FE3"/>
    <w:rsid w:val="006B628B"/>
    <w:rsid w:val="006B6493"/>
    <w:rsid w:val="006B6515"/>
    <w:rsid w:val="006B7AE1"/>
    <w:rsid w:val="006B7B80"/>
    <w:rsid w:val="006B7F3D"/>
    <w:rsid w:val="006C0C84"/>
    <w:rsid w:val="006C0CF8"/>
    <w:rsid w:val="006C0E0A"/>
    <w:rsid w:val="006C1763"/>
    <w:rsid w:val="006C2451"/>
    <w:rsid w:val="006C2843"/>
    <w:rsid w:val="006C2CC9"/>
    <w:rsid w:val="006C3029"/>
    <w:rsid w:val="006C310F"/>
    <w:rsid w:val="006C3987"/>
    <w:rsid w:val="006C41CC"/>
    <w:rsid w:val="006C5208"/>
    <w:rsid w:val="006C6CA8"/>
    <w:rsid w:val="006C7BD0"/>
    <w:rsid w:val="006C7D0C"/>
    <w:rsid w:val="006D0B2E"/>
    <w:rsid w:val="006D1575"/>
    <w:rsid w:val="006D1A3F"/>
    <w:rsid w:val="006D1B4C"/>
    <w:rsid w:val="006D2045"/>
    <w:rsid w:val="006D2551"/>
    <w:rsid w:val="006D286C"/>
    <w:rsid w:val="006D319B"/>
    <w:rsid w:val="006D36F7"/>
    <w:rsid w:val="006D3D4D"/>
    <w:rsid w:val="006D4AF6"/>
    <w:rsid w:val="006D5179"/>
    <w:rsid w:val="006D5458"/>
    <w:rsid w:val="006D5AB7"/>
    <w:rsid w:val="006D6A38"/>
    <w:rsid w:val="006D71BC"/>
    <w:rsid w:val="006D7533"/>
    <w:rsid w:val="006D77AB"/>
    <w:rsid w:val="006D7AF9"/>
    <w:rsid w:val="006D7CF8"/>
    <w:rsid w:val="006D7F06"/>
    <w:rsid w:val="006E156C"/>
    <w:rsid w:val="006E16D6"/>
    <w:rsid w:val="006E1C70"/>
    <w:rsid w:val="006E2092"/>
    <w:rsid w:val="006E2E78"/>
    <w:rsid w:val="006E3900"/>
    <w:rsid w:val="006E3C43"/>
    <w:rsid w:val="006E43BE"/>
    <w:rsid w:val="006E4DEF"/>
    <w:rsid w:val="006E5685"/>
    <w:rsid w:val="006E56C5"/>
    <w:rsid w:val="006E5E1F"/>
    <w:rsid w:val="006E5EB8"/>
    <w:rsid w:val="006E6617"/>
    <w:rsid w:val="006E7FAD"/>
    <w:rsid w:val="006F02E3"/>
    <w:rsid w:val="006F071D"/>
    <w:rsid w:val="006F0CD6"/>
    <w:rsid w:val="006F1BCA"/>
    <w:rsid w:val="006F26CC"/>
    <w:rsid w:val="006F2D93"/>
    <w:rsid w:val="006F31A4"/>
    <w:rsid w:val="006F374C"/>
    <w:rsid w:val="006F382B"/>
    <w:rsid w:val="006F3F60"/>
    <w:rsid w:val="006F4092"/>
    <w:rsid w:val="006F4857"/>
    <w:rsid w:val="006F4FFE"/>
    <w:rsid w:val="006F5F72"/>
    <w:rsid w:val="006F605B"/>
    <w:rsid w:val="006F6347"/>
    <w:rsid w:val="00700902"/>
    <w:rsid w:val="007009AE"/>
    <w:rsid w:val="007011B3"/>
    <w:rsid w:val="007013B1"/>
    <w:rsid w:val="00701665"/>
    <w:rsid w:val="007017E5"/>
    <w:rsid w:val="0070202C"/>
    <w:rsid w:val="007023B3"/>
    <w:rsid w:val="00702D20"/>
    <w:rsid w:val="00703921"/>
    <w:rsid w:val="00704436"/>
    <w:rsid w:val="00704A5E"/>
    <w:rsid w:val="007065B7"/>
    <w:rsid w:val="00706F42"/>
    <w:rsid w:val="00707418"/>
    <w:rsid w:val="007078AD"/>
    <w:rsid w:val="0071020D"/>
    <w:rsid w:val="00710312"/>
    <w:rsid w:val="007105E3"/>
    <w:rsid w:val="00710B6E"/>
    <w:rsid w:val="0071112B"/>
    <w:rsid w:val="00711797"/>
    <w:rsid w:val="007119EC"/>
    <w:rsid w:val="00711A05"/>
    <w:rsid w:val="00712582"/>
    <w:rsid w:val="00712992"/>
    <w:rsid w:val="00713C56"/>
    <w:rsid w:val="00714420"/>
    <w:rsid w:val="007154CF"/>
    <w:rsid w:val="00715845"/>
    <w:rsid w:val="00715EEB"/>
    <w:rsid w:val="00716474"/>
    <w:rsid w:val="00717353"/>
    <w:rsid w:val="007175C9"/>
    <w:rsid w:val="007200DB"/>
    <w:rsid w:val="007204F2"/>
    <w:rsid w:val="00720E7F"/>
    <w:rsid w:val="00721C7E"/>
    <w:rsid w:val="00722BA6"/>
    <w:rsid w:val="007242C9"/>
    <w:rsid w:val="00724C4A"/>
    <w:rsid w:val="00724DC0"/>
    <w:rsid w:val="0072519D"/>
    <w:rsid w:val="00725A54"/>
    <w:rsid w:val="00725A80"/>
    <w:rsid w:val="00730741"/>
    <w:rsid w:val="00730FA5"/>
    <w:rsid w:val="007310A8"/>
    <w:rsid w:val="00731483"/>
    <w:rsid w:val="007320DA"/>
    <w:rsid w:val="00733967"/>
    <w:rsid w:val="00734589"/>
    <w:rsid w:val="00734E2E"/>
    <w:rsid w:val="00735637"/>
    <w:rsid w:val="00735FDA"/>
    <w:rsid w:val="00736009"/>
    <w:rsid w:val="00736BCE"/>
    <w:rsid w:val="00737077"/>
    <w:rsid w:val="0073750C"/>
    <w:rsid w:val="00737A1D"/>
    <w:rsid w:val="00737A7B"/>
    <w:rsid w:val="0074017B"/>
    <w:rsid w:val="007407F7"/>
    <w:rsid w:val="00741413"/>
    <w:rsid w:val="0074156E"/>
    <w:rsid w:val="007417A8"/>
    <w:rsid w:val="00741806"/>
    <w:rsid w:val="00743638"/>
    <w:rsid w:val="007436AD"/>
    <w:rsid w:val="00743BB1"/>
    <w:rsid w:val="00743C68"/>
    <w:rsid w:val="00744BF7"/>
    <w:rsid w:val="007471A1"/>
    <w:rsid w:val="007476E3"/>
    <w:rsid w:val="00747BAC"/>
    <w:rsid w:val="007517C0"/>
    <w:rsid w:val="007520A2"/>
    <w:rsid w:val="00752730"/>
    <w:rsid w:val="00752EC8"/>
    <w:rsid w:val="00753501"/>
    <w:rsid w:val="007536F7"/>
    <w:rsid w:val="007549B3"/>
    <w:rsid w:val="00754EEF"/>
    <w:rsid w:val="007558B1"/>
    <w:rsid w:val="007558B3"/>
    <w:rsid w:val="00756626"/>
    <w:rsid w:val="007571E9"/>
    <w:rsid w:val="00757A9D"/>
    <w:rsid w:val="00757B90"/>
    <w:rsid w:val="00757CE0"/>
    <w:rsid w:val="0076184C"/>
    <w:rsid w:val="0076251E"/>
    <w:rsid w:val="0076264A"/>
    <w:rsid w:val="0076290E"/>
    <w:rsid w:val="00762F09"/>
    <w:rsid w:val="0076355B"/>
    <w:rsid w:val="00763B24"/>
    <w:rsid w:val="0076695B"/>
    <w:rsid w:val="0077023E"/>
    <w:rsid w:val="00770CC5"/>
    <w:rsid w:val="0077179B"/>
    <w:rsid w:val="00771CAF"/>
    <w:rsid w:val="0077220C"/>
    <w:rsid w:val="00773454"/>
    <w:rsid w:val="00776E65"/>
    <w:rsid w:val="007770EA"/>
    <w:rsid w:val="00777383"/>
    <w:rsid w:val="00777DF8"/>
    <w:rsid w:val="0078026F"/>
    <w:rsid w:val="00781808"/>
    <w:rsid w:val="00781BA8"/>
    <w:rsid w:val="00782050"/>
    <w:rsid w:val="007820CF"/>
    <w:rsid w:val="00782132"/>
    <w:rsid w:val="0078285E"/>
    <w:rsid w:val="00782967"/>
    <w:rsid w:val="00782F2B"/>
    <w:rsid w:val="007832A1"/>
    <w:rsid w:val="00783893"/>
    <w:rsid w:val="007851F9"/>
    <w:rsid w:val="00785399"/>
    <w:rsid w:val="00793029"/>
    <w:rsid w:val="007933CD"/>
    <w:rsid w:val="0079605F"/>
    <w:rsid w:val="00796450"/>
    <w:rsid w:val="007964E3"/>
    <w:rsid w:val="007964E7"/>
    <w:rsid w:val="007968E6"/>
    <w:rsid w:val="00797165"/>
    <w:rsid w:val="007A0291"/>
    <w:rsid w:val="007A04BE"/>
    <w:rsid w:val="007A13A3"/>
    <w:rsid w:val="007A1854"/>
    <w:rsid w:val="007A1992"/>
    <w:rsid w:val="007A268C"/>
    <w:rsid w:val="007A2E65"/>
    <w:rsid w:val="007A31DB"/>
    <w:rsid w:val="007A3370"/>
    <w:rsid w:val="007A3CFA"/>
    <w:rsid w:val="007A45CD"/>
    <w:rsid w:val="007A6766"/>
    <w:rsid w:val="007B0AAB"/>
    <w:rsid w:val="007B216A"/>
    <w:rsid w:val="007B27AF"/>
    <w:rsid w:val="007B369E"/>
    <w:rsid w:val="007B6275"/>
    <w:rsid w:val="007B6529"/>
    <w:rsid w:val="007B77EE"/>
    <w:rsid w:val="007B7D7B"/>
    <w:rsid w:val="007C0093"/>
    <w:rsid w:val="007C07E5"/>
    <w:rsid w:val="007C08BD"/>
    <w:rsid w:val="007C108C"/>
    <w:rsid w:val="007C15BB"/>
    <w:rsid w:val="007C1970"/>
    <w:rsid w:val="007C1B63"/>
    <w:rsid w:val="007C1F33"/>
    <w:rsid w:val="007C312B"/>
    <w:rsid w:val="007C3EE5"/>
    <w:rsid w:val="007C5C30"/>
    <w:rsid w:val="007C5DA6"/>
    <w:rsid w:val="007C5EAE"/>
    <w:rsid w:val="007C6ACF"/>
    <w:rsid w:val="007C7BA2"/>
    <w:rsid w:val="007C7CD7"/>
    <w:rsid w:val="007D032B"/>
    <w:rsid w:val="007D0B4D"/>
    <w:rsid w:val="007D0DBD"/>
    <w:rsid w:val="007D11BE"/>
    <w:rsid w:val="007D131E"/>
    <w:rsid w:val="007D16B2"/>
    <w:rsid w:val="007D1970"/>
    <w:rsid w:val="007D1B07"/>
    <w:rsid w:val="007D1CF0"/>
    <w:rsid w:val="007D1E83"/>
    <w:rsid w:val="007D1F12"/>
    <w:rsid w:val="007D2363"/>
    <w:rsid w:val="007D23DE"/>
    <w:rsid w:val="007D257A"/>
    <w:rsid w:val="007D2B28"/>
    <w:rsid w:val="007D36E6"/>
    <w:rsid w:val="007D38CE"/>
    <w:rsid w:val="007D5C42"/>
    <w:rsid w:val="007D707B"/>
    <w:rsid w:val="007D716A"/>
    <w:rsid w:val="007D789E"/>
    <w:rsid w:val="007E13A8"/>
    <w:rsid w:val="007E1756"/>
    <w:rsid w:val="007E17B6"/>
    <w:rsid w:val="007E2869"/>
    <w:rsid w:val="007E3947"/>
    <w:rsid w:val="007E492A"/>
    <w:rsid w:val="007E4FF8"/>
    <w:rsid w:val="007E55E3"/>
    <w:rsid w:val="007E6BC2"/>
    <w:rsid w:val="007E6F03"/>
    <w:rsid w:val="007E788B"/>
    <w:rsid w:val="007E7934"/>
    <w:rsid w:val="007E7ECC"/>
    <w:rsid w:val="007F0CF5"/>
    <w:rsid w:val="007F10DE"/>
    <w:rsid w:val="007F148F"/>
    <w:rsid w:val="007F2CCB"/>
    <w:rsid w:val="007F2FE5"/>
    <w:rsid w:val="007F35F3"/>
    <w:rsid w:val="007F3B33"/>
    <w:rsid w:val="007F3E29"/>
    <w:rsid w:val="007F4297"/>
    <w:rsid w:val="007F5E14"/>
    <w:rsid w:val="007F5F08"/>
    <w:rsid w:val="007F62D4"/>
    <w:rsid w:val="007F6BB7"/>
    <w:rsid w:val="007F7107"/>
    <w:rsid w:val="007F7566"/>
    <w:rsid w:val="007F76FB"/>
    <w:rsid w:val="00800078"/>
    <w:rsid w:val="008007C6"/>
    <w:rsid w:val="00800BF3"/>
    <w:rsid w:val="00801477"/>
    <w:rsid w:val="00801667"/>
    <w:rsid w:val="0080172E"/>
    <w:rsid w:val="0080282A"/>
    <w:rsid w:val="00802890"/>
    <w:rsid w:val="00802F86"/>
    <w:rsid w:val="008035A6"/>
    <w:rsid w:val="008058F3"/>
    <w:rsid w:val="00805A78"/>
    <w:rsid w:val="008067C3"/>
    <w:rsid w:val="00807D70"/>
    <w:rsid w:val="00807FC2"/>
    <w:rsid w:val="0081071F"/>
    <w:rsid w:val="00810E69"/>
    <w:rsid w:val="00810F4B"/>
    <w:rsid w:val="00811B6D"/>
    <w:rsid w:val="00812397"/>
    <w:rsid w:val="008131D3"/>
    <w:rsid w:val="00814C7C"/>
    <w:rsid w:val="00816225"/>
    <w:rsid w:val="008163D7"/>
    <w:rsid w:val="008164BF"/>
    <w:rsid w:val="008169E8"/>
    <w:rsid w:val="00817177"/>
    <w:rsid w:val="00817351"/>
    <w:rsid w:val="00817905"/>
    <w:rsid w:val="00820765"/>
    <w:rsid w:val="008217A6"/>
    <w:rsid w:val="008220AC"/>
    <w:rsid w:val="00822570"/>
    <w:rsid w:val="008234B1"/>
    <w:rsid w:val="008250B2"/>
    <w:rsid w:val="0082589C"/>
    <w:rsid w:val="00825AC3"/>
    <w:rsid w:val="00826173"/>
    <w:rsid w:val="00827317"/>
    <w:rsid w:val="0083105A"/>
    <w:rsid w:val="008317C6"/>
    <w:rsid w:val="0083181C"/>
    <w:rsid w:val="00832266"/>
    <w:rsid w:val="00832C78"/>
    <w:rsid w:val="008347B2"/>
    <w:rsid w:val="0083500D"/>
    <w:rsid w:val="008358C2"/>
    <w:rsid w:val="008361FE"/>
    <w:rsid w:val="00837E5F"/>
    <w:rsid w:val="0084083D"/>
    <w:rsid w:val="008408FC"/>
    <w:rsid w:val="00840EDE"/>
    <w:rsid w:val="00841262"/>
    <w:rsid w:val="0084190F"/>
    <w:rsid w:val="00841A25"/>
    <w:rsid w:val="0084400C"/>
    <w:rsid w:val="0084431A"/>
    <w:rsid w:val="00844B4E"/>
    <w:rsid w:val="008455E0"/>
    <w:rsid w:val="00845ED0"/>
    <w:rsid w:val="008466AB"/>
    <w:rsid w:val="00846835"/>
    <w:rsid w:val="00846BCC"/>
    <w:rsid w:val="00846C07"/>
    <w:rsid w:val="0084770B"/>
    <w:rsid w:val="008477A0"/>
    <w:rsid w:val="008507A6"/>
    <w:rsid w:val="0085176C"/>
    <w:rsid w:val="00851D77"/>
    <w:rsid w:val="00851DB5"/>
    <w:rsid w:val="00851E37"/>
    <w:rsid w:val="00852BA2"/>
    <w:rsid w:val="00852FED"/>
    <w:rsid w:val="00853925"/>
    <w:rsid w:val="00853C97"/>
    <w:rsid w:val="00855C1F"/>
    <w:rsid w:val="008568B8"/>
    <w:rsid w:val="00856FD3"/>
    <w:rsid w:val="008572BA"/>
    <w:rsid w:val="00857633"/>
    <w:rsid w:val="00857634"/>
    <w:rsid w:val="008604A2"/>
    <w:rsid w:val="0086066A"/>
    <w:rsid w:val="00860B83"/>
    <w:rsid w:val="008610D4"/>
    <w:rsid w:val="00862904"/>
    <w:rsid w:val="0086422C"/>
    <w:rsid w:val="008644D2"/>
    <w:rsid w:val="00864E28"/>
    <w:rsid w:val="0086610A"/>
    <w:rsid w:val="0086618C"/>
    <w:rsid w:val="00866724"/>
    <w:rsid w:val="008669EE"/>
    <w:rsid w:val="00866F51"/>
    <w:rsid w:val="00866FE2"/>
    <w:rsid w:val="008674E3"/>
    <w:rsid w:val="00873173"/>
    <w:rsid w:val="008742BE"/>
    <w:rsid w:val="008749BC"/>
    <w:rsid w:val="00874C18"/>
    <w:rsid w:val="00875522"/>
    <w:rsid w:val="008755D8"/>
    <w:rsid w:val="008761BB"/>
    <w:rsid w:val="008765D0"/>
    <w:rsid w:val="00876686"/>
    <w:rsid w:val="00876777"/>
    <w:rsid w:val="00876E2A"/>
    <w:rsid w:val="00877055"/>
    <w:rsid w:val="00877B74"/>
    <w:rsid w:val="0088036D"/>
    <w:rsid w:val="00880604"/>
    <w:rsid w:val="00882A3B"/>
    <w:rsid w:val="00882D1B"/>
    <w:rsid w:val="00883554"/>
    <w:rsid w:val="0088381D"/>
    <w:rsid w:val="008838FC"/>
    <w:rsid w:val="00883A15"/>
    <w:rsid w:val="00883C0E"/>
    <w:rsid w:val="00883D7F"/>
    <w:rsid w:val="00884A1C"/>
    <w:rsid w:val="00884EE0"/>
    <w:rsid w:val="00885252"/>
    <w:rsid w:val="00887D7B"/>
    <w:rsid w:val="0089020C"/>
    <w:rsid w:val="008925AB"/>
    <w:rsid w:val="00892EE4"/>
    <w:rsid w:val="00893280"/>
    <w:rsid w:val="00894327"/>
    <w:rsid w:val="008943CA"/>
    <w:rsid w:val="00895690"/>
    <w:rsid w:val="008959FE"/>
    <w:rsid w:val="00896586"/>
    <w:rsid w:val="00897937"/>
    <w:rsid w:val="008A034E"/>
    <w:rsid w:val="008A3234"/>
    <w:rsid w:val="008A356F"/>
    <w:rsid w:val="008A36E6"/>
    <w:rsid w:val="008A384B"/>
    <w:rsid w:val="008A48A2"/>
    <w:rsid w:val="008A5670"/>
    <w:rsid w:val="008A6180"/>
    <w:rsid w:val="008A62BA"/>
    <w:rsid w:val="008A6913"/>
    <w:rsid w:val="008A724A"/>
    <w:rsid w:val="008A7DDF"/>
    <w:rsid w:val="008A7DE1"/>
    <w:rsid w:val="008B2AF2"/>
    <w:rsid w:val="008B33DD"/>
    <w:rsid w:val="008B353F"/>
    <w:rsid w:val="008B45CF"/>
    <w:rsid w:val="008B478B"/>
    <w:rsid w:val="008B4895"/>
    <w:rsid w:val="008B69EF"/>
    <w:rsid w:val="008B78B1"/>
    <w:rsid w:val="008B7BAC"/>
    <w:rsid w:val="008C04A5"/>
    <w:rsid w:val="008C0588"/>
    <w:rsid w:val="008C16F1"/>
    <w:rsid w:val="008C19B9"/>
    <w:rsid w:val="008C1B88"/>
    <w:rsid w:val="008C3556"/>
    <w:rsid w:val="008C3D1B"/>
    <w:rsid w:val="008C403E"/>
    <w:rsid w:val="008C484D"/>
    <w:rsid w:val="008C522F"/>
    <w:rsid w:val="008C57AE"/>
    <w:rsid w:val="008C6430"/>
    <w:rsid w:val="008C6977"/>
    <w:rsid w:val="008C76E7"/>
    <w:rsid w:val="008C79D1"/>
    <w:rsid w:val="008D03EA"/>
    <w:rsid w:val="008D14DA"/>
    <w:rsid w:val="008D1BDD"/>
    <w:rsid w:val="008D1FC6"/>
    <w:rsid w:val="008D34E7"/>
    <w:rsid w:val="008D407D"/>
    <w:rsid w:val="008D460D"/>
    <w:rsid w:val="008D4770"/>
    <w:rsid w:val="008D47DB"/>
    <w:rsid w:val="008D4F98"/>
    <w:rsid w:val="008D5298"/>
    <w:rsid w:val="008D532E"/>
    <w:rsid w:val="008D6D53"/>
    <w:rsid w:val="008D6D75"/>
    <w:rsid w:val="008D6DF4"/>
    <w:rsid w:val="008E0B3A"/>
    <w:rsid w:val="008E0D06"/>
    <w:rsid w:val="008E1A5E"/>
    <w:rsid w:val="008E1F02"/>
    <w:rsid w:val="008E1F23"/>
    <w:rsid w:val="008E226A"/>
    <w:rsid w:val="008E2715"/>
    <w:rsid w:val="008E2C4A"/>
    <w:rsid w:val="008E36B9"/>
    <w:rsid w:val="008E4714"/>
    <w:rsid w:val="008E488C"/>
    <w:rsid w:val="008E4B28"/>
    <w:rsid w:val="008E4FF3"/>
    <w:rsid w:val="008E5FB3"/>
    <w:rsid w:val="008E6E0D"/>
    <w:rsid w:val="008E74C8"/>
    <w:rsid w:val="008E75C6"/>
    <w:rsid w:val="008E7C2B"/>
    <w:rsid w:val="008F0BBE"/>
    <w:rsid w:val="008F2A8E"/>
    <w:rsid w:val="008F37AE"/>
    <w:rsid w:val="008F41A8"/>
    <w:rsid w:val="008F4D0C"/>
    <w:rsid w:val="008F5C32"/>
    <w:rsid w:val="008F5FE2"/>
    <w:rsid w:val="008F6270"/>
    <w:rsid w:val="008F62A1"/>
    <w:rsid w:val="008F6553"/>
    <w:rsid w:val="008F65A2"/>
    <w:rsid w:val="008F6C08"/>
    <w:rsid w:val="009005D2"/>
    <w:rsid w:val="00900F73"/>
    <w:rsid w:val="00900FD4"/>
    <w:rsid w:val="0090111C"/>
    <w:rsid w:val="0090139A"/>
    <w:rsid w:val="009018C1"/>
    <w:rsid w:val="009020D1"/>
    <w:rsid w:val="00902EF0"/>
    <w:rsid w:val="00904211"/>
    <w:rsid w:val="00904A3F"/>
    <w:rsid w:val="009052C0"/>
    <w:rsid w:val="00905431"/>
    <w:rsid w:val="00906F4C"/>
    <w:rsid w:val="009072A3"/>
    <w:rsid w:val="009074DF"/>
    <w:rsid w:val="00910142"/>
    <w:rsid w:val="00910E42"/>
    <w:rsid w:val="0091139C"/>
    <w:rsid w:val="009114EB"/>
    <w:rsid w:val="009115AD"/>
    <w:rsid w:val="009117D0"/>
    <w:rsid w:val="00911CB0"/>
    <w:rsid w:val="00911E32"/>
    <w:rsid w:val="00911F7B"/>
    <w:rsid w:val="00911F83"/>
    <w:rsid w:val="00912671"/>
    <w:rsid w:val="00913367"/>
    <w:rsid w:val="00913761"/>
    <w:rsid w:val="00913F1E"/>
    <w:rsid w:val="0091470E"/>
    <w:rsid w:val="00917902"/>
    <w:rsid w:val="009207A3"/>
    <w:rsid w:val="00920EF3"/>
    <w:rsid w:val="0092123B"/>
    <w:rsid w:val="00921675"/>
    <w:rsid w:val="00921931"/>
    <w:rsid w:val="00921C85"/>
    <w:rsid w:val="00922E39"/>
    <w:rsid w:val="00924855"/>
    <w:rsid w:val="00925A8D"/>
    <w:rsid w:val="00925EE8"/>
    <w:rsid w:val="00926850"/>
    <w:rsid w:val="00927270"/>
    <w:rsid w:val="009274D7"/>
    <w:rsid w:val="0093061C"/>
    <w:rsid w:val="00930CE4"/>
    <w:rsid w:val="00931277"/>
    <w:rsid w:val="00931ECF"/>
    <w:rsid w:val="00932DA5"/>
    <w:rsid w:val="009334FB"/>
    <w:rsid w:val="00934097"/>
    <w:rsid w:val="0093410C"/>
    <w:rsid w:val="00934CAF"/>
    <w:rsid w:val="00935A30"/>
    <w:rsid w:val="00935F8B"/>
    <w:rsid w:val="009377F4"/>
    <w:rsid w:val="00937F45"/>
    <w:rsid w:val="00940F40"/>
    <w:rsid w:val="00941434"/>
    <w:rsid w:val="00941D96"/>
    <w:rsid w:val="009439E1"/>
    <w:rsid w:val="00943F1F"/>
    <w:rsid w:val="009448EC"/>
    <w:rsid w:val="009451CD"/>
    <w:rsid w:val="0094618A"/>
    <w:rsid w:val="009475FF"/>
    <w:rsid w:val="00950898"/>
    <w:rsid w:val="0095090D"/>
    <w:rsid w:val="00950A2D"/>
    <w:rsid w:val="00950D3F"/>
    <w:rsid w:val="009516DC"/>
    <w:rsid w:val="0095199D"/>
    <w:rsid w:val="009526F6"/>
    <w:rsid w:val="0095403E"/>
    <w:rsid w:val="00954329"/>
    <w:rsid w:val="00954AFD"/>
    <w:rsid w:val="0095642C"/>
    <w:rsid w:val="00957609"/>
    <w:rsid w:val="00957BA6"/>
    <w:rsid w:val="00960B0E"/>
    <w:rsid w:val="009614CF"/>
    <w:rsid w:val="009615F4"/>
    <w:rsid w:val="00961F4B"/>
    <w:rsid w:val="009624C4"/>
    <w:rsid w:val="0096413F"/>
    <w:rsid w:val="00964AB0"/>
    <w:rsid w:val="00966091"/>
    <w:rsid w:val="00966207"/>
    <w:rsid w:val="00966C3B"/>
    <w:rsid w:val="0096723A"/>
    <w:rsid w:val="0096753E"/>
    <w:rsid w:val="00967564"/>
    <w:rsid w:val="00970EA9"/>
    <w:rsid w:val="009710F7"/>
    <w:rsid w:val="00972723"/>
    <w:rsid w:val="00972B13"/>
    <w:rsid w:val="00973FE7"/>
    <w:rsid w:val="00974070"/>
    <w:rsid w:val="00975230"/>
    <w:rsid w:val="00975680"/>
    <w:rsid w:val="0097636E"/>
    <w:rsid w:val="009764F1"/>
    <w:rsid w:val="00977255"/>
    <w:rsid w:val="009774C1"/>
    <w:rsid w:val="00977E0A"/>
    <w:rsid w:val="00980B30"/>
    <w:rsid w:val="00980CAB"/>
    <w:rsid w:val="009816A9"/>
    <w:rsid w:val="0098174D"/>
    <w:rsid w:val="00981995"/>
    <w:rsid w:val="00982AD9"/>
    <w:rsid w:val="009832A9"/>
    <w:rsid w:val="009832CF"/>
    <w:rsid w:val="00983696"/>
    <w:rsid w:val="00983E97"/>
    <w:rsid w:val="00985BD6"/>
    <w:rsid w:val="00986868"/>
    <w:rsid w:val="009912E6"/>
    <w:rsid w:val="009914DF"/>
    <w:rsid w:val="00992077"/>
    <w:rsid w:val="009923E1"/>
    <w:rsid w:val="0099269B"/>
    <w:rsid w:val="00992AE0"/>
    <w:rsid w:val="009936B6"/>
    <w:rsid w:val="0099400A"/>
    <w:rsid w:val="00994147"/>
    <w:rsid w:val="0099419F"/>
    <w:rsid w:val="009946CD"/>
    <w:rsid w:val="009946E5"/>
    <w:rsid w:val="00995124"/>
    <w:rsid w:val="00995860"/>
    <w:rsid w:val="00996B68"/>
    <w:rsid w:val="00997627"/>
    <w:rsid w:val="00997FD9"/>
    <w:rsid w:val="009A01C5"/>
    <w:rsid w:val="009A05E1"/>
    <w:rsid w:val="009A09A9"/>
    <w:rsid w:val="009A0CB7"/>
    <w:rsid w:val="009A0F2B"/>
    <w:rsid w:val="009A1FF5"/>
    <w:rsid w:val="009A20DA"/>
    <w:rsid w:val="009A2422"/>
    <w:rsid w:val="009A3269"/>
    <w:rsid w:val="009A37F5"/>
    <w:rsid w:val="009A57DB"/>
    <w:rsid w:val="009A5986"/>
    <w:rsid w:val="009A6FC7"/>
    <w:rsid w:val="009A720B"/>
    <w:rsid w:val="009A7F32"/>
    <w:rsid w:val="009B01BD"/>
    <w:rsid w:val="009B1D28"/>
    <w:rsid w:val="009B1F22"/>
    <w:rsid w:val="009B2E47"/>
    <w:rsid w:val="009B53FE"/>
    <w:rsid w:val="009B576E"/>
    <w:rsid w:val="009B64BB"/>
    <w:rsid w:val="009B65CC"/>
    <w:rsid w:val="009B72B3"/>
    <w:rsid w:val="009B72D0"/>
    <w:rsid w:val="009B750F"/>
    <w:rsid w:val="009B7AC9"/>
    <w:rsid w:val="009B7C7A"/>
    <w:rsid w:val="009C048B"/>
    <w:rsid w:val="009C07D4"/>
    <w:rsid w:val="009C0BEB"/>
    <w:rsid w:val="009C0E22"/>
    <w:rsid w:val="009C2802"/>
    <w:rsid w:val="009C34DA"/>
    <w:rsid w:val="009C368B"/>
    <w:rsid w:val="009C456E"/>
    <w:rsid w:val="009C65D5"/>
    <w:rsid w:val="009C789F"/>
    <w:rsid w:val="009C7CED"/>
    <w:rsid w:val="009C7E7A"/>
    <w:rsid w:val="009D02B0"/>
    <w:rsid w:val="009D0EB2"/>
    <w:rsid w:val="009D107D"/>
    <w:rsid w:val="009D394E"/>
    <w:rsid w:val="009D4EC5"/>
    <w:rsid w:val="009D543B"/>
    <w:rsid w:val="009D54F5"/>
    <w:rsid w:val="009D5693"/>
    <w:rsid w:val="009D657A"/>
    <w:rsid w:val="009E0331"/>
    <w:rsid w:val="009E1821"/>
    <w:rsid w:val="009E2565"/>
    <w:rsid w:val="009E2D35"/>
    <w:rsid w:val="009E34D0"/>
    <w:rsid w:val="009E4A82"/>
    <w:rsid w:val="009E6279"/>
    <w:rsid w:val="009E6642"/>
    <w:rsid w:val="009E669F"/>
    <w:rsid w:val="009E6717"/>
    <w:rsid w:val="009F05EB"/>
    <w:rsid w:val="009F09ED"/>
    <w:rsid w:val="009F13D8"/>
    <w:rsid w:val="009F168E"/>
    <w:rsid w:val="009F4D30"/>
    <w:rsid w:val="009F65E7"/>
    <w:rsid w:val="009F6B7D"/>
    <w:rsid w:val="009F72D8"/>
    <w:rsid w:val="009F75F8"/>
    <w:rsid w:val="009F7C8E"/>
    <w:rsid w:val="00A004D9"/>
    <w:rsid w:val="00A01216"/>
    <w:rsid w:val="00A03CB5"/>
    <w:rsid w:val="00A03FB6"/>
    <w:rsid w:val="00A04C09"/>
    <w:rsid w:val="00A04C74"/>
    <w:rsid w:val="00A04CA2"/>
    <w:rsid w:val="00A065A5"/>
    <w:rsid w:val="00A06735"/>
    <w:rsid w:val="00A06FDD"/>
    <w:rsid w:val="00A07F71"/>
    <w:rsid w:val="00A122F4"/>
    <w:rsid w:val="00A12508"/>
    <w:rsid w:val="00A12580"/>
    <w:rsid w:val="00A147F1"/>
    <w:rsid w:val="00A14CAD"/>
    <w:rsid w:val="00A1521E"/>
    <w:rsid w:val="00A15626"/>
    <w:rsid w:val="00A160A2"/>
    <w:rsid w:val="00A164D2"/>
    <w:rsid w:val="00A16612"/>
    <w:rsid w:val="00A16EA5"/>
    <w:rsid w:val="00A17BC5"/>
    <w:rsid w:val="00A200D5"/>
    <w:rsid w:val="00A205F7"/>
    <w:rsid w:val="00A20DEE"/>
    <w:rsid w:val="00A22C11"/>
    <w:rsid w:val="00A2316B"/>
    <w:rsid w:val="00A232EA"/>
    <w:rsid w:val="00A23461"/>
    <w:rsid w:val="00A23CF4"/>
    <w:rsid w:val="00A23E4B"/>
    <w:rsid w:val="00A24E08"/>
    <w:rsid w:val="00A255B5"/>
    <w:rsid w:val="00A25C56"/>
    <w:rsid w:val="00A25E4C"/>
    <w:rsid w:val="00A25E9C"/>
    <w:rsid w:val="00A2601A"/>
    <w:rsid w:val="00A27641"/>
    <w:rsid w:val="00A305F3"/>
    <w:rsid w:val="00A30FE0"/>
    <w:rsid w:val="00A31205"/>
    <w:rsid w:val="00A31AF1"/>
    <w:rsid w:val="00A31BBE"/>
    <w:rsid w:val="00A32E47"/>
    <w:rsid w:val="00A334B0"/>
    <w:rsid w:val="00A3390D"/>
    <w:rsid w:val="00A35316"/>
    <w:rsid w:val="00A35496"/>
    <w:rsid w:val="00A361E9"/>
    <w:rsid w:val="00A36223"/>
    <w:rsid w:val="00A36C29"/>
    <w:rsid w:val="00A403D3"/>
    <w:rsid w:val="00A409E1"/>
    <w:rsid w:val="00A40AAE"/>
    <w:rsid w:val="00A40CBC"/>
    <w:rsid w:val="00A40F7A"/>
    <w:rsid w:val="00A41C9D"/>
    <w:rsid w:val="00A41DB6"/>
    <w:rsid w:val="00A4264F"/>
    <w:rsid w:val="00A42D64"/>
    <w:rsid w:val="00A439D2"/>
    <w:rsid w:val="00A44F48"/>
    <w:rsid w:val="00A45AA7"/>
    <w:rsid w:val="00A4629F"/>
    <w:rsid w:val="00A462EF"/>
    <w:rsid w:val="00A468C0"/>
    <w:rsid w:val="00A46BA5"/>
    <w:rsid w:val="00A473EA"/>
    <w:rsid w:val="00A51247"/>
    <w:rsid w:val="00A51685"/>
    <w:rsid w:val="00A51FD8"/>
    <w:rsid w:val="00A52CA2"/>
    <w:rsid w:val="00A543C0"/>
    <w:rsid w:val="00A55DC8"/>
    <w:rsid w:val="00A55E34"/>
    <w:rsid w:val="00A561CF"/>
    <w:rsid w:val="00A56221"/>
    <w:rsid w:val="00A57586"/>
    <w:rsid w:val="00A57720"/>
    <w:rsid w:val="00A60832"/>
    <w:rsid w:val="00A6100F"/>
    <w:rsid w:val="00A61631"/>
    <w:rsid w:val="00A62619"/>
    <w:rsid w:val="00A63E44"/>
    <w:rsid w:val="00A643D9"/>
    <w:rsid w:val="00A651C4"/>
    <w:rsid w:val="00A6566D"/>
    <w:rsid w:val="00A668C7"/>
    <w:rsid w:val="00A672D4"/>
    <w:rsid w:val="00A705F8"/>
    <w:rsid w:val="00A70CFF"/>
    <w:rsid w:val="00A70F30"/>
    <w:rsid w:val="00A71A16"/>
    <w:rsid w:val="00A7205E"/>
    <w:rsid w:val="00A72590"/>
    <w:rsid w:val="00A72602"/>
    <w:rsid w:val="00A733A1"/>
    <w:rsid w:val="00A74127"/>
    <w:rsid w:val="00A742F6"/>
    <w:rsid w:val="00A7537F"/>
    <w:rsid w:val="00A75882"/>
    <w:rsid w:val="00A76BDB"/>
    <w:rsid w:val="00A76F1E"/>
    <w:rsid w:val="00A77FC4"/>
    <w:rsid w:val="00A8128B"/>
    <w:rsid w:val="00A8150B"/>
    <w:rsid w:val="00A81CC3"/>
    <w:rsid w:val="00A81D77"/>
    <w:rsid w:val="00A81EC6"/>
    <w:rsid w:val="00A82379"/>
    <w:rsid w:val="00A82AE1"/>
    <w:rsid w:val="00A83285"/>
    <w:rsid w:val="00A8351F"/>
    <w:rsid w:val="00A84656"/>
    <w:rsid w:val="00A84702"/>
    <w:rsid w:val="00A850F3"/>
    <w:rsid w:val="00A85347"/>
    <w:rsid w:val="00A86D4E"/>
    <w:rsid w:val="00A87848"/>
    <w:rsid w:val="00A87A1E"/>
    <w:rsid w:val="00A912C4"/>
    <w:rsid w:val="00A91B7A"/>
    <w:rsid w:val="00A9432D"/>
    <w:rsid w:val="00A944E7"/>
    <w:rsid w:val="00A94B73"/>
    <w:rsid w:val="00A951B5"/>
    <w:rsid w:val="00A9522F"/>
    <w:rsid w:val="00A95AC3"/>
    <w:rsid w:val="00A96836"/>
    <w:rsid w:val="00A96A41"/>
    <w:rsid w:val="00A96D73"/>
    <w:rsid w:val="00A96FF1"/>
    <w:rsid w:val="00A9717C"/>
    <w:rsid w:val="00A97479"/>
    <w:rsid w:val="00AA1505"/>
    <w:rsid w:val="00AA255B"/>
    <w:rsid w:val="00AA2CE5"/>
    <w:rsid w:val="00AA2FBE"/>
    <w:rsid w:val="00AA31ED"/>
    <w:rsid w:val="00AA3661"/>
    <w:rsid w:val="00AA371E"/>
    <w:rsid w:val="00AA3A71"/>
    <w:rsid w:val="00AA4530"/>
    <w:rsid w:val="00AA5A52"/>
    <w:rsid w:val="00AA5C13"/>
    <w:rsid w:val="00AA654C"/>
    <w:rsid w:val="00AA7307"/>
    <w:rsid w:val="00AA7370"/>
    <w:rsid w:val="00AA766F"/>
    <w:rsid w:val="00AB047B"/>
    <w:rsid w:val="00AB0CB4"/>
    <w:rsid w:val="00AB0D37"/>
    <w:rsid w:val="00AB21EA"/>
    <w:rsid w:val="00AB3BBC"/>
    <w:rsid w:val="00AB3BD5"/>
    <w:rsid w:val="00AB40D2"/>
    <w:rsid w:val="00AB4CA1"/>
    <w:rsid w:val="00AB55E2"/>
    <w:rsid w:val="00AB5BAC"/>
    <w:rsid w:val="00AB6EAC"/>
    <w:rsid w:val="00AB7CEC"/>
    <w:rsid w:val="00AB7D4D"/>
    <w:rsid w:val="00AC1277"/>
    <w:rsid w:val="00AC3575"/>
    <w:rsid w:val="00AC3ECD"/>
    <w:rsid w:val="00AC41BD"/>
    <w:rsid w:val="00AC41FA"/>
    <w:rsid w:val="00AC4B2C"/>
    <w:rsid w:val="00AC52C7"/>
    <w:rsid w:val="00AC6642"/>
    <w:rsid w:val="00AC6C51"/>
    <w:rsid w:val="00AC755D"/>
    <w:rsid w:val="00AD07F5"/>
    <w:rsid w:val="00AD0C87"/>
    <w:rsid w:val="00AD157A"/>
    <w:rsid w:val="00AD189A"/>
    <w:rsid w:val="00AD19BF"/>
    <w:rsid w:val="00AD200A"/>
    <w:rsid w:val="00AD2D42"/>
    <w:rsid w:val="00AD2E98"/>
    <w:rsid w:val="00AD3617"/>
    <w:rsid w:val="00AD3B5E"/>
    <w:rsid w:val="00AD3D01"/>
    <w:rsid w:val="00AD488E"/>
    <w:rsid w:val="00AD4AA9"/>
    <w:rsid w:val="00AD588E"/>
    <w:rsid w:val="00AD634B"/>
    <w:rsid w:val="00AD63CC"/>
    <w:rsid w:val="00AD7BD5"/>
    <w:rsid w:val="00AD7E76"/>
    <w:rsid w:val="00AE0252"/>
    <w:rsid w:val="00AE13EE"/>
    <w:rsid w:val="00AE207C"/>
    <w:rsid w:val="00AE20B9"/>
    <w:rsid w:val="00AE32BE"/>
    <w:rsid w:val="00AE3939"/>
    <w:rsid w:val="00AE7612"/>
    <w:rsid w:val="00AF0320"/>
    <w:rsid w:val="00AF0442"/>
    <w:rsid w:val="00AF0886"/>
    <w:rsid w:val="00AF0934"/>
    <w:rsid w:val="00AF1E31"/>
    <w:rsid w:val="00AF4D13"/>
    <w:rsid w:val="00AF640E"/>
    <w:rsid w:val="00AF6913"/>
    <w:rsid w:val="00AF69E8"/>
    <w:rsid w:val="00B000C6"/>
    <w:rsid w:val="00B009CD"/>
    <w:rsid w:val="00B0291B"/>
    <w:rsid w:val="00B037B0"/>
    <w:rsid w:val="00B03CF3"/>
    <w:rsid w:val="00B0469D"/>
    <w:rsid w:val="00B04C3D"/>
    <w:rsid w:val="00B0606D"/>
    <w:rsid w:val="00B0686A"/>
    <w:rsid w:val="00B07A73"/>
    <w:rsid w:val="00B10027"/>
    <w:rsid w:val="00B103C0"/>
    <w:rsid w:val="00B10BC9"/>
    <w:rsid w:val="00B10E70"/>
    <w:rsid w:val="00B12686"/>
    <w:rsid w:val="00B12E91"/>
    <w:rsid w:val="00B135E5"/>
    <w:rsid w:val="00B14CB1"/>
    <w:rsid w:val="00B178ED"/>
    <w:rsid w:val="00B207A5"/>
    <w:rsid w:val="00B2143A"/>
    <w:rsid w:val="00B21E40"/>
    <w:rsid w:val="00B22047"/>
    <w:rsid w:val="00B22770"/>
    <w:rsid w:val="00B228DE"/>
    <w:rsid w:val="00B23534"/>
    <w:rsid w:val="00B235C9"/>
    <w:rsid w:val="00B2468A"/>
    <w:rsid w:val="00B24AC1"/>
    <w:rsid w:val="00B2516C"/>
    <w:rsid w:val="00B2564D"/>
    <w:rsid w:val="00B25D7F"/>
    <w:rsid w:val="00B25DCA"/>
    <w:rsid w:val="00B2676A"/>
    <w:rsid w:val="00B30A43"/>
    <w:rsid w:val="00B310F4"/>
    <w:rsid w:val="00B32542"/>
    <w:rsid w:val="00B330C6"/>
    <w:rsid w:val="00B332DE"/>
    <w:rsid w:val="00B333C5"/>
    <w:rsid w:val="00B33B18"/>
    <w:rsid w:val="00B33E65"/>
    <w:rsid w:val="00B352CD"/>
    <w:rsid w:val="00B35A60"/>
    <w:rsid w:val="00B35D21"/>
    <w:rsid w:val="00B3720E"/>
    <w:rsid w:val="00B3787D"/>
    <w:rsid w:val="00B40090"/>
    <w:rsid w:val="00B41B6F"/>
    <w:rsid w:val="00B41DDB"/>
    <w:rsid w:val="00B42BBA"/>
    <w:rsid w:val="00B436FE"/>
    <w:rsid w:val="00B43EDE"/>
    <w:rsid w:val="00B44116"/>
    <w:rsid w:val="00B44DEE"/>
    <w:rsid w:val="00B44ECD"/>
    <w:rsid w:val="00B46BD0"/>
    <w:rsid w:val="00B46FE3"/>
    <w:rsid w:val="00B47DEF"/>
    <w:rsid w:val="00B50AEB"/>
    <w:rsid w:val="00B52FD5"/>
    <w:rsid w:val="00B55718"/>
    <w:rsid w:val="00B55B82"/>
    <w:rsid w:val="00B56BBE"/>
    <w:rsid w:val="00B60111"/>
    <w:rsid w:val="00B6228A"/>
    <w:rsid w:val="00B63C9C"/>
    <w:rsid w:val="00B64198"/>
    <w:rsid w:val="00B643DF"/>
    <w:rsid w:val="00B64AB4"/>
    <w:rsid w:val="00B65C87"/>
    <w:rsid w:val="00B6600C"/>
    <w:rsid w:val="00B66914"/>
    <w:rsid w:val="00B67F4F"/>
    <w:rsid w:val="00B70C7D"/>
    <w:rsid w:val="00B70E43"/>
    <w:rsid w:val="00B71076"/>
    <w:rsid w:val="00B711D3"/>
    <w:rsid w:val="00B714F1"/>
    <w:rsid w:val="00B71CC0"/>
    <w:rsid w:val="00B72C28"/>
    <w:rsid w:val="00B734B4"/>
    <w:rsid w:val="00B73B05"/>
    <w:rsid w:val="00B740EE"/>
    <w:rsid w:val="00B742E4"/>
    <w:rsid w:val="00B74564"/>
    <w:rsid w:val="00B74B73"/>
    <w:rsid w:val="00B755F3"/>
    <w:rsid w:val="00B75720"/>
    <w:rsid w:val="00B80350"/>
    <w:rsid w:val="00B8066A"/>
    <w:rsid w:val="00B80AE8"/>
    <w:rsid w:val="00B810E2"/>
    <w:rsid w:val="00B815FA"/>
    <w:rsid w:val="00B81705"/>
    <w:rsid w:val="00B81832"/>
    <w:rsid w:val="00B83060"/>
    <w:rsid w:val="00B83F43"/>
    <w:rsid w:val="00B8402C"/>
    <w:rsid w:val="00B841E7"/>
    <w:rsid w:val="00B84662"/>
    <w:rsid w:val="00B84E05"/>
    <w:rsid w:val="00B85561"/>
    <w:rsid w:val="00B8561E"/>
    <w:rsid w:val="00B8613B"/>
    <w:rsid w:val="00B86280"/>
    <w:rsid w:val="00B863D3"/>
    <w:rsid w:val="00B87366"/>
    <w:rsid w:val="00B902A9"/>
    <w:rsid w:val="00B910D1"/>
    <w:rsid w:val="00B91355"/>
    <w:rsid w:val="00B925A7"/>
    <w:rsid w:val="00B92D07"/>
    <w:rsid w:val="00B93600"/>
    <w:rsid w:val="00B9444A"/>
    <w:rsid w:val="00B94984"/>
    <w:rsid w:val="00B95678"/>
    <w:rsid w:val="00B959B6"/>
    <w:rsid w:val="00B95A1A"/>
    <w:rsid w:val="00B9704A"/>
    <w:rsid w:val="00BA03F8"/>
    <w:rsid w:val="00BA0919"/>
    <w:rsid w:val="00BA0C51"/>
    <w:rsid w:val="00BA2898"/>
    <w:rsid w:val="00BA4CC6"/>
    <w:rsid w:val="00BA544A"/>
    <w:rsid w:val="00BA5D41"/>
    <w:rsid w:val="00BA6724"/>
    <w:rsid w:val="00BA78D1"/>
    <w:rsid w:val="00BB03A1"/>
    <w:rsid w:val="00BB1DAC"/>
    <w:rsid w:val="00BB1FDC"/>
    <w:rsid w:val="00BB293C"/>
    <w:rsid w:val="00BB3B07"/>
    <w:rsid w:val="00BB4D8F"/>
    <w:rsid w:val="00BB59E6"/>
    <w:rsid w:val="00BB5B8D"/>
    <w:rsid w:val="00BB6364"/>
    <w:rsid w:val="00BB6532"/>
    <w:rsid w:val="00BB65A0"/>
    <w:rsid w:val="00BB7269"/>
    <w:rsid w:val="00BB732F"/>
    <w:rsid w:val="00BB740E"/>
    <w:rsid w:val="00BC091C"/>
    <w:rsid w:val="00BC10FE"/>
    <w:rsid w:val="00BC14EF"/>
    <w:rsid w:val="00BC1CD0"/>
    <w:rsid w:val="00BC24AC"/>
    <w:rsid w:val="00BC2679"/>
    <w:rsid w:val="00BC289C"/>
    <w:rsid w:val="00BC2D92"/>
    <w:rsid w:val="00BC59C3"/>
    <w:rsid w:val="00BC61FF"/>
    <w:rsid w:val="00BC6253"/>
    <w:rsid w:val="00BC67CF"/>
    <w:rsid w:val="00BC728C"/>
    <w:rsid w:val="00BC7933"/>
    <w:rsid w:val="00BC79D6"/>
    <w:rsid w:val="00BD0D63"/>
    <w:rsid w:val="00BD0F5A"/>
    <w:rsid w:val="00BD4520"/>
    <w:rsid w:val="00BD4808"/>
    <w:rsid w:val="00BD49E6"/>
    <w:rsid w:val="00BD4A53"/>
    <w:rsid w:val="00BD5356"/>
    <w:rsid w:val="00BD5D08"/>
    <w:rsid w:val="00BD5F5D"/>
    <w:rsid w:val="00BD6A2D"/>
    <w:rsid w:val="00BD6A51"/>
    <w:rsid w:val="00BD6ED4"/>
    <w:rsid w:val="00BD7066"/>
    <w:rsid w:val="00BD709E"/>
    <w:rsid w:val="00BD70CF"/>
    <w:rsid w:val="00BD7B2A"/>
    <w:rsid w:val="00BD7DB2"/>
    <w:rsid w:val="00BD7FA1"/>
    <w:rsid w:val="00BE00D1"/>
    <w:rsid w:val="00BE01CD"/>
    <w:rsid w:val="00BE09FF"/>
    <w:rsid w:val="00BE0A3A"/>
    <w:rsid w:val="00BE1351"/>
    <w:rsid w:val="00BE1B5B"/>
    <w:rsid w:val="00BE22D9"/>
    <w:rsid w:val="00BE3360"/>
    <w:rsid w:val="00BE4715"/>
    <w:rsid w:val="00BE55B8"/>
    <w:rsid w:val="00BE5E94"/>
    <w:rsid w:val="00BE611C"/>
    <w:rsid w:val="00BE7202"/>
    <w:rsid w:val="00BF00F9"/>
    <w:rsid w:val="00BF0E55"/>
    <w:rsid w:val="00BF1DEB"/>
    <w:rsid w:val="00BF2595"/>
    <w:rsid w:val="00BF3704"/>
    <w:rsid w:val="00BF3F18"/>
    <w:rsid w:val="00BF4C2C"/>
    <w:rsid w:val="00BF4EB8"/>
    <w:rsid w:val="00BF552F"/>
    <w:rsid w:val="00BF62A9"/>
    <w:rsid w:val="00BF6A1B"/>
    <w:rsid w:val="00BF7505"/>
    <w:rsid w:val="00C004FC"/>
    <w:rsid w:val="00C01378"/>
    <w:rsid w:val="00C01741"/>
    <w:rsid w:val="00C018A7"/>
    <w:rsid w:val="00C01E8B"/>
    <w:rsid w:val="00C02161"/>
    <w:rsid w:val="00C03301"/>
    <w:rsid w:val="00C0364F"/>
    <w:rsid w:val="00C04290"/>
    <w:rsid w:val="00C042DA"/>
    <w:rsid w:val="00C04847"/>
    <w:rsid w:val="00C053C0"/>
    <w:rsid w:val="00C05444"/>
    <w:rsid w:val="00C05F9C"/>
    <w:rsid w:val="00C062D2"/>
    <w:rsid w:val="00C06910"/>
    <w:rsid w:val="00C07D72"/>
    <w:rsid w:val="00C10395"/>
    <w:rsid w:val="00C104C8"/>
    <w:rsid w:val="00C1070A"/>
    <w:rsid w:val="00C10E62"/>
    <w:rsid w:val="00C11ABB"/>
    <w:rsid w:val="00C11D79"/>
    <w:rsid w:val="00C12265"/>
    <w:rsid w:val="00C122C2"/>
    <w:rsid w:val="00C14F88"/>
    <w:rsid w:val="00C15516"/>
    <w:rsid w:val="00C15555"/>
    <w:rsid w:val="00C15597"/>
    <w:rsid w:val="00C1563D"/>
    <w:rsid w:val="00C15AC3"/>
    <w:rsid w:val="00C15B8B"/>
    <w:rsid w:val="00C15BAE"/>
    <w:rsid w:val="00C16F47"/>
    <w:rsid w:val="00C1733D"/>
    <w:rsid w:val="00C17CA8"/>
    <w:rsid w:val="00C20A70"/>
    <w:rsid w:val="00C20C50"/>
    <w:rsid w:val="00C20E6D"/>
    <w:rsid w:val="00C212E6"/>
    <w:rsid w:val="00C232AA"/>
    <w:rsid w:val="00C233BB"/>
    <w:rsid w:val="00C24DB9"/>
    <w:rsid w:val="00C25FAA"/>
    <w:rsid w:val="00C2799B"/>
    <w:rsid w:val="00C27D85"/>
    <w:rsid w:val="00C27F15"/>
    <w:rsid w:val="00C3242C"/>
    <w:rsid w:val="00C33500"/>
    <w:rsid w:val="00C33DAA"/>
    <w:rsid w:val="00C3484E"/>
    <w:rsid w:val="00C34EBF"/>
    <w:rsid w:val="00C34FAF"/>
    <w:rsid w:val="00C35A25"/>
    <w:rsid w:val="00C35C29"/>
    <w:rsid w:val="00C36757"/>
    <w:rsid w:val="00C37214"/>
    <w:rsid w:val="00C37FE7"/>
    <w:rsid w:val="00C4007D"/>
    <w:rsid w:val="00C408AF"/>
    <w:rsid w:val="00C40BA5"/>
    <w:rsid w:val="00C411CF"/>
    <w:rsid w:val="00C424AD"/>
    <w:rsid w:val="00C43F42"/>
    <w:rsid w:val="00C43F84"/>
    <w:rsid w:val="00C45057"/>
    <w:rsid w:val="00C463FA"/>
    <w:rsid w:val="00C46888"/>
    <w:rsid w:val="00C46983"/>
    <w:rsid w:val="00C47407"/>
    <w:rsid w:val="00C500EB"/>
    <w:rsid w:val="00C516F4"/>
    <w:rsid w:val="00C51DFD"/>
    <w:rsid w:val="00C52D3A"/>
    <w:rsid w:val="00C531EA"/>
    <w:rsid w:val="00C5333C"/>
    <w:rsid w:val="00C533A7"/>
    <w:rsid w:val="00C53CEB"/>
    <w:rsid w:val="00C5418F"/>
    <w:rsid w:val="00C541DF"/>
    <w:rsid w:val="00C54DCC"/>
    <w:rsid w:val="00C54E26"/>
    <w:rsid w:val="00C55250"/>
    <w:rsid w:val="00C55336"/>
    <w:rsid w:val="00C55B17"/>
    <w:rsid w:val="00C55C7F"/>
    <w:rsid w:val="00C5603F"/>
    <w:rsid w:val="00C5619A"/>
    <w:rsid w:val="00C561F5"/>
    <w:rsid w:val="00C5628C"/>
    <w:rsid w:val="00C56429"/>
    <w:rsid w:val="00C63F45"/>
    <w:rsid w:val="00C65B2C"/>
    <w:rsid w:val="00C65CE6"/>
    <w:rsid w:val="00C67AFB"/>
    <w:rsid w:val="00C67F3B"/>
    <w:rsid w:val="00C7266E"/>
    <w:rsid w:val="00C72BB1"/>
    <w:rsid w:val="00C72D8F"/>
    <w:rsid w:val="00C7355B"/>
    <w:rsid w:val="00C738D0"/>
    <w:rsid w:val="00C73FFF"/>
    <w:rsid w:val="00C75901"/>
    <w:rsid w:val="00C775EF"/>
    <w:rsid w:val="00C777EE"/>
    <w:rsid w:val="00C77B1B"/>
    <w:rsid w:val="00C81C05"/>
    <w:rsid w:val="00C83BA2"/>
    <w:rsid w:val="00C83D27"/>
    <w:rsid w:val="00C84BE8"/>
    <w:rsid w:val="00C84BF4"/>
    <w:rsid w:val="00C8504D"/>
    <w:rsid w:val="00C85BD2"/>
    <w:rsid w:val="00C86BFE"/>
    <w:rsid w:val="00C87421"/>
    <w:rsid w:val="00C87829"/>
    <w:rsid w:val="00C87BA9"/>
    <w:rsid w:val="00C91813"/>
    <w:rsid w:val="00C91827"/>
    <w:rsid w:val="00C9192F"/>
    <w:rsid w:val="00C934CB"/>
    <w:rsid w:val="00C93583"/>
    <w:rsid w:val="00C939E9"/>
    <w:rsid w:val="00C93AE6"/>
    <w:rsid w:val="00C9479F"/>
    <w:rsid w:val="00C949E6"/>
    <w:rsid w:val="00C94AF6"/>
    <w:rsid w:val="00C95878"/>
    <w:rsid w:val="00C97566"/>
    <w:rsid w:val="00C97F1E"/>
    <w:rsid w:val="00CA0A16"/>
    <w:rsid w:val="00CA122C"/>
    <w:rsid w:val="00CA19A7"/>
    <w:rsid w:val="00CA3DED"/>
    <w:rsid w:val="00CA5579"/>
    <w:rsid w:val="00CA59C3"/>
    <w:rsid w:val="00CA5EC4"/>
    <w:rsid w:val="00CA6295"/>
    <w:rsid w:val="00CA6761"/>
    <w:rsid w:val="00CA6965"/>
    <w:rsid w:val="00CA69AD"/>
    <w:rsid w:val="00CB11FC"/>
    <w:rsid w:val="00CB1428"/>
    <w:rsid w:val="00CB3328"/>
    <w:rsid w:val="00CB343D"/>
    <w:rsid w:val="00CB3C9B"/>
    <w:rsid w:val="00CB5321"/>
    <w:rsid w:val="00CB5B9A"/>
    <w:rsid w:val="00CB64F2"/>
    <w:rsid w:val="00CB75BA"/>
    <w:rsid w:val="00CB7841"/>
    <w:rsid w:val="00CC1A27"/>
    <w:rsid w:val="00CC1B32"/>
    <w:rsid w:val="00CC2553"/>
    <w:rsid w:val="00CC295C"/>
    <w:rsid w:val="00CC2DE7"/>
    <w:rsid w:val="00CC3024"/>
    <w:rsid w:val="00CC3390"/>
    <w:rsid w:val="00CC3919"/>
    <w:rsid w:val="00CC4267"/>
    <w:rsid w:val="00CC4CF6"/>
    <w:rsid w:val="00CC4D32"/>
    <w:rsid w:val="00CC540F"/>
    <w:rsid w:val="00CC5702"/>
    <w:rsid w:val="00CC5C60"/>
    <w:rsid w:val="00CC6254"/>
    <w:rsid w:val="00CC6CD8"/>
    <w:rsid w:val="00CC78E2"/>
    <w:rsid w:val="00CC7EB7"/>
    <w:rsid w:val="00CD0957"/>
    <w:rsid w:val="00CD12CD"/>
    <w:rsid w:val="00CD1BC5"/>
    <w:rsid w:val="00CD1FA4"/>
    <w:rsid w:val="00CD232F"/>
    <w:rsid w:val="00CD26EB"/>
    <w:rsid w:val="00CD278F"/>
    <w:rsid w:val="00CD29F5"/>
    <w:rsid w:val="00CD2A44"/>
    <w:rsid w:val="00CD31AC"/>
    <w:rsid w:val="00CD5F64"/>
    <w:rsid w:val="00CD6703"/>
    <w:rsid w:val="00CD6B14"/>
    <w:rsid w:val="00CD7F72"/>
    <w:rsid w:val="00CE0235"/>
    <w:rsid w:val="00CE0509"/>
    <w:rsid w:val="00CE050C"/>
    <w:rsid w:val="00CE1141"/>
    <w:rsid w:val="00CE1DEE"/>
    <w:rsid w:val="00CE2744"/>
    <w:rsid w:val="00CE2B31"/>
    <w:rsid w:val="00CE4839"/>
    <w:rsid w:val="00CE4BC3"/>
    <w:rsid w:val="00CE4C45"/>
    <w:rsid w:val="00CE5854"/>
    <w:rsid w:val="00CE5A54"/>
    <w:rsid w:val="00CE64C6"/>
    <w:rsid w:val="00CE68DD"/>
    <w:rsid w:val="00CE75D3"/>
    <w:rsid w:val="00CF0018"/>
    <w:rsid w:val="00CF0CCD"/>
    <w:rsid w:val="00CF1A6E"/>
    <w:rsid w:val="00CF1D0C"/>
    <w:rsid w:val="00CF3E80"/>
    <w:rsid w:val="00CF5AC6"/>
    <w:rsid w:val="00D00119"/>
    <w:rsid w:val="00D0023C"/>
    <w:rsid w:val="00D01B46"/>
    <w:rsid w:val="00D01CA3"/>
    <w:rsid w:val="00D04629"/>
    <w:rsid w:val="00D04E56"/>
    <w:rsid w:val="00D04FEF"/>
    <w:rsid w:val="00D05067"/>
    <w:rsid w:val="00D06F1D"/>
    <w:rsid w:val="00D07829"/>
    <w:rsid w:val="00D101F2"/>
    <w:rsid w:val="00D10422"/>
    <w:rsid w:val="00D13793"/>
    <w:rsid w:val="00D13CDF"/>
    <w:rsid w:val="00D140B1"/>
    <w:rsid w:val="00D144F5"/>
    <w:rsid w:val="00D15C8B"/>
    <w:rsid w:val="00D16B83"/>
    <w:rsid w:val="00D16B8B"/>
    <w:rsid w:val="00D21483"/>
    <w:rsid w:val="00D21AA9"/>
    <w:rsid w:val="00D220F9"/>
    <w:rsid w:val="00D223FA"/>
    <w:rsid w:val="00D227C8"/>
    <w:rsid w:val="00D22829"/>
    <w:rsid w:val="00D2419C"/>
    <w:rsid w:val="00D24456"/>
    <w:rsid w:val="00D25C89"/>
    <w:rsid w:val="00D262D9"/>
    <w:rsid w:val="00D26BFD"/>
    <w:rsid w:val="00D27C8D"/>
    <w:rsid w:val="00D27D0F"/>
    <w:rsid w:val="00D27FEC"/>
    <w:rsid w:val="00D31777"/>
    <w:rsid w:val="00D327AC"/>
    <w:rsid w:val="00D33090"/>
    <w:rsid w:val="00D340A7"/>
    <w:rsid w:val="00D34316"/>
    <w:rsid w:val="00D36337"/>
    <w:rsid w:val="00D363D4"/>
    <w:rsid w:val="00D3656E"/>
    <w:rsid w:val="00D37068"/>
    <w:rsid w:val="00D37627"/>
    <w:rsid w:val="00D37D71"/>
    <w:rsid w:val="00D404F0"/>
    <w:rsid w:val="00D421AE"/>
    <w:rsid w:val="00D424CD"/>
    <w:rsid w:val="00D43360"/>
    <w:rsid w:val="00D43543"/>
    <w:rsid w:val="00D43D66"/>
    <w:rsid w:val="00D448E9"/>
    <w:rsid w:val="00D463BA"/>
    <w:rsid w:val="00D475DE"/>
    <w:rsid w:val="00D47785"/>
    <w:rsid w:val="00D5044F"/>
    <w:rsid w:val="00D50BEF"/>
    <w:rsid w:val="00D516EA"/>
    <w:rsid w:val="00D51C54"/>
    <w:rsid w:val="00D525E6"/>
    <w:rsid w:val="00D52AEC"/>
    <w:rsid w:val="00D52CB0"/>
    <w:rsid w:val="00D53144"/>
    <w:rsid w:val="00D53491"/>
    <w:rsid w:val="00D53B4A"/>
    <w:rsid w:val="00D53BB8"/>
    <w:rsid w:val="00D53E7D"/>
    <w:rsid w:val="00D540FA"/>
    <w:rsid w:val="00D55F8F"/>
    <w:rsid w:val="00D56DAB"/>
    <w:rsid w:val="00D57326"/>
    <w:rsid w:val="00D600B0"/>
    <w:rsid w:val="00D60211"/>
    <w:rsid w:val="00D60627"/>
    <w:rsid w:val="00D6082E"/>
    <w:rsid w:val="00D61535"/>
    <w:rsid w:val="00D6171B"/>
    <w:rsid w:val="00D61A6C"/>
    <w:rsid w:val="00D61EAB"/>
    <w:rsid w:val="00D61FFD"/>
    <w:rsid w:val="00D62366"/>
    <w:rsid w:val="00D62B29"/>
    <w:rsid w:val="00D635B8"/>
    <w:rsid w:val="00D637FD"/>
    <w:rsid w:val="00D64601"/>
    <w:rsid w:val="00D66046"/>
    <w:rsid w:val="00D66C68"/>
    <w:rsid w:val="00D6750F"/>
    <w:rsid w:val="00D675D3"/>
    <w:rsid w:val="00D678FA"/>
    <w:rsid w:val="00D67BC5"/>
    <w:rsid w:val="00D70287"/>
    <w:rsid w:val="00D711C4"/>
    <w:rsid w:val="00D715EC"/>
    <w:rsid w:val="00D73313"/>
    <w:rsid w:val="00D73A11"/>
    <w:rsid w:val="00D741A9"/>
    <w:rsid w:val="00D75ECB"/>
    <w:rsid w:val="00D76EF9"/>
    <w:rsid w:val="00D76F91"/>
    <w:rsid w:val="00D770EB"/>
    <w:rsid w:val="00D773F9"/>
    <w:rsid w:val="00D777EE"/>
    <w:rsid w:val="00D77A4C"/>
    <w:rsid w:val="00D77F4E"/>
    <w:rsid w:val="00D8141F"/>
    <w:rsid w:val="00D8148F"/>
    <w:rsid w:val="00D816F4"/>
    <w:rsid w:val="00D8255F"/>
    <w:rsid w:val="00D825ED"/>
    <w:rsid w:val="00D825F6"/>
    <w:rsid w:val="00D8274D"/>
    <w:rsid w:val="00D82B1A"/>
    <w:rsid w:val="00D84CCD"/>
    <w:rsid w:val="00D84F7E"/>
    <w:rsid w:val="00D8606F"/>
    <w:rsid w:val="00D8680E"/>
    <w:rsid w:val="00D8709E"/>
    <w:rsid w:val="00D87467"/>
    <w:rsid w:val="00D87496"/>
    <w:rsid w:val="00D87F5B"/>
    <w:rsid w:val="00D9003E"/>
    <w:rsid w:val="00D90466"/>
    <w:rsid w:val="00D90D32"/>
    <w:rsid w:val="00D91412"/>
    <w:rsid w:val="00D92E00"/>
    <w:rsid w:val="00D933A6"/>
    <w:rsid w:val="00D93B2B"/>
    <w:rsid w:val="00D945FE"/>
    <w:rsid w:val="00D9493D"/>
    <w:rsid w:val="00D95659"/>
    <w:rsid w:val="00D95981"/>
    <w:rsid w:val="00D962AE"/>
    <w:rsid w:val="00D96678"/>
    <w:rsid w:val="00D969C2"/>
    <w:rsid w:val="00D97814"/>
    <w:rsid w:val="00DA07ED"/>
    <w:rsid w:val="00DA1CE7"/>
    <w:rsid w:val="00DA2B7F"/>
    <w:rsid w:val="00DA39BD"/>
    <w:rsid w:val="00DA3DBE"/>
    <w:rsid w:val="00DA4518"/>
    <w:rsid w:val="00DA6059"/>
    <w:rsid w:val="00DA6595"/>
    <w:rsid w:val="00DA6D33"/>
    <w:rsid w:val="00DA71EC"/>
    <w:rsid w:val="00DA7A81"/>
    <w:rsid w:val="00DB0857"/>
    <w:rsid w:val="00DB1A49"/>
    <w:rsid w:val="00DB27EE"/>
    <w:rsid w:val="00DB2AB3"/>
    <w:rsid w:val="00DB2BC9"/>
    <w:rsid w:val="00DB3F10"/>
    <w:rsid w:val="00DB432D"/>
    <w:rsid w:val="00DB4E3C"/>
    <w:rsid w:val="00DB4FA7"/>
    <w:rsid w:val="00DB5744"/>
    <w:rsid w:val="00DB5B29"/>
    <w:rsid w:val="00DB5BBC"/>
    <w:rsid w:val="00DB62EC"/>
    <w:rsid w:val="00DB6F8A"/>
    <w:rsid w:val="00DB7A59"/>
    <w:rsid w:val="00DB7A64"/>
    <w:rsid w:val="00DB7B20"/>
    <w:rsid w:val="00DB7D55"/>
    <w:rsid w:val="00DB7F61"/>
    <w:rsid w:val="00DC0304"/>
    <w:rsid w:val="00DC0635"/>
    <w:rsid w:val="00DC0B44"/>
    <w:rsid w:val="00DC1054"/>
    <w:rsid w:val="00DC1E51"/>
    <w:rsid w:val="00DC204D"/>
    <w:rsid w:val="00DC3191"/>
    <w:rsid w:val="00DC3BBA"/>
    <w:rsid w:val="00DC4241"/>
    <w:rsid w:val="00DC4949"/>
    <w:rsid w:val="00DC4BEA"/>
    <w:rsid w:val="00DC5823"/>
    <w:rsid w:val="00DC5BDB"/>
    <w:rsid w:val="00DC6568"/>
    <w:rsid w:val="00DC7296"/>
    <w:rsid w:val="00DD0127"/>
    <w:rsid w:val="00DD0532"/>
    <w:rsid w:val="00DD0F4A"/>
    <w:rsid w:val="00DD1DEA"/>
    <w:rsid w:val="00DD1E99"/>
    <w:rsid w:val="00DD2242"/>
    <w:rsid w:val="00DD2612"/>
    <w:rsid w:val="00DD2A23"/>
    <w:rsid w:val="00DD2F3E"/>
    <w:rsid w:val="00DD41C3"/>
    <w:rsid w:val="00DD4A6A"/>
    <w:rsid w:val="00DD538B"/>
    <w:rsid w:val="00DD61E1"/>
    <w:rsid w:val="00DD6336"/>
    <w:rsid w:val="00DD6789"/>
    <w:rsid w:val="00DD7129"/>
    <w:rsid w:val="00DE002E"/>
    <w:rsid w:val="00DE006E"/>
    <w:rsid w:val="00DE05C6"/>
    <w:rsid w:val="00DE0B5C"/>
    <w:rsid w:val="00DE1396"/>
    <w:rsid w:val="00DE1A0B"/>
    <w:rsid w:val="00DE1A95"/>
    <w:rsid w:val="00DE1D69"/>
    <w:rsid w:val="00DE25D7"/>
    <w:rsid w:val="00DE3804"/>
    <w:rsid w:val="00DE3FD6"/>
    <w:rsid w:val="00DE42A1"/>
    <w:rsid w:val="00DE5C42"/>
    <w:rsid w:val="00DE5E29"/>
    <w:rsid w:val="00DE61D1"/>
    <w:rsid w:val="00DE6603"/>
    <w:rsid w:val="00DE6A16"/>
    <w:rsid w:val="00DE7069"/>
    <w:rsid w:val="00DE74D9"/>
    <w:rsid w:val="00DE7E5F"/>
    <w:rsid w:val="00DF144A"/>
    <w:rsid w:val="00DF4067"/>
    <w:rsid w:val="00DF4C99"/>
    <w:rsid w:val="00DF5180"/>
    <w:rsid w:val="00DF5656"/>
    <w:rsid w:val="00DF6D2C"/>
    <w:rsid w:val="00DF727E"/>
    <w:rsid w:val="00DF7922"/>
    <w:rsid w:val="00DF7CE6"/>
    <w:rsid w:val="00E002FD"/>
    <w:rsid w:val="00E00CE0"/>
    <w:rsid w:val="00E01B5D"/>
    <w:rsid w:val="00E023CE"/>
    <w:rsid w:val="00E02BF8"/>
    <w:rsid w:val="00E03560"/>
    <w:rsid w:val="00E04D0C"/>
    <w:rsid w:val="00E0518F"/>
    <w:rsid w:val="00E052D2"/>
    <w:rsid w:val="00E0572B"/>
    <w:rsid w:val="00E058D6"/>
    <w:rsid w:val="00E0687B"/>
    <w:rsid w:val="00E06A49"/>
    <w:rsid w:val="00E078DC"/>
    <w:rsid w:val="00E07C68"/>
    <w:rsid w:val="00E111F0"/>
    <w:rsid w:val="00E11C18"/>
    <w:rsid w:val="00E11D5B"/>
    <w:rsid w:val="00E12023"/>
    <w:rsid w:val="00E133FA"/>
    <w:rsid w:val="00E14233"/>
    <w:rsid w:val="00E14643"/>
    <w:rsid w:val="00E14D77"/>
    <w:rsid w:val="00E1550D"/>
    <w:rsid w:val="00E15F4C"/>
    <w:rsid w:val="00E16280"/>
    <w:rsid w:val="00E16AA7"/>
    <w:rsid w:val="00E173B3"/>
    <w:rsid w:val="00E2135A"/>
    <w:rsid w:val="00E21645"/>
    <w:rsid w:val="00E2293B"/>
    <w:rsid w:val="00E2332B"/>
    <w:rsid w:val="00E24F3A"/>
    <w:rsid w:val="00E258AC"/>
    <w:rsid w:val="00E2684C"/>
    <w:rsid w:val="00E26944"/>
    <w:rsid w:val="00E26C1A"/>
    <w:rsid w:val="00E3012C"/>
    <w:rsid w:val="00E30D1C"/>
    <w:rsid w:val="00E30DDC"/>
    <w:rsid w:val="00E328EA"/>
    <w:rsid w:val="00E34D2E"/>
    <w:rsid w:val="00E35488"/>
    <w:rsid w:val="00E358D4"/>
    <w:rsid w:val="00E35F8D"/>
    <w:rsid w:val="00E36313"/>
    <w:rsid w:val="00E4042A"/>
    <w:rsid w:val="00E43CEA"/>
    <w:rsid w:val="00E4472B"/>
    <w:rsid w:val="00E46294"/>
    <w:rsid w:val="00E47A05"/>
    <w:rsid w:val="00E50489"/>
    <w:rsid w:val="00E50594"/>
    <w:rsid w:val="00E50DD3"/>
    <w:rsid w:val="00E5117E"/>
    <w:rsid w:val="00E533A7"/>
    <w:rsid w:val="00E54633"/>
    <w:rsid w:val="00E546EF"/>
    <w:rsid w:val="00E54A2F"/>
    <w:rsid w:val="00E55247"/>
    <w:rsid w:val="00E55A3C"/>
    <w:rsid w:val="00E56020"/>
    <w:rsid w:val="00E568B1"/>
    <w:rsid w:val="00E569E4"/>
    <w:rsid w:val="00E61D63"/>
    <w:rsid w:val="00E62B9B"/>
    <w:rsid w:val="00E639DE"/>
    <w:rsid w:val="00E640FB"/>
    <w:rsid w:val="00E64A33"/>
    <w:rsid w:val="00E6553D"/>
    <w:rsid w:val="00E65BF6"/>
    <w:rsid w:val="00E672A0"/>
    <w:rsid w:val="00E67C2A"/>
    <w:rsid w:val="00E71D58"/>
    <w:rsid w:val="00E71DB8"/>
    <w:rsid w:val="00E7213A"/>
    <w:rsid w:val="00E72654"/>
    <w:rsid w:val="00E72EB7"/>
    <w:rsid w:val="00E745E8"/>
    <w:rsid w:val="00E756F7"/>
    <w:rsid w:val="00E765A8"/>
    <w:rsid w:val="00E76D1F"/>
    <w:rsid w:val="00E77260"/>
    <w:rsid w:val="00E77977"/>
    <w:rsid w:val="00E77ACC"/>
    <w:rsid w:val="00E77B0B"/>
    <w:rsid w:val="00E77BAD"/>
    <w:rsid w:val="00E77E7F"/>
    <w:rsid w:val="00E802A9"/>
    <w:rsid w:val="00E80F9F"/>
    <w:rsid w:val="00E81A90"/>
    <w:rsid w:val="00E823F5"/>
    <w:rsid w:val="00E82B83"/>
    <w:rsid w:val="00E843F3"/>
    <w:rsid w:val="00E856C1"/>
    <w:rsid w:val="00E863DB"/>
    <w:rsid w:val="00E868A4"/>
    <w:rsid w:val="00E877AB"/>
    <w:rsid w:val="00E87D02"/>
    <w:rsid w:val="00E87DA5"/>
    <w:rsid w:val="00E87DD6"/>
    <w:rsid w:val="00E90619"/>
    <w:rsid w:val="00E91466"/>
    <w:rsid w:val="00E91FD2"/>
    <w:rsid w:val="00E9244A"/>
    <w:rsid w:val="00E967C8"/>
    <w:rsid w:val="00E96F95"/>
    <w:rsid w:val="00E9739B"/>
    <w:rsid w:val="00E97B1C"/>
    <w:rsid w:val="00E97E46"/>
    <w:rsid w:val="00E97E90"/>
    <w:rsid w:val="00EA0120"/>
    <w:rsid w:val="00EA2863"/>
    <w:rsid w:val="00EA344F"/>
    <w:rsid w:val="00EA3AF3"/>
    <w:rsid w:val="00EA422C"/>
    <w:rsid w:val="00EA4356"/>
    <w:rsid w:val="00EA4615"/>
    <w:rsid w:val="00EA4668"/>
    <w:rsid w:val="00EA5221"/>
    <w:rsid w:val="00EA525B"/>
    <w:rsid w:val="00EA5434"/>
    <w:rsid w:val="00EA556D"/>
    <w:rsid w:val="00EA5683"/>
    <w:rsid w:val="00EA5D24"/>
    <w:rsid w:val="00EA7661"/>
    <w:rsid w:val="00EA79E7"/>
    <w:rsid w:val="00EA7A70"/>
    <w:rsid w:val="00EA7C51"/>
    <w:rsid w:val="00EA7F3C"/>
    <w:rsid w:val="00EB187C"/>
    <w:rsid w:val="00EB19D3"/>
    <w:rsid w:val="00EB2590"/>
    <w:rsid w:val="00EB2976"/>
    <w:rsid w:val="00EB3F77"/>
    <w:rsid w:val="00EB4611"/>
    <w:rsid w:val="00EB5B23"/>
    <w:rsid w:val="00EB70F8"/>
    <w:rsid w:val="00EC09C3"/>
    <w:rsid w:val="00EC0C26"/>
    <w:rsid w:val="00EC1275"/>
    <w:rsid w:val="00EC2083"/>
    <w:rsid w:val="00EC225C"/>
    <w:rsid w:val="00EC2472"/>
    <w:rsid w:val="00EC2DAF"/>
    <w:rsid w:val="00EC4102"/>
    <w:rsid w:val="00EC41DF"/>
    <w:rsid w:val="00EC41E6"/>
    <w:rsid w:val="00EC4423"/>
    <w:rsid w:val="00EC55D8"/>
    <w:rsid w:val="00EC574C"/>
    <w:rsid w:val="00EC5C37"/>
    <w:rsid w:val="00EC5D4D"/>
    <w:rsid w:val="00EC5F31"/>
    <w:rsid w:val="00ED22E5"/>
    <w:rsid w:val="00ED2AC9"/>
    <w:rsid w:val="00ED3257"/>
    <w:rsid w:val="00ED37F7"/>
    <w:rsid w:val="00ED3B4A"/>
    <w:rsid w:val="00ED42B2"/>
    <w:rsid w:val="00ED43E0"/>
    <w:rsid w:val="00ED4FA8"/>
    <w:rsid w:val="00ED751F"/>
    <w:rsid w:val="00ED7522"/>
    <w:rsid w:val="00ED7BF4"/>
    <w:rsid w:val="00EE10AC"/>
    <w:rsid w:val="00EE1CDC"/>
    <w:rsid w:val="00EE2630"/>
    <w:rsid w:val="00EE286A"/>
    <w:rsid w:val="00EE3069"/>
    <w:rsid w:val="00EE4C98"/>
    <w:rsid w:val="00EE4E5B"/>
    <w:rsid w:val="00EE5420"/>
    <w:rsid w:val="00EE559E"/>
    <w:rsid w:val="00EF06EF"/>
    <w:rsid w:val="00EF0FC3"/>
    <w:rsid w:val="00EF1593"/>
    <w:rsid w:val="00EF2299"/>
    <w:rsid w:val="00EF278F"/>
    <w:rsid w:val="00EF2880"/>
    <w:rsid w:val="00EF29AD"/>
    <w:rsid w:val="00EF2F7A"/>
    <w:rsid w:val="00EF3044"/>
    <w:rsid w:val="00EF429C"/>
    <w:rsid w:val="00EF49DD"/>
    <w:rsid w:val="00EF4AA6"/>
    <w:rsid w:val="00EF67A9"/>
    <w:rsid w:val="00EF78EF"/>
    <w:rsid w:val="00EF7A6C"/>
    <w:rsid w:val="00EF7B56"/>
    <w:rsid w:val="00EF7F82"/>
    <w:rsid w:val="00EF7F9E"/>
    <w:rsid w:val="00F004C4"/>
    <w:rsid w:val="00F006D5"/>
    <w:rsid w:val="00F00D68"/>
    <w:rsid w:val="00F01313"/>
    <w:rsid w:val="00F0269D"/>
    <w:rsid w:val="00F02D48"/>
    <w:rsid w:val="00F03559"/>
    <w:rsid w:val="00F03A1E"/>
    <w:rsid w:val="00F03DC2"/>
    <w:rsid w:val="00F05239"/>
    <w:rsid w:val="00F06181"/>
    <w:rsid w:val="00F068DD"/>
    <w:rsid w:val="00F06966"/>
    <w:rsid w:val="00F10AD4"/>
    <w:rsid w:val="00F1175C"/>
    <w:rsid w:val="00F121CF"/>
    <w:rsid w:val="00F1226B"/>
    <w:rsid w:val="00F123D5"/>
    <w:rsid w:val="00F13056"/>
    <w:rsid w:val="00F145A6"/>
    <w:rsid w:val="00F15664"/>
    <w:rsid w:val="00F16360"/>
    <w:rsid w:val="00F16608"/>
    <w:rsid w:val="00F176A5"/>
    <w:rsid w:val="00F1779B"/>
    <w:rsid w:val="00F17BC1"/>
    <w:rsid w:val="00F203FE"/>
    <w:rsid w:val="00F206B3"/>
    <w:rsid w:val="00F209E1"/>
    <w:rsid w:val="00F21C33"/>
    <w:rsid w:val="00F223A5"/>
    <w:rsid w:val="00F22A1F"/>
    <w:rsid w:val="00F24375"/>
    <w:rsid w:val="00F252CC"/>
    <w:rsid w:val="00F253BC"/>
    <w:rsid w:val="00F266D6"/>
    <w:rsid w:val="00F26F59"/>
    <w:rsid w:val="00F26FF1"/>
    <w:rsid w:val="00F307F7"/>
    <w:rsid w:val="00F3087C"/>
    <w:rsid w:val="00F30EA2"/>
    <w:rsid w:val="00F3190E"/>
    <w:rsid w:val="00F31982"/>
    <w:rsid w:val="00F323F3"/>
    <w:rsid w:val="00F32D3A"/>
    <w:rsid w:val="00F32E60"/>
    <w:rsid w:val="00F334E8"/>
    <w:rsid w:val="00F33A23"/>
    <w:rsid w:val="00F33F0F"/>
    <w:rsid w:val="00F34768"/>
    <w:rsid w:val="00F358E4"/>
    <w:rsid w:val="00F35D31"/>
    <w:rsid w:val="00F36151"/>
    <w:rsid w:val="00F36E57"/>
    <w:rsid w:val="00F37182"/>
    <w:rsid w:val="00F37207"/>
    <w:rsid w:val="00F402FD"/>
    <w:rsid w:val="00F40B48"/>
    <w:rsid w:val="00F42204"/>
    <w:rsid w:val="00F4239B"/>
    <w:rsid w:val="00F429EF"/>
    <w:rsid w:val="00F42B27"/>
    <w:rsid w:val="00F443DF"/>
    <w:rsid w:val="00F448AA"/>
    <w:rsid w:val="00F44C7C"/>
    <w:rsid w:val="00F44D72"/>
    <w:rsid w:val="00F455B8"/>
    <w:rsid w:val="00F4569B"/>
    <w:rsid w:val="00F45B15"/>
    <w:rsid w:val="00F45C7C"/>
    <w:rsid w:val="00F45ED4"/>
    <w:rsid w:val="00F47A7F"/>
    <w:rsid w:val="00F5028F"/>
    <w:rsid w:val="00F50A7B"/>
    <w:rsid w:val="00F50D35"/>
    <w:rsid w:val="00F50E24"/>
    <w:rsid w:val="00F51619"/>
    <w:rsid w:val="00F51B66"/>
    <w:rsid w:val="00F51C50"/>
    <w:rsid w:val="00F53AF3"/>
    <w:rsid w:val="00F547D2"/>
    <w:rsid w:val="00F54E5E"/>
    <w:rsid w:val="00F54EA2"/>
    <w:rsid w:val="00F54F22"/>
    <w:rsid w:val="00F557E6"/>
    <w:rsid w:val="00F55881"/>
    <w:rsid w:val="00F55DAE"/>
    <w:rsid w:val="00F56FD5"/>
    <w:rsid w:val="00F5709B"/>
    <w:rsid w:val="00F572EC"/>
    <w:rsid w:val="00F60028"/>
    <w:rsid w:val="00F62FE1"/>
    <w:rsid w:val="00F630E7"/>
    <w:rsid w:val="00F635CF"/>
    <w:rsid w:val="00F6550E"/>
    <w:rsid w:val="00F66558"/>
    <w:rsid w:val="00F66B55"/>
    <w:rsid w:val="00F674E4"/>
    <w:rsid w:val="00F67731"/>
    <w:rsid w:val="00F678D8"/>
    <w:rsid w:val="00F707AA"/>
    <w:rsid w:val="00F7099B"/>
    <w:rsid w:val="00F711F5"/>
    <w:rsid w:val="00F71B78"/>
    <w:rsid w:val="00F72F6B"/>
    <w:rsid w:val="00F73246"/>
    <w:rsid w:val="00F7344F"/>
    <w:rsid w:val="00F76258"/>
    <w:rsid w:val="00F766D6"/>
    <w:rsid w:val="00F7694B"/>
    <w:rsid w:val="00F773B2"/>
    <w:rsid w:val="00F77861"/>
    <w:rsid w:val="00F829C7"/>
    <w:rsid w:val="00F831CE"/>
    <w:rsid w:val="00F8347C"/>
    <w:rsid w:val="00F84989"/>
    <w:rsid w:val="00F85521"/>
    <w:rsid w:val="00F861F1"/>
    <w:rsid w:val="00F869C9"/>
    <w:rsid w:val="00F87B9B"/>
    <w:rsid w:val="00F90037"/>
    <w:rsid w:val="00F91232"/>
    <w:rsid w:val="00F9168B"/>
    <w:rsid w:val="00F91B42"/>
    <w:rsid w:val="00F921B7"/>
    <w:rsid w:val="00F9223E"/>
    <w:rsid w:val="00F923DF"/>
    <w:rsid w:val="00F92FE3"/>
    <w:rsid w:val="00F93BE9"/>
    <w:rsid w:val="00F93BEC"/>
    <w:rsid w:val="00F94EBF"/>
    <w:rsid w:val="00F9560F"/>
    <w:rsid w:val="00F957E0"/>
    <w:rsid w:val="00F96469"/>
    <w:rsid w:val="00F964DC"/>
    <w:rsid w:val="00F9740E"/>
    <w:rsid w:val="00FA0AB0"/>
    <w:rsid w:val="00FA2256"/>
    <w:rsid w:val="00FA3310"/>
    <w:rsid w:val="00FA33D4"/>
    <w:rsid w:val="00FA3916"/>
    <w:rsid w:val="00FA3B78"/>
    <w:rsid w:val="00FA5DAC"/>
    <w:rsid w:val="00FA6382"/>
    <w:rsid w:val="00FA7598"/>
    <w:rsid w:val="00FB0B91"/>
    <w:rsid w:val="00FB0C60"/>
    <w:rsid w:val="00FB10C8"/>
    <w:rsid w:val="00FB1E96"/>
    <w:rsid w:val="00FB2760"/>
    <w:rsid w:val="00FB281D"/>
    <w:rsid w:val="00FB2BE2"/>
    <w:rsid w:val="00FB2E1A"/>
    <w:rsid w:val="00FB32B5"/>
    <w:rsid w:val="00FB3556"/>
    <w:rsid w:val="00FB389E"/>
    <w:rsid w:val="00FB506F"/>
    <w:rsid w:val="00FB61D7"/>
    <w:rsid w:val="00FB708B"/>
    <w:rsid w:val="00FB7A75"/>
    <w:rsid w:val="00FC0456"/>
    <w:rsid w:val="00FC126C"/>
    <w:rsid w:val="00FC1576"/>
    <w:rsid w:val="00FC1681"/>
    <w:rsid w:val="00FC1D8F"/>
    <w:rsid w:val="00FC3EFC"/>
    <w:rsid w:val="00FC3F89"/>
    <w:rsid w:val="00FC43A7"/>
    <w:rsid w:val="00FC4B66"/>
    <w:rsid w:val="00FC4D5C"/>
    <w:rsid w:val="00FD0E03"/>
    <w:rsid w:val="00FD0EFE"/>
    <w:rsid w:val="00FD1146"/>
    <w:rsid w:val="00FD1FDC"/>
    <w:rsid w:val="00FD27AE"/>
    <w:rsid w:val="00FD4150"/>
    <w:rsid w:val="00FD4DF8"/>
    <w:rsid w:val="00FD65B4"/>
    <w:rsid w:val="00FD6639"/>
    <w:rsid w:val="00FD7A0E"/>
    <w:rsid w:val="00FE03DE"/>
    <w:rsid w:val="00FE1DCB"/>
    <w:rsid w:val="00FE1FF1"/>
    <w:rsid w:val="00FE2D28"/>
    <w:rsid w:val="00FE33B8"/>
    <w:rsid w:val="00FE3C17"/>
    <w:rsid w:val="00FE3C76"/>
    <w:rsid w:val="00FE3D58"/>
    <w:rsid w:val="00FE44F4"/>
    <w:rsid w:val="00FE5FD7"/>
    <w:rsid w:val="00FE648F"/>
    <w:rsid w:val="00FE68A9"/>
    <w:rsid w:val="00FE6B18"/>
    <w:rsid w:val="00FF008D"/>
    <w:rsid w:val="00FF08A5"/>
    <w:rsid w:val="00FF131E"/>
    <w:rsid w:val="00FF16AE"/>
    <w:rsid w:val="00FF29CA"/>
    <w:rsid w:val="00FF339F"/>
    <w:rsid w:val="00FF70D5"/>
    <w:rsid w:val="00FF7E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F77C2"/>
  <w15:chartTrackingRefBased/>
  <w15:docId w15:val="{5E8F3F28-EC0B-4FDD-AF5C-68B0E32D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E7D"/>
    <w:rPr>
      <w:sz w:val="20"/>
    </w:rPr>
  </w:style>
  <w:style w:type="paragraph" w:styleId="Heading1">
    <w:name w:val="heading 1"/>
    <w:basedOn w:val="Normal"/>
    <w:next w:val="Normal"/>
    <w:link w:val="Heading1Char"/>
    <w:uiPriority w:val="9"/>
    <w:qFormat/>
    <w:rsid w:val="00D53E7D"/>
    <w:pPr>
      <w:keepNext/>
      <w:keepLines/>
      <w:spacing w:before="240" w:after="0"/>
      <w:jc w:val="center"/>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D53E7D"/>
    <w:pPr>
      <w:keepNext/>
      <w:keepLines/>
      <w:spacing w:before="40" w:after="0"/>
      <w:outlineLvl w:val="1"/>
    </w:pPr>
    <w:rPr>
      <w:rFonts w:asciiTheme="majorHAnsi" w:eastAsiaTheme="majorEastAsia" w:hAnsiTheme="majorHAnsi" w:cstheme="majorBidi"/>
      <w:b/>
      <w:sz w:val="22"/>
      <w:szCs w:val="26"/>
    </w:rPr>
  </w:style>
  <w:style w:type="paragraph" w:styleId="Heading3">
    <w:name w:val="heading 3"/>
    <w:basedOn w:val="Normal"/>
    <w:next w:val="Normal"/>
    <w:link w:val="Heading3Char"/>
    <w:uiPriority w:val="9"/>
    <w:unhideWhenUsed/>
    <w:qFormat/>
    <w:rsid w:val="00754EEF"/>
    <w:pPr>
      <w:keepNext/>
      <w:keepLines/>
      <w:spacing w:before="40" w:after="120" w:line="360" w:lineRule="auto"/>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E7D"/>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D53E7D"/>
    <w:rPr>
      <w:rFonts w:asciiTheme="majorHAnsi" w:eastAsiaTheme="majorEastAsia" w:hAnsiTheme="majorHAnsi" w:cstheme="majorBidi"/>
      <w:b/>
      <w:szCs w:val="26"/>
    </w:rPr>
  </w:style>
  <w:style w:type="paragraph" w:styleId="NoSpacing">
    <w:name w:val="No Spacing"/>
    <w:uiPriority w:val="1"/>
    <w:qFormat/>
    <w:rsid w:val="00D53E7D"/>
    <w:pPr>
      <w:spacing w:after="0" w:line="240" w:lineRule="auto"/>
    </w:pPr>
    <w:rPr>
      <w:sz w:val="20"/>
    </w:rPr>
  </w:style>
  <w:style w:type="character" w:styleId="Emphasis">
    <w:name w:val="Emphasis"/>
    <w:basedOn w:val="DefaultParagraphFont"/>
    <w:uiPriority w:val="20"/>
    <w:qFormat/>
    <w:rsid w:val="00211FFF"/>
    <w:rPr>
      <w:i/>
      <w:iCs/>
    </w:rPr>
  </w:style>
  <w:style w:type="character" w:styleId="Hyperlink">
    <w:name w:val="Hyperlink"/>
    <w:basedOn w:val="DefaultParagraphFont"/>
    <w:uiPriority w:val="99"/>
    <w:unhideWhenUsed/>
    <w:rsid w:val="00211FFF"/>
    <w:rPr>
      <w:color w:val="0000FF"/>
      <w:u w:val="single"/>
    </w:rPr>
  </w:style>
  <w:style w:type="character" w:styleId="UnresolvedMention">
    <w:name w:val="Unresolved Mention"/>
    <w:basedOn w:val="DefaultParagraphFont"/>
    <w:uiPriority w:val="99"/>
    <w:semiHidden/>
    <w:unhideWhenUsed/>
    <w:rsid w:val="00DF4C99"/>
    <w:rPr>
      <w:color w:val="605E5C"/>
      <w:shd w:val="clear" w:color="auto" w:fill="E1DFDD"/>
    </w:rPr>
  </w:style>
  <w:style w:type="character" w:styleId="CommentReference">
    <w:name w:val="annotation reference"/>
    <w:basedOn w:val="DefaultParagraphFont"/>
    <w:uiPriority w:val="99"/>
    <w:semiHidden/>
    <w:unhideWhenUsed/>
    <w:rsid w:val="003635D3"/>
    <w:rPr>
      <w:sz w:val="16"/>
      <w:szCs w:val="16"/>
    </w:rPr>
  </w:style>
  <w:style w:type="paragraph" w:styleId="CommentText">
    <w:name w:val="annotation text"/>
    <w:basedOn w:val="Normal"/>
    <w:link w:val="CommentTextChar"/>
    <w:uiPriority w:val="99"/>
    <w:unhideWhenUsed/>
    <w:rsid w:val="003635D3"/>
    <w:pPr>
      <w:spacing w:line="240" w:lineRule="auto"/>
    </w:pPr>
    <w:rPr>
      <w:szCs w:val="20"/>
    </w:rPr>
  </w:style>
  <w:style w:type="character" w:customStyle="1" w:styleId="CommentTextChar">
    <w:name w:val="Comment Text Char"/>
    <w:basedOn w:val="DefaultParagraphFont"/>
    <w:link w:val="CommentText"/>
    <w:uiPriority w:val="99"/>
    <w:rsid w:val="003635D3"/>
    <w:rPr>
      <w:sz w:val="20"/>
      <w:szCs w:val="20"/>
    </w:rPr>
  </w:style>
  <w:style w:type="paragraph" w:styleId="CommentSubject">
    <w:name w:val="annotation subject"/>
    <w:basedOn w:val="CommentText"/>
    <w:next w:val="CommentText"/>
    <w:link w:val="CommentSubjectChar"/>
    <w:uiPriority w:val="99"/>
    <w:semiHidden/>
    <w:unhideWhenUsed/>
    <w:rsid w:val="003635D3"/>
    <w:rPr>
      <w:b/>
      <w:bCs/>
    </w:rPr>
  </w:style>
  <w:style w:type="character" w:customStyle="1" w:styleId="CommentSubjectChar">
    <w:name w:val="Comment Subject Char"/>
    <w:basedOn w:val="CommentTextChar"/>
    <w:link w:val="CommentSubject"/>
    <w:uiPriority w:val="99"/>
    <w:semiHidden/>
    <w:rsid w:val="003635D3"/>
    <w:rPr>
      <w:b/>
      <w:bCs/>
      <w:sz w:val="20"/>
      <w:szCs w:val="20"/>
    </w:rPr>
  </w:style>
  <w:style w:type="paragraph" w:customStyle="1" w:styleId="Default">
    <w:name w:val="Default"/>
    <w:rsid w:val="00480E2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43F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43F1F"/>
    <w:rPr>
      <w:rFonts w:ascii="Segoe UI" w:hAnsi="Segoe UI" w:cs="Segoe UI" w:hint="default"/>
      <w:sz w:val="18"/>
      <w:szCs w:val="18"/>
    </w:rPr>
  </w:style>
  <w:style w:type="paragraph" w:styleId="BalloonText">
    <w:name w:val="Balloon Text"/>
    <w:basedOn w:val="Normal"/>
    <w:link w:val="BalloonTextChar"/>
    <w:uiPriority w:val="99"/>
    <w:semiHidden/>
    <w:unhideWhenUsed/>
    <w:rsid w:val="00A305F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05F3"/>
    <w:rPr>
      <w:rFonts w:ascii="Times New Roman" w:hAnsi="Times New Roman" w:cs="Times New Roman"/>
      <w:sz w:val="18"/>
      <w:szCs w:val="18"/>
    </w:rPr>
  </w:style>
  <w:style w:type="paragraph" w:styleId="Revision">
    <w:name w:val="Revision"/>
    <w:hidden/>
    <w:uiPriority w:val="99"/>
    <w:semiHidden/>
    <w:rsid w:val="00553DD1"/>
    <w:pPr>
      <w:spacing w:after="0" w:line="240" w:lineRule="auto"/>
    </w:pPr>
    <w:rPr>
      <w:sz w:val="20"/>
    </w:rPr>
  </w:style>
  <w:style w:type="paragraph" w:styleId="ListParagraph">
    <w:name w:val="List Paragraph"/>
    <w:basedOn w:val="Normal"/>
    <w:uiPriority w:val="34"/>
    <w:qFormat/>
    <w:rsid w:val="00645EA1"/>
    <w:pPr>
      <w:ind w:left="720"/>
      <w:contextualSpacing/>
    </w:pPr>
  </w:style>
  <w:style w:type="paragraph" w:styleId="Header">
    <w:name w:val="header"/>
    <w:basedOn w:val="Normal"/>
    <w:link w:val="HeaderChar"/>
    <w:uiPriority w:val="99"/>
    <w:unhideWhenUsed/>
    <w:rsid w:val="0077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20C"/>
    <w:rPr>
      <w:sz w:val="20"/>
    </w:rPr>
  </w:style>
  <w:style w:type="paragraph" w:styleId="Footer">
    <w:name w:val="footer"/>
    <w:basedOn w:val="Normal"/>
    <w:link w:val="FooterChar"/>
    <w:uiPriority w:val="99"/>
    <w:unhideWhenUsed/>
    <w:rsid w:val="0077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20C"/>
    <w:rPr>
      <w:sz w:val="20"/>
    </w:rPr>
  </w:style>
  <w:style w:type="paragraph" w:styleId="FootnoteText">
    <w:name w:val="footnote text"/>
    <w:basedOn w:val="Normal"/>
    <w:link w:val="FootnoteTextChar"/>
    <w:uiPriority w:val="99"/>
    <w:semiHidden/>
    <w:unhideWhenUsed/>
    <w:rsid w:val="00FD0EFE"/>
    <w:pPr>
      <w:spacing w:after="0" w:line="240" w:lineRule="auto"/>
    </w:pPr>
    <w:rPr>
      <w:szCs w:val="20"/>
    </w:rPr>
  </w:style>
  <w:style w:type="character" w:customStyle="1" w:styleId="FootnoteTextChar">
    <w:name w:val="Footnote Text Char"/>
    <w:basedOn w:val="DefaultParagraphFont"/>
    <w:link w:val="FootnoteText"/>
    <w:uiPriority w:val="99"/>
    <w:semiHidden/>
    <w:rsid w:val="00FD0EFE"/>
    <w:rPr>
      <w:sz w:val="20"/>
      <w:szCs w:val="20"/>
    </w:rPr>
  </w:style>
  <w:style w:type="character" w:styleId="FootnoteReference">
    <w:name w:val="footnote reference"/>
    <w:basedOn w:val="DefaultParagraphFont"/>
    <w:uiPriority w:val="99"/>
    <w:semiHidden/>
    <w:unhideWhenUsed/>
    <w:rsid w:val="00FD0EFE"/>
    <w:rPr>
      <w:vertAlign w:val="superscript"/>
    </w:rPr>
  </w:style>
  <w:style w:type="character" w:customStyle="1" w:styleId="a">
    <w:name w:val="_"/>
    <w:basedOn w:val="DefaultParagraphFont"/>
    <w:rsid w:val="00DC6568"/>
  </w:style>
  <w:style w:type="character" w:customStyle="1" w:styleId="ffa">
    <w:name w:val="ffa"/>
    <w:basedOn w:val="DefaultParagraphFont"/>
    <w:rsid w:val="00DC6568"/>
  </w:style>
  <w:style w:type="character" w:customStyle="1" w:styleId="Heading3Char">
    <w:name w:val="Heading 3 Char"/>
    <w:basedOn w:val="DefaultParagraphFont"/>
    <w:link w:val="Heading3"/>
    <w:uiPriority w:val="9"/>
    <w:rsid w:val="00754EEF"/>
    <w:rPr>
      <w:rFonts w:asciiTheme="majorHAnsi" w:eastAsiaTheme="majorEastAsia" w:hAnsiTheme="majorHAnsi" w:cstheme="majorBidi"/>
      <w:sz w:val="24"/>
      <w:szCs w:val="24"/>
    </w:rPr>
  </w:style>
  <w:style w:type="paragraph" w:customStyle="1" w:styleId="EndNoteBibliographyTitle">
    <w:name w:val="EndNote Bibliography Title"/>
    <w:basedOn w:val="Normal"/>
    <w:link w:val="EndNoteBibliographyTitleChar"/>
    <w:rsid w:val="009A1FF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A1FF5"/>
    <w:rPr>
      <w:rFonts w:ascii="Calibri" w:hAnsi="Calibri" w:cs="Calibri"/>
      <w:noProof/>
      <w:sz w:val="20"/>
      <w:lang w:val="en-US"/>
    </w:rPr>
  </w:style>
  <w:style w:type="paragraph" w:customStyle="1" w:styleId="EndNoteBibliography">
    <w:name w:val="EndNote Bibliography"/>
    <w:basedOn w:val="Normal"/>
    <w:link w:val="EndNoteBibliographyChar"/>
    <w:rsid w:val="009A1FF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A1FF5"/>
    <w:rPr>
      <w:rFonts w:ascii="Calibri" w:hAnsi="Calibri" w:cs="Calibri"/>
      <w:noProof/>
      <w:sz w:val="20"/>
      <w:lang w:val="en-US"/>
    </w:rPr>
  </w:style>
  <w:style w:type="character" w:styleId="Strong">
    <w:name w:val="Strong"/>
    <w:basedOn w:val="DefaultParagraphFont"/>
    <w:uiPriority w:val="22"/>
    <w:qFormat/>
    <w:rsid w:val="0023436D"/>
    <w:rPr>
      <w:b/>
      <w:bCs/>
    </w:rPr>
  </w:style>
  <w:style w:type="character" w:customStyle="1" w:styleId="apple-converted-space">
    <w:name w:val="apple-converted-space"/>
    <w:basedOn w:val="DefaultParagraphFont"/>
    <w:rsid w:val="009624C4"/>
  </w:style>
  <w:style w:type="character" w:styleId="FollowedHyperlink">
    <w:name w:val="FollowedHyperlink"/>
    <w:basedOn w:val="DefaultParagraphFont"/>
    <w:uiPriority w:val="99"/>
    <w:semiHidden/>
    <w:unhideWhenUsed/>
    <w:rsid w:val="00F90037"/>
    <w:rPr>
      <w:color w:val="954F72" w:themeColor="followedHyperlink"/>
      <w:u w:val="single"/>
    </w:rPr>
  </w:style>
  <w:style w:type="character" w:styleId="PlaceholderText">
    <w:name w:val="Placeholder Text"/>
    <w:basedOn w:val="DefaultParagraphFont"/>
    <w:uiPriority w:val="99"/>
    <w:semiHidden/>
    <w:rsid w:val="0025363B"/>
    <w:rPr>
      <w:color w:val="808080"/>
    </w:rPr>
  </w:style>
  <w:style w:type="character" w:styleId="LineNumber">
    <w:name w:val="line number"/>
    <w:basedOn w:val="DefaultParagraphFont"/>
    <w:uiPriority w:val="99"/>
    <w:semiHidden/>
    <w:unhideWhenUsed/>
    <w:rsid w:val="006B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811">
      <w:bodyDiv w:val="1"/>
      <w:marLeft w:val="0"/>
      <w:marRight w:val="0"/>
      <w:marTop w:val="0"/>
      <w:marBottom w:val="0"/>
      <w:divBdr>
        <w:top w:val="none" w:sz="0" w:space="0" w:color="auto"/>
        <w:left w:val="none" w:sz="0" w:space="0" w:color="auto"/>
        <w:bottom w:val="none" w:sz="0" w:space="0" w:color="auto"/>
        <w:right w:val="none" w:sz="0" w:space="0" w:color="auto"/>
      </w:divBdr>
    </w:div>
    <w:div w:id="64693310">
      <w:bodyDiv w:val="1"/>
      <w:marLeft w:val="0"/>
      <w:marRight w:val="0"/>
      <w:marTop w:val="0"/>
      <w:marBottom w:val="0"/>
      <w:divBdr>
        <w:top w:val="none" w:sz="0" w:space="0" w:color="auto"/>
        <w:left w:val="none" w:sz="0" w:space="0" w:color="auto"/>
        <w:bottom w:val="none" w:sz="0" w:space="0" w:color="auto"/>
        <w:right w:val="none" w:sz="0" w:space="0" w:color="auto"/>
      </w:divBdr>
    </w:div>
    <w:div w:id="90048829">
      <w:bodyDiv w:val="1"/>
      <w:marLeft w:val="0"/>
      <w:marRight w:val="0"/>
      <w:marTop w:val="0"/>
      <w:marBottom w:val="0"/>
      <w:divBdr>
        <w:top w:val="none" w:sz="0" w:space="0" w:color="auto"/>
        <w:left w:val="none" w:sz="0" w:space="0" w:color="auto"/>
        <w:bottom w:val="none" w:sz="0" w:space="0" w:color="auto"/>
        <w:right w:val="none" w:sz="0" w:space="0" w:color="auto"/>
      </w:divBdr>
    </w:div>
    <w:div w:id="107622856">
      <w:bodyDiv w:val="1"/>
      <w:marLeft w:val="0"/>
      <w:marRight w:val="0"/>
      <w:marTop w:val="0"/>
      <w:marBottom w:val="0"/>
      <w:divBdr>
        <w:top w:val="none" w:sz="0" w:space="0" w:color="auto"/>
        <w:left w:val="none" w:sz="0" w:space="0" w:color="auto"/>
        <w:bottom w:val="none" w:sz="0" w:space="0" w:color="auto"/>
        <w:right w:val="none" w:sz="0" w:space="0" w:color="auto"/>
      </w:divBdr>
      <w:divsChild>
        <w:div w:id="93289847">
          <w:marLeft w:val="0"/>
          <w:marRight w:val="0"/>
          <w:marTop w:val="0"/>
          <w:marBottom w:val="0"/>
          <w:divBdr>
            <w:top w:val="none" w:sz="0" w:space="0" w:color="auto"/>
            <w:left w:val="none" w:sz="0" w:space="0" w:color="auto"/>
            <w:bottom w:val="none" w:sz="0" w:space="0" w:color="auto"/>
            <w:right w:val="none" w:sz="0" w:space="0" w:color="auto"/>
          </w:divBdr>
        </w:div>
        <w:div w:id="1850100766">
          <w:marLeft w:val="0"/>
          <w:marRight w:val="0"/>
          <w:marTop w:val="0"/>
          <w:marBottom w:val="0"/>
          <w:divBdr>
            <w:top w:val="none" w:sz="0" w:space="0" w:color="auto"/>
            <w:left w:val="none" w:sz="0" w:space="0" w:color="auto"/>
            <w:bottom w:val="none" w:sz="0" w:space="0" w:color="auto"/>
            <w:right w:val="none" w:sz="0" w:space="0" w:color="auto"/>
          </w:divBdr>
        </w:div>
        <w:div w:id="1044059560">
          <w:marLeft w:val="0"/>
          <w:marRight w:val="0"/>
          <w:marTop w:val="0"/>
          <w:marBottom w:val="0"/>
          <w:divBdr>
            <w:top w:val="none" w:sz="0" w:space="0" w:color="auto"/>
            <w:left w:val="none" w:sz="0" w:space="0" w:color="auto"/>
            <w:bottom w:val="none" w:sz="0" w:space="0" w:color="auto"/>
            <w:right w:val="none" w:sz="0" w:space="0" w:color="auto"/>
          </w:divBdr>
        </w:div>
        <w:div w:id="1563640737">
          <w:marLeft w:val="0"/>
          <w:marRight w:val="0"/>
          <w:marTop w:val="0"/>
          <w:marBottom w:val="0"/>
          <w:divBdr>
            <w:top w:val="none" w:sz="0" w:space="0" w:color="auto"/>
            <w:left w:val="none" w:sz="0" w:space="0" w:color="auto"/>
            <w:bottom w:val="none" w:sz="0" w:space="0" w:color="auto"/>
            <w:right w:val="none" w:sz="0" w:space="0" w:color="auto"/>
          </w:divBdr>
        </w:div>
      </w:divsChild>
    </w:div>
    <w:div w:id="123894955">
      <w:bodyDiv w:val="1"/>
      <w:marLeft w:val="0"/>
      <w:marRight w:val="0"/>
      <w:marTop w:val="0"/>
      <w:marBottom w:val="0"/>
      <w:divBdr>
        <w:top w:val="none" w:sz="0" w:space="0" w:color="auto"/>
        <w:left w:val="none" w:sz="0" w:space="0" w:color="auto"/>
        <w:bottom w:val="none" w:sz="0" w:space="0" w:color="auto"/>
        <w:right w:val="none" w:sz="0" w:space="0" w:color="auto"/>
      </w:divBdr>
    </w:div>
    <w:div w:id="216474772">
      <w:bodyDiv w:val="1"/>
      <w:marLeft w:val="0"/>
      <w:marRight w:val="0"/>
      <w:marTop w:val="0"/>
      <w:marBottom w:val="0"/>
      <w:divBdr>
        <w:top w:val="none" w:sz="0" w:space="0" w:color="auto"/>
        <w:left w:val="none" w:sz="0" w:space="0" w:color="auto"/>
        <w:bottom w:val="none" w:sz="0" w:space="0" w:color="auto"/>
        <w:right w:val="none" w:sz="0" w:space="0" w:color="auto"/>
      </w:divBdr>
    </w:div>
    <w:div w:id="323438915">
      <w:bodyDiv w:val="1"/>
      <w:marLeft w:val="0"/>
      <w:marRight w:val="0"/>
      <w:marTop w:val="0"/>
      <w:marBottom w:val="0"/>
      <w:divBdr>
        <w:top w:val="none" w:sz="0" w:space="0" w:color="auto"/>
        <w:left w:val="none" w:sz="0" w:space="0" w:color="auto"/>
        <w:bottom w:val="none" w:sz="0" w:space="0" w:color="auto"/>
        <w:right w:val="none" w:sz="0" w:space="0" w:color="auto"/>
      </w:divBdr>
    </w:div>
    <w:div w:id="378555153">
      <w:bodyDiv w:val="1"/>
      <w:marLeft w:val="0"/>
      <w:marRight w:val="0"/>
      <w:marTop w:val="0"/>
      <w:marBottom w:val="0"/>
      <w:divBdr>
        <w:top w:val="none" w:sz="0" w:space="0" w:color="auto"/>
        <w:left w:val="none" w:sz="0" w:space="0" w:color="auto"/>
        <w:bottom w:val="none" w:sz="0" w:space="0" w:color="auto"/>
        <w:right w:val="none" w:sz="0" w:space="0" w:color="auto"/>
      </w:divBdr>
    </w:div>
    <w:div w:id="443112164">
      <w:bodyDiv w:val="1"/>
      <w:marLeft w:val="0"/>
      <w:marRight w:val="0"/>
      <w:marTop w:val="0"/>
      <w:marBottom w:val="0"/>
      <w:divBdr>
        <w:top w:val="none" w:sz="0" w:space="0" w:color="auto"/>
        <w:left w:val="none" w:sz="0" w:space="0" w:color="auto"/>
        <w:bottom w:val="none" w:sz="0" w:space="0" w:color="auto"/>
        <w:right w:val="none" w:sz="0" w:space="0" w:color="auto"/>
      </w:divBdr>
    </w:div>
    <w:div w:id="540478768">
      <w:bodyDiv w:val="1"/>
      <w:marLeft w:val="0"/>
      <w:marRight w:val="0"/>
      <w:marTop w:val="0"/>
      <w:marBottom w:val="0"/>
      <w:divBdr>
        <w:top w:val="none" w:sz="0" w:space="0" w:color="auto"/>
        <w:left w:val="none" w:sz="0" w:space="0" w:color="auto"/>
        <w:bottom w:val="none" w:sz="0" w:space="0" w:color="auto"/>
        <w:right w:val="none" w:sz="0" w:space="0" w:color="auto"/>
      </w:divBdr>
    </w:div>
    <w:div w:id="542790214">
      <w:bodyDiv w:val="1"/>
      <w:marLeft w:val="0"/>
      <w:marRight w:val="0"/>
      <w:marTop w:val="0"/>
      <w:marBottom w:val="0"/>
      <w:divBdr>
        <w:top w:val="none" w:sz="0" w:space="0" w:color="auto"/>
        <w:left w:val="none" w:sz="0" w:space="0" w:color="auto"/>
        <w:bottom w:val="none" w:sz="0" w:space="0" w:color="auto"/>
        <w:right w:val="none" w:sz="0" w:space="0" w:color="auto"/>
      </w:divBdr>
    </w:div>
    <w:div w:id="551190484">
      <w:bodyDiv w:val="1"/>
      <w:marLeft w:val="0"/>
      <w:marRight w:val="0"/>
      <w:marTop w:val="0"/>
      <w:marBottom w:val="0"/>
      <w:divBdr>
        <w:top w:val="none" w:sz="0" w:space="0" w:color="auto"/>
        <w:left w:val="none" w:sz="0" w:space="0" w:color="auto"/>
        <w:bottom w:val="none" w:sz="0" w:space="0" w:color="auto"/>
        <w:right w:val="none" w:sz="0" w:space="0" w:color="auto"/>
      </w:divBdr>
    </w:div>
    <w:div w:id="641010179">
      <w:bodyDiv w:val="1"/>
      <w:marLeft w:val="0"/>
      <w:marRight w:val="0"/>
      <w:marTop w:val="0"/>
      <w:marBottom w:val="0"/>
      <w:divBdr>
        <w:top w:val="none" w:sz="0" w:space="0" w:color="auto"/>
        <w:left w:val="none" w:sz="0" w:space="0" w:color="auto"/>
        <w:bottom w:val="none" w:sz="0" w:space="0" w:color="auto"/>
        <w:right w:val="none" w:sz="0" w:space="0" w:color="auto"/>
      </w:divBdr>
    </w:div>
    <w:div w:id="646938346">
      <w:bodyDiv w:val="1"/>
      <w:marLeft w:val="0"/>
      <w:marRight w:val="0"/>
      <w:marTop w:val="0"/>
      <w:marBottom w:val="0"/>
      <w:divBdr>
        <w:top w:val="none" w:sz="0" w:space="0" w:color="auto"/>
        <w:left w:val="none" w:sz="0" w:space="0" w:color="auto"/>
        <w:bottom w:val="none" w:sz="0" w:space="0" w:color="auto"/>
        <w:right w:val="none" w:sz="0" w:space="0" w:color="auto"/>
      </w:divBdr>
    </w:div>
    <w:div w:id="708991145">
      <w:bodyDiv w:val="1"/>
      <w:marLeft w:val="0"/>
      <w:marRight w:val="0"/>
      <w:marTop w:val="0"/>
      <w:marBottom w:val="0"/>
      <w:divBdr>
        <w:top w:val="none" w:sz="0" w:space="0" w:color="auto"/>
        <w:left w:val="none" w:sz="0" w:space="0" w:color="auto"/>
        <w:bottom w:val="none" w:sz="0" w:space="0" w:color="auto"/>
        <w:right w:val="none" w:sz="0" w:space="0" w:color="auto"/>
      </w:divBdr>
    </w:div>
    <w:div w:id="743719109">
      <w:bodyDiv w:val="1"/>
      <w:marLeft w:val="0"/>
      <w:marRight w:val="0"/>
      <w:marTop w:val="0"/>
      <w:marBottom w:val="0"/>
      <w:divBdr>
        <w:top w:val="none" w:sz="0" w:space="0" w:color="auto"/>
        <w:left w:val="none" w:sz="0" w:space="0" w:color="auto"/>
        <w:bottom w:val="none" w:sz="0" w:space="0" w:color="auto"/>
        <w:right w:val="none" w:sz="0" w:space="0" w:color="auto"/>
      </w:divBdr>
    </w:div>
    <w:div w:id="895822790">
      <w:bodyDiv w:val="1"/>
      <w:marLeft w:val="0"/>
      <w:marRight w:val="0"/>
      <w:marTop w:val="0"/>
      <w:marBottom w:val="0"/>
      <w:divBdr>
        <w:top w:val="none" w:sz="0" w:space="0" w:color="auto"/>
        <w:left w:val="none" w:sz="0" w:space="0" w:color="auto"/>
        <w:bottom w:val="none" w:sz="0" w:space="0" w:color="auto"/>
        <w:right w:val="none" w:sz="0" w:space="0" w:color="auto"/>
      </w:divBdr>
    </w:div>
    <w:div w:id="966082256">
      <w:bodyDiv w:val="1"/>
      <w:marLeft w:val="0"/>
      <w:marRight w:val="0"/>
      <w:marTop w:val="0"/>
      <w:marBottom w:val="0"/>
      <w:divBdr>
        <w:top w:val="none" w:sz="0" w:space="0" w:color="auto"/>
        <w:left w:val="none" w:sz="0" w:space="0" w:color="auto"/>
        <w:bottom w:val="none" w:sz="0" w:space="0" w:color="auto"/>
        <w:right w:val="none" w:sz="0" w:space="0" w:color="auto"/>
      </w:divBdr>
    </w:div>
    <w:div w:id="1031568821">
      <w:bodyDiv w:val="1"/>
      <w:marLeft w:val="0"/>
      <w:marRight w:val="0"/>
      <w:marTop w:val="0"/>
      <w:marBottom w:val="0"/>
      <w:divBdr>
        <w:top w:val="none" w:sz="0" w:space="0" w:color="auto"/>
        <w:left w:val="none" w:sz="0" w:space="0" w:color="auto"/>
        <w:bottom w:val="none" w:sz="0" w:space="0" w:color="auto"/>
        <w:right w:val="none" w:sz="0" w:space="0" w:color="auto"/>
      </w:divBdr>
    </w:div>
    <w:div w:id="1076048438">
      <w:bodyDiv w:val="1"/>
      <w:marLeft w:val="0"/>
      <w:marRight w:val="0"/>
      <w:marTop w:val="0"/>
      <w:marBottom w:val="0"/>
      <w:divBdr>
        <w:top w:val="none" w:sz="0" w:space="0" w:color="auto"/>
        <w:left w:val="none" w:sz="0" w:space="0" w:color="auto"/>
        <w:bottom w:val="none" w:sz="0" w:space="0" w:color="auto"/>
        <w:right w:val="none" w:sz="0" w:space="0" w:color="auto"/>
      </w:divBdr>
    </w:div>
    <w:div w:id="1110125963">
      <w:bodyDiv w:val="1"/>
      <w:marLeft w:val="0"/>
      <w:marRight w:val="0"/>
      <w:marTop w:val="0"/>
      <w:marBottom w:val="0"/>
      <w:divBdr>
        <w:top w:val="none" w:sz="0" w:space="0" w:color="auto"/>
        <w:left w:val="none" w:sz="0" w:space="0" w:color="auto"/>
        <w:bottom w:val="none" w:sz="0" w:space="0" w:color="auto"/>
        <w:right w:val="none" w:sz="0" w:space="0" w:color="auto"/>
      </w:divBdr>
    </w:div>
    <w:div w:id="1133252853">
      <w:bodyDiv w:val="1"/>
      <w:marLeft w:val="0"/>
      <w:marRight w:val="0"/>
      <w:marTop w:val="0"/>
      <w:marBottom w:val="0"/>
      <w:divBdr>
        <w:top w:val="none" w:sz="0" w:space="0" w:color="auto"/>
        <w:left w:val="none" w:sz="0" w:space="0" w:color="auto"/>
        <w:bottom w:val="none" w:sz="0" w:space="0" w:color="auto"/>
        <w:right w:val="none" w:sz="0" w:space="0" w:color="auto"/>
      </w:divBdr>
    </w:div>
    <w:div w:id="1190337090">
      <w:bodyDiv w:val="1"/>
      <w:marLeft w:val="0"/>
      <w:marRight w:val="0"/>
      <w:marTop w:val="0"/>
      <w:marBottom w:val="0"/>
      <w:divBdr>
        <w:top w:val="none" w:sz="0" w:space="0" w:color="auto"/>
        <w:left w:val="none" w:sz="0" w:space="0" w:color="auto"/>
        <w:bottom w:val="none" w:sz="0" w:space="0" w:color="auto"/>
        <w:right w:val="none" w:sz="0" w:space="0" w:color="auto"/>
      </w:divBdr>
    </w:div>
    <w:div w:id="1199778440">
      <w:bodyDiv w:val="1"/>
      <w:marLeft w:val="0"/>
      <w:marRight w:val="0"/>
      <w:marTop w:val="0"/>
      <w:marBottom w:val="0"/>
      <w:divBdr>
        <w:top w:val="none" w:sz="0" w:space="0" w:color="auto"/>
        <w:left w:val="none" w:sz="0" w:space="0" w:color="auto"/>
        <w:bottom w:val="none" w:sz="0" w:space="0" w:color="auto"/>
        <w:right w:val="none" w:sz="0" w:space="0" w:color="auto"/>
      </w:divBdr>
    </w:div>
    <w:div w:id="1202399612">
      <w:bodyDiv w:val="1"/>
      <w:marLeft w:val="0"/>
      <w:marRight w:val="0"/>
      <w:marTop w:val="0"/>
      <w:marBottom w:val="0"/>
      <w:divBdr>
        <w:top w:val="none" w:sz="0" w:space="0" w:color="auto"/>
        <w:left w:val="none" w:sz="0" w:space="0" w:color="auto"/>
        <w:bottom w:val="none" w:sz="0" w:space="0" w:color="auto"/>
        <w:right w:val="none" w:sz="0" w:space="0" w:color="auto"/>
      </w:divBdr>
    </w:div>
    <w:div w:id="1239559799">
      <w:bodyDiv w:val="1"/>
      <w:marLeft w:val="0"/>
      <w:marRight w:val="0"/>
      <w:marTop w:val="0"/>
      <w:marBottom w:val="0"/>
      <w:divBdr>
        <w:top w:val="none" w:sz="0" w:space="0" w:color="auto"/>
        <w:left w:val="none" w:sz="0" w:space="0" w:color="auto"/>
        <w:bottom w:val="none" w:sz="0" w:space="0" w:color="auto"/>
        <w:right w:val="none" w:sz="0" w:space="0" w:color="auto"/>
      </w:divBdr>
    </w:div>
    <w:div w:id="1243837639">
      <w:bodyDiv w:val="1"/>
      <w:marLeft w:val="0"/>
      <w:marRight w:val="0"/>
      <w:marTop w:val="0"/>
      <w:marBottom w:val="0"/>
      <w:divBdr>
        <w:top w:val="none" w:sz="0" w:space="0" w:color="auto"/>
        <w:left w:val="none" w:sz="0" w:space="0" w:color="auto"/>
        <w:bottom w:val="none" w:sz="0" w:space="0" w:color="auto"/>
        <w:right w:val="none" w:sz="0" w:space="0" w:color="auto"/>
      </w:divBdr>
    </w:div>
    <w:div w:id="1249656275">
      <w:bodyDiv w:val="1"/>
      <w:marLeft w:val="0"/>
      <w:marRight w:val="0"/>
      <w:marTop w:val="0"/>
      <w:marBottom w:val="0"/>
      <w:divBdr>
        <w:top w:val="none" w:sz="0" w:space="0" w:color="auto"/>
        <w:left w:val="none" w:sz="0" w:space="0" w:color="auto"/>
        <w:bottom w:val="none" w:sz="0" w:space="0" w:color="auto"/>
        <w:right w:val="none" w:sz="0" w:space="0" w:color="auto"/>
      </w:divBdr>
    </w:div>
    <w:div w:id="1481995806">
      <w:bodyDiv w:val="1"/>
      <w:marLeft w:val="0"/>
      <w:marRight w:val="0"/>
      <w:marTop w:val="0"/>
      <w:marBottom w:val="0"/>
      <w:divBdr>
        <w:top w:val="none" w:sz="0" w:space="0" w:color="auto"/>
        <w:left w:val="none" w:sz="0" w:space="0" w:color="auto"/>
        <w:bottom w:val="none" w:sz="0" w:space="0" w:color="auto"/>
        <w:right w:val="none" w:sz="0" w:space="0" w:color="auto"/>
      </w:divBdr>
    </w:div>
    <w:div w:id="1505901268">
      <w:bodyDiv w:val="1"/>
      <w:marLeft w:val="0"/>
      <w:marRight w:val="0"/>
      <w:marTop w:val="0"/>
      <w:marBottom w:val="0"/>
      <w:divBdr>
        <w:top w:val="none" w:sz="0" w:space="0" w:color="auto"/>
        <w:left w:val="none" w:sz="0" w:space="0" w:color="auto"/>
        <w:bottom w:val="none" w:sz="0" w:space="0" w:color="auto"/>
        <w:right w:val="none" w:sz="0" w:space="0" w:color="auto"/>
      </w:divBdr>
    </w:div>
    <w:div w:id="1536304953">
      <w:bodyDiv w:val="1"/>
      <w:marLeft w:val="0"/>
      <w:marRight w:val="0"/>
      <w:marTop w:val="0"/>
      <w:marBottom w:val="0"/>
      <w:divBdr>
        <w:top w:val="none" w:sz="0" w:space="0" w:color="auto"/>
        <w:left w:val="none" w:sz="0" w:space="0" w:color="auto"/>
        <w:bottom w:val="none" w:sz="0" w:space="0" w:color="auto"/>
        <w:right w:val="none" w:sz="0" w:space="0" w:color="auto"/>
      </w:divBdr>
    </w:div>
    <w:div w:id="1779712975">
      <w:bodyDiv w:val="1"/>
      <w:marLeft w:val="0"/>
      <w:marRight w:val="0"/>
      <w:marTop w:val="0"/>
      <w:marBottom w:val="0"/>
      <w:divBdr>
        <w:top w:val="none" w:sz="0" w:space="0" w:color="auto"/>
        <w:left w:val="none" w:sz="0" w:space="0" w:color="auto"/>
        <w:bottom w:val="none" w:sz="0" w:space="0" w:color="auto"/>
        <w:right w:val="none" w:sz="0" w:space="0" w:color="auto"/>
      </w:divBdr>
    </w:div>
    <w:div w:id="1794133111">
      <w:bodyDiv w:val="1"/>
      <w:marLeft w:val="0"/>
      <w:marRight w:val="0"/>
      <w:marTop w:val="0"/>
      <w:marBottom w:val="0"/>
      <w:divBdr>
        <w:top w:val="none" w:sz="0" w:space="0" w:color="auto"/>
        <w:left w:val="none" w:sz="0" w:space="0" w:color="auto"/>
        <w:bottom w:val="none" w:sz="0" w:space="0" w:color="auto"/>
        <w:right w:val="none" w:sz="0" w:space="0" w:color="auto"/>
      </w:divBdr>
    </w:div>
    <w:div w:id="1864132166">
      <w:bodyDiv w:val="1"/>
      <w:marLeft w:val="0"/>
      <w:marRight w:val="0"/>
      <w:marTop w:val="0"/>
      <w:marBottom w:val="0"/>
      <w:divBdr>
        <w:top w:val="none" w:sz="0" w:space="0" w:color="auto"/>
        <w:left w:val="none" w:sz="0" w:space="0" w:color="auto"/>
        <w:bottom w:val="none" w:sz="0" w:space="0" w:color="auto"/>
        <w:right w:val="none" w:sz="0" w:space="0" w:color="auto"/>
      </w:divBdr>
    </w:div>
    <w:div w:id="1877623500">
      <w:bodyDiv w:val="1"/>
      <w:marLeft w:val="0"/>
      <w:marRight w:val="0"/>
      <w:marTop w:val="0"/>
      <w:marBottom w:val="0"/>
      <w:divBdr>
        <w:top w:val="none" w:sz="0" w:space="0" w:color="auto"/>
        <w:left w:val="none" w:sz="0" w:space="0" w:color="auto"/>
        <w:bottom w:val="none" w:sz="0" w:space="0" w:color="auto"/>
        <w:right w:val="none" w:sz="0" w:space="0" w:color="auto"/>
      </w:divBdr>
    </w:div>
    <w:div w:id="1881015278">
      <w:bodyDiv w:val="1"/>
      <w:marLeft w:val="0"/>
      <w:marRight w:val="0"/>
      <w:marTop w:val="0"/>
      <w:marBottom w:val="0"/>
      <w:divBdr>
        <w:top w:val="none" w:sz="0" w:space="0" w:color="auto"/>
        <w:left w:val="none" w:sz="0" w:space="0" w:color="auto"/>
        <w:bottom w:val="none" w:sz="0" w:space="0" w:color="auto"/>
        <w:right w:val="none" w:sz="0" w:space="0" w:color="auto"/>
      </w:divBdr>
    </w:div>
    <w:div w:id="2008361108">
      <w:bodyDiv w:val="1"/>
      <w:marLeft w:val="0"/>
      <w:marRight w:val="0"/>
      <w:marTop w:val="0"/>
      <w:marBottom w:val="0"/>
      <w:divBdr>
        <w:top w:val="none" w:sz="0" w:space="0" w:color="auto"/>
        <w:left w:val="none" w:sz="0" w:space="0" w:color="auto"/>
        <w:bottom w:val="none" w:sz="0" w:space="0" w:color="auto"/>
        <w:right w:val="none" w:sz="0" w:space="0" w:color="auto"/>
      </w:divBdr>
    </w:div>
    <w:div w:id="20248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fer.nmr.mgh.harvard.edu/" TargetMode="External"/><Relationship Id="rId13" Type="http://schemas.openxmlformats.org/officeDocument/2006/relationships/image" Target="media/image2.png"/><Relationship Id="rId18" Type="http://schemas.openxmlformats.org/officeDocument/2006/relationships/hyperlink" Target="https://eur03.safelinks.protection.outlook.com/?url=https%3A%2F%2Fsites.google.com%2Fview%2Fpinstudy&amp;data=04%7C01%7Cemily.p.hedges%40kcl.ac.uk%7Cf5482be0c6724bc4175208d9898fec72%7C8370cf1416f34c16b83c724071654356%7C0%7C0%7C637692073495293136%7CUnknown%7CTWFpbGZsb3d8eyJWIjoiMC4wLjAwMDAiLCJQIjoiV2luMzIiLCJBTiI6Ik1haWwiLCJXVCI6Mn0%3D%7C1000&amp;sdata=2fl%2Bj%2F6iZrkcDKvZOccbWmdxgT%2Fy%2FMTNX5ixX%2B%2FiiF4%3D&amp;reserve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tes.google.com/view/pinstudy"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s://eur03.safelinks.protection.outlook.com/?url=https%3A%2F%2Fsites.google.com%2Fview%2Fpinstudy&amp;data=04%7C01%7Cemily.p.hedges%40kcl.ac.uk%7Cf5482be0c6724bc4175208d9898fec72%7C8370cf1416f34c16b83c724071654356%7C0%7C0%7C637692073495293136%7CUnknown%7CTWFpbGZsb3d8eyJWIjoiMC4wLjAwMDAiLCJQIjoiV2luMzIiLCJBTiI6Ik1haWwiLCJXVCI6Mn0%3D%7C1000&amp;sdata=2fl%2Bj%2F6iZrkcDKvZOccbWmdxgT%2Fy%2FMTNX5ixX%2B%2FiiF4%3D&amp;reserved=0" TargetMode="External"/><Relationship Id="rId19" Type="http://schemas.openxmlformats.org/officeDocument/2006/relationships/hyperlink" Target="https://eur03.safelinks.protection.outlook.com/?url=https%3A%2F%2Fsites.google.com%2Fview%2Fpinstudy&amp;data=04%7C01%7Cemily.p.hedges%40kcl.ac.uk%7Cf5482be0c6724bc4175208d9898fec72%7C8370cf1416f34c16b83c724071654356%7C0%7C0%7C637692073495293136%7CUnknown%7CTWFpbGZsb3d8eyJWIjoiMC4wLjAwMDAiLCJQIjoiV2luMzIiLCJBTiI6Ik1haWwiLCJXVCI6Mn0%3D%7C1000&amp;sdata=2fl%2Bj%2F6iZrkcDKvZOccbWmdxgT%2Fy%2FMTNX5ixX%2B%2FiiF4%3D&amp;reserved=0" TargetMode="External"/><Relationship Id="rId4" Type="http://schemas.openxmlformats.org/officeDocument/2006/relationships/settings" Target="settings.xml"/><Relationship Id="rId9" Type="http://schemas.openxmlformats.org/officeDocument/2006/relationships/hyperlink" Target="http://adni.loni.usc.edu/" TargetMode="External"/><Relationship Id="rId14" Type="http://schemas.openxmlformats.org/officeDocument/2006/relationships/image" Target="media/image3.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emckclac-my.sharepoint.com/personal/k1892787_kcl_ac_uk/Documents/PHD_PSYCHOSIS/DATA/Reliability/zPAPER_DOCS/othertables/scatterplot_A3vA4_thicknes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emckclac-my.sharepoint.com/personal/k1892787_kcl_ac_uk/Documents/PHD_PSYCHOSIS/DATA/Reliability/zPAPER_DOCS/othertables/scatterplot_A3vA4_thicknes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Superior parietal volume</a:t>
            </a:r>
            <a:r>
              <a:rPr lang="en-GB" sz="1200" baseline="0"/>
              <a:t> </a:t>
            </a:r>
          </a:p>
          <a:p>
            <a:pPr>
              <a:defRPr/>
            </a:pPr>
            <a:r>
              <a:rPr lang="en-GB" sz="1200" baseline="0"/>
              <a:t>(right hemisphere)</a:t>
            </a:r>
            <a:endParaRPr lang="en-GB"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tx1"/>
              </a:solidFill>
              <a:ln w="9525">
                <a:solidFill>
                  <a:schemeClr val="tx1"/>
                </a:solidFill>
              </a:ln>
              <a:effectLst/>
            </c:spPr>
          </c:marker>
          <c:xVal>
            <c:numRef>
              <c:f>'FS7.1 longitudinal (RH)'!$N$3:$N$22</c:f>
              <c:numCache>
                <c:formatCode>General</c:formatCode>
                <c:ptCount val="20"/>
                <c:pt idx="0">
                  <c:v>13351</c:v>
                </c:pt>
                <c:pt idx="1">
                  <c:v>15455</c:v>
                </c:pt>
                <c:pt idx="2">
                  <c:v>12516</c:v>
                </c:pt>
                <c:pt idx="3">
                  <c:v>11914</c:v>
                </c:pt>
                <c:pt idx="4">
                  <c:v>13736</c:v>
                </c:pt>
                <c:pt idx="5">
                  <c:v>16473</c:v>
                </c:pt>
                <c:pt idx="6">
                  <c:v>14225</c:v>
                </c:pt>
                <c:pt idx="7">
                  <c:v>14056</c:v>
                </c:pt>
                <c:pt idx="8">
                  <c:v>15452</c:v>
                </c:pt>
                <c:pt idx="9">
                  <c:v>11880</c:v>
                </c:pt>
                <c:pt idx="10">
                  <c:v>11677</c:v>
                </c:pt>
                <c:pt idx="11">
                  <c:v>13796</c:v>
                </c:pt>
                <c:pt idx="12">
                  <c:v>14955</c:v>
                </c:pt>
                <c:pt idx="13">
                  <c:v>18038</c:v>
                </c:pt>
                <c:pt idx="14">
                  <c:v>14806</c:v>
                </c:pt>
                <c:pt idx="15">
                  <c:v>12311</c:v>
                </c:pt>
                <c:pt idx="16">
                  <c:v>14994</c:v>
                </c:pt>
                <c:pt idx="17">
                  <c:v>19804</c:v>
                </c:pt>
                <c:pt idx="18">
                  <c:v>13213</c:v>
                </c:pt>
                <c:pt idx="19">
                  <c:v>11064</c:v>
                </c:pt>
              </c:numCache>
            </c:numRef>
          </c:xVal>
          <c:yVal>
            <c:numRef>
              <c:f>'FS7.1 longitudinal (RH)'!$O$3:$O$22</c:f>
              <c:numCache>
                <c:formatCode>General</c:formatCode>
                <c:ptCount val="20"/>
                <c:pt idx="0">
                  <c:v>12578</c:v>
                </c:pt>
                <c:pt idx="1">
                  <c:v>14953</c:v>
                </c:pt>
                <c:pt idx="2">
                  <c:v>12550</c:v>
                </c:pt>
                <c:pt idx="3">
                  <c:v>11877</c:v>
                </c:pt>
                <c:pt idx="4">
                  <c:v>13641</c:v>
                </c:pt>
                <c:pt idx="5">
                  <c:v>15708</c:v>
                </c:pt>
                <c:pt idx="6">
                  <c:v>13953</c:v>
                </c:pt>
                <c:pt idx="7">
                  <c:v>13092</c:v>
                </c:pt>
                <c:pt idx="8">
                  <c:v>15275</c:v>
                </c:pt>
                <c:pt idx="9">
                  <c:v>11742</c:v>
                </c:pt>
                <c:pt idx="10">
                  <c:v>11716</c:v>
                </c:pt>
                <c:pt idx="11">
                  <c:v>12900</c:v>
                </c:pt>
                <c:pt idx="12">
                  <c:v>14174</c:v>
                </c:pt>
                <c:pt idx="13">
                  <c:v>17376</c:v>
                </c:pt>
                <c:pt idx="14">
                  <c:v>14593</c:v>
                </c:pt>
                <c:pt idx="15">
                  <c:v>10980</c:v>
                </c:pt>
                <c:pt idx="16">
                  <c:v>14033</c:v>
                </c:pt>
                <c:pt idx="17">
                  <c:v>19784</c:v>
                </c:pt>
                <c:pt idx="18">
                  <c:v>13123</c:v>
                </c:pt>
                <c:pt idx="19">
                  <c:v>10942</c:v>
                </c:pt>
              </c:numCache>
            </c:numRef>
          </c:yVal>
          <c:smooth val="0"/>
          <c:extLst>
            <c:ext xmlns:c16="http://schemas.microsoft.com/office/drawing/2014/chart" uri="{C3380CC4-5D6E-409C-BE32-E72D297353CC}">
              <c16:uniqueId val="{00000000-B900-42B2-9796-8CB3F2217D18}"/>
            </c:ext>
          </c:extLst>
        </c:ser>
        <c:ser>
          <c:idx val="1"/>
          <c:order val="1"/>
          <c:tx>
            <c:v>y=x</c:v>
          </c:tx>
          <c:spPr>
            <a:ln w="6350" cap="rnd">
              <a:solidFill>
                <a:schemeClr val="tx1"/>
              </a:solidFill>
              <a:round/>
            </a:ln>
            <a:effectLst/>
          </c:spPr>
          <c:marker>
            <c:symbol val="circle"/>
            <c:size val="5"/>
            <c:spPr>
              <a:noFill/>
              <a:ln w="9525">
                <a:noFill/>
              </a:ln>
              <a:effectLst/>
            </c:spPr>
          </c:marker>
          <c:trendline>
            <c:spPr>
              <a:ln w="19050" cap="rnd">
                <a:noFill/>
                <a:prstDash val="sysDot"/>
              </a:ln>
              <a:effectLst/>
            </c:spPr>
            <c:trendlineType val="linear"/>
            <c:dispRSqr val="0"/>
            <c:dispEq val="1"/>
            <c:trendlineLbl>
              <c:layout>
                <c:manualLayout>
                  <c:x val="-2.2978738601876662E-2"/>
                  <c:y val="-3.0833739496795416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'FS7.1 longitudinal (RH)'!$Q$24:$Q$25</c:f>
              <c:numCache>
                <c:formatCode>General</c:formatCode>
                <c:ptCount val="2"/>
                <c:pt idx="0">
                  <c:v>10942</c:v>
                </c:pt>
                <c:pt idx="1">
                  <c:v>19804</c:v>
                </c:pt>
              </c:numCache>
            </c:numRef>
          </c:xVal>
          <c:yVal>
            <c:numRef>
              <c:f>'FS7.1 longitudinal (RH)'!$R$24:$R$25</c:f>
              <c:numCache>
                <c:formatCode>General</c:formatCode>
                <c:ptCount val="2"/>
                <c:pt idx="0">
                  <c:v>10942</c:v>
                </c:pt>
                <c:pt idx="1">
                  <c:v>19804</c:v>
                </c:pt>
              </c:numCache>
            </c:numRef>
          </c:yVal>
          <c:smooth val="0"/>
          <c:extLst>
            <c:ext xmlns:c16="http://schemas.microsoft.com/office/drawing/2014/chart" uri="{C3380CC4-5D6E-409C-BE32-E72D297353CC}">
              <c16:uniqueId val="{00000002-B900-42B2-9796-8CB3F2217D18}"/>
            </c:ext>
          </c:extLst>
        </c:ser>
        <c:dLbls>
          <c:showLegendKey val="0"/>
          <c:showVal val="0"/>
          <c:showCatName val="0"/>
          <c:showSerName val="0"/>
          <c:showPercent val="0"/>
          <c:showBubbleSize val="0"/>
        </c:dLbls>
        <c:axId val="967728352"/>
        <c:axId val="967728024"/>
      </c:scatterChart>
      <c:valAx>
        <c:axId val="967728352"/>
        <c:scaling>
          <c:orientation val="minMax"/>
          <c:max val="20500"/>
          <c:min val="105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A3 scan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7728024"/>
        <c:crosses val="autoZero"/>
        <c:crossBetween val="midCat"/>
      </c:valAx>
      <c:valAx>
        <c:axId val="967728024"/>
        <c:scaling>
          <c:orientation val="minMax"/>
          <c:max val="20500"/>
          <c:min val="105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A4 scan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7728352"/>
        <c:crosses val="autoZero"/>
        <c:crossBetween val="midCat"/>
        <c:majorUnit val="2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Superior</a:t>
            </a:r>
            <a:r>
              <a:rPr lang="en-GB" sz="1200" baseline="0"/>
              <a:t> parietal thickness </a:t>
            </a:r>
          </a:p>
          <a:p>
            <a:pPr>
              <a:defRPr/>
            </a:pPr>
            <a:r>
              <a:rPr lang="en-GB" sz="1200" baseline="0"/>
              <a:t>(right hemisphere)</a:t>
            </a:r>
            <a:endParaRPr lang="en-GB"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tx1"/>
              </a:solidFill>
              <a:ln w="9525">
                <a:solidFill>
                  <a:schemeClr val="tx1"/>
                </a:solidFill>
              </a:ln>
              <a:effectLst/>
            </c:spPr>
          </c:marker>
          <c:xVal>
            <c:numRef>
              <c:f>'FS7.1 longitudinal (RH)'!$B$3:$B$22</c:f>
              <c:numCache>
                <c:formatCode>General</c:formatCode>
                <c:ptCount val="20"/>
                <c:pt idx="0">
                  <c:v>2.2360000000000002</c:v>
                </c:pt>
                <c:pt idx="1">
                  <c:v>2.331</c:v>
                </c:pt>
                <c:pt idx="2">
                  <c:v>2.1960000000000002</c:v>
                </c:pt>
                <c:pt idx="3">
                  <c:v>2.202</c:v>
                </c:pt>
                <c:pt idx="4">
                  <c:v>2.2250000000000001</c:v>
                </c:pt>
                <c:pt idx="5">
                  <c:v>2.2400000000000002</c:v>
                </c:pt>
                <c:pt idx="6">
                  <c:v>2.3860000000000001</c:v>
                </c:pt>
                <c:pt idx="7">
                  <c:v>2.3420000000000001</c:v>
                </c:pt>
                <c:pt idx="8">
                  <c:v>2.1989999999999998</c:v>
                </c:pt>
                <c:pt idx="9">
                  <c:v>2.2610000000000001</c:v>
                </c:pt>
                <c:pt idx="10">
                  <c:v>2.137</c:v>
                </c:pt>
                <c:pt idx="11">
                  <c:v>2.3079999999999998</c:v>
                </c:pt>
                <c:pt idx="12">
                  <c:v>2.403</c:v>
                </c:pt>
                <c:pt idx="13">
                  <c:v>2.4049999999999998</c:v>
                </c:pt>
                <c:pt idx="14">
                  <c:v>2.3479999999999999</c:v>
                </c:pt>
                <c:pt idx="15">
                  <c:v>2.2189999999999999</c:v>
                </c:pt>
                <c:pt idx="16">
                  <c:v>2.3170000000000002</c:v>
                </c:pt>
                <c:pt idx="17">
                  <c:v>2.383</c:v>
                </c:pt>
                <c:pt idx="18">
                  <c:v>2.2509999999999999</c:v>
                </c:pt>
                <c:pt idx="19">
                  <c:v>2.2629999999999999</c:v>
                </c:pt>
              </c:numCache>
            </c:numRef>
          </c:xVal>
          <c:yVal>
            <c:numRef>
              <c:f>'FS7.1 longitudinal (RH)'!$C$3:$C$22</c:f>
              <c:numCache>
                <c:formatCode>General</c:formatCode>
                <c:ptCount val="20"/>
                <c:pt idx="0">
                  <c:v>2.1080000000000001</c:v>
                </c:pt>
                <c:pt idx="1">
                  <c:v>2.2589999999999999</c:v>
                </c:pt>
                <c:pt idx="2">
                  <c:v>2.1789999999999998</c:v>
                </c:pt>
                <c:pt idx="3">
                  <c:v>2.1949999999999998</c:v>
                </c:pt>
                <c:pt idx="4">
                  <c:v>2.2029999999999998</c:v>
                </c:pt>
                <c:pt idx="5">
                  <c:v>2.1160000000000001</c:v>
                </c:pt>
                <c:pt idx="6">
                  <c:v>2.3210000000000002</c:v>
                </c:pt>
                <c:pt idx="7">
                  <c:v>2.141</c:v>
                </c:pt>
                <c:pt idx="8">
                  <c:v>2.1709999999999998</c:v>
                </c:pt>
                <c:pt idx="9">
                  <c:v>2.2250000000000001</c:v>
                </c:pt>
                <c:pt idx="10">
                  <c:v>2.1480000000000001</c:v>
                </c:pt>
                <c:pt idx="11">
                  <c:v>2.1850000000000001</c:v>
                </c:pt>
                <c:pt idx="12">
                  <c:v>2.2570000000000001</c:v>
                </c:pt>
                <c:pt idx="13">
                  <c:v>2.3069999999999999</c:v>
                </c:pt>
                <c:pt idx="14">
                  <c:v>2.2970000000000002</c:v>
                </c:pt>
                <c:pt idx="15">
                  <c:v>2.0179999999999998</c:v>
                </c:pt>
                <c:pt idx="16">
                  <c:v>2.1619999999999999</c:v>
                </c:pt>
                <c:pt idx="17">
                  <c:v>2.347</c:v>
                </c:pt>
                <c:pt idx="18">
                  <c:v>2.1829999999999998</c:v>
                </c:pt>
                <c:pt idx="19">
                  <c:v>2.1859999999999999</c:v>
                </c:pt>
              </c:numCache>
            </c:numRef>
          </c:yVal>
          <c:smooth val="0"/>
          <c:extLst>
            <c:ext xmlns:c16="http://schemas.microsoft.com/office/drawing/2014/chart" uri="{C3380CC4-5D6E-409C-BE32-E72D297353CC}">
              <c16:uniqueId val="{00000000-C4FD-4F15-A25A-E78184C8D97E}"/>
            </c:ext>
          </c:extLst>
        </c:ser>
        <c:ser>
          <c:idx val="1"/>
          <c:order val="1"/>
          <c:tx>
            <c:v>Y=X</c:v>
          </c:tx>
          <c:spPr>
            <a:ln w="6350" cap="rnd">
              <a:solidFill>
                <a:schemeClr val="tx1"/>
              </a:solidFill>
              <a:round/>
            </a:ln>
            <a:effectLst/>
          </c:spPr>
          <c:marker>
            <c:symbol val="circle"/>
            <c:size val="5"/>
            <c:spPr>
              <a:noFill/>
              <a:ln w="9525">
                <a:noFill/>
              </a:ln>
              <a:effectLst/>
            </c:spPr>
          </c:marker>
          <c:trendline>
            <c:spPr>
              <a:ln w="19050" cap="rnd">
                <a:noFill/>
                <a:prstDash val="sysDot"/>
              </a:ln>
              <a:effectLst/>
            </c:spPr>
            <c:trendlineType val="linear"/>
            <c:dispRSqr val="0"/>
            <c:dispEq val="1"/>
            <c:trendlineLbl>
              <c:layout>
                <c:manualLayout>
                  <c:x val="-6.3405852915674526E-3"/>
                  <c:y val="-2.8289825840735427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'FS7.1 longitudinal (RH)'!$E$24:$E$25</c:f>
              <c:numCache>
                <c:formatCode>General</c:formatCode>
                <c:ptCount val="2"/>
                <c:pt idx="0">
                  <c:v>2.0179999999999998</c:v>
                </c:pt>
                <c:pt idx="1">
                  <c:v>2.4049999999999998</c:v>
                </c:pt>
              </c:numCache>
            </c:numRef>
          </c:xVal>
          <c:yVal>
            <c:numRef>
              <c:f>'FS7.1 longitudinal (RH)'!$F$24:$F$25</c:f>
              <c:numCache>
                <c:formatCode>General</c:formatCode>
                <c:ptCount val="2"/>
                <c:pt idx="0">
                  <c:v>2.0179999999999998</c:v>
                </c:pt>
                <c:pt idx="1">
                  <c:v>2.4049999999999998</c:v>
                </c:pt>
              </c:numCache>
            </c:numRef>
          </c:yVal>
          <c:smooth val="0"/>
          <c:extLst>
            <c:ext xmlns:c16="http://schemas.microsoft.com/office/drawing/2014/chart" uri="{C3380CC4-5D6E-409C-BE32-E72D297353CC}">
              <c16:uniqueId val="{00000002-C4FD-4F15-A25A-E78184C8D97E}"/>
            </c:ext>
          </c:extLst>
        </c:ser>
        <c:dLbls>
          <c:showLegendKey val="0"/>
          <c:showVal val="0"/>
          <c:showCatName val="0"/>
          <c:showSerName val="0"/>
          <c:showPercent val="0"/>
          <c:showBubbleSize val="0"/>
        </c:dLbls>
        <c:axId val="337496440"/>
        <c:axId val="555935800"/>
      </c:scatterChart>
      <c:valAx>
        <c:axId val="337496440"/>
        <c:scaling>
          <c:orientation val="minMax"/>
          <c:max val="2.5"/>
          <c:min val="2"/>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A3 scan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935800"/>
        <c:crosses val="autoZero"/>
        <c:crossBetween val="midCat"/>
        <c:majorUnit val="0.1"/>
      </c:valAx>
      <c:valAx>
        <c:axId val="555935800"/>
        <c:scaling>
          <c:orientation val="minMax"/>
          <c:max val="2.5"/>
          <c:min val="2"/>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A4 scan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496440"/>
        <c:crosses val="autoZero"/>
        <c:crossBetween val="midCat"/>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E3089-D2FF-4EAD-96A4-1A9FB02D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24</Pages>
  <Words>7690</Words>
  <Characters>43836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Hedges, Emily</dc:creator>
  <cp:keywords/>
  <dc:description/>
  <cp:lastModifiedBy>Hedges, Emily</cp:lastModifiedBy>
  <cp:revision>535</cp:revision>
  <dcterms:created xsi:type="dcterms:W3CDTF">2021-08-17T14:59:00Z</dcterms:created>
  <dcterms:modified xsi:type="dcterms:W3CDTF">2021-11-18T11:53:00Z</dcterms:modified>
</cp:coreProperties>
</file>