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E82E" w14:textId="6E5064EF" w:rsidR="00445F6A" w:rsidRDefault="00445F6A" w:rsidP="003E2BA9">
      <w:pPr>
        <w:spacing w:line="360" w:lineRule="auto"/>
        <w:rPr>
          <w:b/>
          <w:bCs/>
        </w:rPr>
      </w:pPr>
      <w:r w:rsidRPr="000936BA">
        <w:rPr>
          <w:b/>
          <w:bCs/>
        </w:rPr>
        <w:t>Evaluating a programme for the continuing professional development of STEM teachers working within inclusive secondary schools</w:t>
      </w:r>
      <w:r w:rsidR="00430925" w:rsidRPr="000936BA">
        <w:rPr>
          <w:b/>
          <w:bCs/>
        </w:rPr>
        <w:t xml:space="preserve"> in the UK</w:t>
      </w:r>
    </w:p>
    <w:p w14:paraId="1D3D25A1" w14:textId="4DD94E41" w:rsidR="00380928" w:rsidRDefault="00380928" w:rsidP="003E2BA9">
      <w:pPr>
        <w:spacing w:line="360" w:lineRule="auto"/>
        <w:rPr>
          <w:b/>
          <w:bCs/>
        </w:rPr>
      </w:pPr>
    </w:p>
    <w:p w14:paraId="0EBA5841" w14:textId="77777777" w:rsidR="00380928" w:rsidRPr="006C3F52" w:rsidRDefault="00380928" w:rsidP="00380928">
      <w:pPr>
        <w:rPr>
          <w:i/>
          <w:iCs/>
        </w:rPr>
      </w:pPr>
      <w:r w:rsidRPr="006C3F52">
        <w:t xml:space="preserve">Peter Kutnick, </w:t>
      </w:r>
      <w:r w:rsidRPr="006C3F52">
        <w:rPr>
          <w:i/>
          <w:iCs/>
        </w:rPr>
        <w:t>School of Education, Communication &amp; Society, King’s College London, London, UK</w:t>
      </w:r>
    </w:p>
    <w:p w14:paraId="1DD86592" w14:textId="77777777" w:rsidR="00380928" w:rsidRPr="006C3F52" w:rsidRDefault="00380928" w:rsidP="00380928">
      <w:r w:rsidRPr="006C3F52">
        <w:t xml:space="preserve">Clare Gartland, </w:t>
      </w:r>
      <w:r w:rsidRPr="006C3F52">
        <w:rPr>
          <w:i/>
          <w:iCs/>
        </w:rPr>
        <w:t>School of Social Sciences &amp; Humanities, University of Suffolk, Ipswich, UK</w:t>
      </w:r>
    </w:p>
    <w:p w14:paraId="11BD4F1C" w14:textId="77777777" w:rsidR="00380928" w:rsidRPr="006C3F52" w:rsidRDefault="00380928" w:rsidP="00380928">
      <w:r w:rsidRPr="006C3F52">
        <w:t xml:space="preserve">David Good, </w:t>
      </w:r>
      <w:r w:rsidRPr="006C3F52">
        <w:rPr>
          <w:i/>
          <w:iCs/>
        </w:rPr>
        <w:t>King’s College, University of Cambridge, Cambridge, UK</w:t>
      </w:r>
    </w:p>
    <w:p w14:paraId="26909A13" w14:textId="77777777" w:rsidR="00380928" w:rsidRPr="006C3F52" w:rsidRDefault="00380928" w:rsidP="00380928"/>
    <w:p w14:paraId="14738786" w14:textId="77777777" w:rsidR="00380928" w:rsidRPr="006C3F52" w:rsidRDefault="00380928" w:rsidP="00380928">
      <w:r w:rsidRPr="006C3F52">
        <w:t xml:space="preserve">Corresponding author: Professor Peter Kutnick, Franklin-Wilkins Building, Waterloo Bridge Wing, Waterloo Road, London SE1 9NH, UK; </w:t>
      </w:r>
      <w:hyperlink r:id="rId8" w:history="1">
        <w:r w:rsidRPr="006C3F52">
          <w:rPr>
            <w:rStyle w:val="Hyperlink"/>
            <w:rFonts w:eastAsiaTheme="majorEastAsia"/>
            <w:i/>
            <w:iCs/>
          </w:rPr>
          <w:t>peter.kutnick@kcl.ac.uk</w:t>
        </w:r>
      </w:hyperlink>
      <w:r w:rsidRPr="006C3F52">
        <w:rPr>
          <w:i/>
          <w:iCs/>
        </w:rPr>
        <w:t xml:space="preserve"> </w:t>
      </w:r>
    </w:p>
    <w:p w14:paraId="249BF95E" w14:textId="77777777" w:rsidR="00380928" w:rsidRPr="000936BA" w:rsidRDefault="00380928" w:rsidP="003E2BA9">
      <w:pPr>
        <w:spacing w:line="360" w:lineRule="auto"/>
        <w:rPr>
          <w:b/>
          <w:bCs/>
        </w:rPr>
      </w:pPr>
    </w:p>
    <w:p w14:paraId="3B885AF2" w14:textId="769F520C" w:rsidR="00445F6A" w:rsidRPr="000936BA" w:rsidRDefault="00445F6A" w:rsidP="003E2BA9">
      <w:pPr>
        <w:spacing w:line="360" w:lineRule="auto"/>
      </w:pPr>
    </w:p>
    <w:p w14:paraId="591B833B" w14:textId="3A9D9641" w:rsidR="00B233D7" w:rsidRPr="000936BA" w:rsidRDefault="00B233D7" w:rsidP="00B6268A">
      <w:pPr>
        <w:ind w:left="567"/>
      </w:pPr>
      <w:r w:rsidRPr="000936BA">
        <w:rPr>
          <w:b/>
          <w:bCs/>
        </w:rPr>
        <w:t>Abstract</w:t>
      </w:r>
    </w:p>
    <w:p w14:paraId="33FC388E" w14:textId="4A31C6E5" w:rsidR="0025770E" w:rsidRPr="000936BA" w:rsidRDefault="0025770E" w:rsidP="0025770E">
      <w:pPr>
        <w:ind w:left="567"/>
      </w:pPr>
      <w:r w:rsidRPr="000936BA">
        <w:t xml:space="preserve">Preparing teachers to enhance students’ STEM education usually takes place via continuing professional (CPD) programmes. </w:t>
      </w:r>
      <w:r>
        <w:t>Many</w:t>
      </w:r>
      <w:r w:rsidRPr="000936BA">
        <w:t xml:space="preserve"> STEM-CPD programmes </w:t>
      </w:r>
      <w:r>
        <w:t>are</w:t>
      </w:r>
      <w:r w:rsidRPr="000936BA">
        <w:t xml:space="preserve"> critici</w:t>
      </w:r>
      <w:r>
        <w:t>sed</w:t>
      </w:r>
      <w:r w:rsidRPr="000936BA">
        <w:t xml:space="preserve"> for short-term, information-dominated, and non-interdisciplinary approaches that </w:t>
      </w:r>
      <w:r>
        <w:t>lack</w:t>
      </w:r>
      <w:r w:rsidRPr="000936BA">
        <w:t xml:space="preserve"> </w:t>
      </w:r>
      <w:r>
        <w:t xml:space="preserve">critical </w:t>
      </w:r>
      <w:r w:rsidRPr="000936BA">
        <w:t>consider</w:t>
      </w:r>
      <w:r>
        <w:t>ation</w:t>
      </w:r>
      <w:r w:rsidRPr="000936BA">
        <w:t xml:space="preserve"> of learning communitie</w:t>
      </w:r>
      <w:r>
        <w:t>s,</w:t>
      </w:r>
      <w:r w:rsidRPr="000936BA">
        <w:t xml:space="preserve"> teaching contexts</w:t>
      </w:r>
      <w:r>
        <w:t xml:space="preserve"> or</w:t>
      </w:r>
      <w:r w:rsidRPr="000936BA">
        <w:t xml:space="preserve"> STEM teaching is likely to take place in inclusive secondary schools/classrooms. We evaluate a UK-based, national, eight-year+ STEM-CPD programme</w:t>
      </w:r>
      <w:r>
        <w:t xml:space="preserve"> </w:t>
      </w:r>
      <w:r w:rsidR="00CE3744">
        <w:t xml:space="preserve">targeting inclusive secondary schools, </w:t>
      </w:r>
      <w:r>
        <w:t>u</w:t>
      </w:r>
      <w:r w:rsidRPr="000936BA">
        <w:t>sing a bootstrapped approach combining qualitative insights and quantitative comparisons</w:t>
      </w:r>
      <w:r>
        <w:t>. W</w:t>
      </w:r>
      <w:r w:rsidRPr="000936BA">
        <w:t xml:space="preserve">e found high levels of teachers’ STEM competence, desire for student inclusion and perceptions of student impact. </w:t>
      </w:r>
      <w:r w:rsidR="00FD35B3">
        <w:t>Yet</w:t>
      </w:r>
      <w:r w:rsidRPr="000936BA">
        <w:t>, shortcomings in the operations of teacher networks, lack of pedagogic/social pedagogic support and school-based disciplinary boundaries inhibited effects of the programme. Theoretical considerations were built into methods development and evaluation outcomes.</w:t>
      </w:r>
    </w:p>
    <w:p w14:paraId="7C3B20E9" w14:textId="77777777" w:rsidR="008D001A" w:rsidRPr="000936BA" w:rsidRDefault="008D001A" w:rsidP="00E91E91">
      <w:pPr>
        <w:spacing w:line="360" w:lineRule="auto"/>
        <w:rPr>
          <w:b/>
          <w:bCs/>
        </w:rPr>
      </w:pPr>
    </w:p>
    <w:p w14:paraId="44D713F2" w14:textId="2D29A6FB" w:rsidR="00B6268A" w:rsidRPr="00B6268A" w:rsidRDefault="00B6268A" w:rsidP="00B6268A">
      <w:r>
        <w:rPr>
          <w:b/>
          <w:bCs/>
        </w:rPr>
        <w:t xml:space="preserve">Key words: </w:t>
      </w:r>
      <w:r>
        <w:t>STEM education, Continuing Professional Development, Inclusive secondary schools, Networks, Cascade model</w:t>
      </w:r>
    </w:p>
    <w:p w14:paraId="056BB59A" w14:textId="77777777" w:rsidR="00B6268A" w:rsidRDefault="00B6268A" w:rsidP="00F00B79">
      <w:pPr>
        <w:spacing w:line="480" w:lineRule="auto"/>
        <w:rPr>
          <w:b/>
          <w:bCs/>
        </w:rPr>
      </w:pPr>
    </w:p>
    <w:p w14:paraId="271CD8E2" w14:textId="42A17916" w:rsidR="00854C01" w:rsidRPr="000936BA" w:rsidRDefault="00854C01" w:rsidP="00B6268A">
      <w:pPr>
        <w:spacing w:line="480" w:lineRule="auto"/>
      </w:pPr>
      <w:r w:rsidRPr="000936BA">
        <w:rPr>
          <w:b/>
          <w:bCs/>
        </w:rPr>
        <w:t>Introduction</w:t>
      </w:r>
    </w:p>
    <w:p w14:paraId="18B92AD9" w14:textId="34EC440E" w:rsidR="00854C01" w:rsidRPr="000936BA" w:rsidRDefault="00854C01" w:rsidP="00B6268A">
      <w:pPr>
        <w:spacing w:line="480" w:lineRule="auto"/>
      </w:pPr>
      <w:r w:rsidRPr="000936BA">
        <w:t xml:space="preserve">Industrialising and post-industrial societies have identified a growing need for STEM </w:t>
      </w:r>
      <w:r w:rsidR="00231375">
        <w:t xml:space="preserve">(Science, Technology, Engineering, Mathematics) </w:t>
      </w:r>
      <w:r w:rsidRPr="000936BA">
        <w:t>trained engineers and technicians</w:t>
      </w:r>
      <w:r w:rsidR="00613331">
        <w:t xml:space="preserve"> and the importance of STEM subjects within their curricula (for example, ASPIRES, 2013; HKCDC, 2015; Sohn &amp; Ju, 2010). Yet</w:t>
      </w:r>
      <w:r w:rsidRPr="000936BA">
        <w:t>,</w:t>
      </w:r>
      <w:r w:rsidR="00613331">
        <w:t xml:space="preserve"> there has been</w:t>
      </w:r>
      <w:r w:rsidRPr="000936BA">
        <w:t xml:space="preserve"> a decline in secondary school student interest/take-up of STEM disciplines/careers</w:t>
      </w:r>
      <w:r w:rsidR="00FD35B3">
        <w:t xml:space="preserve"> especially among f</w:t>
      </w:r>
      <w:r w:rsidR="00184AFE">
        <w:t>emale students and those</w:t>
      </w:r>
      <w:r w:rsidR="00F0723A">
        <w:t xml:space="preserve"> from l</w:t>
      </w:r>
      <w:r w:rsidR="00F0723A" w:rsidRPr="00F0723A">
        <w:t xml:space="preserve">ower socio-economic groups, black and minority </w:t>
      </w:r>
      <w:r w:rsidR="00F0723A">
        <w:t>groups</w:t>
      </w:r>
      <w:r w:rsidR="00F0723A" w:rsidRPr="00F0723A">
        <w:t xml:space="preserve"> (Smith and White, 2011; Morley, 2012, Baker et al., 2007).</w:t>
      </w:r>
      <w:r w:rsidR="00184AFE">
        <w:t xml:space="preserve"> </w:t>
      </w:r>
      <w:r w:rsidRPr="000936BA">
        <w:t xml:space="preserve">STEM-based discipline/career interests are most malleable during the years of secondary schooling (Osborne &amp; Archer, 2007; Kutnick, Good &amp; </w:t>
      </w:r>
      <w:r w:rsidRPr="000936BA">
        <w:lastRenderedPageBreak/>
        <w:t xml:space="preserve">Hossain, 2012; ASPIRES, 2013); hence </w:t>
      </w:r>
      <w:r w:rsidR="00613331">
        <w:t>secondary</w:t>
      </w:r>
      <w:r w:rsidRPr="000936BA">
        <w:t xml:space="preserve"> schools have been the </w:t>
      </w:r>
      <w:r w:rsidR="00A444EB">
        <w:t xml:space="preserve">particular </w:t>
      </w:r>
      <w:r w:rsidRPr="000936BA">
        <w:t xml:space="preserve">focus of programmes to enhance STEM education </w:t>
      </w:r>
      <w:r w:rsidR="00A444EB">
        <w:t>via</w:t>
      </w:r>
      <w:r w:rsidRPr="000936BA">
        <w:t xml:space="preserve"> continuing professional development (CPD) training of teachers. </w:t>
      </w:r>
    </w:p>
    <w:p w14:paraId="12AD8B05" w14:textId="77777777" w:rsidR="00854C01" w:rsidRPr="000936BA" w:rsidRDefault="00854C01" w:rsidP="00B6268A">
      <w:pPr>
        <w:spacing w:line="480" w:lineRule="auto"/>
      </w:pPr>
    </w:p>
    <w:p w14:paraId="26BAFD89" w14:textId="50594CFC" w:rsidR="00854C01" w:rsidRPr="000936BA" w:rsidRDefault="00854C01" w:rsidP="00B6268A">
      <w:pPr>
        <w:spacing w:line="480" w:lineRule="auto"/>
      </w:pPr>
      <w:r w:rsidRPr="000936BA">
        <w:t>In the UK, there are many</w:t>
      </w:r>
      <w:r w:rsidR="001F3EE1">
        <w:t xml:space="preserve"> STEM</w:t>
      </w:r>
      <w:r w:rsidRPr="000936BA">
        <w:t xml:space="preserve"> organisations working with schools</w:t>
      </w:r>
      <w:r w:rsidR="001F3EE1">
        <w:t>,</w:t>
      </w:r>
      <w:r w:rsidRPr="000936BA">
        <w:t xml:space="preserve"> teachers</w:t>
      </w:r>
      <w:r w:rsidR="001F3EE1">
        <w:t xml:space="preserve"> and students</w:t>
      </w:r>
      <w:r w:rsidRPr="000936BA">
        <w:t xml:space="preserve">. Organisations include STEM providers (such as STEM Learning, Young Engineers, </w:t>
      </w:r>
      <w:proofErr w:type="spellStart"/>
      <w:r w:rsidRPr="000936BA">
        <w:t>Smallpeice</w:t>
      </w:r>
      <w:proofErr w:type="spellEnd"/>
      <w:r w:rsidRPr="000936BA">
        <w:t xml:space="preserve"> Trust), museums, discipline-specific organisations (Institute of Mathematics, Institute of Physics, Royal Academies of Engineering/Chemistry/Biology), National Science Learning Centres, and professional bodies (including </w:t>
      </w:r>
      <w:proofErr w:type="spellStart"/>
      <w:r w:rsidRPr="000936BA">
        <w:t>EngineeringUK</w:t>
      </w:r>
      <w:proofErr w:type="spellEnd"/>
      <w:r w:rsidRPr="000936BA">
        <w:t>)</w:t>
      </w:r>
      <w:r w:rsidRPr="000936BA">
        <w:rPr>
          <w:vertAlign w:val="superscript"/>
        </w:rPr>
        <w:t>1</w:t>
      </w:r>
      <w:r w:rsidRPr="000936BA">
        <w:t xml:space="preserve">.  </w:t>
      </w:r>
      <w:r w:rsidR="00783CCF">
        <w:t xml:space="preserve">Enhancing </w:t>
      </w:r>
      <w:r w:rsidRPr="000936BA">
        <w:t>STEM education is likely to: combine two or more of the STEM disciplines, draw upon real-world problems, and encourage engineering design (</w:t>
      </w:r>
      <w:proofErr w:type="spellStart"/>
      <w:r w:rsidRPr="000936BA">
        <w:t>Shernoff</w:t>
      </w:r>
      <w:proofErr w:type="spellEnd"/>
      <w:r w:rsidRPr="000936BA">
        <w:t xml:space="preserve"> et al., 2017) as well as critical thinking, collaboration and creativity (Burrows &amp; Slater, 2015). Activities they promote often identify practices, resources and procedures for teachers to work directly with secondary school pupils (Morgan, Kirby &amp; </w:t>
      </w:r>
      <w:proofErr w:type="spellStart"/>
      <w:r w:rsidRPr="000936BA">
        <w:t>Stamenkovic</w:t>
      </w:r>
      <w:proofErr w:type="spellEnd"/>
      <w:r w:rsidRPr="000936BA">
        <w:t>, 2016)</w:t>
      </w:r>
      <w:r w:rsidR="00783CCF">
        <w:t xml:space="preserve"> via continuing professional development (CPD) programmes</w:t>
      </w:r>
      <w:r w:rsidRPr="000936BA">
        <w:t>. STEM-CPD at the secondary school level typically focuse</w:t>
      </w:r>
      <w:r w:rsidR="00783CCF">
        <w:t>s</w:t>
      </w:r>
      <w:r w:rsidRPr="000936BA">
        <w:t xml:space="preserve"> on improving teachers’ knowledge and pedagogical </w:t>
      </w:r>
      <w:r w:rsidR="0090080C" w:rsidRPr="000936BA">
        <w:t>skills and</w:t>
      </w:r>
      <w:r w:rsidRPr="000936BA">
        <w:t xml:space="preserve"> is usually advanced via discipline-specific ‘teaching’ and resource exposure (Newton &amp; Tonelli, 2020; </w:t>
      </w:r>
      <w:proofErr w:type="spellStart"/>
      <w:r w:rsidRPr="000936BA">
        <w:t>Shernoff</w:t>
      </w:r>
      <w:proofErr w:type="spellEnd"/>
      <w:r w:rsidRPr="000936BA">
        <w:t xml:space="preserve"> et al., 2017). What is noticeable about</w:t>
      </w:r>
      <w:r w:rsidR="00783CCF">
        <w:t xml:space="preserve"> STEM education</w:t>
      </w:r>
      <w:r w:rsidRPr="000936BA">
        <w:t xml:space="preserve"> </w:t>
      </w:r>
      <w:r w:rsidR="00243C16">
        <w:t xml:space="preserve">via </w:t>
      </w:r>
      <w:r w:rsidRPr="000936BA">
        <w:t>these</w:t>
      </w:r>
      <w:r w:rsidR="00783CCF">
        <w:t xml:space="preserve"> CPD</w:t>
      </w:r>
      <w:r w:rsidRPr="000936BA">
        <w:t xml:space="preserve"> programmes is that enhancement and impact falls mostly to teachers, </w:t>
      </w:r>
      <w:r w:rsidR="00534BFF">
        <w:t>and there are</w:t>
      </w:r>
      <w:r w:rsidRPr="000936BA">
        <w:t xml:space="preserve"> only limited opportunities for independent</w:t>
      </w:r>
      <w:r w:rsidR="00534BFF">
        <w:t xml:space="preserve"> programme</w:t>
      </w:r>
      <w:r w:rsidRPr="000936BA">
        <w:t xml:space="preserve"> evaluation (Kutnick et al., 2012). </w:t>
      </w:r>
      <w:r w:rsidR="00243C16">
        <w:t>In countries such as the United Kingdo</w:t>
      </w:r>
      <w:r w:rsidR="001A6521">
        <w:t>m</w:t>
      </w:r>
      <w:r w:rsidR="00243C16">
        <w:t xml:space="preserve">, </w:t>
      </w:r>
      <w:r w:rsidR="003D1E56">
        <w:t>t</w:t>
      </w:r>
      <w:r w:rsidRPr="000936BA">
        <w:t>hese programmes are often offered alongside the formal STEM curriculum disciplines (science, technology, mathematics</w:t>
      </w:r>
      <w:r w:rsidR="00534BFF" w:rsidRPr="00ED0D2E">
        <w:rPr>
          <w:vertAlign w:val="superscript"/>
        </w:rPr>
        <w:t>2</w:t>
      </w:r>
      <w:r w:rsidRPr="000936BA">
        <w:t>) with little integra</w:t>
      </w:r>
      <w:r w:rsidR="00534BFF">
        <w:t>tion</w:t>
      </w:r>
      <w:r w:rsidRPr="000936BA">
        <w:t xml:space="preserve"> into the </w:t>
      </w:r>
      <w:r w:rsidR="00534BFF">
        <w:t xml:space="preserve">formal </w:t>
      </w:r>
      <w:r w:rsidRPr="000936BA">
        <w:t>curriculum</w:t>
      </w:r>
      <w:r w:rsidR="00243C16">
        <w:t>.</w:t>
      </w:r>
      <w:r w:rsidRPr="000936BA">
        <w:t xml:space="preserve"> </w:t>
      </w:r>
    </w:p>
    <w:p w14:paraId="6E9D2584" w14:textId="77777777" w:rsidR="00854C01" w:rsidRPr="000936BA" w:rsidRDefault="00854C01" w:rsidP="00B6268A">
      <w:pPr>
        <w:spacing w:line="480" w:lineRule="auto"/>
      </w:pPr>
    </w:p>
    <w:p w14:paraId="1DB5345D" w14:textId="27D5AF33" w:rsidR="00854C01" w:rsidRPr="000936BA" w:rsidRDefault="00854C01" w:rsidP="00B6268A">
      <w:pPr>
        <w:spacing w:line="480" w:lineRule="auto"/>
        <w:rPr>
          <w:b/>
        </w:rPr>
      </w:pPr>
      <w:r w:rsidRPr="000936BA">
        <w:lastRenderedPageBreak/>
        <w:t>Evaluations of STEM-CPD programmes</w:t>
      </w:r>
      <w:r w:rsidR="006F50A1">
        <w:t xml:space="preserve"> that exist</w:t>
      </w:r>
      <w:r w:rsidRPr="000936BA">
        <w:t xml:space="preserve"> typically assume that</w:t>
      </w:r>
      <w:r w:rsidR="00CF4DE7">
        <w:t>:</w:t>
      </w:r>
      <w:r w:rsidRPr="000936BA">
        <w:t xml:space="preserve"> teachers’ knowledge and </w:t>
      </w:r>
      <w:r w:rsidR="00CF4DE7">
        <w:t xml:space="preserve">classroom </w:t>
      </w:r>
      <w:r w:rsidRPr="000936BA">
        <w:t>actions are the main route to enhance students’ STEM aspirations (Goodall et al., 2005)</w:t>
      </w:r>
      <w:r w:rsidR="00CF4DE7">
        <w:t>;</w:t>
      </w:r>
      <w:r w:rsidRPr="000936BA">
        <w:t xml:space="preserve"> enhancement of STEM knowledge requires an interdisciplinary approach that does not currently characterise within-school teaching (</w:t>
      </w:r>
      <w:proofErr w:type="spellStart"/>
      <w:r w:rsidRPr="000936BA">
        <w:t>Shernoff</w:t>
      </w:r>
      <w:proofErr w:type="spellEnd"/>
      <w:r w:rsidRPr="000936BA">
        <w:t xml:space="preserve"> et al., 2017)</w:t>
      </w:r>
      <w:r w:rsidR="00CF4DE7">
        <w:t>; t</w:t>
      </w:r>
      <w:r w:rsidRPr="000936BA">
        <w:t>he</w:t>
      </w:r>
      <w:r w:rsidR="00CF4DE7">
        <w:t>se</w:t>
      </w:r>
      <w:r w:rsidRPr="000936BA">
        <w:t xml:space="preserve"> evaluations </w:t>
      </w:r>
      <w:r w:rsidR="00CF4DE7">
        <w:t>tend to</w:t>
      </w:r>
      <w:r w:rsidRPr="000936BA">
        <w:t xml:space="preserve"> focus on science (Scott, </w:t>
      </w:r>
      <w:proofErr w:type="spellStart"/>
      <w:r w:rsidRPr="000936BA">
        <w:t>Amettler</w:t>
      </w:r>
      <w:proofErr w:type="spellEnd"/>
      <w:r w:rsidRPr="000936BA">
        <w:t xml:space="preserve"> &amp; Edwards, 2010)</w:t>
      </w:r>
      <w:r w:rsidR="00CF4DE7">
        <w:t>;</w:t>
      </w:r>
      <w:r w:rsidRPr="000936BA">
        <w:t xml:space="preserve"> and report only a weak relationship between teachers’ professional development</w:t>
      </w:r>
      <w:r w:rsidR="006F50A1">
        <w:t xml:space="preserve"> and </w:t>
      </w:r>
      <w:r w:rsidRPr="000936BA">
        <w:t>changes in student outcomes</w:t>
      </w:r>
      <w:r w:rsidR="006F50A1">
        <w:t xml:space="preserve"> </w:t>
      </w:r>
      <w:r w:rsidRPr="000936BA">
        <w:t xml:space="preserve">(Avery &amp; Reeve, 2013; Ralls, Bianchi &amp; </w:t>
      </w:r>
      <w:proofErr w:type="spellStart"/>
      <w:r w:rsidRPr="000936BA">
        <w:t>Choudry</w:t>
      </w:r>
      <w:proofErr w:type="spellEnd"/>
      <w:r w:rsidRPr="000936BA">
        <w:t>, 2020</w:t>
      </w:r>
      <w:r w:rsidR="006F50A1">
        <w:t xml:space="preserve">; </w:t>
      </w:r>
      <w:proofErr w:type="spellStart"/>
      <w:r w:rsidR="006F50A1" w:rsidRPr="000936BA">
        <w:t>Kudenko</w:t>
      </w:r>
      <w:proofErr w:type="spellEnd"/>
      <w:r w:rsidR="006F50A1" w:rsidRPr="000936BA">
        <w:t xml:space="preserve"> &amp; Hoyle, 2014</w:t>
      </w:r>
      <w:r w:rsidRPr="000936BA">
        <w:t xml:space="preserve">). </w:t>
      </w:r>
    </w:p>
    <w:p w14:paraId="4BA68D8E" w14:textId="77777777" w:rsidR="00854C01" w:rsidRPr="000936BA" w:rsidRDefault="00854C01" w:rsidP="00B6268A">
      <w:pPr>
        <w:spacing w:line="480" w:lineRule="auto"/>
      </w:pPr>
    </w:p>
    <w:p w14:paraId="4F915C26" w14:textId="374CE963" w:rsidR="00854C01" w:rsidRPr="000936BA" w:rsidRDefault="00854C01" w:rsidP="00B6268A">
      <w:pPr>
        <w:spacing w:line="480" w:lineRule="auto"/>
        <w:rPr>
          <w:b/>
        </w:rPr>
      </w:pPr>
      <w:r w:rsidRPr="000936BA">
        <w:t xml:space="preserve">While many STEM-CPD programmes account for teachers’ circumstances, it must be remembered that these studies take place </w:t>
      </w:r>
      <w:r w:rsidR="00460649">
        <w:t>with</w:t>
      </w:r>
      <w:r w:rsidRPr="000936BA">
        <w:t>in wider e</w:t>
      </w:r>
      <w:r w:rsidR="00460649">
        <w:t>ducationa</w:t>
      </w:r>
      <w:r w:rsidRPr="000936BA">
        <w:t>l c</w:t>
      </w:r>
      <w:r w:rsidR="008F5308">
        <w:t>ircumstance</w:t>
      </w:r>
      <w:r w:rsidR="00460649">
        <w:t>s</w:t>
      </w:r>
      <w:r w:rsidRPr="000936BA">
        <w:t xml:space="preserve"> (Bronfenbrenner, 1979), comprising the school’s own context, the </w:t>
      </w:r>
      <w:r w:rsidR="00460649">
        <w:t>type</w:t>
      </w:r>
      <w:r w:rsidRPr="000936BA">
        <w:t xml:space="preserve"> of institution</w:t>
      </w:r>
      <w:r w:rsidR="00460649">
        <w:t>,</w:t>
      </w:r>
      <w:r w:rsidRPr="000936BA">
        <w:t xml:space="preserve"> educational region</w:t>
      </w:r>
      <w:r w:rsidR="00460649">
        <w:t xml:space="preserve"> and curriculum/examination guidelines that frame teaching/learning</w:t>
      </w:r>
      <w:r w:rsidRPr="000936BA">
        <w:t xml:space="preserve">. The preponderance of enhanced STEM high schools and a focus on high-STEM ability students in these studies (Huang, Zhang &amp; Huang, 2020; Lynch et al., 2013) do not </w:t>
      </w:r>
      <w:r w:rsidR="008F5308">
        <w:t>readily</w:t>
      </w:r>
      <w:r w:rsidRPr="000936BA">
        <w:t xml:space="preserve"> inform STEM education for </w:t>
      </w:r>
      <w:r w:rsidRPr="000936BA">
        <w:rPr>
          <w:i/>
          <w:iCs/>
        </w:rPr>
        <w:t xml:space="preserve">all </w:t>
      </w:r>
      <w:r w:rsidRPr="000936BA">
        <w:t xml:space="preserve">secondary school students (especially those from ethnic minorities, educationally disadvantaged and females). </w:t>
      </w:r>
      <w:r w:rsidR="00460649">
        <w:t>Studies of</w:t>
      </w:r>
      <w:r w:rsidRPr="000936BA">
        <w:t xml:space="preserve"> high schools with an inclusive STEM focus (</w:t>
      </w:r>
      <w:proofErr w:type="spellStart"/>
      <w:r w:rsidRPr="000936BA">
        <w:t>Eisenhart</w:t>
      </w:r>
      <w:proofErr w:type="spellEnd"/>
      <w:r w:rsidRPr="000936BA">
        <w:t xml:space="preserve"> et al., 2015; LaFrance et al., 2019; Weis et al., 2015) find problems of drift, an over-reliance on remedial education, lack of interdisciplinarity and traditional pedagogic approaches (Lyons, 2006). </w:t>
      </w:r>
      <w:r w:rsidR="00EC06DF">
        <w:t>The</w:t>
      </w:r>
      <w:r w:rsidRPr="000936BA">
        <w:t xml:space="preserve"> focus on STEM-intensive schools or within-school problems ignores the fact that most STEM education takes place in ordinary, inclusive classrooms within inclusive schools</w:t>
      </w:r>
      <w:r w:rsidR="00460649" w:rsidRPr="00ED0D2E">
        <w:rPr>
          <w:vertAlign w:val="superscript"/>
        </w:rPr>
        <w:t>3</w:t>
      </w:r>
      <w:r w:rsidR="00EC06DF">
        <w:t>;</w:t>
      </w:r>
      <w:r w:rsidRPr="000936BA">
        <w:t xml:space="preserve"> offer</w:t>
      </w:r>
      <w:r w:rsidR="00EC06DF">
        <w:t xml:space="preserve"> only</w:t>
      </w:r>
      <w:r w:rsidRPr="000936BA">
        <w:t xml:space="preserve"> a broad exposure to STEM disciplines taught by discipline-specific, non-specialist STEM teachers. Consequently, </w:t>
      </w:r>
      <w:r w:rsidR="00EC06DF">
        <w:t xml:space="preserve">it is apparent that </w:t>
      </w:r>
      <w:r w:rsidRPr="000936BA">
        <w:t xml:space="preserve">STEM-CPD should </w:t>
      </w:r>
      <w:r w:rsidR="00EC06DF">
        <w:t>re</w:t>
      </w:r>
      <w:r w:rsidRPr="000936BA">
        <w:t>focus on</w:t>
      </w:r>
      <w:r w:rsidR="00EC06DF">
        <w:t>to</w:t>
      </w:r>
      <w:r w:rsidRPr="000936BA">
        <w:t xml:space="preserve"> STEM understanding/opportunities within an inclusive school</w:t>
      </w:r>
      <w:r w:rsidR="00EC06DF">
        <w:t>s</w:t>
      </w:r>
      <w:r w:rsidRPr="000936BA">
        <w:t xml:space="preserve"> and classroo</w:t>
      </w:r>
      <w:r w:rsidR="00EC06DF">
        <w:t>ms</w:t>
      </w:r>
      <w:r w:rsidRPr="000936BA">
        <w:t xml:space="preserve"> (Lynch et al., 2018). </w:t>
      </w:r>
    </w:p>
    <w:p w14:paraId="1688F64C" w14:textId="77777777" w:rsidR="00854C01" w:rsidRPr="000936BA" w:rsidRDefault="00854C01" w:rsidP="00B6268A">
      <w:pPr>
        <w:spacing w:line="480" w:lineRule="auto"/>
        <w:rPr>
          <w:b/>
          <w:bCs/>
        </w:rPr>
      </w:pPr>
    </w:p>
    <w:p w14:paraId="625B5C64" w14:textId="097FD928" w:rsidR="00854C01" w:rsidRPr="000936BA" w:rsidRDefault="006D6172" w:rsidP="00B6268A">
      <w:pPr>
        <w:spacing w:line="480" w:lineRule="auto"/>
      </w:pPr>
      <w:r>
        <w:rPr>
          <w:b/>
          <w:bCs/>
        </w:rPr>
        <w:t xml:space="preserve">Issues Concerning </w:t>
      </w:r>
      <w:r w:rsidR="00854C01" w:rsidRPr="000936BA">
        <w:rPr>
          <w:b/>
          <w:bCs/>
        </w:rPr>
        <w:t>Evaluations of STEM-CPD</w:t>
      </w:r>
    </w:p>
    <w:p w14:paraId="65F4562C" w14:textId="663AFA20" w:rsidR="00854C01" w:rsidRPr="000936BA" w:rsidRDefault="00854C01" w:rsidP="00B6268A">
      <w:pPr>
        <w:spacing w:line="480" w:lineRule="auto"/>
      </w:pPr>
      <w:r w:rsidRPr="000936BA">
        <w:t>STEM-CPD evaluations cover topics including: ‘effective’ CPD, pedagogies and their underlying theories, integrating CPD into classrooms, and theories/methods that underlie effective evaluation. Enhancement of STEM is strongly associated with within-school contexts (affected by school-system support, school-based support, appropriate resources and consistent/supportive expectations (Monk, 2008)) as well as teachers’ experiential/reflective learning and collegial support (</w:t>
      </w:r>
      <w:proofErr w:type="spellStart"/>
      <w:r w:rsidRPr="000936BA">
        <w:t>Roeken</w:t>
      </w:r>
      <w:proofErr w:type="spellEnd"/>
      <w:r w:rsidRPr="000936BA">
        <w:t xml:space="preserve">-Winter, </w:t>
      </w:r>
      <w:proofErr w:type="spellStart"/>
      <w:r w:rsidRPr="000936BA">
        <w:t>Hoyles</w:t>
      </w:r>
      <w:proofErr w:type="spellEnd"/>
      <w:r w:rsidRPr="000936BA">
        <w:t xml:space="preserve"> &amp; </w:t>
      </w:r>
      <w:proofErr w:type="spellStart"/>
      <w:r w:rsidRPr="000936BA">
        <w:t>Blömeke</w:t>
      </w:r>
      <w:proofErr w:type="spellEnd"/>
      <w:r w:rsidRPr="000936BA">
        <w:t>, 2015). Monk concludes that ‘information is not enough</w:t>
      </w:r>
      <w:r w:rsidR="003B5930">
        <w:t xml:space="preserve"> (p</w:t>
      </w:r>
      <w:r w:rsidR="007278DD">
        <w:t>.</w:t>
      </w:r>
      <w:r w:rsidR="003B5930">
        <w:t>118)</w:t>
      </w:r>
      <w:r w:rsidRPr="000936BA">
        <w:t xml:space="preserve">’. </w:t>
      </w:r>
      <w:proofErr w:type="spellStart"/>
      <w:r w:rsidRPr="000936BA">
        <w:t>Shernoff</w:t>
      </w:r>
      <w:proofErr w:type="spellEnd"/>
      <w:r w:rsidRPr="000936BA">
        <w:t xml:space="preserve"> et al. (2017) and Hoyle (2016) note that teachers must be encouraged to move beyond their discipline-specific training. Beyond school- and system-based contexts, effective STEM-CPD experience rel</w:t>
      </w:r>
      <w:r w:rsidR="00700899">
        <w:t>ies</w:t>
      </w:r>
      <w:r w:rsidRPr="000936BA">
        <w:t xml:space="preserve"> on groupings of teachers</w:t>
      </w:r>
      <w:r w:rsidR="003B5930">
        <w:t xml:space="preserve"> involved in co-construction of knowledge</w:t>
      </w:r>
      <w:r w:rsidRPr="000936BA">
        <w:t xml:space="preserve"> during their CPD (Khalil, </w:t>
      </w:r>
      <w:proofErr w:type="spellStart"/>
      <w:r w:rsidRPr="000936BA">
        <w:t>Ardoin</w:t>
      </w:r>
      <w:proofErr w:type="spellEnd"/>
      <w:r w:rsidRPr="000936BA">
        <w:t xml:space="preserve"> &amp; Wojcik, 2016)</w:t>
      </w:r>
      <w:r w:rsidR="00700899">
        <w:t>;</w:t>
      </w:r>
      <w:r w:rsidRPr="000936BA">
        <w:t xml:space="preserve"> suggesting that Lave and Wenger’s (1991) community of </w:t>
      </w:r>
      <w:r w:rsidR="002F6C85">
        <w:t>learners</w:t>
      </w:r>
      <w:r w:rsidRPr="000936BA">
        <w:t xml:space="preserve"> is organised around STEM learning tasks. Wenger (</w:t>
      </w:r>
      <w:r w:rsidR="00ED0D2E">
        <w:t>1998</w:t>
      </w:r>
      <w:r w:rsidRPr="000936BA">
        <w:t>) further notes that members of any learning group will have a variety of experience and incumbency and, without consideration of how diverse members can become an inclusive group, it is likely that CPD learners will differentiate themselves into core and periphery subgroups. In planning for effective STEM-CPD, Khalil et al. (2016) identify the ‘centrality’ of the learner, thus ensuring that newcomers have the confidence and competence to experience and reflect with others in their CPD group.</w:t>
      </w:r>
      <w:r w:rsidR="00700899">
        <w:t xml:space="preserve"> Within this context we</w:t>
      </w:r>
      <w:r w:rsidR="003B5930">
        <w:t xml:space="preserve"> also</w:t>
      </w:r>
      <w:r w:rsidR="00700899">
        <w:t xml:space="preserve"> note that the lack of </w:t>
      </w:r>
      <w:r w:rsidR="0048492C">
        <w:t>engineering course</w:t>
      </w:r>
      <w:r w:rsidR="003B5930">
        <w:t>s</w:t>
      </w:r>
      <w:r w:rsidR="0048492C">
        <w:t xml:space="preserve"> in schools is likely to limit a full appreciation of STEM-CPD and career aspirations of students (Holman, 2007; Katehi et al, 2009).</w:t>
      </w:r>
    </w:p>
    <w:p w14:paraId="699ABAC3" w14:textId="3C35E93A" w:rsidR="00854C01" w:rsidRPr="000936BA" w:rsidRDefault="00854C01" w:rsidP="00B6268A">
      <w:pPr>
        <w:spacing w:line="480" w:lineRule="auto"/>
      </w:pPr>
      <w:r w:rsidRPr="000936BA">
        <w:rPr>
          <w:i/>
          <w:iCs/>
        </w:rPr>
        <w:t>CPD and Pedagogy</w:t>
      </w:r>
      <w:r w:rsidRPr="000936BA">
        <w:t>: To facilitate teachers’ movement from knowledge to practice and reflection, several STEM-CPD studies acknowledge the role of pedagogy. Khalil et al. (2016) identified that these practices should be based on teachers’ co-constructio</w:t>
      </w:r>
      <w:r w:rsidR="007278DD">
        <w:t>n of</w:t>
      </w:r>
      <w:r w:rsidRPr="000936BA">
        <w:t xml:space="preserve"> </w:t>
      </w:r>
      <w:r w:rsidR="00036C3F">
        <w:t xml:space="preserve">understanding </w:t>
      </w:r>
      <w:r w:rsidR="00036C3F">
        <w:lastRenderedPageBreak/>
        <w:t>rather than a simple ‘cascading’ of knowledge from those with more experience or expertise</w:t>
      </w:r>
      <w:r w:rsidRPr="000936BA">
        <w:t xml:space="preserve">. Newton and Tonelli (2020) advocate co-construction taking place within an ‘inquiry’ based pedagogy. </w:t>
      </w:r>
      <w:r w:rsidR="007278DD">
        <w:t>Yet, b</w:t>
      </w:r>
      <w:r w:rsidRPr="000936BA">
        <w:t>oth co-construction and inquiry-based learning are often at odds with STEM teachers’ discipline-based approach to knowledge (</w:t>
      </w:r>
      <w:proofErr w:type="spellStart"/>
      <w:r w:rsidRPr="000936BA">
        <w:t>Shernoff</w:t>
      </w:r>
      <w:proofErr w:type="spellEnd"/>
      <w:r w:rsidRPr="000936BA">
        <w:t xml:space="preserve"> et al., 2017) and traditional teaching approaches (Lyons, 2006). At the same time, STEM-CPD must consider how changes in classroom practice can be facilitated within inclusive classrooms (</w:t>
      </w:r>
      <w:proofErr w:type="spellStart"/>
      <w:r w:rsidRPr="000936BA">
        <w:t>Vanteighen</w:t>
      </w:r>
      <w:proofErr w:type="spellEnd"/>
      <w:r w:rsidRPr="000936BA">
        <w:t xml:space="preserve"> et al., 2020) – where student-student and student-teacher inquiry may be </w:t>
      </w:r>
      <w:r w:rsidR="00236B97">
        <w:t>challenged</w:t>
      </w:r>
      <w:r w:rsidR="00236B97" w:rsidRPr="000936BA">
        <w:t xml:space="preserve"> </w:t>
      </w:r>
      <w:r w:rsidRPr="000936BA">
        <w:t xml:space="preserve">by requirements to provide differentiated instruction and classrooms composed of disabled, non-disabled and marginalised students (OECD, 2015). </w:t>
      </w:r>
    </w:p>
    <w:p w14:paraId="6FFBB071" w14:textId="6D352532" w:rsidR="00854C01" w:rsidRPr="000936BA" w:rsidRDefault="00854C01" w:rsidP="00B6268A">
      <w:pPr>
        <w:spacing w:line="480" w:lineRule="auto"/>
      </w:pPr>
      <w:r w:rsidRPr="000936BA">
        <w:rPr>
          <w:i/>
          <w:iCs/>
        </w:rPr>
        <w:t>Evaluating effects and effectiveness of CPD and STEM-CPD</w:t>
      </w:r>
      <w:r w:rsidRPr="000936BA">
        <w:t xml:space="preserve">: </w:t>
      </w:r>
      <w:r w:rsidR="000B0825">
        <w:t>E</w:t>
      </w:r>
      <w:r w:rsidRPr="000936BA">
        <w:t xml:space="preserve">valuations of CPD tend to draw upon </w:t>
      </w:r>
      <w:proofErr w:type="spellStart"/>
      <w:r w:rsidRPr="000936BA">
        <w:t>Guskey’s</w:t>
      </w:r>
      <w:proofErr w:type="spellEnd"/>
      <w:r w:rsidRPr="000936BA">
        <w:t xml:space="preserve"> (2000) CPD model with five levels of focus (see also </w:t>
      </w:r>
      <w:proofErr w:type="spellStart"/>
      <w:r w:rsidRPr="000936BA">
        <w:t>Kudenko</w:t>
      </w:r>
      <w:proofErr w:type="spellEnd"/>
      <w:r w:rsidRPr="000936BA">
        <w:t xml:space="preserve"> &amp; Hoyle, 2014) including: participants’ reaction, participants’ learning, organisational support and change, participants’ use of new knowledge and skills and learning outcomes for pupils. Desimone suggests that research indicates a core set of CPD programme</w:t>
      </w:r>
      <w:r w:rsidR="007278DD">
        <w:t xml:space="preserve"> features</w:t>
      </w:r>
      <w:r w:rsidRPr="000936BA">
        <w:t xml:space="preserve"> ‘associated with changes in knowledge, practice and, to a lesser extent, student achievement’</w:t>
      </w:r>
      <w:r w:rsidR="00136D9E">
        <w:t>(Desimone, 2009:</w:t>
      </w:r>
      <w:r w:rsidR="004D799D">
        <w:t>p.</w:t>
      </w:r>
      <w:r w:rsidR="00136D9E">
        <w:t>183)</w:t>
      </w:r>
      <w:r w:rsidR="00136D9E" w:rsidRPr="000936BA">
        <w:t xml:space="preserve">. </w:t>
      </w:r>
      <w:r w:rsidRPr="000936BA">
        <w:t xml:space="preserve">She identifies the need for content focus, active learning, coherence, duration and collective participation (Desimone, 2009). Whitworth and Chiu (2015) </w:t>
      </w:r>
      <w:r w:rsidR="00920386">
        <w:t xml:space="preserve">also </w:t>
      </w:r>
      <w:r w:rsidRPr="000936BA">
        <w:t xml:space="preserve">note the central importance of school leadership teams in the development of successful CPD. Yoon and </w:t>
      </w:r>
      <w:proofErr w:type="spellStart"/>
      <w:r w:rsidRPr="000936BA">
        <w:t>Klopfer</w:t>
      </w:r>
      <w:proofErr w:type="spellEnd"/>
      <w:r w:rsidRPr="000936BA">
        <w:t xml:space="preserve"> (2006) highlight </w:t>
      </w:r>
      <w:r w:rsidR="000B0825">
        <w:t>contextual</w:t>
      </w:r>
      <w:r w:rsidRPr="000936BA">
        <w:t xml:space="preserve"> features such as legislation and standardised testing, and the number of teachers in a school engaging with programmes. Thus, evaluations are likely to point to tensions between structure and agency (Monk 2008). </w:t>
      </w:r>
    </w:p>
    <w:p w14:paraId="25ACC495" w14:textId="77777777" w:rsidR="00854C01" w:rsidRPr="000936BA" w:rsidRDefault="00854C01" w:rsidP="00B6268A">
      <w:pPr>
        <w:spacing w:line="480" w:lineRule="auto"/>
      </w:pPr>
    </w:p>
    <w:p w14:paraId="6FFE4066" w14:textId="2AE0D1D9" w:rsidR="00854C01" w:rsidRPr="000936BA" w:rsidRDefault="00854C01" w:rsidP="00B6268A">
      <w:pPr>
        <w:spacing w:line="480" w:lineRule="auto"/>
        <w:rPr>
          <w:i/>
        </w:rPr>
      </w:pPr>
      <w:r w:rsidRPr="000936BA">
        <w:t>Consideration of ‘learning’ within evaluation tends to focus on both cognitive and socio-cultural perspectives (McCormick, 2010) and may be limited by teachers’ feelings of efficacy (Takahashi, 2011). CPD learning will thus be affected by the</w:t>
      </w:r>
      <w:r w:rsidR="000B0825">
        <w:t>ir</w:t>
      </w:r>
      <w:r w:rsidRPr="000936BA">
        <w:t xml:space="preserve"> social pedagogic context </w:t>
      </w:r>
      <w:r w:rsidRPr="000936BA">
        <w:lastRenderedPageBreak/>
        <w:t xml:space="preserve">(Kutnick &amp; Blatchford, 2014). </w:t>
      </w:r>
      <w:proofErr w:type="spellStart"/>
      <w:r w:rsidRPr="000936BA">
        <w:t>Borko’s</w:t>
      </w:r>
      <w:proofErr w:type="spellEnd"/>
      <w:r w:rsidRPr="000936BA">
        <w:t xml:space="preserve"> (2004) mapping of professional development argues for a ‘</w:t>
      </w:r>
      <w:proofErr w:type="spellStart"/>
      <w:r w:rsidRPr="000936BA">
        <w:t>situative</w:t>
      </w:r>
      <w:proofErr w:type="spellEnd"/>
      <w:r w:rsidRPr="000936BA">
        <w:t xml:space="preserve">’ perspective, conceptualising learning as ‘changes in participation in socially organised activities, and individuals’ use of knowledge as an aspect of their participation in social practices’(p.4). CPD </w:t>
      </w:r>
      <w:r w:rsidR="00920386">
        <w:t>l</w:t>
      </w:r>
      <w:r w:rsidRPr="000936BA">
        <w:t>earning activity</w:t>
      </w:r>
      <w:r w:rsidR="00920386">
        <w:t xml:space="preserve"> and impact</w:t>
      </w:r>
      <w:r w:rsidRPr="000936BA">
        <w:t xml:space="preserve"> sees teachers as: a) active and involved while working within organisational constraints of networks and schools; and b) </w:t>
      </w:r>
      <w:r w:rsidR="00920386">
        <w:t xml:space="preserve">affected by </w:t>
      </w:r>
      <w:r w:rsidRPr="000936BA">
        <w:t>personal feelings of efficacy (Bandura, 1997).</w:t>
      </w:r>
    </w:p>
    <w:p w14:paraId="07F972B5" w14:textId="77777777" w:rsidR="00854C01" w:rsidRPr="000936BA" w:rsidRDefault="00854C01" w:rsidP="00B6268A">
      <w:pPr>
        <w:spacing w:line="480" w:lineRule="auto"/>
      </w:pPr>
    </w:p>
    <w:p w14:paraId="07B241BB" w14:textId="56C34259" w:rsidR="00854C01" w:rsidRPr="000936BA" w:rsidRDefault="00854C01" w:rsidP="00B6268A">
      <w:pPr>
        <w:spacing w:line="480" w:lineRule="auto"/>
      </w:pPr>
      <w:r w:rsidRPr="000936BA">
        <w:t xml:space="preserve">Studies focusing on STEM-CPD </w:t>
      </w:r>
      <w:r w:rsidR="000B0825">
        <w:t>tend to be drawn from</w:t>
      </w:r>
      <w:r w:rsidRPr="000936BA">
        <w:t xml:space="preserve"> discipline-specific models. In science education, Loucks-Horsley et al. (1998) describe features such as: emphasising inquiry-based learning, investigations and problem-solving; building pedagogical skills, content knowledge and efficacy; modelling strategies that teachers will use with students; building learning communities; supporting teachers in leadership roles; and system changes to insure positive impact (Capps, Crawford &amp; </w:t>
      </w:r>
      <w:proofErr w:type="spellStart"/>
      <w:r w:rsidRPr="000936BA">
        <w:t>Constas</w:t>
      </w:r>
      <w:proofErr w:type="spellEnd"/>
      <w:r w:rsidRPr="000936BA">
        <w:t>, 2012; Dogan, Pringle &amp; Mesa, 2015). Capps et al.’s review of science CPD identified specific features includ</w:t>
      </w:r>
      <w:r w:rsidR="000B0825">
        <w:t>ing</w:t>
      </w:r>
      <w:r w:rsidRPr="000936BA">
        <w:t xml:space="preserve">: time to process and address doubts and misconceptions; follow-up meetings; authentic experience; alignment of programmes to national standards; modelled inquiry lessons; and opportunities for reflection. </w:t>
      </w:r>
      <w:r w:rsidR="00437147">
        <w:t>On the other hand, f</w:t>
      </w:r>
      <w:r w:rsidR="003D0ACD">
        <w:t xml:space="preserve">ew of these </w:t>
      </w:r>
      <w:r w:rsidR="003D0ACD" w:rsidRPr="000936BA">
        <w:t>evaluations consider impacts at school, teacher and student levels (National STEM Learning Centre, 2018).</w:t>
      </w:r>
      <w:r w:rsidR="003D0ACD" w:rsidRPr="000936BA" w:rsidDel="00576158">
        <w:t xml:space="preserve"> </w:t>
      </w:r>
      <w:r w:rsidRPr="000936BA">
        <w:t>Many of the</w:t>
      </w:r>
      <w:r w:rsidR="00437147">
        <w:t xml:space="preserve"> above</w:t>
      </w:r>
      <w:r w:rsidRPr="000936BA">
        <w:t xml:space="preserve"> features are difficult for teachers to </w:t>
      </w:r>
      <w:r w:rsidR="003D0ACD">
        <w:t>engage</w:t>
      </w:r>
      <w:r w:rsidRPr="000936BA">
        <w:t xml:space="preserve"> within their schools (Goodall et al., 2005)</w:t>
      </w:r>
      <w:r w:rsidR="003D0ACD">
        <w:t xml:space="preserve">. </w:t>
      </w:r>
      <w:proofErr w:type="gramStart"/>
      <w:r w:rsidR="00437147">
        <w:t>And,</w:t>
      </w:r>
      <w:proofErr w:type="gramEnd"/>
      <w:r w:rsidRPr="000936BA">
        <w:t xml:space="preserve"> evaluations of CPD tend to focus on development and change in attitudes (Kutnick et al., 2012) while concerns expressed by Ajzen (2002) argue</w:t>
      </w:r>
      <w:r w:rsidR="007E4CDF">
        <w:t>s</w:t>
      </w:r>
      <w:r w:rsidRPr="000936BA">
        <w:t xml:space="preserve"> for actual changes in teacher/student behaviour to be based on a theory of efficacy. </w:t>
      </w:r>
    </w:p>
    <w:p w14:paraId="5C904A58" w14:textId="77777777" w:rsidR="00854C01" w:rsidRPr="000936BA" w:rsidRDefault="00854C01" w:rsidP="00B6268A">
      <w:pPr>
        <w:spacing w:line="480" w:lineRule="auto"/>
      </w:pPr>
      <w:r w:rsidRPr="000936BA">
        <w:rPr>
          <w:i/>
          <w:iCs/>
        </w:rPr>
        <w:t>Focus on STEM-CPD evaluations</w:t>
      </w:r>
      <w:r w:rsidRPr="000936BA">
        <w:t xml:space="preserve">: While there are literally hundreds of STEM-CPD programmes in operation across many countries (see STEM Directory (2018) for UK-based programmes) and a variety of requirements for effective STEM-CPD, a review of the </w:t>
      </w:r>
      <w:r w:rsidRPr="000936BA">
        <w:lastRenderedPageBreak/>
        <w:t>available literature regarding inclusive schools/classrooms identifies many problems and little consistency of approach. Problems range from: limited methodological consideration, inconsistent use of instruments and lack of STEM contexts (</w:t>
      </w:r>
      <w:proofErr w:type="spellStart"/>
      <w:r w:rsidRPr="000936BA">
        <w:t>Katzenmeyer</w:t>
      </w:r>
      <w:proofErr w:type="spellEnd"/>
      <w:r w:rsidRPr="000936BA">
        <w:t xml:space="preserve"> &amp; </w:t>
      </w:r>
      <w:proofErr w:type="spellStart"/>
      <w:r w:rsidRPr="000936BA">
        <w:t>Lawrenz</w:t>
      </w:r>
      <w:proofErr w:type="spellEnd"/>
      <w:r w:rsidRPr="000936BA">
        <w:t xml:space="preserve">, 2006; Monk, 2008); limited consensus between programmes (van den </w:t>
      </w:r>
      <w:proofErr w:type="spellStart"/>
      <w:r w:rsidRPr="000936BA">
        <w:t>Hurk</w:t>
      </w:r>
      <w:proofErr w:type="spellEnd"/>
      <w:r w:rsidRPr="000936BA">
        <w:t xml:space="preserve">, </w:t>
      </w:r>
      <w:proofErr w:type="spellStart"/>
      <w:r w:rsidRPr="000936BA">
        <w:t>Meelisson</w:t>
      </w:r>
      <w:proofErr w:type="spellEnd"/>
      <w:r w:rsidRPr="000936BA">
        <w:t xml:space="preserve"> &amp; van </w:t>
      </w:r>
      <w:proofErr w:type="spellStart"/>
      <w:r w:rsidRPr="000936BA">
        <w:t>Langen</w:t>
      </w:r>
      <w:proofErr w:type="spellEnd"/>
      <w:r w:rsidRPr="000936BA">
        <w:t xml:space="preserve">, 2019); too strong an emphasis on out-of-school activities (van den </w:t>
      </w:r>
      <w:proofErr w:type="spellStart"/>
      <w:r w:rsidRPr="000936BA">
        <w:t>Hurk</w:t>
      </w:r>
      <w:proofErr w:type="spellEnd"/>
      <w:r w:rsidRPr="000936BA">
        <w:t xml:space="preserve"> et al., 2019); lack of underlying theory regarding CPD and evaluation (Lynch et al., 2013; Khalil et al., 2016; Saxton et al., 2014); and lack of impact and implementation in schools/classrooms (Carlton-Hug &amp; Hug, 2010). A focus on theory should account for: CPD pedagogic structure – encouraging teachers to become reflective co-constructors of STEM knowledge (Khalil et al., 2016); the relationship of knowledge to teachers’ attitudes, behaviours, efficacy and competence (Ajzen, 2002; Dunn, Hattie &amp; Bowles, 2018; Huang et al., 2020; Saxton et al., 2014; </w:t>
      </w:r>
      <w:proofErr w:type="spellStart"/>
      <w:r w:rsidRPr="000936BA">
        <w:t>Vanteighen</w:t>
      </w:r>
      <w:proofErr w:type="spellEnd"/>
      <w:r w:rsidRPr="000936BA">
        <w:t xml:space="preserve"> et al., 2020); and learning contexts in CPD programmes (Lave &amp; Wenger, 1991) and schools/classrooms (OECD, 2009).</w:t>
      </w:r>
    </w:p>
    <w:p w14:paraId="268100A4" w14:textId="77777777" w:rsidR="00854C01" w:rsidRPr="000936BA" w:rsidRDefault="00854C01" w:rsidP="00B6268A">
      <w:pPr>
        <w:spacing w:line="480" w:lineRule="auto"/>
      </w:pPr>
    </w:p>
    <w:p w14:paraId="3E0251EB" w14:textId="0556F085" w:rsidR="00854C01" w:rsidRPr="000936BA" w:rsidRDefault="00854C01" w:rsidP="00B6268A">
      <w:pPr>
        <w:spacing w:line="480" w:lineRule="auto"/>
      </w:pPr>
      <w:r w:rsidRPr="000936BA">
        <w:t>Within the limited evaluations of STEM-CPD programmes, there are</w:t>
      </w:r>
      <w:r w:rsidR="000B0825">
        <w:t xml:space="preserve"> </w:t>
      </w:r>
      <w:proofErr w:type="gramStart"/>
      <w:r w:rsidR="000B0825">
        <w:t>a number of</w:t>
      </w:r>
      <w:proofErr w:type="gramEnd"/>
      <w:r w:rsidRPr="000936BA">
        <w:t xml:space="preserve"> criticisms and concerns regarding effectiveness (van den </w:t>
      </w:r>
      <w:proofErr w:type="spellStart"/>
      <w:r w:rsidRPr="000936BA">
        <w:t>Hurk</w:t>
      </w:r>
      <w:proofErr w:type="spellEnd"/>
      <w:r w:rsidRPr="000936BA">
        <w:t xml:space="preserve"> et al., 2019). Reviews of school-based STEM interventions (Kutnick et al., 2012) identify problems associated with using ‘experts’ to teach students, lack of relationship to current STEM curriculum guidelines, traditional teaching methods, lack of real-world orientation, focus on attitudes rather than impact, poor methodological planning, school policy and orientation to ‘league tables’. Each of these problems is likely to inhibit students’ understanding and desire to pursue STEM aspirations.</w:t>
      </w:r>
    </w:p>
    <w:p w14:paraId="6E0CBC39" w14:textId="7F9A8B3E" w:rsidR="00985E1F" w:rsidRDefault="00854C01" w:rsidP="00985E1F">
      <w:pPr>
        <w:spacing w:line="480" w:lineRule="auto"/>
      </w:pPr>
      <w:r w:rsidRPr="000936BA">
        <w:rPr>
          <w:i/>
          <w:iCs/>
        </w:rPr>
        <w:t xml:space="preserve">Teacher confidence, beliefs and efficacy: </w:t>
      </w:r>
      <w:r w:rsidRPr="000936BA">
        <w:t>Efficacy is a major influence on teachers’ professional development, affecting student motivation, attitudes and achievement (</w:t>
      </w:r>
      <w:proofErr w:type="spellStart"/>
      <w:r w:rsidRPr="000936BA">
        <w:t>Tschannen</w:t>
      </w:r>
      <w:proofErr w:type="spellEnd"/>
      <w:r w:rsidRPr="000936BA">
        <w:t>-Moran &amp; Hoy, 2001). General teacher efficacy has been used in measuring the impact of STEM-CPD programmes (Brown-</w:t>
      </w:r>
      <w:proofErr w:type="spellStart"/>
      <w:r w:rsidRPr="000936BA">
        <w:t>Schild</w:t>
      </w:r>
      <w:proofErr w:type="spellEnd"/>
      <w:r w:rsidRPr="000936BA">
        <w:t xml:space="preserve">, 2011; Bruce et al., 2010; </w:t>
      </w:r>
      <w:proofErr w:type="spellStart"/>
      <w:r w:rsidR="009633C6">
        <w:t>Hardré</w:t>
      </w:r>
      <w:proofErr w:type="spellEnd"/>
      <w:r w:rsidRPr="000936BA">
        <w:t xml:space="preserve"> et al., </w:t>
      </w:r>
      <w:r w:rsidRPr="000936BA">
        <w:lastRenderedPageBreak/>
        <w:t>2013; Lakshmanan et al, 201</w:t>
      </w:r>
      <w:r w:rsidR="00F54544">
        <w:t>1</w:t>
      </w:r>
      <w:r w:rsidRPr="000936BA">
        <w:t xml:space="preserve">; </w:t>
      </w:r>
      <w:proofErr w:type="spellStart"/>
      <w:r w:rsidRPr="000936BA">
        <w:t>Nadelson</w:t>
      </w:r>
      <w:proofErr w:type="spellEnd"/>
      <w:r w:rsidRPr="000936BA">
        <w:t xml:space="preserve"> et al., 2013; Powell-</w:t>
      </w:r>
      <w:proofErr w:type="spellStart"/>
      <w:r w:rsidRPr="000936BA">
        <w:t>Moman</w:t>
      </w:r>
      <w:proofErr w:type="spellEnd"/>
      <w:r w:rsidRPr="000936BA">
        <w:t xml:space="preserve">;) although few efficacy scales focus on domain-specific STEM teacher efficacy. </w:t>
      </w:r>
    </w:p>
    <w:p w14:paraId="34DD9654" w14:textId="77777777" w:rsidR="00985E1F" w:rsidRDefault="00985E1F" w:rsidP="00985E1F">
      <w:pPr>
        <w:spacing w:line="480" w:lineRule="auto"/>
      </w:pPr>
    </w:p>
    <w:p w14:paraId="6A7EFC6C" w14:textId="44F5A649" w:rsidR="00854C01" w:rsidRPr="00985E1F" w:rsidRDefault="00854C01" w:rsidP="00985E1F">
      <w:pPr>
        <w:spacing w:line="480" w:lineRule="auto"/>
      </w:pPr>
      <w:r w:rsidRPr="000936BA">
        <w:t>Teachers with high levels of efficacy believe that they can control or influence, student achievement and motivation (</w:t>
      </w:r>
      <w:proofErr w:type="spellStart"/>
      <w:r w:rsidRPr="000936BA">
        <w:t>Tschannen</w:t>
      </w:r>
      <w:proofErr w:type="spellEnd"/>
      <w:r w:rsidRPr="000936BA">
        <w:t xml:space="preserve">-Moran &amp; Hoy, 2001). Efficacy is viewed as specific to context/discipline, and may be affected by professional isolation, alienation, excessive role demands, atmosphere of the school/school leadership (Webb &amp; Ashton, 1987). Chester and </w:t>
      </w:r>
      <w:proofErr w:type="spellStart"/>
      <w:r w:rsidRPr="000936BA">
        <w:t>Beaudin</w:t>
      </w:r>
      <w:proofErr w:type="spellEnd"/>
      <w:r w:rsidRPr="000936BA">
        <w:t xml:space="preserve"> (1996) found that the opportunity for collaboration increases efficacy. This ‘collective efficacy’ (Bandura, 1997) may help to overcome several hindrances to effective STEM-CPD; for example, Takahashi (2011) found that teachers were able to collectively co-construct strong efficacy beliefs despite working in a school characterised by diverse, low-income families with students who were not reaching expected benchmarks.</w:t>
      </w:r>
    </w:p>
    <w:p w14:paraId="24A6AF73" w14:textId="2671AEF6" w:rsidR="00854C01" w:rsidRPr="000936BA" w:rsidRDefault="00854C01" w:rsidP="00B6268A">
      <w:pPr>
        <w:spacing w:line="480" w:lineRule="auto"/>
      </w:pPr>
      <w:r w:rsidRPr="000936BA">
        <w:t xml:space="preserve">Discipline-specific rather than STEM-specific measures of teacher efficacy have been widely developed. Riggs and </w:t>
      </w:r>
      <w:proofErr w:type="spellStart"/>
      <w:r w:rsidRPr="000936BA">
        <w:t>Enochs</w:t>
      </w:r>
      <w:proofErr w:type="spellEnd"/>
      <w:r w:rsidRPr="000936BA">
        <w:t xml:space="preserve">’ (1990) Science Teaching Efficacy Belief Instrument (STEBI) is a well-established model. </w:t>
      </w:r>
      <w:proofErr w:type="spellStart"/>
      <w:r w:rsidRPr="000936BA">
        <w:t>Nadelson</w:t>
      </w:r>
      <w:proofErr w:type="spellEnd"/>
      <w:r w:rsidRPr="000936BA">
        <w:t xml:space="preserve"> et al. (2013) adapted the STEBI to encompass STEM </w:t>
      </w:r>
      <w:r w:rsidR="00D13110">
        <w:t>to</w:t>
      </w:r>
      <w:r w:rsidRPr="000936BA">
        <w:t xml:space="preserve"> explore the impact of a CPD programme for elementary teachers. </w:t>
      </w:r>
      <w:r w:rsidR="00D13110">
        <w:t>Other</w:t>
      </w:r>
      <w:r w:rsidRPr="000936BA">
        <w:t xml:space="preserve"> studies focus on pedagogic approaches. Marshall, Horton and Switzer (2009) developed an efficacy tool for inquiry-based instruction, finding that teachers with more inquiry efficacy spent more time devoted to inquiry during lessons. Powell-</w:t>
      </w:r>
      <w:proofErr w:type="spellStart"/>
      <w:r w:rsidRPr="000936BA">
        <w:t>Moman</w:t>
      </w:r>
      <w:proofErr w:type="spellEnd"/>
      <w:r w:rsidRPr="000936BA">
        <w:t xml:space="preserve"> and Brown-</w:t>
      </w:r>
      <w:proofErr w:type="spellStart"/>
      <w:r w:rsidRPr="000936BA">
        <w:t>Schild</w:t>
      </w:r>
      <w:proofErr w:type="spellEnd"/>
      <w:r w:rsidRPr="000936BA">
        <w:t xml:space="preserve"> (2011), using the same tool, found that a two-year STEM-CPD programme led to increased self-efficacy for inquiry-based teaching.  Yoon et al. (2014) developed an instrument to measure teachers’ efficacy in engineering that included aspects of engineering pedagogical content knowledge, engineering engagement, engineering disciplinary self-efficacy and outcome expectancy. However, these STEM teacher efficacy studies neglect wider theoretical considerations such as Ajzen’s </w:t>
      </w:r>
      <w:r w:rsidRPr="000936BA">
        <w:lastRenderedPageBreak/>
        <w:t xml:space="preserve">(2002) </w:t>
      </w:r>
      <w:r w:rsidR="004D799D" w:rsidRPr="0090080C">
        <w:rPr>
          <w:i/>
          <w:iCs/>
        </w:rPr>
        <w:t>T</w:t>
      </w:r>
      <w:r w:rsidRPr="0090080C">
        <w:rPr>
          <w:i/>
          <w:iCs/>
        </w:rPr>
        <w:t xml:space="preserve">heory of </w:t>
      </w:r>
      <w:r w:rsidR="004D799D" w:rsidRPr="0090080C">
        <w:rPr>
          <w:i/>
          <w:iCs/>
        </w:rPr>
        <w:t>P</w:t>
      </w:r>
      <w:r w:rsidRPr="0090080C">
        <w:rPr>
          <w:i/>
          <w:iCs/>
        </w:rPr>
        <w:t xml:space="preserve">lanned </w:t>
      </w:r>
      <w:r w:rsidR="004D799D" w:rsidRPr="0090080C">
        <w:rPr>
          <w:i/>
          <w:iCs/>
        </w:rPr>
        <w:t>B</w:t>
      </w:r>
      <w:r w:rsidRPr="0090080C">
        <w:rPr>
          <w:i/>
          <w:iCs/>
        </w:rPr>
        <w:t>ehaviour</w:t>
      </w:r>
      <w:r w:rsidRPr="000936BA">
        <w:t>, where the ‘doing’ of a discipline may be more important than the teaching of that discipline.</w:t>
      </w:r>
    </w:p>
    <w:p w14:paraId="29A59E0E" w14:textId="77777777" w:rsidR="00854C01" w:rsidRPr="000936BA" w:rsidRDefault="00854C01" w:rsidP="00B6268A">
      <w:pPr>
        <w:spacing w:line="480" w:lineRule="auto"/>
      </w:pPr>
    </w:p>
    <w:p w14:paraId="51AD394E" w14:textId="5CF37269" w:rsidR="00854C01" w:rsidRPr="000936BA" w:rsidRDefault="00854C01" w:rsidP="00B6268A">
      <w:pPr>
        <w:spacing w:line="480" w:lineRule="auto"/>
      </w:pPr>
      <w:r w:rsidRPr="000936BA">
        <w:t xml:space="preserve">Teachers with high level of discipline-based efficacy are more confident and competent in undertaking pedagogic- and action-oriented activities (Bandura, 1997). Smith (2014) found that teachers’ confidence in their science skills was significantly raised following CPD that provided opportunities for collaboration, sharing practices, knowledge and reflection. While realising the importance of enhancing teachers’ discipline-based efficacy, CPD programmes rarely identify how it can be developed for use in inclusive classrooms, assuming </w:t>
      </w:r>
      <w:r w:rsidR="00207EBD">
        <w:t>(</w:t>
      </w:r>
      <w:r w:rsidRPr="000936BA">
        <w:t>perhaps naively</w:t>
      </w:r>
      <w:r w:rsidR="00207EBD">
        <w:t>)</w:t>
      </w:r>
      <w:r w:rsidRPr="000936BA">
        <w:t xml:space="preserve"> that efficacy enhancement will be a natural product of CPD.</w:t>
      </w:r>
    </w:p>
    <w:p w14:paraId="7D7C4457" w14:textId="66DCBFC2" w:rsidR="00854C01" w:rsidRPr="000936BA" w:rsidRDefault="00854C01" w:rsidP="00B6268A">
      <w:pPr>
        <w:spacing w:line="480" w:lineRule="auto"/>
      </w:pPr>
      <w:r w:rsidRPr="000936BA">
        <w:rPr>
          <w:i/>
          <w:iCs/>
        </w:rPr>
        <w:t xml:space="preserve">Teacher professional communities and networks in CPD: </w:t>
      </w:r>
      <w:r w:rsidRPr="000936BA">
        <w:t xml:space="preserve">A teacher’s own community may enhance </w:t>
      </w:r>
      <w:r w:rsidRPr="000936BA">
        <w:rPr>
          <w:i/>
          <w:iCs/>
        </w:rPr>
        <w:t>or</w:t>
      </w:r>
      <w:r w:rsidRPr="000936BA">
        <w:t xml:space="preserve"> inhibit their development (e.g., Desimone, 2009; </w:t>
      </w:r>
      <w:proofErr w:type="spellStart"/>
      <w:r w:rsidRPr="000936BA">
        <w:t>Tschannen</w:t>
      </w:r>
      <w:proofErr w:type="spellEnd"/>
      <w:r w:rsidRPr="000936BA">
        <w:t xml:space="preserve">-Moran &amp; Hoy, 2001; Wenger, </w:t>
      </w:r>
      <w:r w:rsidR="00ED0D2E">
        <w:t>1998</w:t>
      </w:r>
      <w:r w:rsidRPr="000936BA">
        <w:t xml:space="preserve">). These communities are referred to as networks, collaborations, clusters or development groups (de Lima, 2010). The terms are not used consistently but generally refer to social organisation for CPD training. If CPD is simply to provide content knowledge or resources, then the role of ‘community’ has limited importance. By contrast, where active learning, collaboration and reflection are involved, an effective community has a much greater role to play. An important distinction here is between teachers working collaboratively within their schools or with teachers in other schools (Jackson &amp; </w:t>
      </w:r>
      <w:proofErr w:type="spellStart"/>
      <w:r w:rsidRPr="000936BA">
        <w:t>Temperey</w:t>
      </w:r>
      <w:proofErr w:type="spellEnd"/>
      <w:r w:rsidRPr="000936BA">
        <w:t>, 2007). A range of benefits are associated with teachers working collaboratively – including increased self-efficacy, confidence, leadership skills and collegiality (Dogan et al., 2016), and in turn, reflection and efficacy. Fulton and Britton (2011) claimed that gains included</w:t>
      </w:r>
      <w:r w:rsidR="00C55479">
        <w:t xml:space="preserve"> increases in</w:t>
      </w:r>
      <w:r w:rsidRPr="000936BA">
        <w:t xml:space="preserve">: discussion about mathematics and science amongst teachers; understanding of science and mathematics; preparedness to teach; attention to students’ understanding; and diverse modes of engaging students in problem-solving.  In their systematic review of CPD </w:t>
      </w:r>
      <w:r w:rsidRPr="000936BA">
        <w:lastRenderedPageBreak/>
        <w:t xml:space="preserve">networks, Bell, </w:t>
      </w:r>
      <w:proofErr w:type="spellStart"/>
      <w:r w:rsidRPr="000936BA">
        <w:t>Cordingley</w:t>
      </w:r>
      <w:proofErr w:type="spellEnd"/>
      <w:r w:rsidRPr="000936BA">
        <w:t xml:space="preserve"> and Mitchell (2006) found that networks between schools/teachers can be ‘highly effective’ in improving teaching, learning and can support students’ attainment if associated teachers are committed to interacting with other members of the network. Jackson and </w:t>
      </w:r>
      <w:proofErr w:type="spellStart"/>
      <w:r w:rsidRPr="000936BA">
        <w:t>Temperey</w:t>
      </w:r>
      <w:proofErr w:type="spellEnd"/>
      <w:r w:rsidRPr="000936BA">
        <w:t xml:space="preserve"> (2007) </w:t>
      </w:r>
      <w:r w:rsidRPr="000936BA">
        <w:rPr>
          <w:bCs/>
        </w:rPr>
        <w:t xml:space="preserve">and Dogan et al. (2016) </w:t>
      </w:r>
      <w:r w:rsidRPr="000936BA">
        <w:t>also suggest that teachers collaborating in a network with others from different schools can improve their teaching practice.</w:t>
      </w:r>
      <w:r w:rsidR="00036C3F">
        <w:t xml:space="preserve"> Yet, effective networking requires consideration of purpose, composition</w:t>
      </w:r>
      <w:r w:rsidR="00433B6E">
        <w:t xml:space="preserve"> and connectedness</w:t>
      </w:r>
      <w:r w:rsidR="00036C3F">
        <w:t xml:space="preserve"> of members</w:t>
      </w:r>
      <w:r w:rsidR="00433B6E">
        <w:t xml:space="preserve"> that must coordinate with </w:t>
      </w:r>
      <w:r w:rsidR="00C27F9B">
        <w:t xml:space="preserve">the </w:t>
      </w:r>
      <w:r w:rsidR="00433B6E">
        <w:t>CPD programme (De Lima, 2010).</w:t>
      </w:r>
    </w:p>
    <w:p w14:paraId="6CA11D57" w14:textId="77777777" w:rsidR="00854C01" w:rsidRPr="000936BA" w:rsidRDefault="00854C01" w:rsidP="00B6268A">
      <w:pPr>
        <w:spacing w:line="480" w:lineRule="auto"/>
      </w:pPr>
    </w:p>
    <w:p w14:paraId="01052A6E" w14:textId="3DB56798" w:rsidR="00BB691B" w:rsidRPr="000936BA" w:rsidRDefault="00854C01" w:rsidP="00B6268A">
      <w:pPr>
        <w:spacing w:line="480" w:lineRule="auto"/>
      </w:pPr>
      <w:r w:rsidRPr="000936BA">
        <w:t xml:space="preserve">Research into networks supporting STEM-CPD highlights the importance of these </w:t>
      </w:r>
      <w:r w:rsidR="00433B6E">
        <w:t>a</w:t>
      </w:r>
      <w:r w:rsidR="000C2A1C">
        <w:t>s</w:t>
      </w:r>
      <w:r w:rsidR="00433B6E">
        <w:t>pect</w:t>
      </w:r>
      <w:r w:rsidRPr="000936BA">
        <w:t>s in influencing effectiveness. Baker-Doyle and Yoon (2011) suggest that ‘closed’ networks constituted of ‘tight-knit’ groups can become ‘insular’ and less open to new ideas but</w:t>
      </w:r>
      <w:r w:rsidR="0036092E">
        <w:t>,</w:t>
      </w:r>
      <w:r w:rsidRPr="000936BA">
        <w:t xml:space="preserve"> equally</w:t>
      </w:r>
      <w:r w:rsidR="0036092E">
        <w:t>,</w:t>
      </w:r>
      <w:r w:rsidRPr="000936BA">
        <w:t xml:space="preserve"> ‘open</w:t>
      </w:r>
      <w:r w:rsidR="0036092E">
        <w:t>’</w:t>
      </w:r>
      <w:r w:rsidRPr="000936BA">
        <w:t xml:space="preserve"> networks can have a negative impact on the introduction of new ideas </w:t>
      </w:r>
      <w:r w:rsidR="0036092E">
        <w:t>when</w:t>
      </w:r>
      <w:r w:rsidRPr="000936BA">
        <w:t xml:space="preserve"> social support is missing. They conclude (as does Wenger, </w:t>
      </w:r>
      <w:r w:rsidR="00ED0D2E">
        <w:t>1998</w:t>
      </w:r>
      <w:r w:rsidRPr="000936BA">
        <w:t xml:space="preserve">) that there is a need to make teachers more aware of others with relevant </w:t>
      </w:r>
      <w:r w:rsidR="0036092E">
        <w:t xml:space="preserve">social </w:t>
      </w:r>
      <w:r w:rsidRPr="000936BA">
        <w:t xml:space="preserve">expertise within their network, as teachers were prone to develop relationships with others whom they liked rather than teachers who could best support their learning (Baker-Doyle &amp; Yoon, 2011). </w:t>
      </w:r>
      <w:proofErr w:type="spellStart"/>
      <w:r w:rsidR="009633C6">
        <w:t>Hardré</w:t>
      </w:r>
      <w:proofErr w:type="spellEnd"/>
      <w:r w:rsidRPr="000936BA">
        <w:t xml:space="preserve"> et al. (2013) similarly stress the importance of dissimilar people interacting in networks to generate ‘unique competence and identities’(p.411).</w:t>
      </w:r>
    </w:p>
    <w:p w14:paraId="39B98A47" w14:textId="77777777" w:rsidR="00BB691B" w:rsidRPr="000936BA" w:rsidRDefault="00BB691B" w:rsidP="00B6268A">
      <w:pPr>
        <w:spacing w:line="480" w:lineRule="auto"/>
      </w:pPr>
    </w:p>
    <w:p w14:paraId="2C39D67D" w14:textId="73C2F6D0" w:rsidR="00854C01" w:rsidRPr="000936BA" w:rsidRDefault="00854C01" w:rsidP="00B6268A">
      <w:pPr>
        <w:spacing w:line="480" w:lineRule="auto"/>
        <w:rPr>
          <w:b/>
        </w:rPr>
      </w:pPr>
      <w:r w:rsidRPr="000936BA">
        <w:t xml:space="preserve">While </w:t>
      </w:r>
      <w:r w:rsidR="00A37E95">
        <w:t xml:space="preserve">sharing </w:t>
      </w:r>
      <w:r w:rsidRPr="000936BA">
        <w:t xml:space="preserve">a focus on teachers’ co-communication and co-construction of understanding, </w:t>
      </w:r>
      <w:proofErr w:type="spellStart"/>
      <w:r w:rsidRPr="000936BA">
        <w:t>Sillasen</w:t>
      </w:r>
      <w:proofErr w:type="spellEnd"/>
      <w:r w:rsidRPr="000936BA">
        <w:t xml:space="preserve"> and Valero (2013) point to the contribution that central ‘hub’ figures make in supporting these networks. They highlight the significance to network development of several factors, which may include: contacts in the local STEM community; mobilization of resources to reach teachers; development of collaborative activities between teachers and </w:t>
      </w:r>
      <w:r w:rsidRPr="000936BA">
        <w:lastRenderedPageBreak/>
        <w:t>schools; and support for the development of new teaching activities within networks. An important concern raised is that, while individual teacher’s learning in professional networks is important, it is also vital to consider the role of other participants, such as school leaders, in supporting systemic change in schools</w:t>
      </w:r>
      <w:r w:rsidR="00CD2FD3">
        <w:t xml:space="preserve"> and whether a cascading pedagogic approach will allow for collective developments within the network</w:t>
      </w:r>
      <w:r w:rsidRPr="000936BA">
        <w:t xml:space="preserve"> (</w:t>
      </w:r>
      <w:proofErr w:type="spellStart"/>
      <w:r w:rsidRPr="000936BA">
        <w:t>Sillasen</w:t>
      </w:r>
      <w:proofErr w:type="spellEnd"/>
      <w:r w:rsidRPr="000936BA">
        <w:t xml:space="preserve"> &amp; Valero, 2013; Brown &amp; Flood, 2020). </w:t>
      </w:r>
      <w:r w:rsidRPr="000936BA">
        <w:rPr>
          <w:b/>
        </w:rPr>
        <w:t xml:space="preserve"> </w:t>
      </w:r>
    </w:p>
    <w:p w14:paraId="41E6459D" w14:textId="77777777" w:rsidR="00854C01" w:rsidRPr="000936BA" w:rsidRDefault="00854C01" w:rsidP="00B6268A">
      <w:pPr>
        <w:spacing w:line="480" w:lineRule="auto"/>
        <w:rPr>
          <w:b/>
          <w:bCs/>
        </w:rPr>
      </w:pPr>
    </w:p>
    <w:p w14:paraId="15D2E207" w14:textId="0D00CE6C" w:rsidR="00854C01" w:rsidRPr="000936BA" w:rsidRDefault="000F197D" w:rsidP="00B6268A">
      <w:pPr>
        <w:spacing w:line="480" w:lineRule="auto"/>
      </w:pPr>
      <w:r>
        <w:rPr>
          <w:b/>
          <w:bCs/>
        </w:rPr>
        <w:t xml:space="preserve">A </w:t>
      </w:r>
      <w:r w:rsidR="00237829">
        <w:rPr>
          <w:b/>
          <w:bCs/>
        </w:rPr>
        <w:t>Focal Evaluation of</w:t>
      </w:r>
      <w:r w:rsidR="00854C01" w:rsidRPr="000936BA">
        <w:rPr>
          <w:b/>
          <w:bCs/>
        </w:rPr>
        <w:t xml:space="preserve"> a STEM-CPD Programme; the ABC</w:t>
      </w:r>
      <w:r w:rsidR="00566832" w:rsidRPr="00ED0D2E">
        <w:rPr>
          <w:b/>
          <w:bCs/>
          <w:vertAlign w:val="superscript"/>
        </w:rPr>
        <w:t>4</w:t>
      </w:r>
      <w:r w:rsidR="00854C01" w:rsidRPr="000936BA">
        <w:rPr>
          <w:b/>
          <w:bCs/>
        </w:rPr>
        <w:t xml:space="preserve"> </w:t>
      </w:r>
      <w:r w:rsidR="003E3654">
        <w:rPr>
          <w:b/>
          <w:bCs/>
        </w:rPr>
        <w:t>p</w:t>
      </w:r>
      <w:r w:rsidR="00854C01" w:rsidRPr="000936BA">
        <w:rPr>
          <w:b/>
          <w:bCs/>
        </w:rPr>
        <w:t>rogramme in the UK</w:t>
      </w:r>
      <w:r w:rsidR="00237829">
        <w:rPr>
          <w:b/>
          <w:bCs/>
        </w:rPr>
        <w:t xml:space="preserve"> and </w:t>
      </w:r>
      <w:r w:rsidR="003E3654">
        <w:rPr>
          <w:b/>
          <w:bCs/>
        </w:rPr>
        <w:t>r</w:t>
      </w:r>
      <w:r w:rsidR="00237829">
        <w:rPr>
          <w:b/>
          <w:bCs/>
        </w:rPr>
        <w:t xml:space="preserve">esearch </w:t>
      </w:r>
      <w:r w:rsidR="003E3654">
        <w:rPr>
          <w:b/>
          <w:bCs/>
        </w:rPr>
        <w:t>q</w:t>
      </w:r>
      <w:r w:rsidR="00237829">
        <w:rPr>
          <w:b/>
          <w:bCs/>
        </w:rPr>
        <w:t>uestions</w:t>
      </w:r>
      <w:r w:rsidR="00854C01" w:rsidRPr="000936BA">
        <w:rPr>
          <w:b/>
          <w:bCs/>
        </w:rPr>
        <w:t xml:space="preserve"> </w:t>
      </w:r>
    </w:p>
    <w:p w14:paraId="6A83E8CA" w14:textId="299F3A0E" w:rsidR="00854C01" w:rsidRPr="000936BA" w:rsidRDefault="00854C01" w:rsidP="00B6268A">
      <w:pPr>
        <w:spacing w:line="480" w:lineRule="auto"/>
      </w:pPr>
      <w:r w:rsidRPr="000936BA">
        <w:t xml:space="preserve">Given the need to enhance STEM education via CPD for inclusive schools and conduct informative evaluations, we report on a nation-wide programme for </w:t>
      </w:r>
      <w:r w:rsidR="00C905D7">
        <w:t xml:space="preserve">STEM </w:t>
      </w:r>
      <w:r w:rsidRPr="000936BA">
        <w:t xml:space="preserve">teachers. </w:t>
      </w:r>
      <w:r w:rsidR="00566832">
        <w:t>F</w:t>
      </w:r>
      <w:r w:rsidR="000D6D45">
        <w:t xml:space="preserve">ocus on </w:t>
      </w:r>
      <w:r w:rsidR="00C00E1D">
        <w:t xml:space="preserve">this </w:t>
      </w:r>
      <w:r w:rsidR="00A32783">
        <w:t>programme</w:t>
      </w:r>
      <w:r w:rsidR="00C00E1D">
        <w:t xml:space="preserve"> allows insight into</w:t>
      </w:r>
      <w:r w:rsidR="00566832">
        <w:t xml:space="preserve"> participation and effects of STEM-CPD on teachers in</w:t>
      </w:r>
      <w:r w:rsidR="00C00E1D">
        <w:t xml:space="preserve"> </w:t>
      </w:r>
      <w:r w:rsidR="002B7316">
        <w:t>inclusive secondary schools and th</w:t>
      </w:r>
      <w:r w:rsidR="00950C6C">
        <w:t>e UK.</w:t>
      </w:r>
      <w:r w:rsidR="000D6D45">
        <w:t xml:space="preserve"> </w:t>
      </w:r>
      <w:r w:rsidRPr="000936BA">
        <w:t>ABC</w:t>
      </w:r>
      <w:r w:rsidR="00EE2D27">
        <w:t xml:space="preserve"> </w:t>
      </w:r>
      <w:r w:rsidRPr="000936BA">
        <w:t>was designed to: promote a passion for STEM amongst teachers; improve awareness of STEM in schools; widen teachers’ knowledge and experience of STEM; introduce engineering design; enable teachers to gain STEM pedagogic and practice skills; and, subsequently, enhance student</w:t>
      </w:r>
      <w:r w:rsidR="00EE2D27">
        <w:t xml:space="preserve"> achievements</w:t>
      </w:r>
      <w:r w:rsidR="00F379AC">
        <w:t xml:space="preserve"> and</w:t>
      </w:r>
      <w:r w:rsidRPr="000936BA">
        <w:t xml:space="preserve"> participation in STEM course</w:t>
      </w:r>
      <w:r w:rsidR="00613B59">
        <w:t>s</w:t>
      </w:r>
      <w:r w:rsidRPr="000936BA">
        <w:t xml:space="preserve"> and career choice. The programme</w:t>
      </w:r>
      <w:r w:rsidR="00F379AC">
        <w:t xml:space="preserve"> initially</w:t>
      </w:r>
      <w:r w:rsidRPr="000936BA">
        <w:t xml:space="preserve"> aimed to</w:t>
      </w:r>
      <w:r w:rsidR="00566832">
        <w:t>:</w:t>
      </w:r>
      <w:r w:rsidRPr="000936BA">
        <w:t xml:space="preserve"> create supportive networks for teachers that would enhance their confidence/knowledge of STEM</w:t>
      </w:r>
      <w:r w:rsidR="00566832">
        <w:t>;</w:t>
      </w:r>
      <w:r w:rsidR="007441C0">
        <w:t xml:space="preserve"> facilitate </w:t>
      </w:r>
      <w:r w:rsidR="0029313F" w:rsidRPr="000936BA">
        <w:t>teachers</w:t>
      </w:r>
      <w:r w:rsidR="0029313F">
        <w:t>’</w:t>
      </w:r>
      <w:r w:rsidR="0029313F" w:rsidRPr="000936BA">
        <w:t xml:space="preserve"> enhance</w:t>
      </w:r>
      <w:r w:rsidR="008936DE">
        <w:t>ment of</w:t>
      </w:r>
      <w:r w:rsidR="0029313F" w:rsidRPr="000936BA">
        <w:t xml:space="preserve"> engineering </w:t>
      </w:r>
      <w:r w:rsidR="008936DE">
        <w:t>(</w:t>
      </w:r>
      <w:r w:rsidR="0029313F" w:rsidRPr="000936BA">
        <w:t>knowledge and confidence</w:t>
      </w:r>
      <w:r w:rsidR="008936DE">
        <w:t>)</w:t>
      </w:r>
      <w:r w:rsidR="0029313F" w:rsidRPr="000936BA">
        <w:t>, real-world applications within the STEM curriculum</w:t>
      </w:r>
      <w:r w:rsidR="00566832">
        <w:t>;</w:t>
      </w:r>
      <w:r w:rsidR="0029313F" w:rsidRPr="000936BA">
        <w:t xml:space="preserve"> and promote STEM engagement for students.</w:t>
      </w:r>
      <w:r w:rsidR="00A570E0">
        <w:t xml:space="preserve"> </w:t>
      </w:r>
      <w:r w:rsidR="00B14213" w:rsidRPr="000936BA">
        <w:t xml:space="preserve">ABC </w:t>
      </w:r>
      <w:r w:rsidR="00897D8D">
        <w:t>dr</w:t>
      </w:r>
      <w:r w:rsidR="00D70634">
        <w:t>e</w:t>
      </w:r>
      <w:r w:rsidR="00897D8D">
        <w:t>w upon</w:t>
      </w:r>
      <w:r w:rsidR="00B14213" w:rsidRPr="000936BA">
        <w:t xml:space="preserve"> a ‘cascade’ model of CPD</w:t>
      </w:r>
      <w:r w:rsidR="00897D8D">
        <w:t>, led by</w:t>
      </w:r>
      <w:r w:rsidR="00B14213" w:rsidRPr="000936BA">
        <w:t xml:space="preserve"> Teacher Coordinators (TCs) with </w:t>
      </w:r>
      <w:r w:rsidR="00A32783" w:rsidRPr="000936BA">
        <w:t>regionally based</w:t>
      </w:r>
      <w:r w:rsidR="00B14213" w:rsidRPr="000936BA">
        <w:t xml:space="preserve"> teacher networks.</w:t>
      </w:r>
      <w:r w:rsidR="00E26D99">
        <w:t xml:space="preserve"> </w:t>
      </w:r>
      <w:r w:rsidRPr="000936BA">
        <w:t>ABC has been funded by several industrial groups and a STEM-focused educational charity. The project’s design and delivery were the responsibility of the charity (referred to as the Host). ABC began in 2011</w:t>
      </w:r>
      <w:r w:rsidR="0036235E">
        <w:t xml:space="preserve"> and</w:t>
      </w:r>
      <w:r w:rsidRPr="000936BA">
        <w:t xml:space="preserve"> has been in operation for ten years and is continuing</w:t>
      </w:r>
      <w:r w:rsidRPr="000936BA">
        <w:rPr>
          <w:b/>
        </w:rPr>
        <w:t>.</w:t>
      </w:r>
    </w:p>
    <w:p w14:paraId="61867648" w14:textId="28D9AFD9" w:rsidR="00854C01" w:rsidRPr="000936BA" w:rsidRDefault="00854C01" w:rsidP="00B6268A">
      <w:pPr>
        <w:spacing w:line="480" w:lineRule="auto"/>
      </w:pPr>
    </w:p>
    <w:p w14:paraId="7E748D62" w14:textId="77777777" w:rsidR="00854C01" w:rsidRPr="000936BA" w:rsidRDefault="00854C01" w:rsidP="00B6268A">
      <w:pPr>
        <w:spacing w:line="480" w:lineRule="auto"/>
      </w:pPr>
    </w:p>
    <w:p w14:paraId="5860D1A6" w14:textId="27D92088" w:rsidR="00854C01" w:rsidRPr="000936BA" w:rsidRDefault="00854C01" w:rsidP="00B6268A">
      <w:pPr>
        <w:spacing w:line="480" w:lineRule="auto"/>
        <w:rPr>
          <w:b/>
        </w:rPr>
      </w:pPr>
      <w:r w:rsidRPr="000936BA">
        <w:t xml:space="preserve">TCs </w:t>
      </w:r>
      <w:r w:rsidR="00D70634">
        <w:t>have been</w:t>
      </w:r>
      <w:r w:rsidRPr="000936BA">
        <w:t xml:space="preserve"> central to ABC’s success. They were selected as experienced teachers of STEM disciplines who were able to: disseminate training, resources and collaboration for local teachers; provide teacher networking opportunities; and enhance learning opportunities for pupils. The Host supported TC development while developing STEM-oriented, curriculum-appropriate resource boxes. TCs meet regularly with the Host to: share experiences and approaches to STEM development; be introduced to new resources</w:t>
      </w:r>
      <w:r w:rsidR="0036235E">
        <w:t>;</w:t>
      </w:r>
      <w:r w:rsidRPr="000936BA">
        <w:t xml:space="preserve"> and consider/reflect upon the Programme. TCs also consider feedback from our qualitative and quantitative evaluations. In turn, TCs: integrate appropriate STEM-based teachers from schools within their regions; and introduce ABC resources and pedagogic approaches to their networks. Network meetings take place termly and are scheduled not to conflict with teaching responsibilities.</w:t>
      </w:r>
    </w:p>
    <w:p w14:paraId="1557C09F" w14:textId="77777777" w:rsidR="00854C01" w:rsidRPr="000936BA" w:rsidRDefault="00854C01" w:rsidP="00B6268A">
      <w:pPr>
        <w:spacing w:line="480" w:lineRule="auto"/>
      </w:pPr>
    </w:p>
    <w:p w14:paraId="62855C24" w14:textId="2758BD3E" w:rsidR="00854C01" w:rsidRPr="000936BA" w:rsidRDefault="00854C01" w:rsidP="00B6268A">
      <w:pPr>
        <w:spacing w:line="480" w:lineRule="auto"/>
      </w:pPr>
      <w:r w:rsidRPr="000936BA">
        <w:t xml:space="preserve">In its early years, thought was given to the role of ABC evaluation. </w:t>
      </w:r>
      <w:r w:rsidR="00293723">
        <w:t>T</w:t>
      </w:r>
      <w:r w:rsidRPr="000936BA">
        <w:t>hree</w:t>
      </w:r>
      <w:r w:rsidR="009025D2">
        <w:t>,</w:t>
      </w:r>
      <w:r w:rsidRPr="000936BA">
        <w:t xml:space="preserve"> yearly qualitative</w:t>
      </w:r>
      <w:r w:rsidR="00421860">
        <w:t>/exploratory</w:t>
      </w:r>
      <w:r w:rsidRPr="000936BA">
        <w:t xml:space="preserve"> evaluations were </w:t>
      </w:r>
      <w:r w:rsidR="009025D2">
        <w:t xml:space="preserve">initially </w:t>
      </w:r>
      <w:r w:rsidRPr="000936BA">
        <w:t>undertaken by independent evaluators</w:t>
      </w:r>
      <w:r w:rsidR="009025D2">
        <w:t xml:space="preserve"> to provide feedback </w:t>
      </w:r>
      <w:r w:rsidR="00675A00">
        <w:t>on how ABC was undertaken at the network level</w:t>
      </w:r>
      <w:r w:rsidRPr="000936BA">
        <w:t>. These evaluations drew on observations and interviews with the Host, TCs and network teachers. As ABC matured, a wider quantitative evaluation was undertaken</w:t>
      </w:r>
      <w:r w:rsidR="002201A0">
        <w:t xml:space="preserve"> (with a subsequent longitudinal survey)</w:t>
      </w:r>
      <w:r w:rsidRPr="000936BA">
        <w:t>, using TC and teacher metrics to describe and compare ABC experience, aspects of STEM education, STEM efficacy, and perceived impacts</w:t>
      </w:r>
      <w:r w:rsidR="00D64BB9">
        <w:t xml:space="preserve"> over time</w:t>
      </w:r>
      <w:r w:rsidRPr="000936BA">
        <w:t>.</w:t>
      </w:r>
      <w:r w:rsidR="0070142E">
        <w:t xml:space="preserve"> Thus, this long-term evaluation </w:t>
      </w:r>
      <w:r w:rsidR="002B3A6F">
        <w:t xml:space="preserve">allowed </w:t>
      </w:r>
      <w:r w:rsidR="008749ED">
        <w:t>insight into research questions regarding</w:t>
      </w:r>
      <w:r w:rsidR="0059706E">
        <w:t>:</w:t>
      </w:r>
      <w:r w:rsidR="002B3A6F">
        <w:t xml:space="preserve"> presentation of authentic/real</w:t>
      </w:r>
      <w:r w:rsidR="00EF7EA8">
        <w:t>-world STEM problems and how these were perceived</w:t>
      </w:r>
      <w:r w:rsidR="00BF6E72">
        <w:t>/experienced by teachers</w:t>
      </w:r>
      <w:r w:rsidR="0059706E">
        <w:t>;</w:t>
      </w:r>
      <w:r w:rsidR="00C476C7">
        <w:t xml:space="preserve"> CPD presentation </w:t>
      </w:r>
      <w:r w:rsidR="00AB66AE">
        <w:t xml:space="preserve">using a cascade model in </w:t>
      </w:r>
      <w:r w:rsidR="0059706E">
        <w:t xml:space="preserve">network communities; </w:t>
      </w:r>
      <w:r w:rsidR="00F65AAE">
        <w:t>pedagogic approaches/presentations</w:t>
      </w:r>
      <w:r w:rsidR="00186D72">
        <w:t xml:space="preserve"> and their relation to school inclusion</w:t>
      </w:r>
      <w:r w:rsidR="003B7570">
        <w:t>; and effects on teacher efficacy.</w:t>
      </w:r>
      <w:r w:rsidR="0059706E">
        <w:t xml:space="preserve"> </w:t>
      </w:r>
    </w:p>
    <w:p w14:paraId="312CBCC0" w14:textId="77777777" w:rsidR="00854C01" w:rsidRPr="000936BA" w:rsidRDefault="00854C01" w:rsidP="00B6268A">
      <w:pPr>
        <w:spacing w:line="480" w:lineRule="auto"/>
        <w:rPr>
          <w:b/>
          <w:bCs/>
        </w:rPr>
      </w:pPr>
    </w:p>
    <w:p w14:paraId="0DE1B05E" w14:textId="423BF318" w:rsidR="00854C01" w:rsidRPr="000936BA" w:rsidRDefault="006F67C3" w:rsidP="00B6268A">
      <w:pPr>
        <w:spacing w:line="480" w:lineRule="auto"/>
        <w:rPr>
          <w:b/>
          <w:bCs/>
        </w:rPr>
      </w:pPr>
      <w:r>
        <w:rPr>
          <w:b/>
          <w:bCs/>
        </w:rPr>
        <w:t>Research Design</w:t>
      </w:r>
    </w:p>
    <w:p w14:paraId="2637BA73" w14:textId="7353FE31" w:rsidR="00854C01" w:rsidRPr="000936BA" w:rsidRDefault="00854C01" w:rsidP="00B6268A">
      <w:pPr>
        <w:spacing w:line="480" w:lineRule="auto"/>
      </w:pPr>
      <w:r w:rsidRPr="000936BA">
        <w:t xml:space="preserve">From the existing STEM, CPD and evaluation literatures, we identified a range of curricular, school, network and pedagogic considerations that should be accounted for within STEM-CPD programmes for inclusive </w:t>
      </w:r>
      <w:r w:rsidR="008753AB">
        <w:t xml:space="preserve">secondary </w:t>
      </w:r>
      <w:r w:rsidRPr="000936BA">
        <w:t>schools/classrooms. Such a programme should not be dominated by STEM ‘experts’, nor focus solely on STEM knowledge and attitudes</w:t>
      </w:r>
      <w:r w:rsidR="003F090E">
        <w:t>. It should consider</w:t>
      </w:r>
      <w:r w:rsidRPr="000936BA">
        <w:t xml:space="preserve"> ‘real-world’ problems, teachers’ behaviour/development of efficacy, their ability to share information with colleagues and reflect upon their experiences</w:t>
      </w:r>
      <w:r w:rsidR="008753AB">
        <w:t xml:space="preserve"> in inclusive </w:t>
      </w:r>
      <w:r w:rsidR="003012F6">
        <w:t>settings</w:t>
      </w:r>
      <w:r w:rsidRPr="000936BA">
        <w:t xml:space="preserve">. As identified by </w:t>
      </w:r>
      <w:proofErr w:type="spellStart"/>
      <w:r w:rsidRPr="000936BA">
        <w:t>Guskey</w:t>
      </w:r>
      <w:proofErr w:type="spellEnd"/>
      <w:r w:rsidRPr="000936BA">
        <w:t xml:space="preserve"> (2000), this type of evaluation should draw upon teacher-participants/TCs as informants and assess levels of pedagogic/STEM efficacy and ascertain perceived impact on students. As recommended by Khalil et al. (2016), the evaluation should have theoretical underpinnings and a clear methodology. Th</w:t>
      </w:r>
      <w:r w:rsidR="00852B29">
        <w:t>e</w:t>
      </w:r>
      <w:r w:rsidRPr="000936BA">
        <w:t xml:space="preserve"> evaluation </w:t>
      </w:r>
      <w:r w:rsidR="00DE38AE">
        <w:t xml:space="preserve">also </w:t>
      </w:r>
      <w:r w:rsidRPr="000936BA">
        <w:t>allo</w:t>
      </w:r>
      <w:r w:rsidR="00703704">
        <w:t>wed</w:t>
      </w:r>
      <w:r w:rsidRPr="000936BA">
        <w:t xml:space="preserve"> focus upon: types of teachers and TCs who were likely to participate; their expectations of STEM education and the programme; types/amount of ABC participation; their competence/confidence in pedagogical planning and undertaking STEM activities; and their perceptions of impact of the programme on students. </w:t>
      </w:r>
      <w:r w:rsidR="00DE38AE">
        <w:t>It</w:t>
      </w:r>
      <w:r w:rsidRPr="000936BA">
        <w:t xml:space="preserve"> was informed by considerations from the </w:t>
      </w:r>
      <w:r w:rsidRPr="000936BA">
        <w:rPr>
          <w:i/>
          <w:iCs/>
        </w:rPr>
        <w:t>Theory of Planned Behaviour</w:t>
      </w:r>
      <w:r w:rsidRPr="000936BA">
        <w:t xml:space="preserve"> (Ajzen, 2002), and conceptions of efficacy (Bandura, 1997; Dogan et al., 2015), </w:t>
      </w:r>
      <w:r w:rsidR="009960FC">
        <w:t>i</w:t>
      </w:r>
      <w:r w:rsidRPr="000936BA">
        <w:t>nclusion (</w:t>
      </w:r>
      <w:proofErr w:type="spellStart"/>
      <w:r w:rsidRPr="000936BA">
        <w:t>Vanteighen</w:t>
      </w:r>
      <w:proofErr w:type="spellEnd"/>
      <w:r w:rsidRPr="000936BA">
        <w:t xml:space="preserve"> et al., 2020) and </w:t>
      </w:r>
      <w:r w:rsidR="009960FC">
        <w:t>c</w:t>
      </w:r>
      <w:r w:rsidRPr="000936BA">
        <w:t xml:space="preserve">ollective </w:t>
      </w:r>
      <w:r w:rsidR="009960FC">
        <w:t>n</w:t>
      </w:r>
      <w:r w:rsidRPr="000936BA">
        <w:t xml:space="preserve">etworks (Wenger, </w:t>
      </w:r>
      <w:r w:rsidR="00ED0D2E">
        <w:t>1998</w:t>
      </w:r>
      <w:r w:rsidRPr="000936BA">
        <w:t xml:space="preserve">; Khalil et al., 2016). The evaluators throughout were independent academics with no connection to the funders </w:t>
      </w:r>
      <w:r w:rsidR="00C52BCA">
        <w:t>and</w:t>
      </w:r>
      <w:r w:rsidRPr="000936BA">
        <w:t xml:space="preserve"> whose contractual guarantees included independence from the</w:t>
      </w:r>
      <w:r w:rsidR="00C52BCA">
        <w:t xml:space="preserve"> programme</w:t>
      </w:r>
      <w:r w:rsidRPr="000936BA">
        <w:t xml:space="preserve"> Host and funders.</w:t>
      </w:r>
    </w:p>
    <w:p w14:paraId="42F89F60" w14:textId="77777777" w:rsidR="00854C01" w:rsidRPr="000936BA" w:rsidRDefault="00854C01" w:rsidP="00B6268A">
      <w:pPr>
        <w:spacing w:line="480" w:lineRule="auto"/>
      </w:pPr>
    </w:p>
    <w:p w14:paraId="5706F84C" w14:textId="0B5B297F" w:rsidR="00854C01" w:rsidRPr="000936BA" w:rsidRDefault="00854C01" w:rsidP="00B6268A">
      <w:pPr>
        <w:spacing w:line="480" w:lineRule="auto"/>
      </w:pPr>
      <w:r w:rsidRPr="000936BA">
        <w:t>The evaluation us</w:t>
      </w:r>
      <w:r w:rsidR="00EA72EA">
        <w:t>ed</w:t>
      </w:r>
      <w:r w:rsidRPr="000936BA">
        <w:t xml:space="preserve"> qualitative</w:t>
      </w:r>
      <w:r w:rsidR="00EA72EA">
        <w:t>/exploratory</w:t>
      </w:r>
      <w:r w:rsidRPr="000936BA">
        <w:t xml:space="preserve"> and quantitative methods to ascertain effects and perceived impacts on TCs, teachers and students. </w:t>
      </w:r>
      <w:r w:rsidR="00DE38AE">
        <w:rPr>
          <w:color w:val="000000" w:themeColor="text1"/>
        </w:rPr>
        <w:t>It</w:t>
      </w:r>
      <w:r w:rsidRPr="000936BA">
        <w:rPr>
          <w:color w:val="000000" w:themeColor="text1"/>
        </w:rPr>
        <w:t xml:space="preserve"> was conducted between 2011and 2019 following a ‘bootstrapping’ approach (</w:t>
      </w:r>
      <w:proofErr w:type="spellStart"/>
      <w:r w:rsidRPr="000936BA">
        <w:rPr>
          <w:color w:val="000000" w:themeColor="text1"/>
        </w:rPr>
        <w:t>Gorard</w:t>
      </w:r>
      <w:proofErr w:type="spellEnd"/>
      <w:r w:rsidRPr="000936BA">
        <w:rPr>
          <w:color w:val="000000" w:themeColor="text1"/>
        </w:rPr>
        <w:t xml:space="preserve"> &amp; Taylor, 2004) that combined research </w:t>
      </w:r>
      <w:r w:rsidRPr="000936BA">
        <w:rPr>
          <w:color w:val="000000" w:themeColor="text1"/>
        </w:rPr>
        <w:lastRenderedPageBreak/>
        <w:t xml:space="preserve">methods. </w:t>
      </w:r>
      <w:r w:rsidR="00327544">
        <w:t>Q</w:t>
      </w:r>
      <w:r w:rsidRPr="000936BA">
        <w:t>ualitative</w:t>
      </w:r>
      <w:r w:rsidR="00DE38AE">
        <w:t>/exploratory</w:t>
      </w:r>
      <w:r w:rsidRPr="000936BA">
        <w:t xml:space="preserve"> evaluations provided an account of the workings of ABC from the viewpoints of teachers and TCs</w:t>
      </w:r>
      <w:r w:rsidR="00327544">
        <w:t xml:space="preserve"> in its init</w:t>
      </w:r>
      <w:r w:rsidR="00F93D5F">
        <w:t>ial years</w:t>
      </w:r>
      <w:r w:rsidRPr="000936BA">
        <w:t xml:space="preserve">. The quantitative evaluation (the core of this paper) focused on: the workings of the </w:t>
      </w:r>
      <w:r w:rsidR="00DE38AE">
        <w:t>c</w:t>
      </w:r>
      <w:r w:rsidRPr="000936BA">
        <w:t>ascade model; perceptions of STEM and ABC experience and associated pedagogies; ABC</w:t>
      </w:r>
      <w:r w:rsidR="00526F51">
        <w:t xml:space="preserve"> </w:t>
      </w:r>
      <w:r w:rsidR="00F93D5F">
        <w:t>demographics</w:t>
      </w:r>
      <w:r w:rsidRPr="000936BA">
        <w:t xml:space="preserve"> </w:t>
      </w:r>
      <w:r w:rsidR="00DA5072">
        <w:t xml:space="preserve">and </w:t>
      </w:r>
      <w:r w:rsidRPr="000936BA">
        <w:t xml:space="preserve">participation rates; types of STEM competencies developed; and perceptions of ABC impacts on students. </w:t>
      </w:r>
      <w:r w:rsidR="00195B17">
        <w:t xml:space="preserve">When </w:t>
      </w:r>
      <w:r w:rsidR="00DE38AE">
        <w:t xml:space="preserve">initial </w:t>
      </w:r>
      <w:r w:rsidR="005B5CF3">
        <w:t xml:space="preserve">results from </w:t>
      </w:r>
      <w:r w:rsidR="00DE38AE">
        <w:t>the</w:t>
      </w:r>
      <w:r w:rsidR="00F772FC">
        <w:t xml:space="preserve"> quantitative survey were reported, the Host asked evaluators </w:t>
      </w:r>
      <w:r w:rsidR="00C959DF">
        <w:t xml:space="preserve">to ‘shorten’ the questionnaire instrument </w:t>
      </w:r>
      <w:r w:rsidR="00FC1BBF">
        <w:t xml:space="preserve">and ‘re-present’ </w:t>
      </w:r>
      <w:r w:rsidR="00AA555A">
        <w:t xml:space="preserve">the amended survey to the following year’s cohort of TCs and teachers. This longitudinal extension </w:t>
      </w:r>
      <w:r w:rsidR="0038568D">
        <w:t xml:space="preserve">was opportunistic and allowed a further evaluation of year-on-year </w:t>
      </w:r>
      <w:r w:rsidR="00763FB5">
        <w:t>changes in TCs and teachers.</w:t>
      </w:r>
      <w:r w:rsidRPr="000936BA">
        <w:t xml:space="preserve"> Ethical arrangements were approved by the Host, based on BERA guidelines (2011). All information was anonymised, and rights of withdrawal were agreed with all participants.</w:t>
      </w:r>
    </w:p>
    <w:p w14:paraId="41704DF5" w14:textId="77777777" w:rsidR="00854C01" w:rsidRPr="000936BA" w:rsidRDefault="00854C01" w:rsidP="00B6268A">
      <w:pPr>
        <w:spacing w:line="480" w:lineRule="auto"/>
        <w:rPr>
          <w:rStyle w:val="normaltextrun"/>
          <w:b/>
          <w:bCs/>
          <w:color w:val="000000" w:themeColor="text1"/>
        </w:rPr>
      </w:pPr>
    </w:p>
    <w:p w14:paraId="12692E1B" w14:textId="2FB19ABB" w:rsidR="00854C01" w:rsidRPr="000936BA" w:rsidRDefault="00854C01" w:rsidP="00B6268A">
      <w:pPr>
        <w:spacing w:line="480" w:lineRule="auto"/>
        <w:rPr>
          <w:rStyle w:val="normaltextrun"/>
          <w:color w:val="000000" w:themeColor="text1"/>
        </w:rPr>
      </w:pPr>
      <w:r w:rsidRPr="000936BA">
        <w:rPr>
          <w:rStyle w:val="normaltextrun"/>
          <w:b/>
          <w:bCs/>
          <w:color w:val="000000" w:themeColor="text1"/>
        </w:rPr>
        <w:t>Initial qualitative</w:t>
      </w:r>
      <w:r w:rsidR="00D064CB">
        <w:rPr>
          <w:rStyle w:val="normaltextrun"/>
          <w:b/>
          <w:bCs/>
          <w:color w:val="000000" w:themeColor="text1"/>
        </w:rPr>
        <w:t>/exploratory</w:t>
      </w:r>
      <w:r w:rsidRPr="000936BA">
        <w:rPr>
          <w:rStyle w:val="normaltextrun"/>
          <w:b/>
          <w:bCs/>
          <w:color w:val="000000" w:themeColor="text1"/>
        </w:rPr>
        <w:t xml:space="preserve"> evaluation</w:t>
      </w:r>
      <w:r w:rsidR="00D064CB">
        <w:rPr>
          <w:rStyle w:val="normaltextrun"/>
          <w:b/>
          <w:bCs/>
          <w:color w:val="000000" w:themeColor="text1"/>
        </w:rPr>
        <w:t>:</w:t>
      </w:r>
      <w:r w:rsidR="00D453AE">
        <w:rPr>
          <w:rStyle w:val="normaltextrun"/>
          <w:b/>
          <w:bCs/>
          <w:color w:val="000000" w:themeColor="text1"/>
        </w:rPr>
        <w:t xml:space="preserve"> methods and results</w:t>
      </w:r>
    </w:p>
    <w:p w14:paraId="3B962EA2" w14:textId="4353AF13" w:rsidR="0023791E" w:rsidRDefault="00854C01" w:rsidP="00B6268A">
      <w:pPr>
        <w:spacing w:line="480" w:lineRule="auto"/>
        <w:rPr>
          <w:rStyle w:val="normaltextrun"/>
          <w:color w:val="000000" w:themeColor="text1"/>
        </w:rPr>
      </w:pPr>
      <w:r w:rsidRPr="000936BA">
        <w:rPr>
          <w:rStyle w:val="normaltextrun"/>
          <w:color w:val="000000" w:themeColor="text1"/>
        </w:rPr>
        <w:t>Undertaken during the initial three years of programme development, qualitative</w:t>
      </w:r>
      <w:r w:rsidR="00E71517">
        <w:rPr>
          <w:rStyle w:val="normaltextrun"/>
          <w:color w:val="000000" w:themeColor="text1"/>
        </w:rPr>
        <w:t>/</w:t>
      </w:r>
      <w:r w:rsidRPr="000936BA">
        <w:rPr>
          <w:rStyle w:val="normaltextrun"/>
          <w:color w:val="000000" w:themeColor="text1"/>
        </w:rPr>
        <w:t>exploratory stud</w:t>
      </w:r>
      <w:r w:rsidR="004D799D">
        <w:rPr>
          <w:rStyle w:val="normaltextrun"/>
          <w:color w:val="000000" w:themeColor="text1"/>
        </w:rPr>
        <w:t>ies</w:t>
      </w:r>
      <w:r w:rsidRPr="000936BA">
        <w:rPr>
          <w:rStyle w:val="normaltextrun"/>
          <w:color w:val="000000" w:themeColor="text1"/>
        </w:rPr>
        <w:t xml:space="preserve"> provided accounts of activity from the perspective of participants. Evaluators explored </w:t>
      </w:r>
      <w:r w:rsidR="004D799D">
        <w:rPr>
          <w:rStyle w:val="normaltextrun"/>
          <w:color w:val="000000" w:themeColor="text1"/>
        </w:rPr>
        <w:t xml:space="preserve">regional </w:t>
      </w:r>
      <w:r w:rsidRPr="000936BA">
        <w:rPr>
          <w:rStyle w:val="normaltextrun"/>
          <w:color w:val="000000" w:themeColor="text1"/>
        </w:rPr>
        <w:t>networks, recorded successes and developmental issues, and considered the sustainability of the programme. Networks were purposively selected from three diverse</w:t>
      </w:r>
      <w:r w:rsidR="002018F1">
        <w:rPr>
          <w:rStyle w:val="normaltextrun"/>
          <w:color w:val="000000" w:themeColor="text1"/>
        </w:rPr>
        <w:t>, geographical</w:t>
      </w:r>
      <w:r w:rsidRPr="000936BA">
        <w:rPr>
          <w:rStyle w:val="normaltextrun"/>
          <w:color w:val="000000" w:themeColor="text1"/>
        </w:rPr>
        <w:t xml:space="preserve"> regions</w:t>
      </w:r>
      <w:r w:rsidR="002018F1">
        <w:rPr>
          <w:rStyle w:val="normaltextrun"/>
          <w:color w:val="000000" w:themeColor="text1"/>
        </w:rPr>
        <w:t>;</w:t>
      </w:r>
      <w:r w:rsidRPr="000936BA">
        <w:rPr>
          <w:rStyle w:val="normaltextrun"/>
          <w:color w:val="000000" w:themeColor="text1"/>
        </w:rPr>
        <w:t xml:space="preserve"> reflecting a national focus that included rural, urban and disadvantaged areas. Methods were inductive, drawing on ethnography (Atkinson et al., 2001) and constructivist grounded theory (Charmaz, 2014). Participant observations of network meetings were undertaken</w:t>
      </w:r>
      <w:r w:rsidR="00274DC4" w:rsidRPr="00ED0D2E">
        <w:rPr>
          <w:rStyle w:val="normaltextrun"/>
          <w:color w:val="000000" w:themeColor="text1"/>
          <w:vertAlign w:val="superscript"/>
        </w:rPr>
        <w:t>5</w:t>
      </w:r>
      <w:r w:rsidRPr="000936BA">
        <w:rPr>
          <w:rStyle w:val="normaltextrun"/>
          <w:color w:val="000000" w:themeColor="text1"/>
        </w:rPr>
        <w:t xml:space="preserve">, and interviews held with each TC and two participating network teachers from the three selected </w:t>
      </w:r>
      <w:r w:rsidR="002018F1">
        <w:rPr>
          <w:rStyle w:val="normaltextrun"/>
          <w:color w:val="000000" w:themeColor="text1"/>
        </w:rPr>
        <w:t>region</w:t>
      </w:r>
      <w:r w:rsidRPr="000936BA">
        <w:rPr>
          <w:rStyle w:val="normaltextrun"/>
          <w:color w:val="000000" w:themeColor="text1"/>
        </w:rPr>
        <w:t>s annually. Interview schedules were developed using a loosely structured narrative approach to provide opportunities for participants to explore their own understandings, knowledge, and experiences of the intent/actualisation of the ABC programme</w:t>
      </w:r>
      <w:r w:rsidRPr="000936BA">
        <w:rPr>
          <w:rStyle w:val="normaltextrun"/>
          <w:b/>
          <w:color w:val="000000" w:themeColor="text1"/>
        </w:rPr>
        <w:t xml:space="preserve"> </w:t>
      </w:r>
      <w:r w:rsidRPr="000936BA">
        <w:rPr>
          <w:rStyle w:val="normaltextrun"/>
          <w:color w:val="000000" w:themeColor="text1"/>
        </w:rPr>
        <w:t>as freely as possible (</w:t>
      </w:r>
      <w:proofErr w:type="spellStart"/>
      <w:r w:rsidRPr="000936BA">
        <w:rPr>
          <w:rStyle w:val="normaltextrun"/>
          <w:color w:val="000000" w:themeColor="text1"/>
        </w:rPr>
        <w:t>Hollway</w:t>
      </w:r>
      <w:proofErr w:type="spellEnd"/>
      <w:r w:rsidRPr="000936BA">
        <w:rPr>
          <w:rStyle w:val="normaltextrun"/>
          <w:color w:val="000000" w:themeColor="text1"/>
        </w:rPr>
        <w:t xml:space="preserve"> &amp; Jefferson, 2012). Interviews were recorded, </w:t>
      </w:r>
      <w:r w:rsidRPr="000936BA">
        <w:rPr>
          <w:rStyle w:val="normaltextrun"/>
          <w:color w:val="000000" w:themeColor="text1"/>
        </w:rPr>
        <w:lastRenderedPageBreak/>
        <w:t>transcribed and coded/analysed using constant comparison (Charmaz, 2014).  Baseline interviews and observations undertaken in the first year set a participant-oriented agenda</w:t>
      </w:r>
      <w:r w:rsidR="00AF6321">
        <w:rPr>
          <w:rStyle w:val="normaltextrun"/>
          <w:color w:val="000000" w:themeColor="text1"/>
        </w:rPr>
        <w:t xml:space="preserve"> for the following two years. I</w:t>
      </w:r>
      <w:r w:rsidRPr="000936BA">
        <w:rPr>
          <w:rStyle w:val="normaltextrun"/>
          <w:color w:val="000000" w:themeColor="text1"/>
        </w:rPr>
        <w:t xml:space="preserve">ssues </w:t>
      </w:r>
      <w:r w:rsidR="000B257B">
        <w:rPr>
          <w:rStyle w:val="normaltextrun"/>
          <w:color w:val="000000" w:themeColor="text1"/>
        </w:rPr>
        <w:t>from these exploratory studies identif</w:t>
      </w:r>
      <w:r w:rsidR="00A673E7">
        <w:rPr>
          <w:rStyle w:val="normaltextrun"/>
          <w:color w:val="000000" w:themeColor="text1"/>
        </w:rPr>
        <w:t xml:space="preserve">ied key foci </w:t>
      </w:r>
      <w:r w:rsidR="00C14AA5">
        <w:rPr>
          <w:rStyle w:val="normaltextrun"/>
          <w:color w:val="000000" w:themeColor="text1"/>
        </w:rPr>
        <w:t>(</w:t>
      </w:r>
      <w:r w:rsidR="00A673E7">
        <w:rPr>
          <w:rStyle w:val="normaltextrun"/>
          <w:color w:val="000000" w:themeColor="text1"/>
        </w:rPr>
        <w:t>concerning:</w:t>
      </w:r>
      <w:r w:rsidRPr="000936BA">
        <w:rPr>
          <w:rStyle w:val="normaltextrun"/>
          <w:color w:val="000000" w:themeColor="text1"/>
        </w:rPr>
        <w:t xml:space="preserve"> teacher and school backgrounds, perceptions of STEM education, the workings of ABC activities, </w:t>
      </w:r>
      <w:r w:rsidR="001A11B1">
        <w:rPr>
          <w:rStyle w:val="normaltextrun"/>
          <w:color w:val="000000" w:themeColor="text1"/>
        </w:rPr>
        <w:t xml:space="preserve">pedagogies, </w:t>
      </w:r>
      <w:r w:rsidRPr="000936BA">
        <w:rPr>
          <w:rStyle w:val="normaltextrun"/>
          <w:color w:val="000000" w:themeColor="text1"/>
        </w:rPr>
        <w:t>and constraints of the TC role</w:t>
      </w:r>
      <w:r w:rsidR="00C14AA5">
        <w:rPr>
          <w:rStyle w:val="normaltextrun"/>
          <w:color w:val="000000" w:themeColor="text1"/>
        </w:rPr>
        <w:t xml:space="preserve">) to be followed-up more systematically </w:t>
      </w:r>
      <w:r w:rsidR="00060769">
        <w:rPr>
          <w:rStyle w:val="normaltextrun"/>
          <w:color w:val="000000" w:themeColor="text1"/>
        </w:rPr>
        <w:t>in the quantitative evaluation</w:t>
      </w:r>
      <w:r w:rsidRPr="000936BA">
        <w:rPr>
          <w:rStyle w:val="normaltextrun"/>
          <w:color w:val="000000" w:themeColor="text1"/>
        </w:rPr>
        <w:t>.</w:t>
      </w:r>
    </w:p>
    <w:p w14:paraId="587735AF" w14:textId="7C703FBE" w:rsidR="00854C01" w:rsidRPr="000936BA" w:rsidRDefault="0023791E" w:rsidP="00ED0D2E">
      <w:pPr>
        <w:spacing w:line="480" w:lineRule="auto"/>
      </w:pPr>
      <w:r w:rsidRPr="00ED0D2E">
        <w:rPr>
          <w:rStyle w:val="normaltextrun"/>
          <w:i/>
          <w:iCs/>
          <w:color w:val="000000" w:themeColor="text1"/>
        </w:rPr>
        <w:t>Issues that arose in the qualitative/exploratory studies</w:t>
      </w:r>
      <w:r>
        <w:rPr>
          <w:rStyle w:val="normaltextrun"/>
          <w:color w:val="000000" w:themeColor="text1"/>
        </w:rPr>
        <w:t>:</w:t>
      </w:r>
      <w:r w:rsidR="00854C01" w:rsidRPr="000936BA">
        <w:rPr>
          <w:rStyle w:val="eop"/>
          <w:color w:val="000000" w:themeColor="text1"/>
        </w:rPr>
        <w:t> </w:t>
      </w:r>
      <w:r w:rsidR="00854C01" w:rsidRPr="000936BA">
        <w:rPr>
          <w:rStyle w:val="normaltextrun"/>
          <w:color w:val="000000" w:themeColor="text1"/>
        </w:rPr>
        <w:t>Several matters raised by TCs and teachers informed the design of the subsequent quantitative evaluation</w:t>
      </w:r>
      <w:r w:rsidR="004D799D">
        <w:rPr>
          <w:rStyle w:val="normaltextrun"/>
          <w:color w:val="000000" w:themeColor="text1"/>
        </w:rPr>
        <w:t>s</w:t>
      </w:r>
      <w:r w:rsidR="00854C01" w:rsidRPr="000936BA">
        <w:rPr>
          <w:rStyle w:val="normaltextrun"/>
          <w:color w:val="000000" w:themeColor="text1"/>
        </w:rPr>
        <w:t>.  A constant theme</w:t>
      </w:r>
      <w:r w:rsidR="007C3070">
        <w:rPr>
          <w:rStyle w:val="normaltextrun"/>
          <w:color w:val="000000" w:themeColor="text1"/>
        </w:rPr>
        <w:t xml:space="preserve"> identified</w:t>
      </w:r>
      <w:r w:rsidR="00854C01" w:rsidRPr="000936BA">
        <w:rPr>
          <w:rStyle w:val="normaltextrun"/>
          <w:color w:val="000000" w:themeColor="text1"/>
        </w:rPr>
        <w:t xml:space="preserve"> was the disciplinary expertise of TCs. TCs felt that they had relevant STEM knowledge from their own teaching/advisory careers and were keen to enhance general awareness of STEM opportunities for teachers in their networks as part of delivering ABC resources. However, TCs were mostly ‘informed’ by their specific curricular area, with less expertise and fewer contacts in other STEM disciplines. Limitations o</w:t>
      </w:r>
      <w:r w:rsidR="009633C6">
        <w:rPr>
          <w:rStyle w:val="normaltextrun"/>
          <w:color w:val="000000" w:themeColor="text1"/>
        </w:rPr>
        <w:t>f</w:t>
      </w:r>
      <w:r w:rsidR="00854C01" w:rsidRPr="000936BA">
        <w:rPr>
          <w:rStyle w:val="normaltextrun"/>
          <w:color w:val="000000" w:themeColor="text1"/>
        </w:rPr>
        <w:t xml:space="preserve"> time commitment and financial support for ABC meant that TCs had to maintain their full-time (teaching/advising) positions alongside their work on ABC. This ‘split’ in responsibilities meant that TCs had limited time for programme support and network development. TCs suggested that, at times, they focused on committed</w:t>
      </w:r>
      <w:r w:rsidR="002018F1">
        <w:rPr>
          <w:rStyle w:val="normaltextrun"/>
          <w:color w:val="000000" w:themeColor="text1"/>
        </w:rPr>
        <w:t>/experienced</w:t>
      </w:r>
      <w:r w:rsidR="00854C01" w:rsidRPr="000936BA">
        <w:rPr>
          <w:rStyle w:val="normaltextrun"/>
          <w:color w:val="000000" w:themeColor="text1"/>
        </w:rPr>
        <w:t xml:space="preserve"> (network) teachers in the hope of maximising impact of the programme despite their awareness of issues concerning the addition of new teachers to their networks. </w:t>
      </w:r>
      <w:r w:rsidR="00854C01" w:rsidRPr="000936BA">
        <w:rPr>
          <w:rStyle w:val="eop"/>
          <w:color w:val="000000" w:themeColor="text1"/>
        </w:rPr>
        <w:t> </w:t>
      </w:r>
    </w:p>
    <w:p w14:paraId="705361D3" w14:textId="794A660A" w:rsidR="00854C01" w:rsidRPr="000936BA" w:rsidRDefault="00854C01" w:rsidP="00B6268A">
      <w:pPr>
        <w:pStyle w:val="paragraph"/>
        <w:spacing w:line="480" w:lineRule="auto"/>
        <w:textAlignment w:val="baseline"/>
        <w:rPr>
          <w:rStyle w:val="normaltextrun"/>
          <w:color w:val="000000" w:themeColor="text1"/>
        </w:rPr>
      </w:pPr>
      <w:r w:rsidRPr="000936BA">
        <w:rPr>
          <w:rStyle w:val="normaltextrun"/>
          <w:color w:val="000000" w:themeColor="text1"/>
        </w:rPr>
        <w:t xml:space="preserve">For the teachers, involvement with ABC introduced them to a range of STEM supports and outside-of-school organisations which were seen to enhance STEM activities within-school. They valued ABC networks for STEM-based information and for the resources acquired, some of which they shared with school colleagues. Some </w:t>
      </w:r>
      <w:r w:rsidR="00A613B5">
        <w:rPr>
          <w:rStyle w:val="normaltextrun"/>
          <w:color w:val="000000" w:themeColor="text1"/>
        </w:rPr>
        <w:t xml:space="preserve">teachers </w:t>
      </w:r>
      <w:r w:rsidRPr="000936BA">
        <w:rPr>
          <w:rStyle w:val="normaltextrun"/>
          <w:color w:val="000000" w:themeColor="text1"/>
        </w:rPr>
        <w:t>continued with ABC for the entire three years of the qualitative evaluation</w:t>
      </w:r>
      <w:r w:rsidR="009633C6">
        <w:rPr>
          <w:rStyle w:val="normaltextrun"/>
          <w:color w:val="000000" w:themeColor="text1"/>
        </w:rPr>
        <w:t>s</w:t>
      </w:r>
      <w:r w:rsidRPr="000936BA">
        <w:rPr>
          <w:rStyle w:val="normaltextrun"/>
          <w:color w:val="000000" w:themeColor="text1"/>
        </w:rPr>
        <w:t xml:space="preserve"> expressing feelings of increased competence and confidence in undertaking STEM lessons as well as in their own STEM </w:t>
      </w:r>
      <w:r w:rsidRPr="000936BA">
        <w:rPr>
          <w:rStyle w:val="normaltextrun"/>
          <w:color w:val="000000" w:themeColor="text1"/>
        </w:rPr>
        <w:lastRenderedPageBreak/>
        <w:t>knowledge and ability to engage with STEM activities. However, they highlighted challenges relating to their personal development as STEM teachers, includ</w:t>
      </w:r>
      <w:r w:rsidR="001A5100">
        <w:rPr>
          <w:rStyle w:val="normaltextrun"/>
          <w:color w:val="000000" w:themeColor="text1"/>
        </w:rPr>
        <w:t>ing:</w:t>
      </w:r>
      <w:r w:rsidRPr="000936BA">
        <w:rPr>
          <w:rStyle w:val="normaltextrun"/>
          <w:color w:val="000000" w:themeColor="text1"/>
        </w:rPr>
        <w:t xml:space="preserve"> working within the constraints of their schools and curriculum</w:t>
      </w:r>
      <w:r w:rsidR="001A5100">
        <w:rPr>
          <w:rStyle w:val="normaltextrun"/>
          <w:color w:val="000000" w:themeColor="text1"/>
        </w:rPr>
        <w:t>;</w:t>
      </w:r>
      <w:r w:rsidRPr="000936BA">
        <w:rPr>
          <w:rStyle w:val="normaltextrun"/>
          <w:color w:val="000000" w:themeColor="text1"/>
        </w:rPr>
        <w:t xml:space="preserve"> finding time for STEM activities</w:t>
      </w:r>
      <w:r w:rsidR="001A5100">
        <w:rPr>
          <w:rStyle w:val="normaltextrun"/>
          <w:color w:val="000000" w:themeColor="text1"/>
        </w:rPr>
        <w:t>;</w:t>
      </w:r>
      <w:r w:rsidRPr="000936BA">
        <w:rPr>
          <w:rStyle w:val="normaltextrun"/>
          <w:color w:val="000000" w:themeColor="text1"/>
        </w:rPr>
        <w:t xml:space="preserve"> and time to attend ABC network meetings. All teachers taught individual STEM-based disciplines; none taught an integrated STEM-based curriculum. Most schools maintained a separation of STEM disciplines and there was little attempt to integrate these disciplines or provide time/encouragement for co-teaching of STEM disciplines. Only a few schools had a STEM coordinator and </w:t>
      </w:r>
      <w:r w:rsidRPr="000936BA">
        <w:rPr>
          <w:rStyle w:val="eop"/>
          <w:color w:val="000000" w:themeColor="text1"/>
        </w:rPr>
        <w:t>lack of involvement of senior leaders contributed to limiting the extent of perceived programme impact</w:t>
      </w:r>
      <w:r w:rsidRPr="000936BA">
        <w:rPr>
          <w:rStyle w:val="normaltextrun"/>
          <w:color w:val="000000" w:themeColor="text1"/>
        </w:rPr>
        <w:t xml:space="preserve">. More STEM support appeared to be provided in schools that met national (achievement) benchmarks. Schools struggling to meet benchmarks placed greater emphasis on ‘core’ disciplines, neglecting integrated STEM programmes. Few schools provided STEM-oriented careers and discipline support for students. Teachers expressed concern about the range and types of students attending STEM-based lessons and activities. </w:t>
      </w:r>
      <w:r w:rsidR="009A6FA4">
        <w:rPr>
          <w:rStyle w:val="normaltextrun"/>
          <w:color w:val="000000" w:themeColor="text1"/>
        </w:rPr>
        <w:t>M</w:t>
      </w:r>
      <w:r w:rsidRPr="000936BA">
        <w:rPr>
          <w:rStyle w:val="normaltextrun"/>
          <w:color w:val="000000" w:themeColor="text1"/>
        </w:rPr>
        <w:t xml:space="preserve">ost STEM programmes were extracurricular, taking place in clubs and other out-of-school/after-school activities. Some teachers critiqued the effectiveness of their networks and questioned whether there would be sufficient resources for use with large groups in schools, and how the resources could be maintained. </w:t>
      </w:r>
    </w:p>
    <w:p w14:paraId="49DCC108" w14:textId="784708EA" w:rsidR="00854C01" w:rsidRPr="000936BA" w:rsidRDefault="00854C01" w:rsidP="00B6268A">
      <w:pPr>
        <w:pStyle w:val="paragraph"/>
        <w:spacing w:line="480" w:lineRule="auto"/>
        <w:textAlignment w:val="baseline"/>
        <w:rPr>
          <w:rStyle w:val="eop"/>
          <w:color w:val="000000" w:themeColor="text1"/>
        </w:rPr>
      </w:pPr>
      <w:r w:rsidRPr="000936BA">
        <w:rPr>
          <w:rStyle w:val="eop"/>
          <w:color w:val="000000" w:themeColor="text1"/>
        </w:rPr>
        <w:t xml:space="preserve">The ABC programme responded to these findings, addressing the availability of resources for larger groups of students and promoting inclusion of teachers in networks from all school STEM subject areas. Following the qualitative evaluations, the ABC programme continued with the existing TC network and cascade model while focusing on </w:t>
      </w:r>
      <w:r w:rsidR="004120B4">
        <w:rPr>
          <w:rStyle w:val="eop"/>
          <w:color w:val="000000" w:themeColor="text1"/>
        </w:rPr>
        <w:t xml:space="preserve">network </w:t>
      </w:r>
      <w:r w:rsidRPr="000936BA">
        <w:rPr>
          <w:rStyle w:val="eop"/>
          <w:color w:val="000000" w:themeColor="text1"/>
        </w:rPr>
        <w:t xml:space="preserve">growth to extend its reach across the UK. </w:t>
      </w:r>
    </w:p>
    <w:p w14:paraId="3923B410" w14:textId="56A1B7E8" w:rsidR="008D001A" w:rsidRPr="000936BA" w:rsidRDefault="00816AA7" w:rsidP="00B6268A">
      <w:pPr>
        <w:spacing w:line="480" w:lineRule="auto"/>
      </w:pPr>
      <w:r w:rsidRPr="000936BA">
        <w:rPr>
          <w:b/>
          <w:bCs/>
        </w:rPr>
        <w:t>Quantitative Study</w:t>
      </w:r>
      <w:r w:rsidR="004120B4">
        <w:rPr>
          <w:b/>
          <w:bCs/>
        </w:rPr>
        <w:t>: methods</w:t>
      </w:r>
      <w:r w:rsidR="00AA6613">
        <w:rPr>
          <w:b/>
          <w:bCs/>
        </w:rPr>
        <w:t xml:space="preserve"> and results</w:t>
      </w:r>
    </w:p>
    <w:p w14:paraId="705667BD" w14:textId="768E24CB" w:rsidR="00F4257C" w:rsidRPr="000936BA" w:rsidRDefault="003E3AC2" w:rsidP="00B6268A">
      <w:pPr>
        <w:spacing w:line="480" w:lineRule="auto"/>
      </w:pPr>
      <w:r w:rsidRPr="000936BA">
        <w:lastRenderedPageBreak/>
        <w:t>F</w:t>
      </w:r>
      <w:r w:rsidR="00F4257C" w:rsidRPr="000936BA">
        <w:t xml:space="preserve">ive </w:t>
      </w:r>
      <w:r w:rsidR="008B6BFE" w:rsidRPr="000936BA">
        <w:t xml:space="preserve">quantitative </w:t>
      </w:r>
      <w:r w:rsidR="00F4257C" w:rsidRPr="000936BA">
        <w:t xml:space="preserve">phases </w:t>
      </w:r>
      <w:r w:rsidR="008B6BFE" w:rsidRPr="000936BA">
        <w:t xml:space="preserve">were </w:t>
      </w:r>
      <w:r w:rsidR="00164DEB">
        <w:t xml:space="preserve">initially </w:t>
      </w:r>
      <w:r w:rsidR="008B6BFE" w:rsidRPr="000936BA">
        <w:t>planned</w:t>
      </w:r>
      <w:r w:rsidR="00F4257C" w:rsidRPr="000936BA">
        <w:t xml:space="preserve">: a review of the qualitative evaluations to identify key topic areas for questionnaire design; semi-structured, thematic pilot interviews of </w:t>
      </w:r>
      <w:r w:rsidR="001B4A9F" w:rsidRPr="000936BA">
        <w:t>TCs/</w:t>
      </w:r>
      <w:r w:rsidR="00F4257C" w:rsidRPr="000936BA">
        <w:t xml:space="preserve">teachers and related semantic analyses; development of questionnaire items for </w:t>
      </w:r>
      <w:r w:rsidR="001B4A9F" w:rsidRPr="000936BA">
        <w:t>TCs/</w:t>
      </w:r>
      <w:r w:rsidR="00F4257C" w:rsidRPr="000936BA">
        <w:t>teache</w:t>
      </w:r>
      <w:r w:rsidR="001B4A9F" w:rsidRPr="000936BA">
        <w:t>rs</w:t>
      </w:r>
      <w:r w:rsidR="00F4257C" w:rsidRPr="000936BA">
        <w:t xml:space="preserve">; piloting and refinement of questionnaire items; questionnaire completion and descriptive/factorial analyses. </w:t>
      </w:r>
      <w:r w:rsidR="002D00D0">
        <w:t>Drawing from the</w:t>
      </w:r>
      <w:r w:rsidR="00F4257C" w:rsidRPr="000936BA">
        <w:t xml:space="preserve"> literature</w:t>
      </w:r>
      <w:r w:rsidR="00576098">
        <w:t xml:space="preserve"> and exploratory studies</w:t>
      </w:r>
      <w:r w:rsidR="00F4257C" w:rsidRPr="000936BA">
        <w:t xml:space="preserve"> </w:t>
      </w:r>
      <w:r w:rsidR="00576098">
        <w:t>s</w:t>
      </w:r>
      <w:r w:rsidR="00F4257C" w:rsidRPr="000936BA">
        <w:t>emi-structured, thematic pre-pilot interviews</w:t>
      </w:r>
      <w:r w:rsidR="00904E4C">
        <w:t xml:space="preserve"> were undertaken</w:t>
      </w:r>
      <w:r w:rsidR="00A71103">
        <w:t xml:space="preserve"> in</w:t>
      </w:r>
      <w:r w:rsidR="00F4257C" w:rsidRPr="000936BA">
        <w:t xml:space="preserve"> 4</w:t>
      </w:r>
      <w:r w:rsidR="008448CA" w:rsidRPr="000936BA">
        <w:t xml:space="preserve"> distinct</w:t>
      </w:r>
      <w:r w:rsidR="00F4257C" w:rsidRPr="000936BA">
        <w:t xml:space="preserve"> regions</w:t>
      </w:r>
      <w:r w:rsidR="00C8134C" w:rsidRPr="000936BA">
        <w:t xml:space="preserve"> of the UK</w:t>
      </w:r>
      <w:r w:rsidR="00F4257C" w:rsidRPr="000936BA">
        <w:t>, 2 T</w:t>
      </w:r>
      <w:r w:rsidR="009D5E0A" w:rsidRPr="000936BA">
        <w:t>C</w:t>
      </w:r>
      <w:r w:rsidR="00F4257C" w:rsidRPr="000936BA">
        <w:t>s per region (8 in total) and 2 teachers associated with each selected T</w:t>
      </w:r>
      <w:r w:rsidR="009D5E0A" w:rsidRPr="000936BA">
        <w:t>C</w:t>
      </w:r>
      <w:r w:rsidR="00F4257C" w:rsidRPr="000936BA">
        <w:t xml:space="preserve"> (16 in total). </w:t>
      </w:r>
      <w:r w:rsidR="00DB13ED">
        <w:t>Resulting</w:t>
      </w:r>
      <w:r w:rsidR="003E6F71">
        <w:t xml:space="preserve"> </w:t>
      </w:r>
      <w:r w:rsidR="00344659" w:rsidRPr="000936BA">
        <w:t xml:space="preserve">TC/teacher </w:t>
      </w:r>
      <w:r w:rsidR="00F4257C" w:rsidRPr="000936BA">
        <w:t xml:space="preserve">questionnaires identified main themes that included: understanding of STEM education and its role in schools; people who support STEM in schools; within-school constraints </w:t>
      </w:r>
      <w:r w:rsidR="00B1317F" w:rsidRPr="000936BA">
        <w:t>regarding</w:t>
      </w:r>
      <w:r w:rsidR="00F4257C" w:rsidRPr="000936BA">
        <w:t xml:space="preserve"> STEM programmes; support for STEM outside of schools; support for STEM via CPD, networks, information sources; </w:t>
      </w:r>
      <w:r w:rsidR="00323186">
        <w:t xml:space="preserve">STEM </w:t>
      </w:r>
      <w:r w:rsidR="00F4257C" w:rsidRPr="000936BA">
        <w:t>confidence of T</w:t>
      </w:r>
      <w:r w:rsidR="00210E4A" w:rsidRPr="000936BA">
        <w:t>Cs/t</w:t>
      </w:r>
      <w:r w:rsidR="00F4257C" w:rsidRPr="000936BA">
        <w:t xml:space="preserve">eachers; types of student STEM engagement; school guidance and career advice </w:t>
      </w:r>
      <w:r w:rsidR="00BE4173" w:rsidRPr="000936BA">
        <w:t>for</w:t>
      </w:r>
      <w:r w:rsidR="00F4257C" w:rsidRPr="000936BA">
        <w:t xml:space="preserve"> STEM; perceptions of ABC impact among teachers</w:t>
      </w:r>
      <w:r w:rsidR="0077356E" w:rsidRPr="000936BA">
        <w:t xml:space="preserve"> and</w:t>
      </w:r>
      <w:r w:rsidR="00F4257C" w:rsidRPr="000936BA">
        <w:t xml:space="preserve"> students</w:t>
      </w:r>
      <w:r w:rsidR="006F691B">
        <w:t>.</w:t>
      </w:r>
      <w:r w:rsidR="00DB13ED">
        <w:t xml:space="preserve"> </w:t>
      </w:r>
      <w:r w:rsidR="00F4257C" w:rsidRPr="000936BA">
        <w:t>From the</w:t>
      </w:r>
      <w:r w:rsidR="00682D41" w:rsidRPr="000936BA">
        <w:t>se themes</w:t>
      </w:r>
      <w:r w:rsidR="00F4257C" w:rsidRPr="000936BA">
        <w:t xml:space="preserve"> a range of attitudinal, perceptual and efficacy questions were constructed</w:t>
      </w:r>
      <w:r w:rsidR="00455E33" w:rsidRPr="000936BA">
        <w:t xml:space="preserve"> and</w:t>
      </w:r>
      <w:r w:rsidR="00F4257C" w:rsidRPr="000936BA">
        <w:t xml:space="preserve"> checked for validity and reliability. A two-phase questionnaire piloting was undertaken: </w:t>
      </w:r>
      <w:r w:rsidR="00DB1222" w:rsidRPr="000936BA">
        <w:t xml:space="preserve">1) </w:t>
      </w:r>
      <w:r w:rsidR="00F4257C" w:rsidRPr="000936BA">
        <w:t>a researcher revisited pre-pilot T</w:t>
      </w:r>
      <w:r w:rsidR="008339D2" w:rsidRPr="000936BA">
        <w:t>C/t</w:t>
      </w:r>
      <w:r w:rsidR="00F4257C" w:rsidRPr="000936BA">
        <w:t xml:space="preserve">eachers </w:t>
      </w:r>
      <w:r w:rsidR="00DB1222" w:rsidRPr="000936BA">
        <w:t xml:space="preserve">to </w:t>
      </w:r>
      <w:r w:rsidR="009D5E0A" w:rsidRPr="000936BA">
        <w:t>validate</w:t>
      </w:r>
      <w:r w:rsidR="00F4257C" w:rsidRPr="000936BA">
        <w:t xml:space="preserve"> each of the questions; and</w:t>
      </w:r>
      <w:r w:rsidR="00DB1222" w:rsidRPr="000936BA">
        <w:t xml:space="preserve"> 2)</w:t>
      </w:r>
      <w:r w:rsidR="00F4257C" w:rsidRPr="000936BA">
        <w:t xml:space="preserve"> 20</w:t>
      </w:r>
      <w:r w:rsidR="00B36FDB" w:rsidRPr="000936BA">
        <w:t xml:space="preserve"> randomly selected</w:t>
      </w:r>
      <w:r w:rsidR="00F4257C" w:rsidRPr="000936BA">
        <w:t xml:space="preserve"> ABC teachers and 4 T</w:t>
      </w:r>
      <w:r w:rsidR="00B36FDB" w:rsidRPr="000936BA">
        <w:t>C</w:t>
      </w:r>
      <w:r w:rsidR="00F4257C" w:rsidRPr="000936BA">
        <w:t>s were asked to read</w:t>
      </w:r>
      <w:r w:rsidR="00560ECE" w:rsidRPr="000936BA">
        <w:t>/</w:t>
      </w:r>
      <w:r w:rsidR="00F4257C" w:rsidRPr="000936BA">
        <w:t xml:space="preserve">answer all </w:t>
      </w:r>
      <w:r w:rsidR="00323186">
        <w:t>item</w:t>
      </w:r>
      <w:r w:rsidR="00F4257C" w:rsidRPr="000936BA">
        <w:t xml:space="preserve">s </w:t>
      </w:r>
      <w:r w:rsidR="00560ECE" w:rsidRPr="000936BA">
        <w:t>and</w:t>
      </w:r>
      <w:r w:rsidR="00F4257C" w:rsidRPr="000936BA">
        <w:t xml:space="preserve"> comment on any questions that may have caused difficulty in response. </w:t>
      </w:r>
      <w:r w:rsidR="00843A5E" w:rsidRPr="000936BA">
        <w:t>Upon completion of piloting, 99 questions were agreed for TCs and 85 questions for teachers</w:t>
      </w:r>
      <w:r w:rsidR="006F691B">
        <w:t xml:space="preserve"> (Tables 1 &amp; 2)</w:t>
      </w:r>
      <w:r w:rsidR="00843A5E" w:rsidRPr="000936BA">
        <w:t>. D</w:t>
      </w:r>
      <w:r w:rsidR="00F4257C" w:rsidRPr="000936BA">
        <w:t>istribution of the questionnaires was to include all T</w:t>
      </w:r>
      <w:r w:rsidR="00895D4E" w:rsidRPr="000936BA">
        <w:t>Cs</w:t>
      </w:r>
      <w:r w:rsidR="00081291">
        <w:t xml:space="preserve"> </w:t>
      </w:r>
      <w:r w:rsidR="009D2B74">
        <w:t xml:space="preserve">and </w:t>
      </w:r>
      <w:r w:rsidR="00081291">
        <w:t xml:space="preserve">as many teachers who had time/opportunity </w:t>
      </w:r>
      <w:r w:rsidR="00663C3C">
        <w:t>to complete the questionnaire</w:t>
      </w:r>
      <w:r w:rsidR="00F4257C" w:rsidRPr="000936BA">
        <w:t>. Question groupings are identified in Table</w:t>
      </w:r>
      <w:r w:rsidR="00843A5E" w:rsidRPr="000936BA">
        <w:t xml:space="preserve"> 3,</w:t>
      </w:r>
      <w:r w:rsidR="00F4257C" w:rsidRPr="000936BA">
        <w:t xml:space="preserve"> show</w:t>
      </w:r>
      <w:r w:rsidR="00843A5E" w:rsidRPr="000936BA">
        <w:t>ing actual questions and bases for scoring</w:t>
      </w:r>
      <w:r w:rsidR="00F4257C" w:rsidRPr="000936BA">
        <w:t xml:space="preserve">. </w:t>
      </w:r>
    </w:p>
    <w:p w14:paraId="4E8851C2" w14:textId="77777777" w:rsidR="008D001A" w:rsidRPr="000936BA" w:rsidRDefault="008D001A" w:rsidP="00B6268A">
      <w:pPr>
        <w:spacing w:line="480" w:lineRule="auto"/>
        <w:jc w:val="center"/>
      </w:pPr>
    </w:p>
    <w:p w14:paraId="3DD6A6A3" w14:textId="40E1E624" w:rsidR="00F4257C" w:rsidRPr="000936BA" w:rsidRDefault="00F4257C" w:rsidP="00B6268A">
      <w:pPr>
        <w:spacing w:line="480" w:lineRule="auto"/>
        <w:jc w:val="center"/>
      </w:pPr>
      <w:r w:rsidRPr="000936BA">
        <w:t>Table</w:t>
      </w:r>
      <w:r w:rsidR="00877C82" w:rsidRPr="000936BA">
        <w:t>s 1</w:t>
      </w:r>
      <w:r w:rsidR="00843A5E" w:rsidRPr="000936BA">
        <w:t>, 2</w:t>
      </w:r>
      <w:r w:rsidR="00877C82" w:rsidRPr="000936BA">
        <w:t xml:space="preserve"> and </w:t>
      </w:r>
      <w:r w:rsidR="00843A5E" w:rsidRPr="000936BA">
        <w:t>3</w:t>
      </w:r>
      <w:r w:rsidRPr="000936BA">
        <w:t xml:space="preserve"> about here</w:t>
      </w:r>
    </w:p>
    <w:p w14:paraId="6930EDB4" w14:textId="77777777" w:rsidR="00FE6EC6" w:rsidRPr="000936BA" w:rsidRDefault="00FE6EC6" w:rsidP="00B6268A">
      <w:pPr>
        <w:spacing w:line="480" w:lineRule="auto"/>
      </w:pPr>
    </w:p>
    <w:p w14:paraId="07544BA9" w14:textId="4A8F270F" w:rsidR="00854C01" w:rsidRPr="000936BA" w:rsidRDefault="00854C01" w:rsidP="00B6268A">
      <w:pPr>
        <w:spacing w:line="480" w:lineRule="auto"/>
      </w:pPr>
      <w:r w:rsidRPr="000936BA">
        <w:lastRenderedPageBreak/>
        <w:t>Questionnaire distribution was via paper-based and electronic formats to increase the  likelihood of teachers responding (Cohen et al., 2018). Initial analyses were descriptive, exploring each question and demographic variations. A second level factorial analysis (exploratory/principal component [EFA]; Worthington &amp; Whittaker, 2006) ascertained whether factor(s) characterised each theme-based question group for TC/teacher responses. For each question group Kaiser-Meyer-Olkin (sampling adequacy) and Bartlett’s Test for Sphericity (appropriacy for factor analysis) were undertaken. Within the EFA, Varimax factor rotation with a minimum eigenvalue of 1.0 were used for item discovery. Once factors per question grouping were identified ‘alpha-if-deleted’ tests ensured that only key contributing question</w:t>
      </w:r>
      <w:r w:rsidR="00323186">
        <w:t xml:space="preserve"> item</w:t>
      </w:r>
      <w:r w:rsidRPr="000936BA">
        <w:t xml:space="preserve">s were included and that there was a sufficient level of reliability (0.70 or above). Identified factors were then assessed in relation to TC/teacher demographics. While there was a high level of </w:t>
      </w:r>
      <w:r w:rsidR="001C49A0">
        <w:t xml:space="preserve">initial </w:t>
      </w:r>
      <w:r w:rsidRPr="000936BA">
        <w:t>TC response, relatively few teachers completed the questionnaire</w:t>
      </w:r>
      <w:r w:rsidR="00323186">
        <w:t xml:space="preserve"> from the 1</w:t>
      </w:r>
      <w:r w:rsidR="00323186" w:rsidRPr="0090080C">
        <w:rPr>
          <w:vertAlign w:val="superscript"/>
        </w:rPr>
        <w:t>st</w:t>
      </w:r>
      <w:r w:rsidR="00323186">
        <w:t xml:space="preserve"> Cohort</w:t>
      </w:r>
      <w:r w:rsidRPr="000936BA">
        <w:t>. The Host</w:t>
      </w:r>
      <w:r w:rsidR="00DA56AC">
        <w:t xml:space="preserve">, thus, </w:t>
      </w:r>
      <w:r w:rsidRPr="000936BA">
        <w:t>suggested that the questionnaires be shortened to improve the teacher response rate</w:t>
      </w:r>
      <w:r w:rsidR="00323186">
        <w:t xml:space="preserve"> for a 2</w:t>
      </w:r>
      <w:r w:rsidR="00323186" w:rsidRPr="0090080C">
        <w:rPr>
          <w:vertAlign w:val="superscript"/>
        </w:rPr>
        <w:t>nd</w:t>
      </w:r>
      <w:r w:rsidR="00323186">
        <w:t xml:space="preserve"> Cohort in the following year</w:t>
      </w:r>
      <w:r w:rsidRPr="000936BA">
        <w:t xml:space="preserve">. </w:t>
      </w:r>
      <w:r w:rsidR="00F0547F">
        <w:t xml:space="preserve">This second cohort allowed, longitudinally, </w:t>
      </w:r>
      <w:r w:rsidR="00A42809">
        <w:t xml:space="preserve">further information to be collected about ABC as well </w:t>
      </w:r>
      <w:r w:rsidR="00193A81">
        <w:t xml:space="preserve">as an identification of attitudinal and efficacy changes (among TCs and teachers) over time. </w:t>
      </w:r>
    </w:p>
    <w:p w14:paraId="470074FE" w14:textId="77777777" w:rsidR="008D001A" w:rsidRPr="000936BA" w:rsidRDefault="008D001A" w:rsidP="00B6268A">
      <w:pPr>
        <w:spacing w:line="480" w:lineRule="auto"/>
        <w:rPr>
          <w:b/>
          <w:bCs/>
          <w:iCs/>
        </w:rPr>
      </w:pPr>
    </w:p>
    <w:p w14:paraId="33169B7E" w14:textId="5A6B1268" w:rsidR="00514C98" w:rsidRPr="00ED0D2E" w:rsidRDefault="00854C01" w:rsidP="00B6268A">
      <w:pPr>
        <w:spacing w:line="480" w:lineRule="auto"/>
        <w:rPr>
          <w:i/>
        </w:rPr>
      </w:pPr>
      <w:r w:rsidRPr="00ED0D2E">
        <w:rPr>
          <w:i/>
        </w:rPr>
        <w:t>S</w:t>
      </w:r>
      <w:r w:rsidR="00945579" w:rsidRPr="00ED0D2E">
        <w:rPr>
          <w:i/>
        </w:rPr>
        <w:t>ummary of quantitative findings</w:t>
      </w:r>
      <w:r w:rsidR="004818DA">
        <w:rPr>
          <w:i/>
        </w:rPr>
        <w:t xml:space="preserve"> by question grouping</w:t>
      </w:r>
      <w:r w:rsidR="00945579" w:rsidRPr="00ED0D2E">
        <w:rPr>
          <w:i/>
        </w:rPr>
        <w:t xml:space="preserve"> from 2017 and 2018 cohorts of TCs and teachers</w:t>
      </w:r>
    </w:p>
    <w:p w14:paraId="06018A0F" w14:textId="7AC1793E" w:rsidR="00F4257C" w:rsidRPr="000936BA" w:rsidRDefault="00CB6079" w:rsidP="00B6268A">
      <w:pPr>
        <w:spacing w:line="480" w:lineRule="auto"/>
      </w:pPr>
      <w:r w:rsidRPr="00C468A7">
        <w:rPr>
          <w:i/>
          <w:iCs/>
        </w:rPr>
        <w:t xml:space="preserve">1. </w:t>
      </w:r>
      <w:r w:rsidR="00F4257C" w:rsidRPr="00C468A7">
        <w:rPr>
          <w:i/>
          <w:iCs/>
        </w:rPr>
        <w:t>T</w:t>
      </w:r>
      <w:r w:rsidR="00BD2325" w:rsidRPr="00C468A7">
        <w:rPr>
          <w:i/>
          <w:iCs/>
        </w:rPr>
        <w:t>C</w:t>
      </w:r>
      <w:r w:rsidR="00F4257C" w:rsidRPr="00C468A7">
        <w:rPr>
          <w:i/>
          <w:iCs/>
        </w:rPr>
        <w:t>s, 2017</w:t>
      </w:r>
      <w:r w:rsidR="00525185" w:rsidRPr="00C468A7">
        <w:rPr>
          <w:i/>
          <w:iCs/>
        </w:rPr>
        <w:t xml:space="preserve"> (1</w:t>
      </w:r>
      <w:r w:rsidR="00525185" w:rsidRPr="00C468A7">
        <w:rPr>
          <w:i/>
          <w:iCs/>
          <w:vertAlign w:val="superscript"/>
        </w:rPr>
        <w:t>st</w:t>
      </w:r>
      <w:r w:rsidR="00525185" w:rsidRPr="00C468A7">
        <w:rPr>
          <w:i/>
          <w:iCs/>
        </w:rPr>
        <w:t xml:space="preserve"> cohort)</w:t>
      </w:r>
      <w:r w:rsidR="00945579" w:rsidRPr="00C468A7">
        <w:rPr>
          <w:i/>
          <w:iCs/>
        </w:rPr>
        <w:t>:</w:t>
      </w:r>
      <w:r w:rsidR="00945579" w:rsidRPr="000936BA">
        <w:t xml:space="preserve"> </w:t>
      </w:r>
      <w:r w:rsidR="00F4257C" w:rsidRPr="000936BA">
        <w:t xml:space="preserve">Forty-four of the 46 TCs completed the questionnaire, a 95.6% response rate. </w:t>
      </w:r>
      <w:r w:rsidR="004A6DD5" w:rsidRPr="000936BA">
        <w:t>65%</w:t>
      </w:r>
      <w:r w:rsidR="00F4257C" w:rsidRPr="000936BA">
        <w:t xml:space="preserve"> identified a</w:t>
      </w:r>
      <w:r w:rsidR="00071E90" w:rsidRPr="000936BA">
        <w:t>s</w:t>
      </w:r>
      <w:r w:rsidR="00F4257C" w:rsidRPr="000936BA">
        <w:t xml:space="preserve"> male and 34% as female; age</w:t>
      </w:r>
      <w:r w:rsidR="007960DD">
        <w:t>s</w:t>
      </w:r>
      <w:r w:rsidR="00510F34" w:rsidRPr="000936BA">
        <w:t xml:space="preserve"> rang</w:t>
      </w:r>
      <w:r w:rsidR="007960DD">
        <w:t>ed</w:t>
      </w:r>
      <w:r w:rsidR="00F4257C" w:rsidRPr="000936BA">
        <w:t xml:space="preserve"> from 24 to 68 years</w:t>
      </w:r>
      <w:r w:rsidR="009F00BD" w:rsidRPr="000936BA">
        <w:t xml:space="preserve">. </w:t>
      </w:r>
      <w:r w:rsidR="004A6DD5" w:rsidRPr="000936BA">
        <w:t>74%</w:t>
      </w:r>
      <w:r w:rsidR="00F4257C" w:rsidRPr="000936BA">
        <w:t xml:space="preserve"> worked as teachers in secondary schools, and </w:t>
      </w:r>
      <w:r w:rsidR="0051615E" w:rsidRPr="000936BA">
        <w:t>26%</w:t>
      </w:r>
      <w:r w:rsidR="00F4257C" w:rsidRPr="000936BA">
        <w:t xml:space="preserve"> held education advisory positions. All TCs held Bachelor’s degrees in STEM </w:t>
      </w:r>
      <w:r w:rsidR="00065F3A" w:rsidRPr="000936BA">
        <w:t>discipline</w:t>
      </w:r>
      <w:r w:rsidR="00F4257C" w:rsidRPr="000936BA">
        <w:t xml:space="preserve">s. Some had worked with ABC for as long as 6 years prior to the questionnaire, </w:t>
      </w:r>
      <w:r w:rsidR="0051615E" w:rsidRPr="000936BA">
        <w:t>22%</w:t>
      </w:r>
      <w:r w:rsidR="00510F34" w:rsidRPr="000936BA">
        <w:t xml:space="preserve"> </w:t>
      </w:r>
      <w:r w:rsidR="00F4257C" w:rsidRPr="000936BA">
        <w:t xml:space="preserve">had just joined </w:t>
      </w:r>
      <w:r w:rsidR="00A851A8" w:rsidRPr="000936BA">
        <w:t>ABC</w:t>
      </w:r>
      <w:r w:rsidR="00F4257C" w:rsidRPr="000936BA">
        <w:t>.</w:t>
      </w:r>
    </w:p>
    <w:p w14:paraId="041A1E72" w14:textId="163A461F" w:rsidR="00F4257C" w:rsidRPr="000936BA" w:rsidRDefault="00CB6079" w:rsidP="00B6268A">
      <w:pPr>
        <w:spacing w:line="480" w:lineRule="auto"/>
      </w:pPr>
      <w:r w:rsidRPr="000936BA">
        <w:rPr>
          <w:i/>
          <w:iCs/>
        </w:rPr>
        <w:lastRenderedPageBreak/>
        <w:t xml:space="preserve">1.a. </w:t>
      </w:r>
      <w:r w:rsidR="00DB5E93" w:rsidRPr="000936BA">
        <w:rPr>
          <w:i/>
          <w:iCs/>
        </w:rPr>
        <w:t>I</w:t>
      </w:r>
      <w:r w:rsidR="00F4257C" w:rsidRPr="000936BA">
        <w:rPr>
          <w:i/>
          <w:iCs/>
        </w:rPr>
        <w:t>nvolvement in ABC</w:t>
      </w:r>
      <w:r w:rsidR="00F4257C" w:rsidRPr="000936BA">
        <w:t>: The strongest reason for involvement was inclu</w:t>
      </w:r>
      <w:r w:rsidR="009F00BD" w:rsidRPr="000936BA">
        <w:t>ding</w:t>
      </w:r>
      <w:r w:rsidR="00F4257C" w:rsidRPr="000936BA">
        <w:t xml:space="preserve"> </w:t>
      </w:r>
      <w:r w:rsidR="008728F1" w:rsidRPr="000936BA">
        <w:t>real-world</w:t>
      </w:r>
      <w:r w:rsidR="00F4257C" w:rsidRPr="000936BA">
        <w:t xml:space="preserve"> applications into STEM education (1.25 on the 3-pt, scale), </w:t>
      </w:r>
      <w:r w:rsidR="004A6DD5" w:rsidRPr="000936BA">
        <w:t xml:space="preserve">while other aspects included </w:t>
      </w:r>
      <w:r w:rsidR="00F4257C" w:rsidRPr="000936BA">
        <w:t>coordinati</w:t>
      </w:r>
      <w:r w:rsidR="009F00BD" w:rsidRPr="000936BA">
        <w:t>ng</w:t>
      </w:r>
      <w:r w:rsidR="00F4257C" w:rsidRPr="000936BA">
        <w:t xml:space="preserve"> STEM teachers</w:t>
      </w:r>
      <w:r w:rsidR="009F00BD" w:rsidRPr="000936BA">
        <w:t>,</w:t>
      </w:r>
      <w:r w:rsidR="00F4257C" w:rsidRPr="000936BA">
        <w:t xml:space="preserve"> and develop</w:t>
      </w:r>
      <w:r w:rsidR="009F00BD" w:rsidRPr="000936BA">
        <w:t>ing</w:t>
      </w:r>
      <w:r w:rsidR="00F4257C" w:rsidRPr="000936BA">
        <w:t xml:space="preserve"> STEM pedagogic approaches. </w:t>
      </w:r>
      <w:r w:rsidR="009F00BD" w:rsidRPr="000936BA">
        <w:t>Involving</w:t>
      </w:r>
      <w:r w:rsidR="00F4257C" w:rsidRPr="000936BA">
        <w:t xml:space="preserve"> local employers and </w:t>
      </w:r>
      <w:r w:rsidR="009F00BD" w:rsidRPr="000936BA">
        <w:t xml:space="preserve">engineering </w:t>
      </w:r>
      <w:r w:rsidR="00F4257C" w:rsidRPr="000936BA">
        <w:t>experience were the least significant contributors to involvement.</w:t>
      </w:r>
      <w:r w:rsidR="00F4257C" w:rsidRPr="000936BA" w:rsidDel="006F32D2">
        <w:t xml:space="preserve"> </w:t>
      </w:r>
      <w:r w:rsidR="00EE23F0" w:rsidRPr="000936BA">
        <w:t>EFA</w:t>
      </w:r>
      <w:r w:rsidR="00F4257C" w:rsidRPr="000936BA">
        <w:t xml:space="preserve"> identified </w:t>
      </w:r>
      <w:r w:rsidR="00F42F54" w:rsidRPr="000936BA">
        <w:t>one</w:t>
      </w:r>
      <w:r w:rsidR="00F4257C" w:rsidRPr="000936BA">
        <w:t xml:space="preserve"> factor</w:t>
      </w:r>
      <w:r w:rsidR="00DA61BC" w:rsidRPr="000936BA">
        <w:t xml:space="preserve"> with low reliability</w:t>
      </w:r>
      <w:r w:rsidR="00F4257C" w:rsidRPr="000936BA">
        <w:t xml:space="preserve">: ‘STEM in school’ </w:t>
      </w:r>
      <w:r w:rsidR="00772443">
        <w:t xml:space="preserve">included </w:t>
      </w:r>
      <w:r w:rsidR="00F4257C" w:rsidRPr="000936BA">
        <w:t>four items (</w:t>
      </w:r>
      <w:r w:rsidR="009F00BD" w:rsidRPr="000936BA">
        <w:t>1.b., 1.f-h</w:t>
      </w:r>
      <w:r w:rsidR="004A6DD5" w:rsidRPr="000936BA">
        <w:t xml:space="preserve"> [see Table</w:t>
      </w:r>
      <w:r w:rsidR="00282F9E">
        <w:t>s 1 &amp;</w:t>
      </w:r>
      <w:r w:rsidR="004A6DD5" w:rsidRPr="000936BA">
        <w:t xml:space="preserve"> 3 for a</w:t>
      </w:r>
      <w:r w:rsidR="00282F9E">
        <w:t>nalyses and</w:t>
      </w:r>
      <w:r w:rsidR="004A6DD5" w:rsidRPr="000936BA">
        <w:t xml:space="preserve"> questions</w:t>
      </w:r>
      <w:r w:rsidR="00772443">
        <w:t>]</w:t>
      </w:r>
      <w:r w:rsidR="009F00BD" w:rsidRPr="000936BA">
        <w:t>)</w:t>
      </w:r>
      <w:r w:rsidR="00F42F54" w:rsidRPr="000936BA">
        <w:t xml:space="preserve">. </w:t>
      </w:r>
      <w:r w:rsidR="00F4257C" w:rsidRPr="000936BA">
        <w:t xml:space="preserve">TC demographics found: STEM in school </w:t>
      </w:r>
      <w:r w:rsidR="000E0ED6" w:rsidRPr="000936BA">
        <w:t xml:space="preserve">was </w:t>
      </w:r>
      <w:r w:rsidR="004A6DD5" w:rsidRPr="000936BA">
        <w:t xml:space="preserve">statistically </w:t>
      </w:r>
      <w:r w:rsidR="00282F9E">
        <w:t>less important</w:t>
      </w:r>
      <w:r w:rsidR="000E0ED6" w:rsidRPr="000936BA">
        <w:t xml:space="preserve"> for </w:t>
      </w:r>
      <w:r w:rsidR="00C7271A" w:rsidRPr="000936BA">
        <w:t xml:space="preserve">TCs trained after </w:t>
      </w:r>
      <w:r w:rsidR="00435A5B" w:rsidRPr="000936BA">
        <w:t>the onset of the National Curriculum</w:t>
      </w:r>
      <w:r w:rsidR="00E71F1A" w:rsidRPr="000936BA">
        <w:t xml:space="preserve"> </w:t>
      </w:r>
      <w:r w:rsidR="004A6DD5" w:rsidRPr="000936BA">
        <w:t>(</w:t>
      </w:r>
      <w:r w:rsidR="00E71F1A" w:rsidRPr="000936BA">
        <w:t>[NC]</w:t>
      </w:r>
      <w:r w:rsidR="003905BA" w:rsidRPr="000936BA">
        <w:t xml:space="preserve"> </w:t>
      </w:r>
      <w:r w:rsidR="00F4257C" w:rsidRPr="000936BA">
        <w:t>implemented in the UK in 1989</w:t>
      </w:r>
      <w:r w:rsidR="0091045F" w:rsidRPr="000936BA">
        <w:t>)</w:t>
      </w:r>
      <w:r w:rsidR="00F4257C" w:rsidRPr="000936BA">
        <w:t>.</w:t>
      </w:r>
    </w:p>
    <w:p w14:paraId="790EA958" w14:textId="54FFDB14" w:rsidR="00F4257C" w:rsidRPr="000936BA" w:rsidRDefault="00CB6079" w:rsidP="00B6268A">
      <w:pPr>
        <w:spacing w:line="480" w:lineRule="auto"/>
      </w:pPr>
      <w:r w:rsidRPr="000936BA">
        <w:rPr>
          <w:i/>
          <w:iCs/>
        </w:rPr>
        <w:t xml:space="preserve">1.b. </w:t>
      </w:r>
      <w:r w:rsidR="00DB5E93" w:rsidRPr="000936BA">
        <w:rPr>
          <w:i/>
          <w:iCs/>
        </w:rPr>
        <w:t>TC r</w:t>
      </w:r>
      <w:r w:rsidR="00F4257C" w:rsidRPr="000936BA">
        <w:rPr>
          <w:i/>
          <w:iCs/>
        </w:rPr>
        <w:t>oles</w:t>
      </w:r>
      <w:r w:rsidR="00DB5E93" w:rsidRPr="000936BA">
        <w:rPr>
          <w:i/>
          <w:iCs/>
        </w:rPr>
        <w:t>/</w:t>
      </w:r>
      <w:r w:rsidR="00F4257C" w:rsidRPr="000936BA">
        <w:rPr>
          <w:i/>
          <w:iCs/>
        </w:rPr>
        <w:t>responsibilities</w:t>
      </w:r>
      <w:r w:rsidR="00F4257C" w:rsidRPr="000936BA">
        <w:t xml:space="preserve">: TCs </w:t>
      </w:r>
      <w:r w:rsidR="004A6DD5" w:rsidRPr="000936BA">
        <w:t>typically</w:t>
      </w:r>
      <w:r w:rsidR="00F4257C" w:rsidRPr="000936BA">
        <w:t xml:space="preserve"> ‘agreed’ with </w:t>
      </w:r>
      <w:r w:rsidR="0051615E" w:rsidRPr="000936BA">
        <w:t xml:space="preserve">item </w:t>
      </w:r>
      <w:r w:rsidR="00F4257C" w:rsidRPr="000936BA">
        <w:t>questions. The strongest agreement</w:t>
      </w:r>
      <w:r w:rsidR="00877021" w:rsidRPr="000936BA">
        <w:t>s</w:t>
      </w:r>
      <w:r w:rsidR="00F4257C" w:rsidRPr="000936BA">
        <w:t xml:space="preserve"> related to improving teachers’ confidence in approaching STEM problems, attitudes to STEM and establishing a community of learn</w:t>
      </w:r>
      <w:r w:rsidR="002F6C85">
        <w:t>ers</w:t>
      </w:r>
      <w:r w:rsidR="00F4257C" w:rsidRPr="000936BA">
        <w:t>. TCs ha</w:t>
      </w:r>
      <w:r w:rsidR="0083732D" w:rsidRPr="000936BA">
        <w:t>d</w:t>
      </w:r>
      <w:r w:rsidR="00F4257C" w:rsidRPr="000936BA">
        <w:t xml:space="preserve"> neutral opinions regarding </w:t>
      </w:r>
      <w:r w:rsidR="0014273F" w:rsidRPr="000936BA">
        <w:t>school-</w:t>
      </w:r>
      <w:r w:rsidR="00F4257C" w:rsidRPr="000936BA">
        <w:t>management problems, help for newer teachers, mentoring</w:t>
      </w:r>
      <w:r w:rsidR="0014273F" w:rsidRPr="000936BA">
        <w:t xml:space="preserve"> and</w:t>
      </w:r>
      <w:r w:rsidR="00F4257C" w:rsidRPr="000936BA">
        <w:t xml:space="preserve"> communication between network teachers. </w:t>
      </w:r>
      <w:r w:rsidR="00772443">
        <w:t>O</w:t>
      </w:r>
      <w:r w:rsidR="00F4257C" w:rsidRPr="000936BA">
        <w:t>ne factor</w:t>
      </w:r>
      <w:r w:rsidR="00772443">
        <w:t xml:space="preserve"> was identified</w:t>
      </w:r>
      <w:r w:rsidR="00F4257C" w:rsidRPr="000936BA">
        <w:t xml:space="preserve">: ‘Role commitment to teachers and network’ included nearly all the items </w:t>
      </w:r>
      <w:r w:rsidR="00F4257C" w:rsidRPr="000936BA">
        <w:rPr>
          <w:color w:val="000000" w:themeColor="text1"/>
        </w:rPr>
        <w:t>(</w:t>
      </w:r>
      <w:r w:rsidR="0014273F" w:rsidRPr="000936BA">
        <w:rPr>
          <w:color w:val="000000" w:themeColor="text1"/>
        </w:rPr>
        <w:t>2.a-e, 2.g-f</w:t>
      </w:r>
      <w:r w:rsidR="00F4257C" w:rsidRPr="000936BA">
        <w:t>). Th</w:t>
      </w:r>
      <w:r w:rsidR="00D62C98" w:rsidRPr="000936BA">
        <w:t xml:space="preserve">ere were no </w:t>
      </w:r>
      <w:r w:rsidR="00510F34" w:rsidRPr="000936BA">
        <w:t>statistically</w:t>
      </w:r>
      <w:r w:rsidR="00510F34" w:rsidRPr="000936BA">
        <w:rPr>
          <w:b/>
        </w:rPr>
        <w:t xml:space="preserve"> </w:t>
      </w:r>
      <w:r w:rsidR="00D62C98" w:rsidRPr="000936BA">
        <w:t xml:space="preserve">significant </w:t>
      </w:r>
      <w:r w:rsidR="002176C8" w:rsidRPr="000936BA">
        <w:t xml:space="preserve">TC </w:t>
      </w:r>
      <w:r w:rsidR="00D62C98" w:rsidRPr="000936BA">
        <w:t>demographic</w:t>
      </w:r>
      <w:r w:rsidR="002176C8" w:rsidRPr="000936BA">
        <w:t xml:space="preserve"> differences for this factor</w:t>
      </w:r>
      <w:r w:rsidR="00F4257C" w:rsidRPr="000936BA">
        <w:t>.</w:t>
      </w:r>
    </w:p>
    <w:p w14:paraId="42837C12" w14:textId="207CAC3A" w:rsidR="00F4257C" w:rsidRPr="000936BA" w:rsidRDefault="00CB6079" w:rsidP="00B6268A">
      <w:pPr>
        <w:spacing w:line="480" w:lineRule="auto"/>
      </w:pPr>
      <w:r w:rsidRPr="000936BA">
        <w:rPr>
          <w:i/>
          <w:iCs/>
        </w:rPr>
        <w:t xml:space="preserve">1.c. </w:t>
      </w:r>
      <w:r w:rsidR="00F4257C" w:rsidRPr="000936BA">
        <w:rPr>
          <w:i/>
          <w:iCs/>
        </w:rPr>
        <w:t>Experience</w:t>
      </w:r>
      <w:r w:rsidR="00DB5E93" w:rsidRPr="000936BA">
        <w:rPr>
          <w:i/>
          <w:iCs/>
        </w:rPr>
        <w:t xml:space="preserve"> of</w:t>
      </w:r>
      <w:r w:rsidR="00F4257C" w:rsidRPr="000936BA">
        <w:rPr>
          <w:i/>
          <w:iCs/>
        </w:rPr>
        <w:t xml:space="preserve"> ABC</w:t>
      </w:r>
      <w:r w:rsidR="00F4257C" w:rsidRPr="000936BA">
        <w:t>: T</w:t>
      </w:r>
      <w:r w:rsidR="0006236E" w:rsidRPr="000936BA">
        <w:t xml:space="preserve">Cs </w:t>
      </w:r>
      <w:r w:rsidR="00F4257C" w:rsidRPr="000936BA">
        <w:t>enjoy</w:t>
      </w:r>
      <w:r w:rsidR="0014273F" w:rsidRPr="000936BA">
        <w:t>ed</w:t>
      </w:r>
      <w:r w:rsidR="00F4257C" w:rsidRPr="000936BA">
        <w:t xml:space="preserve"> their work with teachers and developing their STEM teaching. Attitudes were neutral regarding preparing for/arranging network meetings,</w:t>
      </w:r>
      <w:r w:rsidR="0014273F" w:rsidRPr="000936BA">
        <w:t xml:space="preserve"> enhancing</w:t>
      </w:r>
      <w:r w:rsidR="00F4257C" w:rsidRPr="000936BA">
        <w:t xml:space="preserve"> relationships </w:t>
      </w:r>
      <w:r w:rsidR="0014273F" w:rsidRPr="000936BA">
        <w:t>among</w:t>
      </w:r>
      <w:r w:rsidR="00F4257C" w:rsidRPr="000936BA">
        <w:t xml:space="preserve"> network teachers and </w:t>
      </w:r>
      <w:r w:rsidR="0014273F" w:rsidRPr="000936BA">
        <w:t>involving</w:t>
      </w:r>
      <w:r w:rsidR="00F4257C" w:rsidRPr="000936BA">
        <w:t xml:space="preserve"> local</w:t>
      </w:r>
      <w:r w:rsidR="0014273F" w:rsidRPr="000936BA">
        <w:t xml:space="preserve"> STEM</w:t>
      </w:r>
      <w:r w:rsidR="00F4257C" w:rsidRPr="000936BA">
        <w:t xml:space="preserve"> industries. TCs saw themselves as competent teachers</w:t>
      </w:r>
      <w:r w:rsidR="00185ECE" w:rsidRPr="000936BA">
        <w:t>, able to pass-on information to network teachers</w:t>
      </w:r>
      <w:r w:rsidR="00F4257C" w:rsidRPr="000936BA">
        <w:t xml:space="preserve">. </w:t>
      </w:r>
      <w:r w:rsidR="00767AB4" w:rsidRPr="000936BA">
        <w:t>T</w:t>
      </w:r>
      <w:r w:rsidR="00955355" w:rsidRPr="000936BA">
        <w:t>wo factors</w:t>
      </w:r>
      <w:r w:rsidR="00767AB4" w:rsidRPr="000936BA">
        <w:t xml:space="preserve"> were identified</w:t>
      </w:r>
      <w:r w:rsidR="00D108D2" w:rsidRPr="000936BA">
        <w:t>:</w:t>
      </w:r>
      <w:r w:rsidR="00F4257C" w:rsidRPr="000936BA">
        <w:t xml:space="preserve"> ‘Organisational problems’ included four items (</w:t>
      </w:r>
      <w:r w:rsidR="00185ECE" w:rsidRPr="000936BA">
        <w:t>3.b.,c.,g.,j.</w:t>
      </w:r>
      <w:r w:rsidR="00F4257C" w:rsidRPr="000936BA">
        <w:t>); ‘Role comfort’ included four items (</w:t>
      </w:r>
      <w:r w:rsidR="00185ECE" w:rsidRPr="000936BA">
        <w:t>3.a.,f.,h.,i.</w:t>
      </w:r>
      <w:r w:rsidR="00F4257C" w:rsidRPr="000936BA">
        <w:t xml:space="preserve">). There were no </w:t>
      </w:r>
      <w:r w:rsidR="00510F34" w:rsidRPr="000936BA">
        <w:t xml:space="preserve">statistically </w:t>
      </w:r>
      <w:r w:rsidR="00F4257C" w:rsidRPr="000936BA">
        <w:t xml:space="preserve">significant demographic differences in relation to </w:t>
      </w:r>
      <w:r w:rsidR="00767AB4" w:rsidRPr="000936BA">
        <w:t>either factor</w:t>
      </w:r>
      <w:r w:rsidR="00111EF4" w:rsidRPr="000936BA">
        <w:t>.</w:t>
      </w:r>
    </w:p>
    <w:p w14:paraId="493B95FB" w14:textId="3F6DF082" w:rsidR="00F4257C" w:rsidRPr="000936BA" w:rsidRDefault="00BF4CA6" w:rsidP="00B6268A">
      <w:pPr>
        <w:spacing w:line="480" w:lineRule="auto"/>
      </w:pPr>
      <w:r w:rsidRPr="000936BA">
        <w:rPr>
          <w:bCs/>
          <w:i/>
          <w:iCs/>
        </w:rPr>
        <w:t xml:space="preserve">1.d. </w:t>
      </w:r>
      <w:r w:rsidR="00F4257C" w:rsidRPr="000936BA">
        <w:rPr>
          <w:bCs/>
          <w:i/>
          <w:iCs/>
        </w:rPr>
        <w:t>Experience of STEM education</w:t>
      </w:r>
      <w:r w:rsidR="00F4257C" w:rsidRPr="000936BA">
        <w:rPr>
          <w:bCs/>
        </w:rPr>
        <w:t xml:space="preserve">: </w:t>
      </w:r>
      <w:r w:rsidR="00F4257C" w:rsidRPr="000936BA">
        <w:t xml:space="preserve">Questions covered topics </w:t>
      </w:r>
      <w:r w:rsidR="0004106F" w:rsidRPr="000936BA">
        <w:t>including</w:t>
      </w:r>
      <w:r w:rsidR="00F4257C" w:rsidRPr="000936BA">
        <w:t xml:space="preserve"> skills that students need to learn about STEM </w:t>
      </w:r>
      <w:r w:rsidR="00065F3A" w:rsidRPr="000936BA">
        <w:t>discipline</w:t>
      </w:r>
      <w:r w:rsidR="00F4257C" w:rsidRPr="000936BA">
        <w:t>s</w:t>
      </w:r>
      <w:r w:rsidR="0004106F" w:rsidRPr="000936BA">
        <w:t>,</w:t>
      </w:r>
      <w:r w:rsidR="00F4257C" w:rsidRPr="000936BA">
        <w:t xml:space="preserve"> support for learning and social pedagogic contexts that support</w:t>
      </w:r>
      <w:r w:rsidR="00D13315" w:rsidRPr="000936BA">
        <w:t>/</w:t>
      </w:r>
      <w:r w:rsidR="00F4257C" w:rsidRPr="000936BA">
        <w:t>hinder learning. High</w:t>
      </w:r>
      <w:r w:rsidR="0004106F" w:rsidRPr="000936BA">
        <w:t xml:space="preserve"> agreement</w:t>
      </w:r>
      <w:r w:rsidR="00F4257C" w:rsidRPr="000936BA">
        <w:t xml:space="preserve"> levels concern</w:t>
      </w:r>
      <w:r w:rsidR="00B64D3D" w:rsidRPr="000936BA">
        <w:t>ed</w:t>
      </w:r>
      <w:r w:rsidR="00F4257C" w:rsidRPr="000936BA">
        <w:t xml:space="preserve"> students’ need to develop </w:t>
      </w:r>
      <w:r w:rsidR="00F4257C" w:rsidRPr="000936BA">
        <w:lastRenderedPageBreak/>
        <w:t xml:space="preserve">interpersonal skills and ability to work independent of the teacher, </w:t>
      </w:r>
      <w:r w:rsidR="00E47B2C" w:rsidRPr="000936BA">
        <w:t xml:space="preserve">and </w:t>
      </w:r>
      <w:r w:rsidR="00F4257C" w:rsidRPr="000936BA">
        <w:t xml:space="preserve">STEM </w:t>
      </w:r>
      <w:r w:rsidR="00065F3A" w:rsidRPr="000936BA">
        <w:t>discipline</w:t>
      </w:r>
      <w:r w:rsidR="00F4257C" w:rsidRPr="000936BA">
        <w:t xml:space="preserve">s taught </w:t>
      </w:r>
      <w:r w:rsidR="00FF5BEB" w:rsidRPr="000936BA">
        <w:t xml:space="preserve">as </w:t>
      </w:r>
      <w:r w:rsidR="00F4257C" w:rsidRPr="000936BA">
        <w:t>real-world</w:t>
      </w:r>
      <w:r w:rsidR="00185ECE" w:rsidRPr="000936BA">
        <w:t>/engineering</w:t>
      </w:r>
      <w:r w:rsidR="00F4257C" w:rsidRPr="000936BA">
        <w:t xml:space="preserve"> problems should have </w:t>
      </w:r>
      <w:r w:rsidR="00185ECE" w:rsidRPr="000936BA">
        <w:t>better</w:t>
      </w:r>
      <w:r w:rsidR="00F4257C" w:rsidRPr="000936BA">
        <w:t xml:space="preserve"> integration into the STEM curriculum. T</w:t>
      </w:r>
      <w:r w:rsidRPr="000936BA">
        <w:t>Cs</w:t>
      </w:r>
      <w:r w:rsidR="00F4257C" w:rsidRPr="000936BA">
        <w:t xml:space="preserve"> showed </w:t>
      </w:r>
      <w:r w:rsidR="00733806" w:rsidRPr="000936BA">
        <w:t xml:space="preserve">a </w:t>
      </w:r>
      <w:r w:rsidR="00F4257C" w:rsidRPr="000936BA">
        <w:t>strong inclusive approach to STEM, that students did not have a ‘fixed’ level of ability</w:t>
      </w:r>
      <w:r w:rsidRPr="000936BA">
        <w:t xml:space="preserve">, </w:t>
      </w:r>
      <w:r w:rsidR="00767AB4" w:rsidRPr="000936BA">
        <w:t xml:space="preserve">should </w:t>
      </w:r>
      <w:r w:rsidRPr="000936BA">
        <w:t>not</w:t>
      </w:r>
      <w:r w:rsidR="00F4257C" w:rsidRPr="000936BA">
        <w:t xml:space="preserve"> be taught in single-sex groups</w:t>
      </w:r>
      <w:r w:rsidR="00185ECE" w:rsidRPr="000936BA">
        <w:t>,</w:t>
      </w:r>
      <w:r w:rsidR="00F4257C" w:rsidRPr="000936BA">
        <w:t xml:space="preserve"> </w:t>
      </w:r>
      <w:r w:rsidRPr="000936BA">
        <w:t>n</w:t>
      </w:r>
      <w:r w:rsidR="00F4257C" w:rsidRPr="000936BA">
        <w:t>or</w:t>
      </w:r>
      <w:r w:rsidRPr="000936BA">
        <w:t xml:space="preserve"> was</w:t>
      </w:r>
      <w:r w:rsidR="00F4257C" w:rsidRPr="000936BA">
        <w:t xml:space="preserve"> STEM only for high achievers. </w:t>
      </w:r>
      <w:r w:rsidR="00185ECE" w:rsidRPr="000936BA">
        <w:t>E</w:t>
      </w:r>
      <w:r w:rsidR="00F4257C" w:rsidRPr="000936BA">
        <w:t xml:space="preserve">ffective </w:t>
      </w:r>
      <w:r w:rsidR="00785EE7" w:rsidRPr="000936BA">
        <w:t xml:space="preserve">STEM </w:t>
      </w:r>
      <w:r w:rsidR="00F4257C" w:rsidRPr="000936BA">
        <w:t>teaching did not rely on students having fundamental knowledge of scien</w:t>
      </w:r>
      <w:r w:rsidR="0071732C" w:rsidRPr="000936BA">
        <w:t>ce</w:t>
      </w:r>
      <w:r w:rsidR="00185ECE" w:rsidRPr="000936BA">
        <w:t>/</w:t>
      </w:r>
      <w:r w:rsidR="00F4257C" w:rsidRPr="000936BA">
        <w:t>mathematic</w:t>
      </w:r>
      <w:r w:rsidR="0071732C" w:rsidRPr="000936BA">
        <w:t>s</w:t>
      </w:r>
      <w:r w:rsidR="00185ECE" w:rsidRPr="000936BA">
        <w:t>,</w:t>
      </w:r>
      <w:r w:rsidR="00F4257C" w:rsidRPr="000936BA">
        <w:t xml:space="preserve"> nor did a STEM career require a university education. TCs were neutral regarding how support for STEM learning should take place. This neutrality was found </w:t>
      </w:r>
      <w:r w:rsidR="00E91E91" w:rsidRPr="000936BA">
        <w:t>regarding</w:t>
      </w:r>
      <w:r w:rsidR="00F4257C" w:rsidRPr="000936BA">
        <w:t xml:space="preserve"> parental support, extracurricular activities and competition to promote STEM. TCs </w:t>
      </w:r>
      <w:r w:rsidR="0004106F" w:rsidRPr="000936BA">
        <w:t>were</w:t>
      </w:r>
      <w:r w:rsidR="00E90DA3" w:rsidRPr="000936BA">
        <w:t xml:space="preserve"> also</w:t>
      </w:r>
      <w:r w:rsidR="00F4257C" w:rsidRPr="000936BA">
        <w:t xml:space="preserve"> neutral about</w:t>
      </w:r>
      <w:r w:rsidR="00E90DA3" w:rsidRPr="000936BA">
        <w:t xml:space="preserve"> promoting within-school STEM interdisciplinarity and developing social pedagogic skills among</w:t>
      </w:r>
      <w:r w:rsidR="00772443">
        <w:t xml:space="preserve"> students</w:t>
      </w:r>
      <w:r w:rsidR="00F4257C" w:rsidRPr="000936BA">
        <w:t xml:space="preserve">. </w:t>
      </w:r>
      <w:r w:rsidR="00767AB4" w:rsidRPr="000936BA">
        <w:t>O</w:t>
      </w:r>
      <w:r w:rsidR="00F4257C" w:rsidRPr="000936BA">
        <w:t>ne factor</w:t>
      </w:r>
      <w:r w:rsidR="00767AB4" w:rsidRPr="000936BA">
        <w:t xml:space="preserve"> was identified</w:t>
      </w:r>
      <w:r w:rsidR="007E56B0" w:rsidRPr="000936BA">
        <w:t>:</w:t>
      </w:r>
      <w:r w:rsidR="00F4257C" w:rsidRPr="000936BA">
        <w:t xml:space="preserve"> ‘Student STEM success’ included 12 </w:t>
      </w:r>
      <w:r w:rsidR="00772443">
        <w:t>item</w:t>
      </w:r>
      <w:r w:rsidR="00F4257C" w:rsidRPr="000936BA">
        <w:t xml:space="preserve">s </w:t>
      </w:r>
      <w:r w:rsidR="00F4257C" w:rsidRPr="000936BA">
        <w:rPr>
          <w:color w:val="000000" w:themeColor="text1"/>
        </w:rPr>
        <w:t>(</w:t>
      </w:r>
      <w:r w:rsidR="00E90DA3" w:rsidRPr="000936BA">
        <w:rPr>
          <w:color w:val="000000" w:themeColor="text1"/>
        </w:rPr>
        <w:t>4.c.,d.,g.,h.,k.,n.,p.,q.,t.,x.,z.,aa</w:t>
      </w:r>
      <w:r w:rsidR="00E90DA3" w:rsidRPr="000936BA">
        <w:rPr>
          <w:color w:val="0000FF"/>
        </w:rPr>
        <w:t>.</w:t>
      </w:r>
      <w:r w:rsidR="008750E6" w:rsidRPr="000936BA">
        <w:t>)</w:t>
      </w:r>
      <w:r w:rsidR="0066427A" w:rsidRPr="000936BA">
        <w:t>. These were generally</w:t>
      </w:r>
      <w:r w:rsidR="00F4257C" w:rsidRPr="000936BA">
        <w:t xml:space="preserve"> negatively</w:t>
      </w:r>
      <w:r w:rsidR="0066427A" w:rsidRPr="000936BA">
        <w:t>-</w:t>
      </w:r>
      <w:r w:rsidR="00F4257C" w:rsidRPr="000936BA">
        <w:t>worded questions and by disagreeing TCs demonstrate</w:t>
      </w:r>
      <w:r w:rsidR="00E90DA3" w:rsidRPr="000936BA">
        <w:t>d</w:t>
      </w:r>
      <w:r w:rsidR="00F4257C" w:rsidRPr="000936BA">
        <w:t xml:space="preserve"> an inclusive </w:t>
      </w:r>
      <w:r w:rsidR="00E90DA3" w:rsidRPr="000936BA">
        <w:t xml:space="preserve">STEM </w:t>
      </w:r>
      <w:r w:rsidR="00F4257C" w:rsidRPr="000936BA">
        <w:t xml:space="preserve">approach. There were no </w:t>
      </w:r>
      <w:r w:rsidR="00E90DA3" w:rsidRPr="000936BA">
        <w:t xml:space="preserve">statistically </w:t>
      </w:r>
      <w:r w:rsidR="00F4257C" w:rsidRPr="000936BA">
        <w:t>significant demographic differences for th</w:t>
      </w:r>
      <w:r w:rsidR="00767AB4" w:rsidRPr="000936BA">
        <w:t>is</w:t>
      </w:r>
      <w:r w:rsidR="00F4257C" w:rsidRPr="000936BA">
        <w:t xml:space="preserve"> factor. </w:t>
      </w:r>
    </w:p>
    <w:p w14:paraId="0DF5970D" w14:textId="00E05961" w:rsidR="00F4257C" w:rsidRPr="000936BA" w:rsidRDefault="00BF4CA6" w:rsidP="00B6268A">
      <w:pPr>
        <w:spacing w:line="480" w:lineRule="auto"/>
      </w:pPr>
      <w:r w:rsidRPr="000936BA">
        <w:rPr>
          <w:bCs/>
          <w:i/>
          <w:iCs/>
        </w:rPr>
        <w:t xml:space="preserve">1.e. </w:t>
      </w:r>
      <w:r w:rsidR="00DB5E93" w:rsidRPr="000936BA">
        <w:rPr>
          <w:bCs/>
          <w:i/>
          <w:iCs/>
        </w:rPr>
        <w:t>P</w:t>
      </w:r>
      <w:r w:rsidR="00F4257C" w:rsidRPr="000936BA">
        <w:rPr>
          <w:bCs/>
          <w:i/>
          <w:iCs/>
        </w:rPr>
        <w:t>articipation in ABC activities</w:t>
      </w:r>
      <w:r w:rsidR="00F4257C" w:rsidRPr="000936BA">
        <w:rPr>
          <w:bCs/>
        </w:rPr>
        <w:t xml:space="preserve">: </w:t>
      </w:r>
      <w:r w:rsidR="00622019" w:rsidRPr="000936BA">
        <w:t>The m</w:t>
      </w:r>
      <w:r w:rsidR="00F4257C" w:rsidRPr="000936BA">
        <w:t>ost frequent activit</w:t>
      </w:r>
      <w:r w:rsidR="00622019" w:rsidRPr="000936BA">
        <w:t>y</w:t>
      </w:r>
      <w:r w:rsidR="00F4257C" w:rsidRPr="000936BA">
        <w:t xml:space="preserve"> (</w:t>
      </w:r>
      <w:r w:rsidR="00932C01" w:rsidRPr="000936BA">
        <w:t>up to</w:t>
      </w:r>
      <w:r w:rsidR="00F4257C" w:rsidRPr="000936BA">
        <w:t xml:space="preserve"> 6 times over the previous year) involved contacting outside organisations. </w:t>
      </w:r>
      <w:r w:rsidR="001B0319" w:rsidRPr="000936BA">
        <w:t>M</w:t>
      </w:r>
      <w:r w:rsidR="00F4257C" w:rsidRPr="000936BA">
        <w:t xml:space="preserve">oderate </w:t>
      </w:r>
      <w:r w:rsidR="00845EFC">
        <w:t xml:space="preserve">activity </w:t>
      </w:r>
      <w:r w:rsidR="00F4257C" w:rsidRPr="000936BA">
        <w:t>levels (approximately 3</w:t>
      </w:r>
      <w:r w:rsidR="00292155" w:rsidRPr="000936BA">
        <w:t>-</w:t>
      </w:r>
      <w:r w:rsidR="00F4257C" w:rsidRPr="000936BA">
        <w:t xml:space="preserve">4 times in the previous year) related to </w:t>
      </w:r>
      <w:r w:rsidR="00E90DA3" w:rsidRPr="000936BA">
        <w:t xml:space="preserve">ABC </w:t>
      </w:r>
      <w:r w:rsidR="00F4257C" w:rsidRPr="000936BA">
        <w:t xml:space="preserve">organisational responsibilities. </w:t>
      </w:r>
      <w:r w:rsidR="00E62F73" w:rsidRPr="000936BA">
        <w:t>E</w:t>
      </w:r>
      <w:r w:rsidR="00F4257C" w:rsidRPr="000936BA">
        <w:t xml:space="preserve">ach TC </w:t>
      </w:r>
      <w:r w:rsidR="00B33F39" w:rsidRPr="000936BA">
        <w:t>networ</w:t>
      </w:r>
      <w:r w:rsidR="00E62F73" w:rsidRPr="000936BA">
        <w:t>k</w:t>
      </w:r>
      <w:r w:rsidR="00B33F39" w:rsidRPr="000936BA">
        <w:t xml:space="preserve"> </w:t>
      </w:r>
      <w:r w:rsidR="00F4257C" w:rsidRPr="000936BA">
        <w:t>had approximately 14 teachers per network, hence an activity level of 3</w:t>
      </w:r>
      <w:r w:rsidR="00292155" w:rsidRPr="000936BA">
        <w:t>-</w:t>
      </w:r>
      <w:r w:rsidR="00F4257C" w:rsidRPr="000936BA">
        <w:t>4 times per year indicate</w:t>
      </w:r>
      <w:r w:rsidR="0048051F" w:rsidRPr="000936BA">
        <w:t>s</w:t>
      </w:r>
      <w:r w:rsidR="00F4257C" w:rsidRPr="000936BA">
        <w:t xml:space="preserve"> that less than </w:t>
      </w:r>
      <w:r w:rsidR="0048051F" w:rsidRPr="000936BA">
        <w:t>one-</w:t>
      </w:r>
      <w:r w:rsidR="00F4257C" w:rsidRPr="000936BA">
        <w:t xml:space="preserve">third of teachers </w:t>
      </w:r>
      <w:r w:rsidR="0048051F" w:rsidRPr="000936BA">
        <w:t>were</w:t>
      </w:r>
      <w:r w:rsidR="00F4257C" w:rsidRPr="000936BA">
        <w:t xml:space="preserve"> visited. TCs </w:t>
      </w:r>
      <w:r w:rsidR="00292155" w:rsidRPr="000936BA">
        <w:t>rarely</w:t>
      </w:r>
      <w:r w:rsidR="00F4257C" w:rsidRPr="000936BA">
        <w:t xml:space="preserve"> co-taught with network teachers, discussed student confidence building actions or checked whether teachers were networking with one</w:t>
      </w:r>
      <w:r w:rsidR="00D84A81" w:rsidRPr="000936BA">
        <w:t>-</w:t>
      </w:r>
      <w:r w:rsidR="00F4257C" w:rsidRPr="000936BA">
        <w:t xml:space="preserve">another. </w:t>
      </w:r>
      <w:r w:rsidR="00292155" w:rsidRPr="000936BA">
        <w:t>T</w:t>
      </w:r>
      <w:r w:rsidR="00F4257C" w:rsidRPr="000936BA">
        <w:t>wo factors</w:t>
      </w:r>
      <w:r w:rsidR="00292155" w:rsidRPr="000936BA">
        <w:t xml:space="preserve"> were identified</w:t>
      </w:r>
      <w:r w:rsidR="00F4257C" w:rsidRPr="000936BA">
        <w:t xml:space="preserve">: ‘ABC activity level’ </w:t>
      </w:r>
      <w:r w:rsidR="00292155" w:rsidRPr="000936BA">
        <w:t>includ</w:t>
      </w:r>
      <w:r w:rsidR="00F4257C" w:rsidRPr="000936BA">
        <w:t xml:space="preserve">ed nearly all </w:t>
      </w:r>
      <w:r w:rsidR="00772443">
        <w:t>item</w:t>
      </w:r>
      <w:r w:rsidR="00F4257C" w:rsidRPr="000936BA">
        <w:t>s</w:t>
      </w:r>
      <w:r w:rsidR="001F449B" w:rsidRPr="000936BA">
        <w:t xml:space="preserve"> (5.a.,b.,c.,f.,g.,h.,i.,k.,l</w:t>
      </w:r>
      <w:r w:rsidR="001F449B" w:rsidRPr="000936BA">
        <w:rPr>
          <w:color w:val="000000" w:themeColor="text1"/>
        </w:rPr>
        <w:t>.)</w:t>
      </w:r>
      <w:r w:rsidR="00292155" w:rsidRPr="000936BA">
        <w:rPr>
          <w:color w:val="000000" w:themeColor="text1"/>
        </w:rPr>
        <w:t>;</w:t>
      </w:r>
      <w:r w:rsidR="00C95B6F" w:rsidRPr="000936BA">
        <w:rPr>
          <w:color w:val="000000" w:themeColor="text1"/>
        </w:rPr>
        <w:t xml:space="preserve"> </w:t>
      </w:r>
      <w:r w:rsidR="00F4257C" w:rsidRPr="000936BA">
        <w:rPr>
          <w:color w:val="000000" w:themeColor="text1"/>
        </w:rPr>
        <w:t>‘External support for STEM’ included two items (</w:t>
      </w:r>
      <w:r w:rsidR="001F449B" w:rsidRPr="000936BA">
        <w:rPr>
          <w:color w:val="000000" w:themeColor="text1"/>
        </w:rPr>
        <w:t>5.k.,l.</w:t>
      </w:r>
      <w:r w:rsidR="00F4257C" w:rsidRPr="000936BA">
        <w:t xml:space="preserve">). </w:t>
      </w:r>
      <w:r w:rsidR="00292155" w:rsidRPr="000936BA">
        <w:t>There were s</w:t>
      </w:r>
      <w:r w:rsidR="00C95B6F" w:rsidRPr="000936BA">
        <w:t>tatisticall</w:t>
      </w:r>
      <w:r w:rsidR="001F449B" w:rsidRPr="000936BA">
        <w:t>y s</w:t>
      </w:r>
      <w:r w:rsidR="00F4257C" w:rsidRPr="000936BA">
        <w:t xml:space="preserve">ignificant differences </w:t>
      </w:r>
      <w:r w:rsidR="00292155" w:rsidRPr="000936BA">
        <w:t>for the first factor</w:t>
      </w:r>
      <w:r w:rsidR="00F4257C" w:rsidRPr="000936BA">
        <w:t xml:space="preserve"> </w:t>
      </w:r>
      <w:r w:rsidR="00292155" w:rsidRPr="000936BA">
        <w:t xml:space="preserve">with </w:t>
      </w:r>
      <w:r w:rsidR="00F4257C" w:rsidRPr="000936BA">
        <w:t>male</w:t>
      </w:r>
      <w:r w:rsidR="00772443">
        <w:t xml:space="preserve"> TC</w:t>
      </w:r>
      <w:r w:rsidR="00F4257C" w:rsidRPr="000936BA">
        <w:t>s,</w:t>
      </w:r>
      <w:r w:rsidR="00292155" w:rsidRPr="000936BA">
        <w:t xml:space="preserve"> experienced TCs,</w:t>
      </w:r>
      <w:r w:rsidR="00F4257C" w:rsidRPr="000936BA">
        <w:t xml:space="preserve"> and Pre-NC TCs more frequently engag</w:t>
      </w:r>
      <w:r w:rsidR="00DB5E93" w:rsidRPr="000936BA">
        <w:t>ed</w:t>
      </w:r>
      <w:r w:rsidR="00F4257C" w:rsidRPr="000936BA">
        <w:t xml:space="preserve"> in activities. There were no </w:t>
      </w:r>
      <w:r w:rsidR="00C95B6F" w:rsidRPr="000936BA">
        <w:t xml:space="preserve">statistically </w:t>
      </w:r>
      <w:r w:rsidR="00F4257C" w:rsidRPr="000936BA">
        <w:t xml:space="preserve">significant demographic differences </w:t>
      </w:r>
      <w:r w:rsidR="00292155" w:rsidRPr="000936BA">
        <w:t>for the second factor</w:t>
      </w:r>
      <w:r w:rsidR="00F4257C" w:rsidRPr="000936BA">
        <w:t>.</w:t>
      </w:r>
    </w:p>
    <w:p w14:paraId="0DCBF702" w14:textId="366C47C6" w:rsidR="00F4257C" w:rsidRPr="000936BA" w:rsidRDefault="00BF4CA6" w:rsidP="00B6268A">
      <w:pPr>
        <w:keepNext/>
        <w:spacing w:line="480" w:lineRule="auto"/>
      </w:pPr>
      <w:r w:rsidRPr="000936BA">
        <w:rPr>
          <w:bCs/>
          <w:i/>
          <w:iCs/>
        </w:rPr>
        <w:lastRenderedPageBreak/>
        <w:t xml:space="preserve">1.f. </w:t>
      </w:r>
      <w:r w:rsidR="00F4257C" w:rsidRPr="000936BA">
        <w:rPr>
          <w:bCs/>
          <w:i/>
          <w:iCs/>
        </w:rPr>
        <w:t>Confidence</w:t>
      </w:r>
      <w:r w:rsidR="002A23D5" w:rsidRPr="000936BA">
        <w:rPr>
          <w:bCs/>
          <w:i/>
          <w:iCs/>
        </w:rPr>
        <w:t>/</w:t>
      </w:r>
      <w:r w:rsidR="00F4257C" w:rsidRPr="000936BA">
        <w:rPr>
          <w:bCs/>
          <w:i/>
          <w:iCs/>
        </w:rPr>
        <w:t>competenc</w:t>
      </w:r>
      <w:r w:rsidR="00856505" w:rsidRPr="000936BA">
        <w:rPr>
          <w:bCs/>
          <w:i/>
          <w:iCs/>
        </w:rPr>
        <w:t>e</w:t>
      </w:r>
      <w:r w:rsidR="00F4257C" w:rsidRPr="000936BA">
        <w:rPr>
          <w:bCs/>
          <w:i/>
          <w:iCs/>
        </w:rPr>
        <w:t xml:space="preserve"> in promoting STEM and Engineering:</w:t>
      </w:r>
      <w:r w:rsidR="00F4257C" w:rsidRPr="000936BA">
        <w:t xml:space="preserve"> TCs perceived themselves as </w:t>
      </w:r>
      <w:r w:rsidR="009646DE" w:rsidRPr="000936BA">
        <w:t>being</w:t>
      </w:r>
      <w:r w:rsidR="00F4257C" w:rsidRPr="000936BA">
        <w:t xml:space="preserve"> competent</w:t>
      </w:r>
      <w:r w:rsidR="00856505" w:rsidRPr="000936BA">
        <w:t>/</w:t>
      </w:r>
      <w:r w:rsidR="00F4257C" w:rsidRPr="000936BA">
        <w:t>confident in the</w:t>
      </w:r>
      <w:r w:rsidR="00DB5E93" w:rsidRPr="000936BA">
        <w:t>se</w:t>
      </w:r>
      <w:r w:rsidR="00F4257C" w:rsidRPr="000936BA">
        <w:t xml:space="preserve"> responsibilities. They </w:t>
      </w:r>
      <w:r w:rsidR="00333318" w:rsidRPr="000936BA">
        <w:t>were</w:t>
      </w:r>
      <w:r w:rsidR="00F4257C" w:rsidRPr="000936BA">
        <w:t xml:space="preserve"> particularly </w:t>
      </w:r>
      <w:r w:rsidR="009646DE" w:rsidRPr="000936BA">
        <w:t>confident</w:t>
      </w:r>
      <w:r w:rsidR="00F4257C" w:rsidRPr="000936BA">
        <w:t xml:space="preserve"> in</w:t>
      </w:r>
      <w:r w:rsidR="00DB5E93" w:rsidRPr="000936BA">
        <w:t>:</w:t>
      </w:r>
      <w:r w:rsidR="00F4257C" w:rsidRPr="000936BA">
        <w:t xml:space="preserve"> design</w:t>
      </w:r>
      <w:r w:rsidR="00CF126E" w:rsidRPr="000936BA">
        <w:t>ing</w:t>
      </w:r>
      <w:r w:rsidR="00F4257C" w:rsidRPr="000936BA">
        <w:t xml:space="preserve"> STEM activities for students</w:t>
      </w:r>
      <w:r w:rsidR="00DB5E93" w:rsidRPr="000936BA">
        <w:t>;</w:t>
      </w:r>
      <w:r w:rsidR="00F4257C" w:rsidRPr="000936BA">
        <w:t xml:space="preserve"> </w:t>
      </w:r>
      <w:r w:rsidR="003F14D9" w:rsidRPr="000936BA">
        <w:t>h</w:t>
      </w:r>
      <w:r w:rsidR="00F4257C" w:rsidRPr="000936BA">
        <w:t>elp</w:t>
      </w:r>
      <w:r w:rsidR="002A130E" w:rsidRPr="000936BA">
        <w:t>ing</w:t>
      </w:r>
      <w:r w:rsidR="00F4257C" w:rsidRPr="000936BA">
        <w:t xml:space="preserve"> teachers; </w:t>
      </w:r>
      <w:r w:rsidR="002A130E" w:rsidRPr="000936BA">
        <w:t>e</w:t>
      </w:r>
      <w:r w:rsidR="00F4257C" w:rsidRPr="000936BA">
        <w:t xml:space="preserve">ngineering efficacy; and </w:t>
      </w:r>
      <w:r w:rsidR="00167A19" w:rsidRPr="000936BA">
        <w:t>promoting students’ e</w:t>
      </w:r>
      <w:r w:rsidR="00F4257C" w:rsidRPr="000936BA">
        <w:t>ngineering efficacy.</w:t>
      </w:r>
      <w:r w:rsidRPr="000936BA">
        <w:t xml:space="preserve"> </w:t>
      </w:r>
      <w:r w:rsidR="00F4257C" w:rsidRPr="000936BA">
        <w:t>T</w:t>
      </w:r>
      <w:r w:rsidR="009646DE" w:rsidRPr="000936BA">
        <w:t>hey</w:t>
      </w:r>
      <w:r w:rsidR="00F4257C" w:rsidRPr="000936BA">
        <w:t xml:space="preserve"> were </w:t>
      </w:r>
      <w:r w:rsidR="00167A19" w:rsidRPr="000936BA">
        <w:t>also</w:t>
      </w:r>
      <w:r w:rsidR="00F4257C" w:rsidRPr="000936BA">
        <w:t xml:space="preserve"> confident in design</w:t>
      </w:r>
      <w:r w:rsidR="00B228AB" w:rsidRPr="000936BA">
        <w:t>ing</w:t>
      </w:r>
      <w:r w:rsidR="00F4257C" w:rsidRPr="000936BA">
        <w:t xml:space="preserve"> STEM experiences for high</w:t>
      </w:r>
      <w:r w:rsidR="001F449B" w:rsidRPr="000936BA">
        <w:t>/</w:t>
      </w:r>
      <w:r w:rsidR="00F4257C" w:rsidRPr="000936BA">
        <w:t xml:space="preserve">low performing students. </w:t>
      </w:r>
      <w:r w:rsidR="009646DE" w:rsidRPr="000936BA">
        <w:t>T</w:t>
      </w:r>
      <w:r w:rsidR="00B228AB" w:rsidRPr="000936BA">
        <w:t>hree factors</w:t>
      </w:r>
      <w:r w:rsidR="009646DE" w:rsidRPr="000936BA">
        <w:t xml:space="preserve"> were identified</w:t>
      </w:r>
      <w:r w:rsidR="00F4257C" w:rsidRPr="000936BA">
        <w:t>:</w:t>
      </w:r>
      <w:r w:rsidR="00C95B6F" w:rsidRPr="000936BA">
        <w:t xml:space="preserve"> </w:t>
      </w:r>
      <w:r w:rsidR="00F4257C" w:rsidRPr="000936BA">
        <w:t>‘Confidence in engineering</w:t>
      </w:r>
      <w:r w:rsidR="00A05F87" w:rsidRPr="000936BA">
        <w:t>/</w:t>
      </w:r>
      <w:r w:rsidR="00F4257C" w:rsidRPr="000936BA">
        <w:t xml:space="preserve">STEM support’ </w:t>
      </w:r>
      <w:r w:rsidR="00F4257C" w:rsidRPr="000936BA">
        <w:rPr>
          <w:color w:val="000000" w:themeColor="text1"/>
        </w:rPr>
        <w:t>(</w:t>
      </w:r>
      <w:r w:rsidR="001F449B" w:rsidRPr="000936BA">
        <w:rPr>
          <w:color w:val="000000" w:themeColor="text1"/>
        </w:rPr>
        <w:t>6.a.,b.,d.,e.,h.,i.,k.,l.,p.,q.,t.</w:t>
      </w:r>
      <w:r w:rsidR="0062653E" w:rsidRPr="000936BA">
        <w:rPr>
          <w:color w:val="000000" w:themeColor="text1"/>
        </w:rPr>
        <w:t>)</w:t>
      </w:r>
      <w:r w:rsidR="00767ED5" w:rsidRPr="000936BA">
        <w:rPr>
          <w:color w:val="000000" w:themeColor="text1"/>
        </w:rPr>
        <w:t>;</w:t>
      </w:r>
      <w:r w:rsidR="00C95B6F" w:rsidRPr="000936BA">
        <w:rPr>
          <w:color w:val="000000" w:themeColor="text1"/>
        </w:rPr>
        <w:t xml:space="preserve"> </w:t>
      </w:r>
      <w:r w:rsidR="00F4257C" w:rsidRPr="000936BA">
        <w:t>‘Help in Sci</w:t>
      </w:r>
      <w:r w:rsidR="0062653E" w:rsidRPr="000936BA">
        <w:t>ence</w:t>
      </w:r>
      <w:r w:rsidR="0021416E" w:rsidRPr="000936BA">
        <w:t>/</w:t>
      </w:r>
      <w:r w:rsidR="00F4257C" w:rsidRPr="000936BA">
        <w:t>Math</w:t>
      </w:r>
      <w:r w:rsidR="0062653E" w:rsidRPr="000936BA">
        <w:t>e</w:t>
      </w:r>
      <w:r w:rsidR="003919ED" w:rsidRPr="000936BA">
        <w:t>ma</w:t>
      </w:r>
      <w:r w:rsidR="0062653E" w:rsidRPr="000936BA">
        <w:t>tic</w:t>
      </w:r>
      <w:r w:rsidR="00F4257C" w:rsidRPr="000936BA">
        <w:t>s’ (</w:t>
      </w:r>
      <w:r w:rsidR="00FD2626" w:rsidRPr="000936BA">
        <w:t>6.f.,g.</w:t>
      </w:r>
      <w:r w:rsidR="00F4257C" w:rsidRPr="000936BA">
        <w:t>)</w:t>
      </w:r>
      <w:r w:rsidR="00767ED5" w:rsidRPr="000936BA">
        <w:t>;</w:t>
      </w:r>
      <w:r w:rsidR="00F4257C" w:rsidRPr="000936BA">
        <w:t xml:space="preserve"> </w:t>
      </w:r>
      <w:r w:rsidR="00FD2626" w:rsidRPr="000936BA">
        <w:t>and</w:t>
      </w:r>
      <w:r w:rsidR="00C95B6F" w:rsidRPr="000936BA">
        <w:t xml:space="preserve"> </w:t>
      </w:r>
      <w:r w:rsidR="00F4257C" w:rsidRPr="000936BA">
        <w:t>‘Help high</w:t>
      </w:r>
      <w:r w:rsidR="00DB4AE1" w:rsidRPr="000936BA">
        <w:t>/</w:t>
      </w:r>
      <w:r w:rsidR="00F4257C" w:rsidRPr="000936BA">
        <w:t>low attainers’ (</w:t>
      </w:r>
      <w:r w:rsidR="00FD2626" w:rsidRPr="000936BA">
        <w:t>6.n.,o.</w:t>
      </w:r>
      <w:r w:rsidR="00F4257C" w:rsidRPr="000936BA">
        <w:t xml:space="preserve">). </w:t>
      </w:r>
      <w:r w:rsidR="00C95B6F" w:rsidRPr="000936BA">
        <w:t xml:space="preserve">Statistically </w:t>
      </w:r>
      <w:r w:rsidR="00FD2626" w:rsidRPr="000936BA">
        <w:t>s</w:t>
      </w:r>
      <w:r w:rsidR="00F4257C" w:rsidRPr="000936BA">
        <w:t xml:space="preserve">ignificant demographic differences were found for </w:t>
      </w:r>
      <w:r w:rsidR="00E47B2C" w:rsidRPr="000936BA">
        <w:t>‘</w:t>
      </w:r>
      <w:r w:rsidR="00F4257C" w:rsidRPr="000936BA">
        <w:t>Confidence in engineering</w:t>
      </w:r>
      <w:r w:rsidR="00E47B2C" w:rsidRPr="000936BA">
        <w:t>’</w:t>
      </w:r>
      <w:r w:rsidR="009646DE" w:rsidRPr="000936BA" w:rsidDel="009646DE">
        <w:t xml:space="preserve"> </w:t>
      </w:r>
      <w:r w:rsidR="00F4257C" w:rsidRPr="000936BA">
        <w:t>(D</w:t>
      </w:r>
      <w:r w:rsidR="00C751D5" w:rsidRPr="000936BA">
        <w:t>&amp;T</w:t>
      </w:r>
      <w:r w:rsidR="00F4257C" w:rsidRPr="000936BA">
        <w:t xml:space="preserve"> TCs scored highest), </w:t>
      </w:r>
      <w:r w:rsidR="000676C4" w:rsidRPr="000936BA">
        <w:t>t</w:t>
      </w:r>
      <w:r w:rsidR="00F4257C" w:rsidRPr="000936BA">
        <w:t>eaching experience (</w:t>
      </w:r>
      <w:r w:rsidR="009646DE" w:rsidRPr="000936BA">
        <w:t>new TCs</w:t>
      </w:r>
      <w:r w:rsidR="00F4257C" w:rsidRPr="000936BA">
        <w:t xml:space="preserve"> were least confident) and </w:t>
      </w:r>
      <w:r w:rsidR="000676C4" w:rsidRPr="000936BA">
        <w:t>e</w:t>
      </w:r>
      <w:r w:rsidR="00F4257C" w:rsidRPr="000936BA">
        <w:t xml:space="preserve">ngineering experience (TCs with engineering experience were </w:t>
      </w:r>
      <w:r w:rsidR="009646DE" w:rsidRPr="000936BA">
        <w:t>most</w:t>
      </w:r>
      <w:r w:rsidR="00F4257C" w:rsidRPr="000936BA">
        <w:t xml:space="preserve"> confident). </w:t>
      </w:r>
      <w:r w:rsidR="00C03B7F" w:rsidRPr="000936BA">
        <w:t>For</w:t>
      </w:r>
      <w:r w:rsidR="00F4257C" w:rsidRPr="000936BA">
        <w:t xml:space="preserve"> </w:t>
      </w:r>
      <w:r w:rsidR="00C95B6F" w:rsidRPr="000936BA">
        <w:t>‘</w:t>
      </w:r>
      <w:r w:rsidR="00F4257C" w:rsidRPr="000936BA">
        <w:t>Help in Sci</w:t>
      </w:r>
      <w:r w:rsidR="00C03B7F" w:rsidRPr="000936BA">
        <w:t>ence</w:t>
      </w:r>
      <w:r w:rsidR="00F4257C" w:rsidRPr="000936BA">
        <w:t>/Math</w:t>
      </w:r>
      <w:r w:rsidR="00C03B7F" w:rsidRPr="000936BA">
        <w:t>ematic</w:t>
      </w:r>
      <w:r w:rsidR="00F4257C" w:rsidRPr="000936BA">
        <w:t>s</w:t>
      </w:r>
      <w:r w:rsidR="00C95B6F" w:rsidRPr="000936BA">
        <w:t>’</w:t>
      </w:r>
      <w:r w:rsidR="00F4257C" w:rsidRPr="000936BA">
        <w:t xml:space="preserve">, </w:t>
      </w:r>
      <w:r w:rsidR="00E47B2C" w:rsidRPr="000936BA">
        <w:t>s</w:t>
      </w:r>
      <w:r w:rsidR="00C95B6F" w:rsidRPr="000936BA">
        <w:t xml:space="preserve">tatistically </w:t>
      </w:r>
      <w:r w:rsidR="00F4257C" w:rsidRPr="000936BA">
        <w:t>significant differences were found</w:t>
      </w:r>
      <w:r w:rsidR="007B7BC9" w:rsidRPr="000936BA">
        <w:t xml:space="preserve"> for</w:t>
      </w:r>
      <w:r w:rsidR="00F4257C" w:rsidRPr="000936BA">
        <w:t xml:space="preserve"> </w:t>
      </w:r>
      <w:r w:rsidR="00C95B6F" w:rsidRPr="000936BA">
        <w:t>B</w:t>
      </w:r>
      <w:r w:rsidR="00F4257C" w:rsidRPr="000936BA">
        <w:t>achelor’s qualification (D</w:t>
      </w:r>
      <w:r w:rsidR="00C751D5" w:rsidRPr="000936BA">
        <w:t>&amp;T</w:t>
      </w:r>
      <w:r w:rsidR="00F4257C" w:rsidRPr="000936BA">
        <w:t xml:space="preserve"> and Education majors were least confident), </w:t>
      </w:r>
      <w:r w:rsidR="007B7BC9" w:rsidRPr="000936BA">
        <w:t>p</w:t>
      </w:r>
      <w:r w:rsidR="00F4257C" w:rsidRPr="000936BA">
        <w:t>ostgraduate qualification (science</w:t>
      </w:r>
      <w:r w:rsidR="007B7BC9" w:rsidRPr="000936BA">
        <w:t>/</w:t>
      </w:r>
      <w:r w:rsidR="00F4257C" w:rsidRPr="000936BA">
        <w:t>mathematics TCs were most confident)</w:t>
      </w:r>
      <w:r w:rsidR="007B7BC9" w:rsidRPr="000936BA">
        <w:t>, t</w:t>
      </w:r>
      <w:r w:rsidR="00F4257C" w:rsidRPr="000936BA">
        <w:t xml:space="preserve">eaching experience (least experienced TCs were least confident) and </w:t>
      </w:r>
      <w:r w:rsidR="004D63A0" w:rsidRPr="000936BA">
        <w:t>e</w:t>
      </w:r>
      <w:r w:rsidR="00F4257C" w:rsidRPr="000936BA">
        <w:t>ngineering experience (experienced engineers were most confident).</w:t>
      </w:r>
    </w:p>
    <w:p w14:paraId="64CFD114" w14:textId="1BE479F8" w:rsidR="00F4257C" w:rsidRPr="000936BA" w:rsidRDefault="008E78EA" w:rsidP="00B6268A">
      <w:pPr>
        <w:spacing w:line="480" w:lineRule="auto"/>
      </w:pPr>
      <w:r w:rsidRPr="000936BA">
        <w:rPr>
          <w:bCs/>
          <w:i/>
          <w:iCs/>
        </w:rPr>
        <w:t xml:space="preserve">1.g. </w:t>
      </w:r>
      <w:r w:rsidR="00F4257C" w:rsidRPr="000936BA">
        <w:rPr>
          <w:bCs/>
          <w:i/>
          <w:iCs/>
        </w:rPr>
        <w:t>Impact of ABC</w:t>
      </w:r>
      <w:r w:rsidR="00F4257C" w:rsidRPr="000936BA">
        <w:rPr>
          <w:bCs/>
        </w:rPr>
        <w:t>:</w:t>
      </w:r>
      <w:r w:rsidR="00F4257C" w:rsidRPr="000936BA">
        <w:t xml:space="preserve"> </w:t>
      </w:r>
      <w:r w:rsidR="00845EFC">
        <w:t>I</w:t>
      </w:r>
      <w:r w:rsidR="007C2290" w:rsidRPr="000936BA">
        <w:t>tem</w:t>
      </w:r>
      <w:r w:rsidR="00F4257C" w:rsidRPr="000936BA">
        <w:t xml:space="preserve">s specifically </w:t>
      </w:r>
      <w:r w:rsidR="007C2290" w:rsidRPr="000936BA">
        <w:t>addressed</w:t>
      </w:r>
      <w:r w:rsidR="00F4257C" w:rsidRPr="000936BA">
        <w:t xml:space="preserve"> TC perceptions </w:t>
      </w:r>
      <w:r w:rsidR="00845EFC">
        <w:t>of</w:t>
      </w:r>
      <w:r w:rsidR="00E47438" w:rsidRPr="000936BA">
        <w:t xml:space="preserve"> ABC impacts on </w:t>
      </w:r>
      <w:r w:rsidRPr="000936BA">
        <w:t>student</w:t>
      </w:r>
      <w:r w:rsidR="00E47438" w:rsidRPr="000936BA">
        <w:t>s.</w:t>
      </w:r>
      <w:r w:rsidR="00F4257C" w:rsidRPr="000936BA">
        <w:t xml:space="preserve"> </w:t>
      </w:r>
      <w:r w:rsidR="007C2290" w:rsidRPr="000936BA">
        <w:t xml:space="preserve">Overall, perceptions were positive, especially </w:t>
      </w:r>
      <w:r w:rsidR="00980E33" w:rsidRPr="000936BA">
        <w:t>regarding</w:t>
      </w:r>
      <w:r w:rsidR="00F4257C" w:rsidRPr="000936BA">
        <w:t xml:space="preserve"> current school-based STEM curricul</w:t>
      </w:r>
      <w:r w:rsidR="003209EF" w:rsidRPr="000936BA">
        <w:t>a</w:t>
      </w:r>
      <w:r w:rsidR="007C2290" w:rsidRPr="000936BA">
        <w:t xml:space="preserve"> for</w:t>
      </w:r>
      <w:r w:rsidR="00F4257C" w:rsidRPr="000936BA">
        <w:t xml:space="preserve"> boys and girls</w:t>
      </w:r>
      <w:r w:rsidR="007C2290" w:rsidRPr="000936BA">
        <w:t>.</w:t>
      </w:r>
      <w:r w:rsidR="00F4257C" w:rsidRPr="000936BA">
        <w:t xml:space="preserve"> </w:t>
      </w:r>
      <w:r w:rsidR="007C2290" w:rsidRPr="000936BA">
        <w:t>S</w:t>
      </w:r>
      <w:r w:rsidR="00F4257C" w:rsidRPr="000936BA">
        <w:t xml:space="preserve">tudent involvement was perceived to have positive effects on participation in STEM </w:t>
      </w:r>
      <w:r w:rsidR="000A7A3F" w:rsidRPr="000936BA">
        <w:t>discipline</w:t>
      </w:r>
      <w:r w:rsidR="00F4257C" w:rsidRPr="000936BA">
        <w:t xml:space="preserve">s and careers. </w:t>
      </w:r>
      <w:r w:rsidR="007C2290" w:rsidRPr="000936BA">
        <w:t>O</w:t>
      </w:r>
      <w:r w:rsidR="00F4257C" w:rsidRPr="000936BA">
        <w:t>ne factor</w:t>
      </w:r>
      <w:r w:rsidR="007C2290" w:rsidRPr="000936BA">
        <w:t xml:space="preserve"> was identified</w:t>
      </w:r>
      <w:r w:rsidR="00F4257C" w:rsidRPr="000936BA">
        <w:t>: ‘</w:t>
      </w:r>
      <w:r w:rsidR="0021416E" w:rsidRPr="000936BA">
        <w:t>I</w:t>
      </w:r>
      <w:r w:rsidR="00F4257C" w:rsidRPr="000936BA">
        <w:t xml:space="preserve">mpact of ABC’ included all impact </w:t>
      </w:r>
      <w:r w:rsidR="007C2290" w:rsidRPr="000936BA">
        <w:t>item</w:t>
      </w:r>
      <w:r w:rsidR="00F4257C" w:rsidRPr="000936BA">
        <w:t xml:space="preserve">s </w:t>
      </w:r>
      <w:r w:rsidR="00F4257C" w:rsidRPr="000936BA">
        <w:rPr>
          <w:color w:val="000000" w:themeColor="text1"/>
        </w:rPr>
        <w:t>(</w:t>
      </w:r>
      <w:r w:rsidR="00FD2626" w:rsidRPr="000936BA">
        <w:rPr>
          <w:color w:val="000000" w:themeColor="text1"/>
        </w:rPr>
        <w:t>7.a.-i.</w:t>
      </w:r>
      <w:r w:rsidR="00F4257C" w:rsidRPr="000936BA">
        <w:rPr>
          <w:color w:val="000000" w:themeColor="text1"/>
        </w:rPr>
        <w:t xml:space="preserve">). </w:t>
      </w:r>
      <w:r w:rsidR="00F4257C" w:rsidRPr="000936BA">
        <w:t xml:space="preserve">The only </w:t>
      </w:r>
      <w:r w:rsidR="00D7762E" w:rsidRPr="000936BA">
        <w:t xml:space="preserve">statistically </w:t>
      </w:r>
      <w:r w:rsidR="00F4257C" w:rsidRPr="000936BA">
        <w:t xml:space="preserve">significant </w:t>
      </w:r>
      <w:r w:rsidR="00DF54D0" w:rsidRPr="000936BA">
        <w:t xml:space="preserve">demographic </w:t>
      </w:r>
      <w:r w:rsidR="00F4257C" w:rsidRPr="000936BA">
        <w:t>differenc</w:t>
      </w:r>
      <w:r w:rsidR="00DF54D0" w:rsidRPr="000936BA">
        <w:t>e</w:t>
      </w:r>
      <w:r w:rsidR="00F4257C" w:rsidRPr="000936BA">
        <w:t xml:space="preserve"> related to the N</w:t>
      </w:r>
      <w:r w:rsidR="00DF54D0" w:rsidRPr="000936BA">
        <w:t>C</w:t>
      </w:r>
      <w:r w:rsidR="00D7762E" w:rsidRPr="000936BA">
        <w:t xml:space="preserve">: </w:t>
      </w:r>
      <w:r w:rsidR="00F4257C" w:rsidRPr="000936BA">
        <w:t>TCs who had trained before the NC</w:t>
      </w:r>
      <w:r w:rsidR="007C2290" w:rsidRPr="000936BA">
        <w:t xml:space="preserve"> were less likely to see</w:t>
      </w:r>
      <w:r w:rsidR="00F4257C" w:rsidRPr="000936BA">
        <w:t xml:space="preserve"> positive impact</w:t>
      </w:r>
      <w:r w:rsidR="007C2290" w:rsidRPr="000936BA">
        <w:t>s</w:t>
      </w:r>
      <w:r w:rsidR="00F4257C" w:rsidRPr="000936BA">
        <w:t xml:space="preserve"> of </w:t>
      </w:r>
      <w:r w:rsidR="0021416E" w:rsidRPr="000936BA">
        <w:t>ABC</w:t>
      </w:r>
      <w:r w:rsidR="00F4257C" w:rsidRPr="000936BA">
        <w:t>.</w:t>
      </w:r>
    </w:p>
    <w:p w14:paraId="1F340FA3" w14:textId="25AA8275" w:rsidR="00D7762E" w:rsidRPr="000936BA" w:rsidRDefault="008E78EA" w:rsidP="008F6A54">
      <w:pPr>
        <w:keepNext/>
        <w:spacing w:line="480" w:lineRule="auto"/>
        <w:rPr>
          <w:b/>
          <w:i/>
          <w:iCs/>
        </w:rPr>
      </w:pPr>
      <w:r w:rsidRPr="000936BA">
        <w:rPr>
          <w:i/>
          <w:iCs/>
        </w:rPr>
        <w:t xml:space="preserve">1.h. </w:t>
      </w:r>
      <w:r w:rsidR="00F4257C" w:rsidRPr="000936BA">
        <w:rPr>
          <w:i/>
          <w:iCs/>
        </w:rPr>
        <w:t>Overview of TC responses</w:t>
      </w:r>
      <w:r w:rsidR="00F4257C" w:rsidRPr="000936BA">
        <w:t>: TCs had generally high levels of involvement in the programme</w:t>
      </w:r>
      <w:r w:rsidR="00D7762E" w:rsidRPr="000936BA">
        <w:t>,</w:t>
      </w:r>
      <w:r w:rsidR="00F4257C" w:rsidRPr="000936BA">
        <w:t xml:space="preserve"> although there were variations and</w:t>
      </w:r>
      <w:r w:rsidR="00BE052B" w:rsidRPr="000936BA">
        <w:t xml:space="preserve"> </w:t>
      </w:r>
      <w:r w:rsidR="00F4257C" w:rsidRPr="000936BA">
        <w:t xml:space="preserve">contradictions in their responses. TCs saw themselves </w:t>
      </w:r>
      <w:r w:rsidR="002763BD" w:rsidRPr="000936BA">
        <w:t xml:space="preserve">as </w:t>
      </w:r>
      <w:r w:rsidR="00F4257C" w:rsidRPr="000936BA">
        <w:t xml:space="preserve">being </w:t>
      </w:r>
      <w:r w:rsidR="00D7762E" w:rsidRPr="000936BA">
        <w:t>‘</w:t>
      </w:r>
      <w:r w:rsidR="00F4257C" w:rsidRPr="000936BA">
        <w:t>good</w:t>
      </w:r>
      <w:r w:rsidR="00D7762E" w:rsidRPr="000936BA">
        <w:t>’</w:t>
      </w:r>
      <w:r w:rsidR="00F4257C" w:rsidRPr="000936BA">
        <w:t xml:space="preserve"> teachers who spent time/effort in showing</w:t>
      </w:r>
      <w:r w:rsidR="002E631C" w:rsidRPr="000936BA">
        <w:t>/</w:t>
      </w:r>
      <w:r w:rsidR="00F4257C" w:rsidRPr="000936BA">
        <w:t xml:space="preserve">demonstrating aspects of the programme. </w:t>
      </w:r>
      <w:r w:rsidR="002E631C" w:rsidRPr="000936BA">
        <w:t>T</w:t>
      </w:r>
      <w:r w:rsidR="00F4257C" w:rsidRPr="000936BA">
        <w:t>h</w:t>
      </w:r>
      <w:r w:rsidR="007C2290" w:rsidRPr="000936BA">
        <w:t>ey</w:t>
      </w:r>
      <w:r w:rsidR="00F4257C" w:rsidRPr="000936BA">
        <w:t xml:space="preserve"> focus</w:t>
      </w:r>
      <w:r w:rsidR="002C5447" w:rsidRPr="000936BA">
        <w:t>ed less</w:t>
      </w:r>
      <w:r w:rsidR="00F4257C" w:rsidRPr="000936BA">
        <w:t xml:space="preserve"> on the needs of individual (especially newer) teachers </w:t>
      </w:r>
      <w:r w:rsidR="00F4257C" w:rsidRPr="000936BA">
        <w:lastRenderedPageBreak/>
        <w:t>in the</w:t>
      </w:r>
      <w:r w:rsidR="00CE72CD" w:rsidRPr="000936BA">
        <w:t>ir</w:t>
      </w:r>
      <w:r w:rsidR="00F4257C" w:rsidRPr="000936BA">
        <w:t xml:space="preserve"> network</w:t>
      </w:r>
      <w:r w:rsidR="00CE72CD" w:rsidRPr="000936BA">
        <w:t>s</w:t>
      </w:r>
      <w:r w:rsidR="00F4257C" w:rsidRPr="000936BA">
        <w:t xml:space="preserve"> and </w:t>
      </w:r>
      <w:r w:rsidR="00E076DB" w:rsidRPr="000936BA">
        <w:t>schools</w:t>
      </w:r>
      <w:r w:rsidR="00F4257C" w:rsidRPr="000936BA">
        <w:t>. T</w:t>
      </w:r>
      <w:r w:rsidR="007C2290" w:rsidRPr="000936BA">
        <w:t>hey</w:t>
      </w:r>
      <w:r w:rsidR="00F4257C" w:rsidRPr="000936BA">
        <w:t xml:space="preserve"> lik</w:t>
      </w:r>
      <w:r w:rsidR="00FD2626" w:rsidRPr="000936BA">
        <w:t xml:space="preserve">ed </w:t>
      </w:r>
      <w:r w:rsidR="00F4257C" w:rsidRPr="000936BA">
        <w:t>work</w:t>
      </w:r>
      <w:r w:rsidR="00FD2626" w:rsidRPr="000936BA">
        <w:t>ing</w:t>
      </w:r>
      <w:r w:rsidR="00F4257C" w:rsidRPr="000936BA">
        <w:t xml:space="preserve"> with teachers</w:t>
      </w:r>
      <w:r w:rsidR="007C2FD1" w:rsidRPr="000936BA">
        <w:t xml:space="preserve"> and </w:t>
      </w:r>
      <w:r w:rsidR="007C2290" w:rsidRPr="000936BA">
        <w:t xml:space="preserve">saw </w:t>
      </w:r>
      <w:r w:rsidR="007C2FD1" w:rsidRPr="000936BA">
        <w:t>a</w:t>
      </w:r>
      <w:r w:rsidR="00353789" w:rsidRPr="000936BA">
        <w:t xml:space="preserve"> </w:t>
      </w:r>
      <w:r w:rsidR="00F4257C" w:rsidRPr="000936BA">
        <w:t>need to enhance the quality of their support for teachers</w:t>
      </w:r>
      <w:r w:rsidR="00C87FC3" w:rsidRPr="000936BA">
        <w:t>. T</w:t>
      </w:r>
      <w:r w:rsidR="00D7762E" w:rsidRPr="000936BA">
        <w:t>he</w:t>
      </w:r>
      <w:r w:rsidR="00E47B2C" w:rsidRPr="000936BA">
        <w:t>y</w:t>
      </w:r>
      <w:r w:rsidR="00D7762E" w:rsidRPr="000936BA">
        <w:t xml:space="preserve"> </w:t>
      </w:r>
      <w:r w:rsidR="00C87FC3" w:rsidRPr="000936BA">
        <w:t>held strong views</w:t>
      </w:r>
      <w:r w:rsidR="00D7762E" w:rsidRPr="000936BA">
        <w:t xml:space="preserve"> </w:t>
      </w:r>
      <w:r w:rsidR="00F4257C" w:rsidRPr="000936BA">
        <w:t>that STEM education should be inclusive</w:t>
      </w:r>
      <w:r w:rsidR="00D7046A">
        <w:t xml:space="preserve"> and</w:t>
      </w:r>
      <w:r w:rsidR="00F4257C" w:rsidRPr="000936BA">
        <w:t xml:space="preserve"> identified that students </w:t>
      </w:r>
      <w:r w:rsidR="008B7947" w:rsidRPr="000936BA">
        <w:t>should</w:t>
      </w:r>
      <w:r w:rsidR="00F4257C" w:rsidRPr="000936BA">
        <w:t xml:space="preserve"> develop social </w:t>
      </w:r>
      <w:r w:rsidR="008B7947" w:rsidRPr="000936BA">
        <w:t xml:space="preserve">and reflective </w:t>
      </w:r>
      <w:r w:rsidR="00F4257C" w:rsidRPr="000936BA">
        <w:t>skills</w:t>
      </w:r>
      <w:r w:rsidR="0021416E" w:rsidRPr="000936BA">
        <w:t xml:space="preserve"> but</w:t>
      </w:r>
      <w:r w:rsidR="00F4257C" w:rsidRPr="000936BA">
        <w:t xml:space="preserve"> did not </w:t>
      </w:r>
      <w:r w:rsidR="00FD2626" w:rsidRPr="000936BA">
        <w:t xml:space="preserve">provide practical </w:t>
      </w:r>
      <w:r w:rsidR="00FD2626" w:rsidRPr="000936BA">
        <w:rPr>
          <w:color w:val="000000" w:themeColor="text1"/>
        </w:rPr>
        <w:t xml:space="preserve">network </w:t>
      </w:r>
      <w:r w:rsidR="00D44C61" w:rsidRPr="000936BA">
        <w:rPr>
          <w:color w:val="000000" w:themeColor="text1"/>
        </w:rPr>
        <w:t>support</w:t>
      </w:r>
      <w:r w:rsidR="00FD2626" w:rsidRPr="000936BA">
        <w:rPr>
          <w:color w:val="000000" w:themeColor="text1"/>
        </w:rPr>
        <w:t xml:space="preserve"> </w:t>
      </w:r>
      <w:r w:rsidR="00FD2626" w:rsidRPr="000936BA">
        <w:t>to</w:t>
      </w:r>
      <w:r w:rsidR="00F4257C" w:rsidRPr="000936BA">
        <w:t xml:space="preserve"> develo</w:t>
      </w:r>
      <w:r w:rsidR="00D44C61" w:rsidRPr="000936BA">
        <w:t>p</w:t>
      </w:r>
      <w:r w:rsidR="00F4257C" w:rsidRPr="000936BA">
        <w:t xml:space="preserve"> these skills</w:t>
      </w:r>
      <w:r w:rsidR="00F30568" w:rsidRPr="000936BA">
        <w:t>.</w:t>
      </w:r>
      <w:r w:rsidR="00F4257C" w:rsidRPr="000936BA">
        <w:t xml:space="preserve"> </w:t>
      </w:r>
      <w:r w:rsidR="00B869E0" w:rsidRPr="000936BA">
        <w:t>TC</w:t>
      </w:r>
      <w:r w:rsidR="00433C37" w:rsidRPr="000936BA">
        <w:t>s</w:t>
      </w:r>
      <w:r w:rsidR="00B869E0" w:rsidRPr="000936BA">
        <w:t xml:space="preserve"> saw themselves as having a high degree of efficacy in supporting their network teachers</w:t>
      </w:r>
      <w:r w:rsidR="00FD2626" w:rsidRPr="000936BA">
        <w:t xml:space="preserve"> and</w:t>
      </w:r>
      <w:r w:rsidR="00B869E0" w:rsidRPr="000936BA">
        <w:t xml:space="preserve"> solving engineering-based problems</w:t>
      </w:r>
      <w:r w:rsidR="00C87FC3" w:rsidRPr="000936BA">
        <w:t xml:space="preserve"> but rarely engaged in school visits where they could provide classroom-based support</w:t>
      </w:r>
      <w:r w:rsidR="00B869E0" w:rsidRPr="000936BA">
        <w:t>.</w:t>
      </w:r>
      <w:r w:rsidR="00FF0B90" w:rsidRPr="000936BA">
        <w:t xml:space="preserve"> </w:t>
      </w:r>
      <w:r w:rsidR="00F4257C" w:rsidRPr="000936BA">
        <w:t>There was strong positive agreement</w:t>
      </w:r>
      <w:r w:rsidR="00FF0B90" w:rsidRPr="000936BA">
        <w:t xml:space="preserve"> </w:t>
      </w:r>
      <w:r w:rsidR="00D7762E" w:rsidRPr="000936BA">
        <w:t>o</w:t>
      </w:r>
      <w:r w:rsidR="00F4257C" w:rsidRPr="000936BA">
        <w:t xml:space="preserve">n a range of </w:t>
      </w:r>
      <w:r w:rsidR="00FF0B90" w:rsidRPr="000936BA">
        <w:t xml:space="preserve">ABC </w:t>
      </w:r>
      <w:r w:rsidR="00F4257C" w:rsidRPr="000936BA">
        <w:t>impacts.</w:t>
      </w:r>
      <w:r w:rsidR="00BC0828">
        <w:t xml:space="preserve"> Further, </w:t>
      </w:r>
      <w:r w:rsidR="00F4257C" w:rsidRPr="000936BA">
        <w:t xml:space="preserve">TCs with more ABC experience engaged in </w:t>
      </w:r>
      <w:r w:rsidR="00D7046A">
        <w:t xml:space="preserve">more </w:t>
      </w:r>
      <w:r w:rsidR="00F4257C" w:rsidRPr="000936BA">
        <w:t>ABC activities</w:t>
      </w:r>
      <w:r w:rsidR="00B11878" w:rsidRPr="000936BA">
        <w:t xml:space="preserve"> and</w:t>
      </w:r>
      <w:r w:rsidR="00F4257C" w:rsidRPr="000936BA">
        <w:t xml:space="preserve"> were more confident in STEM</w:t>
      </w:r>
      <w:r w:rsidR="00661846" w:rsidRPr="000936BA">
        <w:t>/</w:t>
      </w:r>
      <w:r w:rsidR="00F4257C" w:rsidRPr="000936BA">
        <w:t xml:space="preserve">engineering capabilities. Having an </w:t>
      </w:r>
      <w:r w:rsidR="00B11878" w:rsidRPr="000936BA">
        <w:t>e</w:t>
      </w:r>
      <w:r w:rsidR="00F4257C" w:rsidRPr="000936BA">
        <w:t>ngineering background was associated with higher levels of STEM and engineering competencies, helping students in science</w:t>
      </w:r>
      <w:r w:rsidR="00C751D5" w:rsidRPr="000936BA">
        <w:t>/</w:t>
      </w:r>
      <w:r w:rsidR="00F4257C" w:rsidRPr="000936BA">
        <w:t xml:space="preserve">mathematics and designing STEM programmes for various students. </w:t>
      </w:r>
      <w:r w:rsidR="00B82F94" w:rsidRPr="000936BA">
        <w:t>S</w:t>
      </w:r>
      <w:r w:rsidR="00F4257C" w:rsidRPr="000936BA">
        <w:t>chool-based support for engaging in the ABC Programme did not appear to affect any of the identified factors.</w:t>
      </w:r>
    </w:p>
    <w:p w14:paraId="61E5BD93" w14:textId="483E7052" w:rsidR="00F4257C" w:rsidRPr="000936BA" w:rsidRDefault="008E78EA" w:rsidP="00B6268A">
      <w:pPr>
        <w:spacing w:line="480" w:lineRule="auto"/>
      </w:pPr>
      <w:r w:rsidRPr="00ED0D2E">
        <w:rPr>
          <w:bCs/>
          <w:i/>
          <w:iCs/>
        </w:rPr>
        <w:t xml:space="preserve">2. </w:t>
      </w:r>
      <w:r w:rsidR="00F4257C" w:rsidRPr="00ED0D2E">
        <w:rPr>
          <w:bCs/>
          <w:i/>
          <w:iCs/>
        </w:rPr>
        <w:t>Teacher</w:t>
      </w:r>
      <w:r w:rsidRPr="00ED0D2E">
        <w:rPr>
          <w:bCs/>
          <w:i/>
          <w:iCs/>
        </w:rPr>
        <w:t>s</w:t>
      </w:r>
      <w:r w:rsidR="00F4257C" w:rsidRPr="00ED0D2E">
        <w:rPr>
          <w:bCs/>
          <w:i/>
          <w:iCs/>
        </w:rPr>
        <w:t xml:space="preserve"> 2017</w:t>
      </w:r>
      <w:r w:rsidR="00525185" w:rsidRPr="00ED0D2E">
        <w:rPr>
          <w:bCs/>
          <w:i/>
          <w:iCs/>
        </w:rPr>
        <w:t xml:space="preserve"> (1</w:t>
      </w:r>
      <w:r w:rsidR="00525185" w:rsidRPr="00ED0D2E">
        <w:rPr>
          <w:bCs/>
          <w:i/>
          <w:iCs/>
          <w:vertAlign w:val="superscript"/>
        </w:rPr>
        <w:t>st</w:t>
      </w:r>
      <w:r w:rsidR="00525185" w:rsidRPr="00ED0D2E">
        <w:rPr>
          <w:bCs/>
          <w:i/>
          <w:iCs/>
        </w:rPr>
        <w:t xml:space="preserve"> cohort)</w:t>
      </w:r>
      <w:r w:rsidRPr="00ED0D2E">
        <w:rPr>
          <w:bCs/>
          <w:i/>
          <w:iCs/>
        </w:rPr>
        <w:t>:</w:t>
      </w:r>
      <w:r w:rsidRPr="000936BA">
        <w:rPr>
          <w:bCs/>
          <w:i/>
          <w:iCs/>
        </w:rPr>
        <w:t xml:space="preserve"> </w:t>
      </w:r>
      <w:r w:rsidR="00F4257C" w:rsidRPr="000936BA">
        <w:t>Approximately one-third</w:t>
      </w:r>
      <w:r w:rsidR="00E01283" w:rsidRPr="000936BA">
        <w:t xml:space="preserve"> (32.5%</w:t>
      </w:r>
      <w:r w:rsidR="00783293" w:rsidRPr="000936BA">
        <w:t>, n= 172</w:t>
      </w:r>
      <w:r w:rsidR="00E01283" w:rsidRPr="000936BA">
        <w:t>)</w:t>
      </w:r>
      <w:r w:rsidR="00F4257C" w:rsidRPr="000936BA">
        <w:t xml:space="preserve"> of the ABC teachers </w:t>
      </w:r>
      <w:r w:rsidR="001151AC" w:rsidRPr="000936BA">
        <w:t>completed</w:t>
      </w:r>
      <w:r w:rsidR="00F4257C" w:rsidRPr="000936BA">
        <w:t xml:space="preserve"> the questionnaire.</w:t>
      </w:r>
      <w:r w:rsidR="00E01283" w:rsidRPr="000936BA">
        <w:t xml:space="preserve"> </w:t>
      </w:r>
      <w:r w:rsidR="00F4257C" w:rsidRPr="000936BA">
        <w:t>This response rate was lower than expected from a</w:t>
      </w:r>
      <w:r w:rsidR="001151AC" w:rsidRPr="000936BA">
        <w:t>n ostensibly</w:t>
      </w:r>
      <w:r w:rsidR="00F4257C" w:rsidRPr="000936BA">
        <w:t xml:space="preserve"> committed population. The questionnaire parallel</w:t>
      </w:r>
      <w:r w:rsidR="003D409E" w:rsidRPr="000936BA">
        <w:t>ed</w:t>
      </w:r>
      <w:r w:rsidR="00F4257C" w:rsidRPr="000936BA">
        <w:t xml:space="preserve"> </w:t>
      </w:r>
      <w:r w:rsidRPr="000936BA">
        <w:t>the TC</w:t>
      </w:r>
      <w:r w:rsidR="00F4257C" w:rsidRPr="000936BA">
        <w:t xml:space="preserve"> questionnaire except</w:t>
      </w:r>
      <w:r w:rsidR="00C751D5" w:rsidRPr="000936BA">
        <w:t xml:space="preserve"> for</w:t>
      </w:r>
      <w:r w:rsidR="00F4257C" w:rsidRPr="000936BA">
        <w:t xml:space="preserve"> questions concerning </w:t>
      </w:r>
      <w:r w:rsidR="00C751D5" w:rsidRPr="000936BA">
        <w:t xml:space="preserve">TC </w:t>
      </w:r>
      <w:r w:rsidR="00F4257C" w:rsidRPr="000936BA">
        <w:t>role</w:t>
      </w:r>
      <w:r w:rsidR="00C751D5" w:rsidRPr="000936BA">
        <w:t>/</w:t>
      </w:r>
      <w:r w:rsidR="00F4257C" w:rsidRPr="000936BA">
        <w:t>responsibilities. Respond</w:t>
      </w:r>
      <w:r w:rsidR="001151AC" w:rsidRPr="000936BA">
        <w:t>ents</w:t>
      </w:r>
      <w:r w:rsidR="00F4257C" w:rsidRPr="000936BA">
        <w:t xml:space="preserve"> worked with over 90% of the TCs</w:t>
      </w:r>
      <w:r w:rsidR="000D24FF" w:rsidRPr="000936BA">
        <w:t xml:space="preserve">, </w:t>
      </w:r>
      <w:r w:rsidR="00F4257C" w:rsidRPr="000936BA">
        <w:t xml:space="preserve">although half </w:t>
      </w:r>
      <w:r w:rsidR="001151AC" w:rsidRPr="000936BA">
        <w:t>worked with</w:t>
      </w:r>
      <w:r w:rsidR="00F4257C" w:rsidRPr="000936BA">
        <w:t xml:space="preserve"> just 5 TCs. There w</w:t>
      </w:r>
      <w:r w:rsidR="001151AC" w:rsidRPr="000936BA">
        <w:t>ere</w:t>
      </w:r>
      <w:r w:rsidR="00F4257C" w:rsidRPr="000936BA">
        <w:t xml:space="preserve"> equal </w:t>
      </w:r>
      <w:r w:rsidR="001151AC" w:rsidRPr="000936BA">
        <w:t>numbers</w:t>
      </w:r>
      <w:r w:rsidR="00F4257C" w:rsidRPr="000936BA">
        <w:t xml:space="preserve"> of teachers by sex (48.0% male; 51.5% female) with an average age of 40. </w:t>
      </w:r>
      <w:r w:rsidR="00640B8A">
        <w:t>Most</w:t>
      </w:r>
      <w:r w:rsidR="00F4257C" w:rsidRPr="000936BA">
        <w:t xml:space="preserve"> teachers worked in </w:t>
      </w:r>
      <w:r w:rsidR="00A8027A">
        <w:t xml:space="preserve">inclusive, </w:t>
      </w:r>
      <w:r w:rsidR="00F4257C" w:rsidRPr="000936BA">
        <w:t>state-funded schools (96.9%). All respondents had teaching degrees; 71.3% were STEM-based</w:t>
      </w:r>
      <w:r w:rsidR="000D24FF" w:rsidRPr="000936BA">
        <w:t>,</w:t>
      </w:r>
      <w:r w:rsidR="00F4257C" w:rsidRPr="000936BA">
        <w:t xml:space="preserve"> although 97% of teachers taught STEM-based </w:t>
      </w:r>
      <w:r w:rsidR="000A7A3F" w:rsidRPr="000936BA">
        <w:t>discipline</w:t>
      </w:r>
      <w:r w:rsidR="00F4257C" w:rsidRPr="000936BA">
        <w:t xml:space="preserve">s. Most respondents were new to ABC (52%), while others had been involved with the programme for up to 6 years. Only 31.6% stated that their ABC commitment was part of their school duties. </w:t>
      </w:r>
    </w:p>
    <w:p w14:paraId="45A691F5" w14:textId="03B805E1" w:rsidR="00F4257C" w:rsidRPr="000936BA" w:rsidRDefault="00906562" w:rsidP="00B6268A">
      <w:pPr>
        <w:spacing w:line="480" w:lineRule="auto"/>
      </w:pPr>
      <w:r w:rsidRPr="000936BA">
        <w:rPr>
          <w:bCs/>
          <w:i/>
          <w:iCs/>
        </w:rPr>
        <w:t xml:space="preserve">2.a. </w:t>
      </w:r>
      <w:r w:rsidR="00C751D5" w:rsidRPr="000936BA">
        <w:rPr>
          <w:bCs/>
          <w:i/>
          <w:iCs/>
        </w:rPr>
        <w:t>J</w:t>
      </w:r>
      <w:r w:rsidR="00F4257C" w:rsidRPr="000936BA">
        <w:rPr>
          <w:bCs/>
          <w:i/>
          <w:iCs/>
        </w:rPr>
        <w:t xml:space="preserve">oining ABC: </w:t>
      </w:r>
      <w:r w:rsidR="00F4257C" w:rsidRPr="000936BA">
        <w:rPr>
          <w:bCs/>
        </w:rPr>
        <w:t>T</w:t>
      </w:r>
      <w:r w:rsidR="00F4257C" w:rsidRPr="000936BA">
        <w:t xml:space="preserve">he most significant reasons for joining ABC </w:t>
      </w:r>
      <w:r w:rsidR="001151AC" w:rsidRPr="000936BA">
        <w:t>were</w:t>
      </w:r>
      <w:r w:rsidR="00F4257C" w:rsidRPr="000936BA">
        <w:t xml:space="preserve"> development of STEM pedagogy and support </w:t>
      </w:r>
      <w:r w:rsidR="002F410F" w:rsidRPr="000936BA">
        <w:t>for</w:t>
      </w:r>
      <w:r w:rsidR="00F4257C" w:rsidRPr="000936BA">
        <w:t xml:space="preserve"> STEM (</w:t>
      </w:r>
      <w:r w:rsidR="008728F1" w:rsidRPr="000936BA">
        <w:t>real-world</w:t>
      </w:r>
      <w:r w:rsidR="00F4257C" w:rsidRPr="000936BA">
        <w:t xml:space="preserve"> applications, </w:t>
      </w:r>
      <w:r w:rsidR="00350D32" w:rsidRPr="000936BA">
        <w:t>pedagogic</w:t>
      </w:r>
      <w:r w:rsidR="00F4257C" w:rsidRPr="000936BA">
        <w:t xml:space="preserve"> approaches, </w:t>
      </w:r>
      <w:r w:rsidR="00F4257C" w:rsidRPr="000936BA">
        <w:lastRenderedPageBreak/>
        <w:t>coordination among STEM teachers, and involve</w:t>
      </w:r>
      <w:r w:rsidR="005C6579" w:rsidRPr="000936BA">
        <w:t>ment of</w:t>
      </w:r>
      <w:r w:rsidR="00F4257C" w:rsidRPr="000936BA">
        <w:t xml:space="preserve"> STEM organisations). Of less significance was their previous success as a STEM teacher, experience with STEM organisations and mentoring/support they </w:t>
      </w:r>
      <w:r w:rsidR="000953CB" w:rsidRPr="000936BA">
        <w:t>might</w:t>
      </w:r>
      <w:r w:rsidR="00F4257C" w:rsidRPr="000936BA">
        <w:t xml:space="preserve"> receive. Two factors were identified: ‘</w:t>
      </w:r>
      <w:r w:rsidR="002F410F" w:rsidRPr="000936BA">
        <w:t>C</w:t>
      </w:r>
      <w:r w:rsidR="00F4257C" w:rsidRPr="000936BA">
        <w:t xml:space="preserve">ommitment to STEM’ </w:t>
      </w:r>
      <w:r w:rsidR="005C6579" w:rsidRPr="000936BA">
        <w:t>comprised</w:t>
      </w:r>
      <w:r w:rsidR="00F4257C" w:rsidRPr="000936BA">
        <w:t xml:space="preserve"> nearly all </w:t>
      </w:r>
      <w:r w:rsidR="000953CB" w:rsidRPr="000936BA">
        <w:t>item</w:t>
      </w:r>
      <w:r w:rsidR="00F4257C" w:rsidRPr="000936BA">
        <w:t xml:space="preserve">s </w:t>
      </w:r>
      <w:r w:rsidR="00F4257C" w:rsidRPr="000936BA">
        <w:rPr>
          <w:color w:val="000000" w:themeColor="text1"/>
        </w:rPr>
        <w:t>(</w:t>
      </w:r>
      <w:r w:rsidR="00AE76A9" w:rsidRPr="000936BA">
        <w:rPr>
          <w:color w:val="000000" w:themeColor="text1"/>
        </w:rPr>
        <w:t>1.a.</w:t>
      </w:r>
      <w:r w:rsidR="005A4F4D" w:rsidRPr="000936BA">
        <w:rPr>
          <w:color w:val="000000" w:themeColor="text1"/>
        </w:rPr>
        <w:t>,b.,d.,e.,f.,g.,h.</w:t>
      </w:r>
      <w:r w:rsidR="00F4257C" w:rsidRPr="000936BA">
        <w:rPr>
          <w:color w:val="000000" w:themeColor="text1"/>
        </w:rPr>
        <w:t>)</w:t>
      </w:r>
      <w:r w:rsidR="007443C0" w:rsidRPr="000936BA">
        <w:rPr>
          <w:color w:val="000000" w:themeColor="text1"/>
        </w:rPr>
        <w:t>;</w:t>
      </w:r>
      <w:r w:rsidR="00797347" w:rsidRPr="000936BA">
        <w:rPr>
          <w:color w:val="000000" w:themeColor="text1"/>
        </w:rPr>
        <w:t xml:space="preserve"> and</w:t>
      </w:r>
      <w:r w:rsidR="00F4257C" w:rsidRPr="000936BA">
        <w:rPr>
          <w:color w:val="000000" w:themeColor="text1"/>
        </w:rPr>
        <w:t xml:space="preserve"> ‘Engineering and industry’ (</w:t>
      </w:r>
      <w:r w:rsidR="0074036D" w:rsidRPr="000936BA">
        <w:rPr>
          <w:color w:val="000000" w:themeColor="text1"/>
        </w:rPr>
        <w:t>1.a.,c.</w:t>
      </w:r>
      <w:r w:rsidR="00F4257C" w:rsidRPr="000936BA">
        <w:rPr>
          <w:color w:val="000000" w:themeColor="text1"/>
        </w:rPr>
        <w:t>).</w:t>
      </w:r>
      <w:r w:rsidR="00F4257C" w:rsidRPr="000936BA">
        <w:t xml:space="preserve"> </w:t>
      </w:r>
      <w:r w:rsidR="00677C7B" w:rsidRPr="000936BA">
        <w:t>N</w:t>
      </w:r>
      <w:r w:rsidR="00F4257C" w:rsidRPr="000936BA">
        <w:t xml:space="preserve">o </w:t>
      </w:r>
      <w:r w:rsidR="005C6579" w:rsidRPr="000936BA">
        <w:t xml:space="preserve">statistically </w:t>
      </w:r>
      <w:r w:rsidR="00F4257C" w:rsidRPr="000936BA">
        <w:t xml:space="preserve">significant demographic differences </w:t>
      </w:r>
      <w:r w:rsidR="002F410F" w:rsidRPr="000936BA">
        <w:t xml:space="preserve">were </w:t>
      </w:r>
      <w:r w:rsidR="00F4257C" w:rsidRPr="000936BA">
        <w:t>found</w:t>
      </w:r>
      <w:r w:rsidR="00F625C0" w:rsidRPr="000936BA">
        <w:t xml:space="preserve"> for </w:t>
      </w:r>
      <w:r w:rsidR="005C6579" w:rsidRPr="000936BA">
        <w:t>‘</w:t>
      </w:r>
      <w:r w:rsidR="002F410F" w:rsidRPr="000936BA">
        <w:t>C</w:t>
      </w:r>
      <w:r w:rsidR="00F625C0" w:rsidRPr="000936BA">
        <w:t>ommitment to STEM</w:t>
      </w:r>
      <w:r w:rsidR="005C6579" w:rsidRPr="000936BA">
        <w:t>’</w:t>
      </w:r>
      <w:r w:rsidR="00F4257C" w:rsidRPr="000936BA">
        <w:t xml:space="preserve">. Regarding </w:t>
      </w:r>
      <w:r w:rsidR="008A6D47" w:rsidRPr="000936BA">
        <w:t>‘</w:t>
      </w:r>
      <w:r w:rsidR="00F4257C" w:rsidRPr="000936BA">
        <w:t>Engineering and industry</w:t>
      </w:r>
      <w:r w:rsidR="008A6D47" w:rsidRPr="000936BA">
        <w:t>’</w:t>
      </w:r>
      <w:r w:rsidR="00F4257C" w:rsidRPr="000936BA">
        <w:t xml:space="preserve">, only teachers with engineering experience identified this </w:t>
      </w:r>
      <w:r w:rsidR="00640B8A">
        <w:t xml:space="preserve">as an important </w:t>
      </w:r>
      <w:r w:rsidR="00F4257C" w:rsidRPr="000936BA">
        <w:t>factor.</w:t>
      </w:r>
    </w:p>
    <w:p w14:paraId="323D784B" w14:textId="22F9D817" w:rsidR="00F4257C" w:rsidRPr="000936BA" w:rsidRDefault="00906562" w:rsidP="00B6268A">
      <w:pPr>
        <w:spacing w:line="480" w:lineRule="auto"/>
      </w:pPr>
      <w:r w:rsidRPr="000936BA">
        <w:rPr>
          <w:bCs/>
          <w:i/>
          <w:iCs/>
        </w:rPr>
        <w:t xml:space="preserve">2.b. </w:t>
      </w:r>
      <w:r w:rsidR="00F4257C" w:rsidRPr="000936BA">
        <w:rPr>
          <w:bCs/>
          <w:i/>
          <w:iCs/>
        </w:rPr>
        <w:t>Experience of ABC:</w:t>
      </w:r>
      <w:r w:rsidR="00F4257C" w:rsidRPr="000936BA">
        <w:t xml:space="preserve"> No</w:t>
      </w:r>
      <w:r w:rsidR="000953CB" w:rsidRPr="000936BA">
        <w:t xml:space="preserve"> respondents offered</w:t>
      </w:r>
      <w:r w:rsidR="00F4257C" w:rsidRPr="000936BA">
        <w:t xml:space="preserve"> ‘strong agreement’</w:t>
      </w:r>
      <w:r w:rsidR="000953CB" w:rsidRPr="000936BA">
        <w:t xml:space="preserve"> for any item</w:t>
      </w:r>
      <w:r w:rsidR="00F4257C" w:rsidRPr="000936BA">
        <w:t>. Moderate agreement related pedagogically to use of resource pack</w:t>
      </w:r>
      <w:r w:rsidR="00F455B2" w:rsidRPr="000936BA">
        <w:t>s</w:t>
      </w:r>
      <w:r w:rsidR="00F4257C" w:rsidRPr="000936BA">
        <w:t xml:space="preserve"> and associated materials for in-class</w:t>
      </w:r>
      <w:r w:rsidR="008C1823" w:rsidRPr="000936BA">
        <w:t>/</w:t>
      </w:r>
      <w:r w:rsidR="00F4257C" w:rsidRPr="000936BA">
        <w:t xml:space="preserve">extracurricular </w:t>
      </w:r>
      <w:r w:rsidR="008C1823" w:rsidRPr="000936BA">
        <w:t>use</w:t>
      </w:r>
      <w:r w:rsidR="00F4257C" w:rsidRPr="000936BA">
        <w:t xml:space="preserve">. </w:t>
      </w:r>
      <w:r w:rsidR="00B50823" w:rsidRPr="000936BA">
        <w:t>L</w:t>
      </w:r>
      <w:r w:rsidR="00F4257C" w:rsidRPr="000936BA">
        <w:t xml:space="preserve">ow agreement </w:t>
      </w:r>
      <w:r w:rsidR="00B50823" w:rsidRPr="000936BA">
        <w:t>characterised</w:t>
      </w:r>
      <w:r w:rsidR="00F4257C" w:rsidRPr="000936BA">
        <w:t xml:space="preserve"> reflection on</w:t>
      </w:r>
      <w:r w:rsidRPr="000936BA">
        <w:t xml:space="preserve"> their</w:t>
      </w:r>
      <w:r w:rsidR="00F4257C" w:rsidRPr="000936BA">
        <w:t xml:space="preserve"> teaching approach, raising morale via </w:t>
      </w:r>
      <w:r w:rsidRPr="000936BA">
        <w:t>network</w:t>
      </w:r>
      <w:r w:rsidR="00F4257C" w:rsidRPr="000936BA">
        <w:t xml:space="preserve"> meetings</w:t>
      </w:r>
      <w:r w:rsidR="005C6579" w:rsidRPr="000936BA">
        <w:t>,</w:t>
      </w:r>
      <w:r w:rsidR="00F4257C" w:rsidRPr="000936BA">
        <w:t xml:space="preserve"> and feeling involved in </w:t>
      </w:r>
      <w:r w:rsidR="006A7765" w:rsidRPr="000936BA">
        <w:t>ABC</w:t>
      </w:r>
      <w:r w:rsidR="00F4257C" w:rsidRPr="000936BA">
        <w:t xml:space="preserve">. </w:t>
      </w:r>
      <w:r w:rsidR="006A7765" w:rsidRPr="000936BA">
        <w:t>N</w:t>
      </w:r>
      <w:r w:rsidR="00F4257C" w:rsidRPr="000936BA">
        <w:t xml:space="preserve">eutral feelings </w:t>
      </w:r>
      <w:r w:rsidR="006A7765" w:rsidRPr="000936BA">
        <w:t>characterised</w:t>
      </w:r>
      <w:r w:rsidR="00F4257C" w:rsidRPr="000936BA">
        <w:t xml:space="preserve"> ease of attendance at </w:t>
      </w:r>
      <w:r w:rsidRPr="000936BA">
        <w:t>network</w:t>
      </w:r>
      <w:r w:rsidR="00F4257C" w:rsidRPr="000936BA">
        <w:t xml:space="preserve"> meetings and making/maintaining contact with fellow ‘teachers’ outside of the meetings. </w:t>
      </w:r>
      <w:r w:rsidR="000953CB" w:rsidRPr="000936BA">
        <w:t>O</w:t>
      </w:r>
      <w:r w:rsidR="006B00F5" w:rsidRPr="000936BA">
        <w:t>ne</w:t>
      </w:r>
      <w:r w:rsidR="005C6579" w:rsidRPr="000936BA">
        <w:t xml:space="preserve"> </w:t>
      </w:r>
      <w:r w:rsidR="00F4257C" w:rsidRPr="000936BA">
        <w:t>factor</w:t>
      </w:r>
      <w:r w:rsidR="000953CB" w:rsidRPr="000936BA">
        <w:t xml:space="preserve"> was identified</w:t>
      </w:r>
      <w:r w:rsidR="00F4257C" w:rsidRPr="000936BA">
        <w:t xml:space="preserve">: ‘Pedagogic confidence’ drew upon most </w:t>
      </w:r>
      <w:r w:rsidR="000953CB" w:rsidRPr="000936BA">
        <w:t>item</w:t>
      </w:r>
      <w:r w:rsidR="00F4257C" w:rsidRPr="000936BA">
        <w:t xml:space="preserve">s </w:t>
      </w:r>
      <w:r w:rsidR="00F4257C" w:rsidRPr="000936BA">
        <w:rPr>
          <w:color w:val="000000" w:themeColor="text1"/>
        </w:rPr>
        <w:t>(</w:t>
      </w:r>
      <w:r w:rsidR="008778D4" w:rsidRPr="000936BA">
        <w:rPr>
          <w:color w:val="000000" w:themeColor="text1"/>
        </w:rPr>
        <w:t>3.1.</w:t>
      </w:r>
      <w:r w:rsidR="00127A01" w:rsidRPr="000936BA">
        <w:rPr>
          <w:color w:val="000000" w:themeColor="text1"/>
        </w:rPr>
        <w:t>a.,b.,c.,d.,e.,f.,</w:t>
      </w:r>
      <w:r w:rsidR="00533960" w:rsidRPr="000936BA">
        <w:rPr>
          <w:color w:val="000000" w:themeColor="text1"/>
        </w:rPr>
        <w:t>h.,i.</w:t>
      </w:r>
      <w:r w:rsidR="00F4257C" w:rsidRPr="000936BA">
        <w:rPr>
          <w:color w:val="000000" w:themeColor="text1"/>
        </w:rPr>
        <w:t>)</w:t>
      </w:r>
      <w:r w:rsidR="006B00F5" w:rsidRPr="000936BA">
        <w:rPr>
          <w:color w:val="000000" w:themeColor="text1"/>
        </w:rPr>
        <w:t>.</w:t>
      </w:r>
      <w:r w:rsidR="00F4257C" w:rsidRPr="000936BA">
        <w:rPr>
          <w:color w:val="000000" w:themeColor="text1"/>
        </w:rPr>
        <w:t xml:space="preserve"> </w:t>
      </w:r>
      <w:r w:rsidR="00615451">
        <w:rPr>
          <w:color w:val="000000" w:themeColor="text1"/>
        </w:rPr>
        <w:t>‘</w:t>
      </w:r>
      <w:r w:rsidR="00F4257C" w:rsidRPr="000936BA">
        <w:t>Pedagogic confidence</w:t>
      </w:r>
      <w:r w:rsidR="00615451">
        <w:t>’</w:t>
      </w:r>
      <w:r w:rsidR="00F4257C" w:rsidRPr="000936BA">
        <w:t xml:space="preserve"> </w:t>
      </w:r>
      <w:r w:rsidR="00D84E36" w:rsidRPr="000936BA">
        <w:t>had a high mean</w:t>
      </w:r>
      <w:r w:rsidR="005C6579" w:rsidRPr="000936BA">
        <w:t>,</w:t>
      </w:r>
      <w:r w:rsidR="00F4257C" w:rsidRPr="000936BA">
        <w:t xml:space="preserve"> </w:t>
      </w:r>
      <w:r w:rsidR="00615451">
        <w:t>although this was less so for</w:t>
      </w:r>
      <w:r w:rsidR="00F4257C" w:rsidRPr="000936BA">
        <w:t xml:space="preserve"> those with an engineering background</w:t>
      </w:r>
      <w:r w:rsidR="00615451">
        <w:t>.</w:t>
      </w:r>
    </w:p>
    <w:p w14:paraId="7B3CA3B1" w14:textId="2992348C" w:rsidR="00F4257C" w:rsidRPr="000936BA" w:rsidRDefault="00906562" w:rsidP="00B6268A">
      <w:pPr>
        <w:spacing w:line="480" w:lineRule="auto"/>
      </w:pPr>
      <w:r w:rsidRPr="000936BA">
        <w:rPr>
          <w:bCs/>
          <w:i/>
          <w:iCs/>
        </w:rPr>
        <w:t xml:space="preserve">2.c. </w:t>
      </w:r>
      <w:r w:rsidR="00F4257C" w:rsidRPr="000936BA">
        <w:rPr>
          <w:bCs/>
          <w:i/>
          <w:iCs/>
        </w:rPr>
        <w:t>Experience of STEM education:</w:t>
      </w:r>
      <w:r w:rsidR="00F4257C" w:rsidRPr="000936BA">
        <w:t xml:space="preserve"> </w:t>
      </w:r>
      <w:r w:rsidR="000953CB" w:rsidRPr="000936BA">
        <w:t>Item</w:t>
      </w:r>
      <w:r w:rsidR="00F4257C" w:rsidRPr="000936BA">
        <w:t>s covered t</w:t>
      </w:r>
      <w:r w:rsidR="000953CB" w:rsidRPr="000936BA">
        <w:t>he</w:t>
      </w:r>
      <w:r w:rsidR="00F4257C" w:rsidRPr="000936BA">
        <w:t xml:space="preserve"> skills that students need </w:t>
      </w:r>
      <w:r w:rsidR="000953CB" w:rsidRPr="000936BA">
        <w:t>for</w:t>
      </w:r>
      <w:r w:rsidR="00F4257C" w:rsidRPr="000936BA">
        <w:t xml:space="preserve"> STEM </w:t>
      </w:r>
      <w:r w:rsidR="000A7A3F" w:rsidRPr="000936BA">
        <w:t>discipline</w:t>
      </w:r>
      <w:r w:rsidR="00F4257C" w:rsidRPr="000936BA">
        <w:t>s</w:t>
      </w:r>
      <w:r w:rsidR="00992DE3" w:rsidRPr="000936BA">
        <w:t>,</w:t>
      </w:r>
      <w:r w:rsidR="00F4257C" w:rsidRPr="000936BA">
        <w:t xml:space="preserve"> support for learning and social pedagogic contexts that may support</w:t>
      </w:r>
      <w:r w:rsidR="00992DE3" w:rsidRPr="000936BA">
        <w:t>/</w:t>
      </w:r>
      <w:r w:rsidR="00F4257C" w:rsidRPr="000936BA">
        <w:t xml:space="preserve">hinder learning. There were no consistent ‘strong agreements’ </w:t>
      </w:r>
      <w:r w:rsidR="000953CB" w:rsidRPr="000936BA">
        <w:t>for</w:t>
      </w:r>
      <w:r w:rsidR="00F4257C" w:rsidRPr="000936BA">
        <w:t xml:space="preserve"> any </w:t>
      </w:r>
      <w:r w:rsidR="000953CB" w:rsidRPr="000936BA">
        <w:t>item</w:t>
      </w:r>
      <w:r w:rsidR="00F4257C" w:rsidRPr="000936BA">
        <w:t xml:space="preserve">. </w:t>
      </w:r>
      <w:r w:rsidR="00615451">
        <w:t>Moderate</w:t>
      </w:r>
      <w:r w:rsidR="004B4FDD" w:rsidRPr="000936BA">
        <w:t xml:space="preserve"> agreement</w:t>
      </w:r>
      <w:r w:rsidR="00F4257C" w:rsidRPr="000936BA">
        <w:t xml:space="preserve"> concern</w:t>
      </w:r>
      <w:r w:rsidR="004B4FDD" w:rsidRPr="000936BA">
        <w:t>ed</w:t>
      </w:r>
      <w:r w:rsidR="00F4257C" w:rsidRPr="000936BA">
        <w:t xml:space="preserve"> students’ development via presentation of </w:t>
      </w:r>
      <w:r w:rsidR="002A4FA6" w:rsidRPr="000936BA">
        <w:t>r</w:t>
      </w:r>
      <w:r w:rsidR="008728F1" w:rsidRPr="000936BA">
        <w:t>eal-world</w:t>
      </w:r>
      <w:r w:rsidR="00F4257C" w:rsidRPr="000936BA">
        <w:t xml:space="preserve"> problems, developing interpersonal skills and reasoning ability</w:t>
      </w:r>
      <w:r w:rsidR="008919A6" w:rsidRPr="000936BA">
        <w:t xml:space="preserve"> with</w:t>
      </w:r>
      <w:r w:rsidR="00F4257C" w:rsidRPr="000936BA">
        <w:t xml:space="preserve">in practical and extracurricular activities. Lower levels of agreement </w:t>
      </w:r>
      <w:r w:rsidR="005C6579" w:rsidRPr="000936BA">
        <w:t xml:space="preserve">concerned </w:t>
      </w:r>
      <w:r w:rsidR="00F4257C" w:rsidRPr="000936BA">
        <w:t>facilitation of learning via student reflection and</w:t>
      </w:r>
      <w:r w:rsidRPr="000936BA">
        <w:t xml:space="preserve"> </w:t>
      </w:r>
      <w:r w:rsidR="00F4257C" w:rsidRPr="000936BA">
        <w:t>ability to work independently of teachers. Teachers were critical of their schools, perce</w:t>
      </w:r>
      <w:r w:rsidRPr="000936BA">
        <w:t>iving</w:t>
      </w:r>
      <w:r w:rsidR="00F4257C" w:rsidRPr="000936BA">
        <w:t xml:space="preserve"> that examination results were a strong indicator of STEM success</w:t>
      </w:r>
      <w:r w:rsidR="005C6579" w:rsidRPr="000936BA">
        <w:t>,</w:t>
      </w:r>
      <w:r w:rsidR="00F4257C" w:rsidRPr="000936BA">
        <w:t xml:space="preserve"> and schools </w:t>
      </w:r>
      <w:r w:rsidR="00D63D97" w:rsidRPr="000936BA">
        <w:t>did</w:t>
      </w:r>
      <w:r w:rsidR="00F4257C" w:rsidRPr="000936BA">
        <w:t xml:space="preserve"> not encourag</w:t>
      </w:r>
      <w:r w:rsidR="00D63D97" w:rsidRPr="000936BA">
        <w:t>e</w:t>
      </w:r>
      <w:r w:rsidR="00F4257C" w:rsidRPr="000936BA">
        <w:t xml:space="preserve"> problem-based learning. Teachers had neutral feelings regard</w:t>
      </w:r>
      <w:r w:rsidR="00D63D97" w:rsidRPr="000936BA">
        <w:t>ing</w:t>
      </w:r>
      <w:r w:rsidR="00F4257C" w:rsidRPr="000936BA">
        <w:t xml:space="preserve"> parental support</w:t>
      </w:r>
      <w:r w:rsidR="00D72827" w:rsidRPr="000936BA">
        <w:t xml:space="preserve"> and</w:t>
      </w:r>
      <w:r w:rsidR="00F4257C" w:rsidRPr="000936BA">
        <w:t xml:space="preserve"> provid</w:t>
      </w:r>
      <w:r w:rsidR="00D72827" w:rsidRPr="000936BA">
        <w:t>ing</w:t>
      </w:r>
      <w:r w:rsidR="00F4257C" w:rsidRPr="000936BA">
        <w:t xml:space="preserve"> training </w:t>
      </w:r>
      <w:r w:rsidR="00F65452" w:rsidRPr="000936BA">
        <w:t>for</w:t>
      </w:r>
      <w:r w:rsidR="00F4257C" w:rsidRPr="000936BA">
        <w:t xml:space="preserve"> student engagement and group work. </w:t>
      </w:r>
      <w:r w:rsidR="00995526" w:rsidRPr="000936BA">
        <w:t>H</w:t>
      </w:r>
      <w:r w:rsidR="00F4257C" w:rsidRPr="000936BA">
        <w:t xml:space="preserve">igh levels of disagreement were </w:t>
      </w:r>
      <w:r w:rsidR="00F4257C" w:rsidRPr="000936BA">
        <w:lastRenderedPageBreak/>
        <w:t xml:space="preserve">found </w:t>
      </w:r>
      <w:r w:rsidR="005C6579" w:rsidRPr="000936BA">
        <w:t xml:space="preserve">on </w:t>
      </w:r>
      <w:r w:rsidR="00F4257C" w:rsidRPr="000936BA">
        <w:t xml:space="preserve">negatively worded questions and showed strong belief in an inclusive approach to STEM; students did not have a ‘fixed’ level of ability, should not be taught in single-sex groups, nor was STEM for high achievers only. </w:t>
      </w:r>
      <w:r w:rsidR="000953CB" w:rsidRPr="000936BA">
        <w:t>T</w:t>
      </w:r>
      <w:r w:rsidR="00F4257C" w:rsidRPr="000936BA">
        <w:t>wo factors</w:t>
      </w:r>
      <w:r w:rsidR="000953CB" w:rsidRPr="000936BA">
        <w:t xml:space="preserve"> were identified</w:t>
      </w:r>
      <w:r w:rsidR="00F4257C" w:rsidRPr="000936BA">
        <w:t>:</w:t>
      </w:r>
      <w:r w:rsidR="005C6579" w:rsidRPr="000936BA">
        <w:t xml:space="preserve"> </w:t>
      </w:r>
      <w:r w:rsidR="00F4257C" w:rsidRPr="000936BA">
        <w:t>‘</w:t>
      </w:r>
      <w:r w:rsidR="002A4FA6" w:rsidRPr="000936BA">
        <w:t>Inclusivity</w:t>
      </w:r>
      <w:r w:rsidR="00F4257C" w:rsidRPr="000936BA">
        <w:t xml:space="preserve">’ </w:t>
      </w:r>
      <w:r w:rsidR="00F4257C" w:rsidRPr="000936BA">
        <w:rPr>
          <w:color w:val="000000" w:themeColor="text1"/>
        </w:rPr>
        <w:t>(</w:t>
      </w:r>
      <w:r w:rsidR="00D75759" w:rsidRPr="000936BA">
        <w:rPr>
          <w:color w:val="000000" w:themeColor="text1"/>
        </w:rPr>
        <w:t>4.</w:t>
      </w:r>
      <w:r w:rsidR="00133FE3" w:rsidRPr="000936BA">
        <w:rPr>
          <w:color w:val="000000" w:themeColor="text1"/>
        </w:rPr>
        <w:t>b.,c.,k.,n.,</w:t>
      </w:r>
      <w:r w:rsidR="00275E03" w:rsidRPr="000936BA">
        <w:rPr>
          <w:color w:val="000000" w:themeColor="text1"/>
        </w:rPr>
        <w:t>s.,u.</w:t>
      </w:r>
      <w:r w:rsidR="00F4257C" w:rsidRPr="000936BA">
        <w:rPr>
          <w:color w:val="000000" w:themeColor="text1"/>
        </w:rPr>
        <w:t>)</w:t>
      </w:r>
      <w:r w:rsidR="00E06288" w:rsidRPr="000936BA">
        <w:rPr>
          <w:color w:val="000000" w:themeColor="text1"/>
        </w:rPr>
        <w:t>;</w:t>
      </w:r>
      <w:r w:rsidR="00F4257C" w:rsidRPr="000936BA">
        <w:rPr>
          <w:color w:val="000000" w:themeColor="text1"/>
        </w:rPr>
        <w:t xml:space="preserve"> </w:t>
      </w:r>
      <w:r w:rsidR="00DE1D45" w:rsidRPr="000936BA">
        <w:t>and</w:t>
      </w:r>
      <w:r w:rsidR="005C6579" w:rsidRPr="000936BA">
        <w:t xml:space="preserve"> </w:t>
      </w:r>
      <w:r w:rsidR="00F4257C" w:rsidRPr="000936BA">
        <w:t>‘</w:t>
      </w:r>
      <w:r w:rsidR="002A4FA6" w:rsidRPr="000936BA">
        <w:t>S</w:t>
      </w:r>
      <w:r w:rsidR="00F4257C" w:rsidRPr="000936BA">
        <w:t xml:space="preserve">tudent </w:t>
      </w:r>
      <w:r w:rsidR="002A4FA6" w:rsidRPr="000936BA">
        <w:t xml:space="preserve">STEM </w:t>
      </w:r>
      <w:r w:rsidR="00F4257C" w:rsidRPr="000936BA">
        <w:t xml:space="preserve">autonomy’ </w:t>
      </w:r>
      <w:r w:rsidR="00F4257C" w:rsidRPr="000936BA">
        <w:rPr>
          <w:color w:val="000000" w:themeColor="text1"/>
        </w:rPr>
        <w:t>(</w:t>
      </w:r>
      <w:r w:rsidR="006C1E7B" w:rsidRPr="000936BA">
        <w:rPr>
          <w:color w:val="000000" w:themeColor="text1"/>
        </w:rPr>
        <w:t>4.</w:t>
      </w:r>
      <w:r w:rsidR="00017766" w:rsidRPr="000936BA">
        <w:rPr>
          <w:color w:val="000000" w:themeColor="text1"/>
        </w:rPr>
        <w:t>m.,o.,p.,v.,w.</w:t>
      </w:r>
      <w:r w:rsidR="00D62222" w:rsidRPr="000936BA">
        <w:t>)</w:t>
      </w:r>
      <w:r w:rsidR="00F4257C" w:rsidRPr="000936BA">
        <w:t xml:space="preserve">. </w:t>
      </w:r>
      <w:r w:rsidR="00A64BDC" w:rsidRPr="000936BA">
        <w:t>R</w:t>
      </w:r>
      <w:r w:rsidR="005C6579" w:rsidRPr="000936BA">
        <w:t>esponses indicated</w:t>
      </w:r>
      <w:r w:rsidR="00A40D09" w:rsidRPr="000936BA">
        <w:t xml:space="preserve"> </w:t>
      </w:r>
      <w:r w:rsidR="000A2D33" w:rsidRPr="000936BA">
        <w:t>a shared</w:t>
      </w:r>
      <w:r w:rsidR="00A40D09" w:rsidRPr="000936BA">
        <w:t xml:space="preserve"> socially inclusive orientation</w:t>
      </w:r>
      <w:r w:rsidR="000A2D33" w:rsidRPr="000936BA">
        <w:t xml:space="preserve"> towards STEM education.</w:t>
      </w:r>
      <w:r w:rsidR="000F61D6" w:rsidRPr="000936BA">
        <w:t xml:space="preserve"> </w:t>
      </w:r>
      <w:r w:rsidR="00A31242" w:rsidRPr="000936BA">
        <w:t xml:space="preserve">There were no </w:t>
      </w:r>
      <w:r w:rsidR="00735B5B" w:rsidRPr="000936BA">
        <w:t xml:space="preserve">statistically </w:t>
      </w:r>
      <w:r w:rsidR="00A31242" w:rsidRPr="000936BA">
        <w:t>significant</w:t>
      </w:r>
      <w:r w:rsidR="007476CC" w:rsidRPr="000936BA">
        <w:t xml:space="preserve"> demographic differences regarding </w:t>
      </w:r>
      <w:r w:rsidR="005C6579" w:rsidRPr="000936BA">
        <w:t>‘</w:t>
      </w:r>
      <w:r w:rsidR="002A4FA6" w:rsidRPr="000936BA">
        <w:t>S</w:t>
      </w:r>
      <w:r w:rsidR="00687F71" w:rsidRPr="000936BA">
        <w:t xml:space="preserve">tudent </w:t>
      </w:r>
      <w:r w:rsidR="002A4FA6" w:rsidRPr="000936BA">
        <w:t xml:space="preserve">STEM </w:t>
      </w:r>
      <w:r w:rsidR="00687F71" w:rsidRPr="000936BA">
        <w:t>autonomy</w:t>
      </w:r>
      <w:r w:rsidR="005C6579" w:rsidRPr="000936BA">
        <w:t>’</w:t>
      </w:r>
      <w:r w:rsidR="00F4257C" w:rsidRPr="000936BA">
        <w:t>.</w:t>
      </w:r>
    </w:p>
    <w:p w14:paraId="6060C452" w14:textId="4CFB58B6" w:rsidR="00F4257C" w:rsidRPr="000936BA" w:rsidRDefault="00906562" w:rsidP="00B6268A">
      <w:pPr>
        <w:spacing w:line="480" w:lineRule="auto"/>
      </w:pPr>
      <w:r w:rsidRPr="000936BA">
        <w:rPr>
          <w:i/>
          <w:iCs/>
        </w:rPr>
        <w:t xml:space="preserve">2.d. </w:t>
      </w:r>
      <w:r w:rsidR="002A4FA6" w:rsidRPr="000936BA">
        <w:rPr>
          <w:i/>
          <w:iCs/>
        </w:rPr>
        <w:t>P</w:t>
      </w:r>
      <w:r w:rsidR="00F4257C" w:rsidRPr="000936BA">
        <w:rPr>
          <w:i/>
          <w:iCs/>
        </w:rPr>
        <w:t>articipation in ABC activities</w:t>
      </w:r>
      <w:r w:rsidR="00F4257C" w:rsidRPr="000936BA">
        <w:rPr>
          <w:b/>
          <w:bCs/>
          <w:i/>
          <w:iCs/>
        </w:rPr>
        <w:t>:</w:t>
      </w:r>
      <w:r w:rsidR="00F4257C" w:rsidRPr="000936BA">
        <w:t xml:space="preserve"> </w:t>
      </w:r>
      <w:r w:rsidR="00970743" w:rsidRPr="000936BA">
        <w:t>N</w:t>
      </w:r>
      <w:r w:rsidR="00F4257C" w:rsidRPr="000936BA">
        <w:t>one of the</w:t>
      </w:r>
      <w:r w:rsidR="00970743" w:rsidRPr="000936BA">
        <w:t>se</w:t>
      </w:r>
      <w:r w:rsidR="00F4257C" w:rsidRPr="000936BA">
        <w:t xml:space="preserve"> activities </w:t>
      </w:r>
      <w:r w:rsidR="005C6579" w:rsidRPr="000936BA">
        <w:t xml:space="preserve">was </w:t>
      </w:r>
      <w:r w:rsidR="00F4257C" w:rsidRPr="000936BA">
        <w:t xml:space="preserve">undertaken with a high frequency. </w:t>
      </w:r>
      <w:r w:rsidR="00970743" w:rsidRPr="000936BA">
        <w:t>M</w:t>
      </w:r>
      <w:r w:rsidR="00F4257C" w:rsidRPr="000936BA">
        <w:t xml:space="preserve">oderate </w:t>
      </w:r>
      <w:r w:rsidR="00970743" w:rsidRPr="000936BA">
        <w:t xml:space="preserve">frequency </w:t>
      </w:r>
      <w:r w:rsidR="00F4257C" w:rsidRPr="000936BA">
        <w:t>levels (3</w:t>
      </w:r>
      <w:r w:rsidR="00970743" w:rsidRPr="000936BA">
        <w:t>-</w:t>
      </w:r>
      <w:r w:rsidR="00F4257C" w:rsidRPr="000936BA">
        <w:t xml:space="preserve">5 times </w:t>
      </w:r>
      <w:r w:rsidR="00970743" w:rsidRPr="000936BA">
        <w:t>per</w:t>
      </w:r>
      <w:r w:rsidR="00F4257C" w:rsidRPr="000936BA">
        <w:t xml:space="preserve"> year) </w:t>
      </w:r>
      <w:r w:rsidR="00970743" w:rsidRPr="000936BA">
        <w:t xml:space="preserve">were found for </w:t>
      </w:r>
      <w:r w:rsidR="00F4257C" w:rsidRPr="000936BA">
        <w:t>contacting STEM organisations and local industries. Teache</w:t>
      </w:r>
      <w:r w:rsidRPr="000936BA">
        <w:t>r</w:t>
      </w:r>
      <w:r w:rsidR="00F4257C" w:rsidRPr="000936BA">
        <w:t>s infrequently (1</w:t>
      </w:r>
      <w:r w:rsidR="00970743" w:rsidRPr="000936BA">
        <w:t>-</w:t>
      </w:r>
      <w:r w:rsidR="00F4257C" w:rsidRPr="000936BA">
        <w:t>4 times per year) co-taught with other STEM teachers</w:t>
      </w:r>
      <w:r w:rsidR="00A85C2D" w:rsidRPr="000936BA">
        <w:t>,</w:t>
      </w:r>
      <w:r w:rsidR="00F4257C" w:rsidRPr="000936BA">
        <w:t xml:space="preserve"> contacted network teachers</w:t>
      </w:r>
      <w:r w:rsidR="00A85C2D" w:rsidRPr="000936BA">
        <w:t>, or</w:t>
      </w:r>
      <w:r w:rsidR="00F4257C" w:rsidRPr="000936BA">
        <w:t xml:space="preserve"> provided feedback regard</w:t>
      </w:r>
      <w:r w:rsidR="00970743" w:rsidRPr="000936BA">
        <w:t>ing</w:t>
      </w:r>
      <w:r w:rsidR="00F4257C" w:rsidRPr="000936BA">
        <w:t xml:space="preserve"> resource boxes. One factor was identified: ‘ABC activity level’ covered </w:t>
      </w:r>
      <w:r w:rsidR="001D2D56" w:rsidRPr="000936BA">
        <w:t>all</w:t>
      </w:r>
      <w:r w:rsidR="00F4257C" w:rsidRPr="000936BA">
        <w:t xml:space="preserve"> </w:t>
      </w:r>
      <w:r w:rsidR="00615451">
        <w:t>item</w:t>
      </w:r>
      <w:r w:rsidR="00F4257C" w:rsidRPr="000936BA">
        <w:t xml:space="preserve">s </w:t>
      </w:r>
      <w:r w:rsidR="00F4257C" w:rsidRPr="000936BA">
        <w:rPr>
          <w:color w:val="000000" w:themeColor="text1"/>
        </w:rPr>
        <w:t>(</w:t>
      </w:r>
      <w:r w:rsidR="00D722B9" w:rsidRPr="000936BA">
        <w:rPr>
          <w:color w:val="000000" w:themeColor="text1"/>
        </w:rPr>
        <w:t>5.a.-</w:t>
      </w:r>
      <w:r w:rsidR="005D0AFC" w:rsidRPr="000936BA">
        <w:rPr>
          <w:color w:val="000000" w:themeColor="text1"/>
        </w:rPr>
        <w:t>g.,</w:t>
      </w:r>
      <w:r w:rsidR="001859B0" w:rsidRPr="000936BA">
        <w:rPr>
          <w:color w:val="000000" w:themeColor="text1"/>
        </w:rPr>
        <w:t>i.,j.,k.</w:t>
      </w:r>
      <w:r w:rsidR="00F4257C" w:rsidRPr="000936BA">
        <w:t>).</w:t>
      </w:r>
      <w:r w:rsidR="00D7046A">
        <w:t xml:space="preserve"> </w:t>
      </w:r>
      <w:r w:rsidR="00AB689B" w:rsidRPr="000936BA">
        <w:t>Demographically,</w:t>
      </w:r>
      <w:r w:rsidR="00F4257C" w:rsidRPr="000936BA">
        <w:t xml:space="preserve"> more experienced </w:t>
      </w:r>
      <w:r w:rsidR="00AB689B" w:rsidRPr="000936BA">
        <w:t xml:space="preserve">teachers </w:t>
      </w:r>
      <w:r w:rsidR="00F4257C" w:rsidRPr="000936BA">
        <w:t xml:space="preserve">engaged in </w:t>
      </w:r>
      <w:r w:rsidR="00D7046A">
        <w:t xml:space="preserve">more </w:t>
      </w:r>
      <w:r w:rsidR="00F4257C" w:rsidRPr="000936BA">
        <w:t>activit</w:t>
      </w:r>
      <w:r w:rsidR="00D7046A">
        <w:t>ies</w:t>
      </w:r>
      <w:r w:rsidR="00F4257C" w:rsidRPr="000936BA">
        <w:t>.</w:t>
      </w:r>
    </w:p>
    <w:p w14:paraId="7B5863EA" w14:textId="7A3EC51D" w:rsidR="00F4257C" w:rsidRPr="000936BA" w:rsidRDefault="00AD081B" w:rsidP="00B6268A">
      <w:pPr>
        <w:spacing w:line="480" w:lineRule="auto"/>
      </w:pPr>
      <w:r w:rsidRPr="000936BA">
        <w:rPr>
          <w:bCs/>
          <w:i/>
          <w:iCs/>
        </w:rPr>
        <w:t xml:space="preserve">2.e. </w:t>
      </w:r>
      <w:r w:rsidR="00F4257C" w:rsidRPr="000936BA">
        <w:rPr>
          <w:bCs/>
          <w:i/>
          <w:iCs/>
        </w:rPr>
        <w:t>Confidence</w:t>
      </w:r>
      <w:r w:rsidR="00AB689B" w:rsidRPr="000936BA">
        <w:rPr>
          <w:bCs/>
          <w:i/>
          <w:iCs/>
        </w:rPr>
        <w:t>/</w:t>
      </w:r>
      <w:r w:rsidR="00F4257C" w:rsidRPr="000936BA">
        <w:rPr>
          <w:bCs/>
          <w:i/>
          <w:iCs/>
        </w:rPr>
        <w:t>competence in promoting STEM</w:t>
      </w:r>
      <w:r w:rsidR="00AB689B" w:rsidRPr="000936BA">
        <w:rPr>
          <w:bCs/>
          <w:i/>
          <w:iCs/>
        </w:rPr>
        <w:t>/engineering</w:t>
      </w:r>
      <w:r w:rsidR="00F4257C" w:rsidRPr="000936BA">
        <w:rPr>
          <w:bCs/>
          <w:i/>
          <w:iCs/>
        </w:rPr>
        <w:t>:</w:t>
      </w:r>
      <w:r w:rsidR="00F4257C" w:rsidRPr="000936BA">
        <w:t xml:space="preserve"> </w:t>
      </w:r>
      <w:r w:rsidR="00AB689B" w:rsidRPr="000936BA">
        <w:t>T</w:t>
      </w:r>
      <w:r w:rsidR="00F4257C" w:rsidRPr="000936BA">
        <w:t>eachers perceived themselves as competent</w:t>
      </w:r>
      <w:r w:rsidR="00AB689B" w:rsidRPr="000936BA">
        <w:t>/</w:t>
      </w:r>
      <w:r w:rsidR="00F4257C" w:rsidRPr="000936BA">
        <w:t xml:space="preserve">confident </w:t>
      </w:r>
      <w:r w:rsidR="00E91E91" w:rsidRPr="000936BA">
        <w:t>regarding</w:t>
      </w:r>
      <w:r w:rsidR="00F4257C" w:rsidRPr="000936BA">
        <w:t xml:space="preserve"> pedagogic aspects of STEM teaching and support</w:t>
      </w:r>
      <w:r w:rsidR="00AB689B" w:rsidRPr="000936BA">
        <w:t>ing</w:t>
      </w:r>
      <w:r w:rsidR="00F4257C" w:rsidRPr="000936BA">
        <w:t xml:space="preserve"> engineering. They </w:t>
      </w:r>
      <w:r w:rsidR="00AB689B" w:rsidRPr="000936BA">
        <w:t>we</w:t>
      </w:r>
      <w:r w:rsidR="00F4257C" w:rsidRPr="000936BA">
        <w:t>re le</w:t>
      </w:r>
      <w:r w:rsidR="00AB689B" w:rsidRPr="000936BA">
        <w:t>ast</w:t>
      </w:r>
      <w:r w:rsidR="00F4257C" w:rsidRPr="000936BA">
        <w:t xml:space="preserve"> competent/confident in solving/explaining engineering problems. Highest levels of competence/confidence (70-80%) were found in pedagogic promotion of positive </w:t>
      </w:r>
      <w:r w:rsidR="002A4FA6" w:rsidRPr="000936BA">
        <w:t xml:space="preserve">engineering </w:t>
      </w:r>
      <w:r w:rsidR="00F4257C" w:rsidRPr="000936BA">
        <w:t xml:space="preserve">attitudes, lesson design, teamwork among students and cooperative learning. Relatively lower levels of competence characterised </w:t>
      </w:r>
      <w:r w:rsidR="00AB689B" w:rsidRPr="000936BA">
        <w:t>e</w:t>
      </w:r>
      <w:r w:rsidR="00F4257C" w:rsidRPr="000936BA">
        <w:t xml:space="preserve">ngineering </w:t>
      </w:r>
      <w:r w:rsidR="00AB689B" w:rsidRPr="000936BA">
        <w:t>e</w:t>
      </w:r>
      <w:r w:rsidR="00F4257C" w:rsidRPr="000936BA">
        <w:t xml:space="preserve">fficacy, assessing engineering products, teaching STEM </w:t>
      </w:r>
      <w:r w:rsidR="000A7A3F" w:rsidRPr="000936BA">
        <w:t>discipline</w:t>
      </w:r>
      <w:r w:rsidR="00F4257C" w:rsidRPr="000936BA">
        <w:t>s without preparation</w:t>
      </w:r>
      <w:r w:rsidR="00AB689B" w:rsidRPr="000936BA">
        <w:t>/</w:t>
      </w:r>
      <w:r w:rsidR="00F4257C" w:rsidRPr="000936BA">
        <w:t xml:space="preserve">outside their </w:t>
      </w:r>
      <w:r w:rsidR="000E550F" w:rsidRPr="000936BA">
        <w:t>discipline</w:t>
      </w:r>
      <w:r w:rsidR="00F4257C" w:rsidRPr="000936BA">
        <w:t xml:space="preserve"> and explaining mathematics </w:t>
      </w:r>
      <w:r w:rsidR="00AB689B" w:rsidRPr="000936BA">
        <w:t>i</w:t>
      </w:r>
      <w:r w:rsidR="00F4257C" w:rsidRPr="000936BA">
        <w:t xml:space="preserve">n engineering. </w:t>
      </w:r>
      <w:r w:rsidR="000A2D33" w:rsidRPr="000936BA">
        <w:t>T</w:t>
      </w:r>
      <w:r w:rsidR="00F4257C" w:rsidRPr="000936BA">
        <w:t>wo factors</w:t>
      </w:r>
      <w:r w:rsidR="000A2D33" w:rsidRPr="000936BA">
        <w:t xml:space="preserve"> were identified</w:t>
      </w:r>
      <w:r w:rsidR="00F4257C" w:rsidRPr="000936BA">
        <w:t>:</w:t>
      </w:r>
      <w:r w:rsidR="005C6579" w:rsidRPr="000936BA">
        <w:t xml:space="preserve"> </w:t>
      </w:r>
      <w:r w:rsidR="00F4257C" w:rsidRPr="000936BA">
        <w:t xml:space="preserve">‘Universal STEM efficacy’ </w:t>
      </w:r>
      <w:r w:rsidR="00F4257C" w:rsidRPr="000936BA">
        <w:rPr>
          <w:color w:val="000000" w:themeColor="text1"/>
        </w:rPr>
        <w:t>(</w:t>
      </w:r>
      <w:r w:rsidR="00D6012A" w:rsidRPr="000936BA">
        <w:rPr>
          <w:color w:val="000000" w:themeColor="text1"/>
        </w:rPr>
        <w:t>6.</w:t>
      </w:r>
      <w:r w:rsidR="002B165B" w:rsidRPr="000936BA">
        <w:rPr>
          <w:color w:val="000000" w:themeColor="text1"/>
        </w:rPr>
        <w:t>a.-i.,k.,l.,</w:t>
      </w:r>
      <w:r w:rsidR="009D33B7" w:rsidRPr="000936BA">
        <w:rPr>
          <w:color w:val="000000" w:themeColor="text1"/>
        </w:rPr>
        <w:t>p.-u.,</w:t>
      </w:r>
      <w:r w:rsidR="0050342F" w:rsidRPr="000936BA">
        <w:rPr>
          <w:color w:val="000000" w:themeColor="text1"/>
        </w:rPr>
        <w:t>w.,x.</w:t>
      </w:r>
      <w:r w:rsidR="00F4257C" w:rsidRPr="000936BA">
        <w:rPr>
          <w:color w:val="000000" w:themeColor="text1"/>
        </w:rPr>
        <w:t xml:space="preserve">); </w:t>
      </w:r>
      <w:r w:rsidR="0030779C" w:rsidRPr="000936BA">
        <w:t>and</w:t>
      </w:r>
      <w:r w:rsidR="005C6579" w:rsidRPr="000936BA">
        <w:t xml:space="preserve"> </w:t>
      </w:r>
      <w:r w:rsidR="00F4257C" w:rsidRPr="000936BA">
        <w:t>‘Develop students’ scientific understanding’ (</w:t>
      </w:r>
      <w:r w:rsidR="00886E9A" w:rsidRPr="000936BA">
        <w:t>6.f.,</w:t>
      </w:r>
      <w:r w:rsidR="00566445" w:rsidRPr="000936BA">
        <w:t>v.</w:t>
      </w:r>
      <w:r w:rsidR="00EE5399" w:rsidRPr="000936BA">
        <w:t>)</w:t>
      </w:r>
      <w:r w:rsidR="00F4257C" w:rsidRPr="000936BA">
        <w:t xml:space="preserve">. </w:t>
      </w:r>
      <w:r w:rsidR="005663AE" w:rsidRPr="000936BA">
        <w:t>‘</w:t>
      </w:r>
      <w:r w:rsidR="00F4257C" w:rsidRPr="000936BA">
        <w:t>Universal STEM efficacy</w:t>
      </w:r>
      <w:r w:rsidR="005663AE" w:rsidRPr="000936BA">
        <w:t>’</w:t>
      </w:r>
      <w:r w:rsidR="00F4257C" w:rsidRPr="000936BA">
        <w:t xml:space="preserve"> was </w:t>
      </w:r>
      <w:r w:rsidR="005F381E" w:rsidRPr="000936BA">
        <w:t xml:space="preserve">statistically </w:t>
      </w:r>
      <w:r w:rsidR="00F4257C" w:rsidRPr="000936BA">
        <w:t xml:space="preserve">significantly lower for teachers who studied </w:t>
      </w:r>
      <w:r w:rsidR="007355FA" w:rsidRPr="000936BA">
        <w:t>s</w:t>
      </w:r>
      <w:r w:rsidR="00F4257C" w:rsidRPr="000936BA">
        <w:t xml:space="preserve">ocial sciences and those with the least experience of ABC. </w:t>
      </w:r>
      <w:r w:rsidR="005663AE" w:rsidRPr="000936BA">
        <w:t>‘</w:t>
      </w:r>
      <w:r w:rsidR="00F4257C" w:rsidRPr="000936BA">
        <w:t>Develop students’ scientific understanding</w:t>
      </w:r>
      <w:r w:rsidR="005663AE" w:rsidRPr="000936BA">
        <w:t>’</w:t>
      </w:r>
      <w:r w:rsidR="00F4257C" w:rsidRPr="000936BA">
        <w:t xml:space="preserve"> was lowe</w:t>
      </w:r>
      <w:r w:rsidR="008C7970">
        <w:t>st</w:t>
      </w:r>
      <w:r w:rsidR="00F4257C" w:rsidRPr="000936BA">
        <w:t xml:space="preserve"> for D</w:t>
      </w:r>
      <w:r w:rsidR="00EE5399" w:rsidRPr="000936BA">
        <w:t>&amp;T teachers</w:t>
      </w:r>
      <w:r w:rsidR="00F4257C" w:rsidRPr="000936BA">
        <w:t>.</w:t>
      </w:r>
    </w:p>
    <w:p w14:paraId="08FDF7F4" w14:textId="79D5537A" w:rsidR="00F4257C" w:rsidRPr="000936BA" w:rsidRDefault="00AD081B" w:rsidP="00B6268A">
      <w:pPr>
        <w:spacing w:line="480" w:lineRule="auto"/>
      </w:pPr>
      <w:r w:rsidRPr="000936BA">
        <w:rPr>
          <w:bCs/>
          <w:i/>
          <w:iCs/>
        </w:rPr>
        <w:lastRenderedPageBreak/>
        <w:t>2.f.</w:t>
      </w:r>
      <w:r w:rsidR="00EE5399" w:rsidRPr="000936BA">
        <w:rPr>
          <w:bCs/>
          <w:i/>
          <w:iCs/>
        </w:rPr>
        <w:t xml:space="preserve"> </w:t>
      </w:r>
      <w:r w:rsidR="00F4257C" w:rsidRPr="000936BA">
        <w:rPr>
          <w:bCs/>
          <w:i/>
          <w:iCs/>
        </w:rPr>
        <w:t xml:space="preserve">Impact of </w:t>
      </w:r>
      <w:r w:rsidRPr="000936BA">
        <w:rPr>
          <w:bCs/>
          <w:i/>
          <w:iCs/>
        </w:rPr>
        <w:t>ABC</w:t>
      </w:r>
      <w:r w:rsidR="00F4257C" w:rsidRPr="000936BA">
        <w:rPr>
          <w:bCs/>
          <w:i/>
          <w:iCs/>
        </w:rPr>
        <w:t>:</w:t>
      </w:r>
      <w:r w:rsidR="00F4257C" w:rsidRPr="000936BA">
        <w:t xml:space="preserve"> </w:t>
      </w:r>
      <w:r w:rsidR="000A2D33" w:rsidRPr="000936BA">
        <w:t>There wa</w:t>
      </w:r>
      <w:r w:rsidR="003C00C2">
        <w:t>s</w:t>
      </w:r>
      <w:r w:rsidRPr="000936BA">
        <w:t xml:space="preserve"> a</w:t>
      </w:r>
      <w:r w:rsidR="00F4257C" w:rsidRPr="000936BA">
        <w:t xml:space="preserve"> positive per</w:t>
      </w:r>
      <w:r w:rsidRPr="000936BA">
        <w:t>ception</w:t>
      </w:r>
      <w:r w:rsidR="000A2D33" w:rsidRPr="000936BA">
        <w:t xml:space="preserve"> of impacts on students</w:t>
      </w:r>
      <w:r w:rsidR="00D7046A">
        <w:t xml:space="preserve"> for all question items</w:t>
      </w:r>
      <w:r w:rsidR="00F4257C" w:rsidRPr="000936BA">
        <w:t xml:space="preserve">. </w:t>
      </w:r>
      <w:r w:rsidR="00EE5399" w:rsidRPr="000936BA">
        <w:t>S</w:t>
      </w:r>
      <w:r w:rsidR="00F4257C" w:rsidRPr="000936BA">
        <w:t>trongest impacts indicated relevance of the programme to the school-based STEM curriculum</w:t>
      </w:r>
      <w:r w:rsidR="00824C52">
        <w:t>,</w:t>
      </w:r>
      <w:r w:rsidR="00F4257C" w:rsidRPr="000936BA">
        <w:t xml:space="preserve"> followed by pupil attainment</w:t>
      </w:r>
      <w:r w:rsidR="003A5A7F">
        <w:t xml:space="preserve">, </w:t>
      </w:r>
      <w:r w:rsidR="00F4257C" w:rsidRPr="000936BA">
        <w:t>improve</w:t>
      </w:r>
      <w:r w:rsidR="00EE5399" w:rsidRPr="000936BA">
        <w:t>ment</w:t>
      </w:r>
      <w:r w:rsidR="00F4257C" w:rsidRPr="000936BA">
        <w:t xml:space="preserve"> in STEM </w:t>
      </w:r>
      <w:r w:rsidR="00E01E74" w:rsidRPr="000936BA">
        <w:t>discipline</w:t>
      </w:r>
      <w:r w:rsidR="00F4257C" w:rsidRPr="000936BA">
        <w:t xml:space="preserve">s and science </w:t>
      </w:r>
      <w:r w:rsidR="00EE5399" w:rsidRPr="000936BA">
        <w:t>a</w:t>
      </w:r>
      <w:r w:rsidR="00F4257C" w:rsidRPr="000936BA">
        <w:t xml:space="preserve">s a </w:t>
      </w:r>
      <w:r w:rsidR="005663AE" w:rsidRPr="000936BA">
        <w:t>‘</w:t>
      </w:r>
      <w:r w:rsidR="00F4257C" w:rsidRPr="000936BA">
        <w:t>good</w:t>
      </w:r>
      <w:r w:rsidR="005663AE" w:rsidRPr="000936BA">
        <w:t>’</w:t>
      </w:r>
      <w:r w:rsidR="00F4257C" w:rsidRPr="000936BA">
        <w:t xml:space="preserve"> option for boys and girls. </w:t>
      </w:r>
      <w:r w:rsidR="00EE5399" w:rsidRPr="000936BA">
        <w:t>W</w:t>
      </w:r>
      <w:r w:rsidR="00F4257C" w:rsidRPr="000936BA">
        <w:t>eak</w:t>
      </w:r>
      <w:r w:rsidR="007355FA" w:rsidRPr="000936BA">
        <w:t>er</w:t>
      </w:r>
      <w:r w:rsidR="00F4257C" w:rsidRPr="000936BA">
        <w:t xml:space="preserve"> impacts were </w:t>
      </w:r>
      <w:r w:rsidR="008C7970">
        <w:t>identified</w:t>
      </w:r>
      <w:r w:rsidR="00F4257C" w:rsidRPr="000936BA">
        <w:t xml:space="preserve"> regarding course choice options and careers. </w:t>
      </w:r>
      <w:r w:rsidR="000A2D33" w:rsidRPr="000936BA">
        <w:t>O</w:t>
      </w:r>
      <w:r w:rsidR="00F4257C" w:rsidRPr="000936BA">
        <w:t>ne factor</w:t>
      </w:r>
      <w:r w:rsidR="000A2D33" w:rsidRPr="000936BA">
        <w:t xml:space="preserve"> was identified</w:t>
      </w:r>
      <w:r w:rsidR="00EE5399" w:rsidRPr="000936BA">
        <w:t>:</w:t>
      </w:r>
      <w:r w:rsidR="00F4257C" w:rsidRPr="000936BA">
        <w:t xml:space="preserve"> ‘</w:t>
      </w:r>
      <w:r w:rsidR="007355FA" w:rsidRPr="000936BA">
        <w:t>I</w:t>
      </w:r>
      <w:r w:rsidR="00F4257C" w:rsidRPr="000936BA">
        <w:t xml:space="preserve">mpact of ABC’ included all </w:t>
      </w:r>
      <w:r w:rsidR="000A2D33" w:rsidRPr="000936BA">
        <w:t>item</w:t>
      </w:r>
      <w:r w:rsidR="00F4257C" w:rsidRPr="000936BA">
        <w:t xml:space="preserve">s </w:t>
      </w:r>
      <w:r w:rsidR="00F4257C" w:rsidRPr="000936BA">
        <w:rPr>
          <w:color w:val="000000" w:themeColor="text1"/>
        </w:rPr>
        <w:t>(</w:t>
      </w:r>
      <w:r w:rsidR="00C07C29" w:rsidRPr="000936BA">
        <w:rPr>
          <w:color w:val="000000" w:themeColor="text1"/>
        </w:rPr>
        <w:t>7.a.-i</w:t>
      </w:r>
      <w:r w:rsidR="00F4257C" w:rsidRPr="000936BA">
        <w:rPr>
          <w:color w:val="000000" w:themeColor="text1"/>
        </w:rPr>
        <w:t xml:space="preserve">). </w:t>
      </w:r>
      <w:r w:rsidR="00841DBC">
        <w:t>N</w:t>
      </w:r>
      <w:r w:rsidR="00F4257C" w:rsidRPr="000936BA">
        <w:t xml:space="preserve">o </w:t>
      </w:r>
      <w:r w:rsidR="005663AE" w:rsidRPr="000936BA">
        <w:t xml:space="preserve">statistically </w:t>
      </w:r>
      <w:r w:rsidR="00F4257C" w:rsidRPr="000936BA">
        <w:t xml:space="preserve">significant </w:t>
      </w:r>
      <w:r w:rsidR="00FA653F" w:rsidRPr="000936BA">
        <w:t xml:space="preserve">demographic </w:t>
      </w:r>
      <w:r w:rsidR="00F4257C" w:rsidRPr="000936BA">
        <w:t xml:space="preserve">differences </w:t>
      </w:r>
      <w:r w:rsidR="00841DBC">
        <w:t xml:space="preserve">were </w:t>
      </w:r>
      <w:r w:rsidR="00F4257C" w:rsidRPr="000936BA">
        <w:t>found.</w:t>
      </w:r>
    </w:p>
    <w:p w14:paraId="7EB8384B" w14:textId="129D9399" w:rsidR="005663AE" w:rsidRPr="000936BA" w:rsidRDefault="00AD081B" w:rsidP="00104A5F">
      <w:pPr>
        <w:spacing w:line="480" w:lineRule="auto"/>
        <w:rPr>
          <w:b/>
          <w:i/>
          <w:iCs/>
        </w:rPr>
      </w:pPr>
      <w:r w:rsidRPr="000936BA">
        <w:rPr>
          <w:bCs/>
          <w:i/>
          <w:iCs/>
        </w:rPr>
        <w:t xml:space="preserve">2.g. </w:t>
      </w:r>
      <w:r w:rsidR="00FA653F" w:rsidRPr="000936BA">
        <w:rPr>
          <w:bCs/>
          <w:i/>
          <w:iCs/>
        </w:rPr>
        <w:t>Overview of teacher responses</w:t>
      </w:r>
      <w:r w:rsidR="00F4257C" w:rsidRPr="000936BA">
        <w:rPr>
          <w:bCs/>
          <w:i/>
          <w:iCs/>
        </w:rPr>
        <w:t>:</w:t>
      </w:r>
      <w:r w:rsidR="00FA653F" w:rsidRPr="000936BA">
        <w:t xml:space="preserve"> T</w:t>
      </w:r>
      <w:r w:rsidR="00F4257C" w:rsidRPr="000936BA">
        <w:t xml:space="preserve">here were comparatively few </w:t>
      </w:r>
      <w:r w:rsidR="00FA653F" w:rsidRPr="000936BA">
        <w:t xml:space="preserve">demographic </w:t>
      </w:r>
      <w:r w:rsidR="00F4257C" w:rsidRPr="000936BA">
        <w:t>differences.</w:t>
      </w:r>
      <w:r w:rsidR="00F4257C" w:rsidRPr="000936BA">
        <w:rPr>
          <w:b/>
        </w:rPr>
        <w:t xml:space="preserve"> </w:t>
      </w:r>
      <w:r w:rsidR="00FA653F" w:rsidRPr="000936BA">
        <w:t>We</w:t>
      </w:r>
      <w:r w:rsidR="00F4257C" w:rsidRPr="000936BA">
        <w:t xml:space="preserve"> note that while teachers c</w:t>
      </w:r>
      <w:r w:rsidR="005663AE" w:rsidRPr="000936BA">
        <w:t>a</w:t>
      </w:r>
      <w:r w:rsidR="00F4257C" w:rsidRPr="000936BA">
        <w:t xml:space="preserve">me from a range of backgrounds, their ABC and STEM experiences </w:t>
      </w:r>
      <w:r w:rsidR="00FA653F" w:rsidRPr="000936BA">
        <w:t>we</w:t>
      </w:r>
      <w:r w:rsidR="00F4257C" w:rsidRPr="000936BA">
        <w:t xml:space="preserve">re relatively homogeneous. School type showed few differences and most teachers strongly agreed that resource boxes engaged their students. Science and </w:t>
      </w:r>
      <w:r w:rsidR="00FA653F" w:rsidRPr="000936BA">
        <w:t>m</w:t>
      </w:r>
      <w:r w:rsidR="00F4257C" w:rsidRPr="000936BA">
        <w:t xml:space="preserve">athematics teachers showed a slight tendency towards more conservative views regarding STEM inclusion and school examination results. Teachers with </w:t>
      </w:r>
      <w:r w:rsidR="00FA653F" w:rsidRPr="000936BA">
        <w:t>e</w:t>
      </w:r>
      <w:r w:rsidR="00F4257C" w:rsidRPr="000936BA">
        <w:t>ngineering experience</w:t>
      </w:r>
      <w:r w:rsidR="00FA653F" w:rsidRPr="000936BA">
        <w:t xml:space="preserve"> showed high</w:t>
      </w:r>
      <w:r w:rsidR="007355FA" w:rsidRPr="000936BA">
        <w:t>est</w:t>
      </w:r>
      <w:r w:rsidR="00FA653F" w:rsidRPr="000936BA">
        <w:t xml:space="preserve"> STEM efficacy levels</w:t>
      </w:r>
      <w:r w:rsidR="00F4257C" w:rsidRPr="000936BA">
        <w:t xml:space="preserve"> although they were less certain that ABC improve</w:t>
      </w:r>
      <w:r w:rsidR="00D7046A">
        <w:t>d</w:t>
      </w:r>
      <w:r w:rsidR="00F4257C" w:rsidRPr="000936BA">
        <w:t xml:space="preserve"> pedagogic confidence. No differences were found for length of teaching experience nor whether they received school support for ABC participation.</w:t>
      </w:r>
    </w:p>
    <w:p w14:paraId="122F6FD6" w14:textId="0A6298CD" w:rsidR="00F4257C" w:rsidRPr="000936BA" w:rsidRDefault="00AD081B" w:rsidP="00B6268A">
      <w:pPr>
        <w:spacing w:before="120" w:line="480" w:lineRule="auto"/>
      </w:pPr>
      <w:r w:rsidRPr="00ED0D2E">
        <w:rPr>
          <w:bCs/>
          <w:i/>
          <w:iCs/>
        </w:rPr>
        <w:t xml:space="preserve">3. </w:t>
      </w:r>
      <w:r w:rsidR="009D6F48" w:rsidRPr="00ED0D2E">
        <w:rPr>
          <w:bCs/>
          <w:i/>
          <w:iCs/>
        </w:rPr>
        <w:t>TCs 2018</w:t>
      </w:r>
      <w:r w:rsidR="00AA5413" w:rsidRPr="00ED0D2E">
        <w:rPr>
          <w:bCs/>
          <w:i/>
          <w:iCs/>
        </w:rPr>
        <w:t xml:space="preserve"> (2</w:t>
      </w:r>
      <w:r w:rsidR="00AA5413" w:rsidRPr="00ED0D2E">
        <w:rPr>
          <w:bCs/>
          <w:i/>
          <w:iCs/>
          <w:vertAlign w:val="superscript"/>
        </w:rPr>
        <w:t>nd</w:t>
      </w:r>
      <w:r w:rsidR="00AA5413" w:rsidRPr="00ED0D2E">
        <w:rPr>
          <w:bCs/>
          <w:i/>
          <w:iCs/>
        </w:rPr>
        <w:t xml:space="preserve"> cohort)</w:t>
      </w:r>
      <w:r w:rsidR="009D6F48" w:rsidRPr="00ED0D2E">
        <w:rPr>
          <w:bCs/>
          <w:i/>
          <w:iCs/>
        </w:rPr>
        <w:t>:</w:t>
      </w:r>
      <w:r w:rsidR="009D6F48" w:rsidRPr="000936BA">
        <w:rPr>
          <w:bCs/>
        </w:rPr>
        <w:t xml:space="preserve"> </w:t>
      </w:r>
      <w:r w:rsidR="00F4257C" w:rsidRPr="000936BA">
        <w:rPr>
          <w:bCs/>
        </w:rPr>
        <w:t xml:space="preserve">Again, a high proportion of the TCs </w:t>
      </w:r>
      <w:r w:rsidR="00E4763E" w:rsidRPr="000936BA">
        <w:rPr>
          <w:bCs/>
        </w:rPr>
        <w:t>(44</w:t>
      </w:r>
      <w:r w:rsidR="00E4763E" w:rsidRPr="000936BA">
        <w:t xml:space="preserve"> of 46 TCs or 95.6%) r</w:t>
      </w:r>
      <w:r w:rsidR="00F4257C" w:rsidRPr="000936BA">
        <w:rPr>
          <w:bCs/>
        </w:rPr>
        <w:t>espon</w:t>
      </w:r>
      <w:r w:rsidR="00D62222" w:rsidRPr="000936BA">
        <w:rPr>
          <w:bCs/>
        </w:rPr>
        <w:t>d</w:t>
      </w:r>
      <w:r w:rsidR="00F4257C" w:rsidRPr="000936BA">
        <w:rPr>
          <w:bCs/>
        </w:rPr>
        <w:t>e</w:t>
      </w:r>
      <w:r w:rsidR="00FE7803" w:rsidRPr="000936BA">
        <w:rPr>
          <w:bCs/>
        </w:rPr>
        <w:t>d</w:t>
      </w:r>
      <w:r w:rsidR="00FF326C">
        <w:rPr>
          <w:bCs/>
        </w:rPr>
        <w:t xml:space="preserve"> to this shortened</w:t>
      </w:r>
      <w:r w:rsidR="00F4257C" w:rsidRPr="000936BA">
        <w:t xml:space="preserve"> questionnaire.</w:t>
      </w:r>
      <w:r w:rsidR="00F920B7" w:rsidRPr="000936BA">
        <w:t xml:space="preserve"> </w:t>
      </w:r>
      <w:r w:rsidR="00F4257C" w:rsidRPr="000936BA">
        <w:t>TC age, type of institution</w:t>
      </w:r>
      <w:r w:rsidR="00E4763E" w:rsidRPr="000936BA">
        <w:t>,</w:t>
      </w:r>
      <w:r w:rsidR="00F4257C" w:rsidRPr="000936BA">
        <w:t xml:space="preserve"> </w:t>
      </w:r>
      <w:r w:rsidR="00BB2199" w:rsidRPr="000936BA">
        <w:t xml:space="preserve">and </w:t>
      </w:r>
      <w:r w:rsidR="00F4257C" w:rsidRPr="000936BA">
        <w:t>undergraduate</w:t>
      </w:r>
      <w:r w:rsidR="00BB2199" w:rsidRPr="000936BA">
        <w:t>/</w:t>
      </w:r>
      <w:r w:rsidR="00F4257C" w:rsidRPr="000936BA">
        <w:t>post-graduate degrees (aside from teaching qualification) were excluded</w:t>
      </w:r>
      <w:r w:rsidR="00BB2199" w:rsidRPr="000936BA">
        <w:t xml:space="preserve"> as</w:t>
      </w:r>
      <w:r w:rsidR="00F920B7" w:rsidRPr="000936BA">
        <w:t xml:space="preserve"> t</w:t>
      </w:r>
      <w:r w:rsidR="00F4257C" w:rsidRPr="000936BA">
        <w:t xml:space="preserve">hese </w:t>
      </w:r>
      <w:r w:rsidR="00E1355A" w:rsidRPr="000936BA">
        <w:t xml:space="preserve">provided </w:t>
      </w:r>
      <w:r w:rsidR="00F4257C" w:rsidRPr="000936BA">
        <w:t>little information of value for the first cohort.</w:t>
      </w:r>
      <w:r w:rsidR="00F920B7" w:rsidRPr="000936BA">
        <w:t xml:space="preserve"> </w:t>
      </w:r>
      <w:r w:rsidR="00F4257C" w:rsidRPr="000936BA">
        <w:t>Demographically, 2</w:t>
      </w:r>
      <w:r w:rsidR="00F4257C" w:rsidRPr="000936BA">
        <w:rPr>
          <w:vertAlign w:val="superscript"/>
        </w:rPr>
        <w:t>nd</w:t>
      </w:r>
      <w:r w:rsidR="00F4257C" w:rsidRPr="000936BA">
        <w:t xml:space="preserve"> cohort </w:t>
      </w:r>
      <w:r w:rsidR="00FF326C">
        <w:t xml:space="preserve">TCs </w:t>
      </w:r>
      <w:r w:rsidR="00F4257C" w:rsidRPr="000936BA">
        <w:t xml:space="preserve">were </w:t>
      </w:r>
      <w:proofErr w:type="gramStart"/>
      <w:r w:rsidR="005663AE" w:rsidRPr="000936BA">
        <w:t>similar to</w:t>
      </w:r>
      <w:proofErr w:type="gramEnd"/>
      <w:r w:rsidR="005663AE" w:rsidRPr="000936BA">
        <w:t xml:space="preserve"> </w:t>
      </w:r>
      <w:r w:rsidR="00F4257C" w:rsidRPr="000936BA">
        <w:t>the 1</w:t>
      </w:r>
      <w:r w:rsidR="00F4257C" w:rsidRPr="000936BA">
        <w:rPr>
          <w:vertAlign w:val="superscript"/>
        </w:rPr>
        <w:t>st</w:t>
      </w:r>
      <w:r w:rsidR="00F4257C" w:rsidRPr="000936BA">
        <w:t xml:space="preserve"> cohort. Most TCs had been recruited directly into the TC role.</w:t>
      </w:r>
    </w:p>
    <w:p w14:paraId="40E20E2E" w14:textId="2CEFADC2" w:rsidR="00F4257C" w:rsidRPr="000936BA" w:rsidRDefault="00F920B7" w:rsidP="00B6268A">
      <w:pPr>
        <w:spacing w:line="480" w:lineRule="auto"/>
      </w:pPr>
      <w:r w:rsidRPr="000936BA">
        <w:rPr>
          <w:bCs/>
          <w:i/>
          <w:iCs/>
        </w:rPr>
        <w:t xml:space="preserve">3.a. </w:t>
      </w:r>
      <w:r w:rsidR="001205AD" w:rsidRPr="000936BA">
        <w:rPr>
          <w:bCs/>
          <w:i/>
          <w:iCs/>
        </w:rPr>
        <w:t>I</w:t>
      </w:r>
      <w:r w:rsidR="00F4257C" w:rsidRPr="000936BA">
        <w:rPr>
          <w:bCs/>
          <w:i/>
          <w:iCs/>
        </w:rPr>
        <w:t xml:space="preserve">nvolvement </w:t>
      </w:r>
      <w:r w:rsidR="0093020A" w:rsidRPr="000936BA">
        <w:rPr>
          <w:bCs/>
          <w:i/>
          <w:iCs/>
        </w:rPr>
        <w:t>in</w:t>
      </w:r>
      <w:r w:rsidR="00F4257C" w:rsidRPr="000936BA">
        <w:rPr>
          <w:bCs/>
          <w:i/>
          <w:iCs/>
        </w:rPr>
        <w:t xml:space="preserve"> AB</w:t>
      </w:r>
      <w:r w:rsidR="0093020A" w:rsidRPr="000936BA">
        <w:rPr>
          <w:bCs/>
          <w:i/>
          <w:iCs/>
        </w:rPr>
        <w:t>C</w:t>
      </w:r>
      <w:r w:rsidR="00F4257C" w:rsidRPr="000936BA">
        <w:rPr>
          <w:bCs/>
          <w:i/>
          <w:iCs/>
        </w:rPr>
        <w:t>:</w:t>
      </w:r>
      <w:r w:rsidR="00F4257C" w:rsidRPr="000936BA">
        <w:t xml:space="preserve"> </w:t>
      </w:r>
      <w:r w:rsidR="001205AD" w:rsidRPr="000936BA">
        <w:t>P</w:t>
      </w:r>
      <w:r w:rsidR="00F4257C" w:rsidRPr="000936BA">
        <w:t xml:space="preserve">rincipal reasons for involvement were </w:t>
      </w:r>
      <w:proofErr w:type="gramStart"/>
      <w:r w:rsidR="00E97011">
        <w:t>similar to</w:t>
      </w:r>
      <w:proofErr w:type="gramEnd"/>
      <w:r w:rsidR="00E97011">
        <w:t xml:space="preserve"> the 1</w:t>
      </w:r>
      <w:r w:rsidR="00E97011" w:rsidRPr="00ED0D2E">
        <w:rPr>
          <w:vertAlign w:val="superscript"/>
        </w:rPr>
        <w:t>st</w:t>
      </w:r>
      <w:r w:rsidR="00E97011">
        <w:t xml:space="preserve"> cohort. T</w:t>
      </w:r>
      <w:r w:rsidR="00F4257C" w:rsidRPr="000936BA">
        <w:t>he same</w:t>
      </w:r>
      <w:r w:rsidR="00352E3B" w:rsidRPr="000936BA">
        <w:t xml:space="preserve"> </w:t>
      </w:r>
      <w:r w:rsidR="001205AD" w:rsidRPr="000936BA">
        <w:t>factor</w:t>
      </w:r>
      <w:r w:rsidR="00F4257C" w:rsidRPr="000936BA">
        <w:t xml:space="preserve"> </w:t>
      </w:r>
      <w:r w:rsidR="00E97011">
        <w:t xml:space="preserve">(‘STEM in school’) </w:t>
      </w:r>
      <w:r w:rsidR="00F4257C" w:rsidRPr="000936BA">
        <w:t>w</w:t>
      </w:r>
      <w:r w:rsidR="00895C97" w:rsidRPr="000936BA">
        <w:t>as</w:t>
      </w:r>
      <w:r w:rsidR="00F4257C" w:rsidRPr="000936BA">
        <w:t xml:space="preserve"> </w:t>
      </w:r>
      <w:r w:rsidR="006F33EB" w:rsidRPr="000936BA">
        <w:t>used</w:t>
      </w:r>
      <w:r w:rsidR="001205AD" w:rsidRPr="000936BA">
        <w:t xml:space="preserve"> for</w:t>
      </w:r>
      <w:r w:rsidR="006F33EB" w:rsidRPr="000936BA">
        <w:t xml:space="preserve"> demographic</w:t>
      </w:r>
      <w:r w:rsidR="00F4257C" w:rsidRPr="000936BA">
        <w:t xml:space="preserve"> compar</w:t>
      </w:r>
      <w:r w:rsidR="008A03BB" w:rsidRPr="000936BA">
        <w:t>isons</w:t>
      </w:r>
      <w:r w:rsidR="00E97011">
        <w:t xml:space="preserve"> and</w:t>
      </w:r>
      <w:r w:rsidR="00711E39">
        <w:t xml:space="preserve"> no</w:t>
      </w:r>
      <w:r w:rsidR="00F4257C" w:rsidRPr="000936BA">
        <w:t xml:space="preserve"> di</w:t>
      </w:r>
      <w:r w:rsidR="005E637C" w:rsidRPr="000936BA">
        <w:t>fference</w:t>
      </w:r>
      <w:r w:rsidR="00F4257C" w:rsidRPr="000936BA">
        <w:t>s</w:t>
      </w:r>
      <w:r w:rsidR="00711E39">
        <w:t xml:space="preserve"> were identified</w:t>
      </w:r>
      <w:r w:rsidR="00F4257C" w:rsidRPr="000936BA">
        <w:t xml:space="preserve"> between the cohorts.</w:t>
      </w:r>
    </w:p>
    <w:p w14:paraId="24277B7F" w14:textId="20D761A6" w:rsidR="00F4257C" w:rsidRPr="000936BA" w:rsidRDefault="00F920B7" w:rsidP="00B6268A">
      <w:pPr>
        <w:spacing w:line="480" w:lineRule="auto"/>
      </w:pPr>
      <w:r w:rsidRPr="000936BA">
        <w:rPr>
          <w:bCs/>
          <w:i/>
          <w:iCs/>
        </w:rPr>
        <w:t xml:space="preserve">3.b. </w:t>
      </w:r>
      <w:r w:rsidR="001205AD" w:rsidRPr="000936BA">
        <w:rPr>
          <w:bCs/>
          <w:i/>
          <w:iCs/>
        </w:rPr>
        <w:t xml:space="preserve">TC </w:t>
      </w:r>
      <w:r w:rsidR="00F4257C" w:rsidRPr="000936BA">
        <w:rPr>
          <w:bCs/>
          <w:i/>
          <w:iCs/>
        </w:rPr>
        <w:t>Roles</w:t>
      </w:r>
      <w:r w:rsidR="001205AD" w:rsidRPr="000936BA">
        <w:rPr>
          <w:bCs/>
          <w:i/>
          <w:iCs/>
        </w:rPr>
        <w:t>/</w:t>
      </w:r>
      <w:r w:rsidR="00F4257C" w:rsidRPr="000936BA">
        <w:rPr>
          <w:bCs/>
          <w:i/>
          <w:iCs/>
        </w:rPr>
        <w:t>responsibilities:</w:t>
      </w:r>
      <w:r w:rsidR="00F4257C" w:rsidRPr="000936BA">
        <w:t xml:space="preserve"> </w:t>
      </w:r>
      <w:r w:rsidR="005E637C" w:rsidRPr="000936BA">
        <w:t>Item</w:t>
      </w:r>
      <w:r w:rsidR="00F4257C" w:rsidRPr="000936BA">
        <w:t>s for the 2</w:t>
      </w:r>
      <w:r w:rsidR="00F4257C" w:rsidRPr="000936BA">
        <w:rPr>
          <w:vertAlign w:val="superscript"/>
        </w:rPr>
        <w:t>nd</w:t>
      </w:r>
      <w:r w:rsidR="00F4257C" w:rsidRPr="000936BA">
        <w:t xml:space="preserve"> cohort were reduced from 14 to 10. TCs showed the strongest levels of agreement </w:t>
      </w:r>
      <w:r w:rsidR="00581CD4" w:rsidRPr="000936BA">
        <w:t>regarding</w:t>
      </w:r>
      <w:r w:rsidR="008A1BDB" w:rsidRPr="000936BA">
        <w:t xml:space="preserve"> </w:t>
      </w:r>
      <w:r w:rsidR="00F4257C" w:rsidRPr="000936BA">
        <w:t>reflect</w:t>
      </w:r>
      <w:r w:rsidR="004B3F43" w:rsidRPr="000936BA">
        <w:t>ion (2.l.),</w:t>
      </w:r>
      <w:r w:rsidR="00F4257C" w:rsidRPr="000936BA">
        <w:t xml:space="preserve"> confidence</w:t>
      </w:r>
      <w:r w:rsidR="004B3F43" w:rsidRPr="000936BA">
        <w:t xml:space="preserve"> (2.h.),</w:t>
      </w:r>
      <w:r w:rsidR="008A1BDB" w:rsidRPr="000936BA">
        <w:t xml:space="preserve"> </w:t>
      </w:r>
      <w:r w:rsidR="008A1BDB" w:rsidRPr="000936BA">
        <w:lastRenderedPageBreak/>
        <w:t>resources</w:t>
      </w:r>
      <w:r w:rsidR="004B3F43" w:rsidRPr="000936BA">
        <w:t xml:space="preserve"> (2.a.)</w:t>
      </w:r>
      <w:r w:rsidR="00F4257C" w:rsidRPr="000936BA">
        <w:t xml:space="preserve">, </w:t>
      </w:r>
      <w:r w:rsidR="008A1BDB" w:rsidRPr="000936BA">
        <w:t xml:space="preserve">and </w:t>
      </w:r>
      <w:r w:rsidR="004B3F43" w:rsidRPr="000936BA">
        <w:t>c</w:t>
      </w:r>
      <w:r w:rsidR="00F4257C" w:rsidRPr="000936BA">
        <w:t>ommunity</w:t>
      </w:r>
      <w:r w:rsidR="004B3F43" w:rsidRPr="000936BA">
        <w:t xml:space="preserve"> (2.i.)</w:t>
      </w:r>
      <w:r w:rsidR="00F4257C" w:rsidRPr="000936BA">
        <w:t>. They di</w:t>
      </w:r>
      <w:r w:rsidR="008A1BDB" w:rsidRPr="000936BA">
        <w:t>d not see their role as facilitating</w:t>
      </w:r>
      <w:r w:rsidR="00F4257C" w:rsidRPr="000936BA">
        <w:t xml:space="preserve"> </w:t>
      </w:r>
      <w:r w:rsidR="008A1BDB" w:rsidRPr="000936BA">
        <w:t>network</w:t>
      </w:r>
      <w:r w:rsidR="00F4257C" w:rsidRPr="000936BA">
        <w:t xml:space="preserve"> communicat</w:t>
      </w:r>
      <w:r w:rsidR="008A1BDB" w:rsidRPr="000936BA">
        <w:t>ion</w:t>
      </w:r>
      <w:r w:rsidR="00F4257C" w:rsidRPr="000936BA">
        <w:t xml:space="preserve"> </w:t>
      </w:r>
      <w:r w:rsidR="004B3F43" w:rsidRPr="000936BA">
        <w:t xml:space="preserve">(2.n.) </w:t>
      </w:r>
      <w:r w:rsidR="005E637C" w:rsidRPr="000936BA">
        <w:t>n</w:t>
      </w:r>
      <w:r w:rsidR="004B3F43" w:rsidRPr="000936BA">
        <w:t>or</w:t>
      </w:r>
      <w:r w:rsidR="00F4257C" w:rsidRPr="000936BA">
        <w:t xml:space="preserve"> mentor</w:t>
      </w:r>
      <w:r w:rsidR="004B3F43" w:rsidRPr="000936BA">
        <w:t>i</w:t>
      </w:r>
      <w:r w:rsidR="008A1BDB" w:rsidRPr="000936BA">
        <w:t>ng</w:t>
      </w:r>
      <w:r w:rsidR="004B3F43" w:rsidRPr="000936BA">
        <w:t xml:space="preserve"> (2.m.)</w:t>
      </w:r>
      <w:r w:rsidR="00F4257C" w:rsidRPr="000936BA">
        <w:t xml:space="preserve">. Hence, </w:t>
      </w:r>
      <w:r w:rsidR="00E8105A" w:rsidRPr="000936BA">
        <w:t>TCs</w:t>
      </w:r>
      <w:r w:rsidR="00F4257C" w:rsidRPr="000936BA">
        <w:t xml:space="preserve"> idealise</w:t>
      </w:r>
      <w:r w:rsidR="00E8105A" w:rsidRPr="000936BA">
        <w:t>d</w:t>
      </w:r>
      <w:r w:rsidR="00F4257C" w:rsidRPr="000936BA">
        <w:t xml:space="preserve"> a ‘learning community’ but did not </w:t>
      </w:r>
      <w:r w:rsidR="00E4763E" w:rsidRPr="000936BA">
        <w:t>appear</w:t>
      </w:r>
      <w:r w:rsidR="00F4257C" w:rsidRPr="000936BA">
        <w:t xml:space="preserve"> to engage in the groundwork that may establish</w:t>
      </w:r>
      <w:r w:rsidR="008A1BDB" w:rsidRPr="000936BA">
        <w:t>/</w:t>
      </w:r>
      <w:r w:rsidR="00F4257C" w:rsidRPr="000936BA">
        <w:t>support this learning community.</w:t>
      </w:r>
      <w:r w:rsidR="00AA50A2" w:rsidRPr="000936BA">
        <w:t xml:space="preserve"> </w:t>
      </w:r>
      <w:r w:rsidR="00581CD4" w:rsidRPr="000936BA">
        <w:t>A</w:t>
      </w:r>
      <w:r w:rsidR="00966D37" w:rsidRPr="000936BA">
        <w:t xml:space="preserve"> new EFA</w:t>
      </w:r>
      <w:r w:rsidR="007B0914" w:rsidRPr="000936BA">
        <w:t xml:space="preserve"> identif</w:t>
      </w:r>
      <w:r w:rsidR="00D16CCD">
        <w:t>ied</w:t>
      </w:r>
      <w:r w:rsidR="007B0914" w:rsidRPr="000936BA">
        <w:t xml:space="preserve"> one factor:</w:t>
      </w:r>
      <w:r w:rsidR="00F4257C" w:rsidRPr="000936BA">
        <w:t xml:space="preserve"> ‘STEM </w:t>
      </w:r>
      <w:r w:rsidR="00581CD4" w:rsidRPr="000936BA">
        <w:t>p</w:t>
      </w:r>
      <w:r w:rsidR="00F4257C" w:rsidRPr="000936BA">
        <w:t xml:space="preserve">edagogic </w:t>
      </w:r>
      <w:r w:rsidR="00581CD4" w:rsidRPr="000936BA">
        <w:t>c</w:t>
      </w:r>
      <w:r w:rsidR="00F4257C" w:rsidRPr="000936BA">
        <w:t xml:space="preserve">oordination’ </w:t>
      </w:r>
      <w:r w:rsidR="005E637C" w:rsidRPr="000936BA">
        <w:t>included all</w:t>
      </w:r>
      <w:r w:rsidR="00BB5489" w:rsidRPr="000936BA">
        <w:t xml:space="preserve"> items</w:t>
      </w:r>
      <w:r w:rsidR="008A1BDB" w:rsidRPr="000936BA">
        <w:t xml:space="preserve"> (2.a.,c.,f.,h.-n.)</w:t>
      </w:r>
      <w:r w:rsidR="007E3991" w:rsidRPr="000936BA">
        <w:t>. T</w:t>
      </w:r>
      <w:r w:rsidR="00F4257C" w:rsidRPr="000936BA">
        <w:t xml:space="preserve">here were no </w:t>
      </w:r>
      <w:r w:rsidR="005663AE" w:rsidRPr="000936BA">
        <w:t>statistically</w:t>
      </w:r>
      <w:r w:rsidR="008A1BDB" w:rsidRPr="000936BA">
        <w:rPr>
          <w:b/>
        </w:rPr>
        <w:t xml:space="preserve"> </w:t>
      </w:r>
      <w:r w:rsidR="00F4257C" w:rsidRPr="000936BA">
        <w:t xml:space="preserve">significant </w:t>
      </w:r>
      <w:r w:rsidR="007E3991" w:rsidRPr="000936BA">
        <w:t xml:space="preserve">demographic </w:t>
      </w:r>
      <w:r w:rsidR="00F4257C" w:rsidRPr="000936BA">
        <w:t>differences</w:t>
      </w:r>
      <w:r w:rsidR="00711E39">
        <w:t>; b</w:t>
      </w:r>
      <w:r w:rsidR="00F4257C" w:rsidRPr="000936BA">
        <w:t>oth TC</w:t>
      </w:r>
      <w:r w:rsidR="000106D4" w:rsidRPr="000936BA">
        <w:t xml:space="preserve"> cohort</w:t>
      </w:r>
      <w:r w:rsidR="00F4257C" w:rsidRPr="000936BA">
        <w:t>s align</w:t>
      </w:r>
      <w:r w:rsidR="000106D4" w:rsidRPr="000936BA">
        <w:t>ed</w:t>
      </w:r>
      <w:r w:rsidR="00F4257C" w:rsidRPr="000936BA">
        <w:t xml:space="preserve"> themselves with the values of </w:t>
      </w:r>
      <w:r w:rsidR="00B60037" w:rsidRPr="000936BA">
        <w:t>ABC</w:t>
      </w:r>
      <w:r w:rsidR="00F4257C" w:rsidRPr="000936BA">
        <w:t xml:space="preserve"> while lacking </w:t>
      </w:r>
      <w:r w:rsidR="005E637C" w:rsidRPr="000936BA">
        <w:t>time/capacity</w:t>
      </w:r>
      <w:r w:rsidR="00D62222" w:rsidRPr="000936BA">
        <w:t xml:space="preserve"> to support teachers in </w:t>
      </w:r>
      <w:r w:rsidR="005E637C" w:rsidRPr="000936BA">
        <w:t>developing</w:t>
      </w:r>
      <w:r w:rsidR="00D62222" w:rsidRPr="000936BA">
        <w:t xml:space="preserve"> pedagogies</w:t>
      </w:r>
      <w:r w:rsidR="00F4257C" w:rsidRPr="000936BA">
        <w:t xml:space="preserve"> </w:t>
      </w:r>
      <w:r w:rsidR="00AA50A2" w:rsidRPr="000936BA">
        <w:t>with</w:t>
      </w:r>
      <w:r w:rsidR="00F4257C" w:rsidRPr="000936BA">
        <w:t>in their networks.</w:t>
      </w:r>
    </w:p>
    <w:p w14:paraId="19B97987" w14:textId="6D296D04" w:rsidR="00F4257C" w:rsidRPr="000936BA" w:rsidRDefault="00AA50A2" w:rsidP="00B6268A">
      <w:pPr>
        <w:spacing w:line="480" w:lineRule="auto"/>
      </w:pPr>
      <w:r w:rsidRPr="000936BA">
        <w:rPr>
          <w:bCs/>
          <w:i/>
          <w:iCs/>
        </w:rPr>
        <w:t xml:space="preserve">3.c. </w:t>
      </w:r>
      <w:r w:rsidR="00F4257C" w:rsidRPr="000936BA">
        <w:rPr>
          <w:bCs/>
          <w:i/>
          <w:iCs/>
        </w:rPr>
        <w:t>Experience</w:t>
      </w:r>
      <w:r w:rsidR="00581CD4" w:rsidRPr="000936BA">
        <w:rPr>
          <w:bCs/>
          <w:i/>
          <w:iCs/>
        </w:rPr>
        <w:t xml:space="preserve"> of</w:t>
      </w:r>
      <w:r w:rsidR="00F4257C" w:rsidRPr="000936BA">
        <w:rPr>
          <w:bCs/>
          <w:i/>
          <w:iCs/>
        </w:rPr>
        <w:t xml:space="preserve"> ABC: </w:t>
      </w:r>
      <w:r w:rsidR="00F4257C" w:rsidRPr="000936BA">
        <w:rPr>
          <w:bCs/>
        </w:rPr>
        <w:t>2</w:t>
      </w:r>
      <w:r w:rsidR="00F4257C" w:rsidRPr="000936BA">
        <w:rPr>
          <w:bCs/>
          <w:vertAlign w:val="superscript"/>
        </w:rPr>
        <w:t>nd</w:t>
      </w:r>
      <w:r w:rsidR="00F4257C" w:rsidRPr="000936BA">
        <w:rPr>
          <w:bCs/>
        </w:rPr>
        <w:t xml:space="preserve"> cohort</w:t>
      </w:r>
      <w:r w:rsidR="00581CD4" w:rsidRPr="000936BA">
        <w:rPr>
          <w:bCs/>
        </w:rPr>
        <w:t xml:space="preserve"> </w:t>
      </w:r>
      <w:r w:rsidR="005E637C" w:rsidRPr="000936BA">
        <w:rPr>
          <w:bCs/>
        </w:rPr>
        <w:t>item</w:t>
      </w:r>
      <w:r w:rsidR="00581CD4" w:rsidRPr="000936BA">
        <w:rPr>
          <w:bCs/>
        </w:rPr>
        <w:t>s</w:t>
      </w:r>
      <w:r w:rsidR="00F4257C" w:rsidRPr="000936BA">
        <w:rPr>
          <w:bCs/>
        </w:rPr>
        <w:t xml:space="preserve"> were reduced from 10 to 7</w:t>
      </w:r>
      <w:r w:rsidR="00F4257C" w:rsidRPr="000936BA">
        <w:t xml:space="preserve">. Strongest TC agreements </w:t>
      </w:r>
      <w:r w:rsidR="00C1103F" w:rsidRPr="000936BA">
        <w:t>identified</w:t>
      </w:r>
      <w:r w:rsidR="00591AEE" w:rsidRPr="000936BA">
        <w:t xml:space="preserve"> </w:t>
      </w:r>
      <w:r w:rsidR="00F4257C" w:rsidRPr="000936BA">
        <w:t>enjoy</w:t>
      </w:r>
      <w:r w:rsidR="00591AEE" w:rsidRPr="000936BA">
        <w:t>ing</w:t>
      </w:r>
      <w:r w:rsidR="00F4257C" w:rsidRPr="000936BA">
        <w:t xml:space="preserve"> work with</w:t>
      </w:r>
      <w:r w:rsidR="00591AEE" w:rsidRPr="000936BA">
        <w:t xml:space="preserve"> t</w:t>
      </w:r>
      <w:r w:rsidR="00F4257C" w:rsidRPr="000936BA">
        <w:t>eachers</w:t>
      </w:r>
      <w:r w:rsidR="00C1103F" w:rsidRPr="000936BA">
        <w:t xml:space="preserve"> (3.i.)</w:t>
      </w:r>
      <w:r w:rsidR="00F4257C" w:rsidRPr="000936BA">
        <w:t xml:space="preserve"> and be</w:t>
      </w:r>
      <w:r w:rsidR="00591AEE" w:rsidRPr="000936BA">
        <w:t>ing</w:t>
      </w:r>
      <w:r w:rsidR="00F4257C" w:rsidRPr="000936BA">
        <w:t xml:space="preserve"> a good teacher</w:t>
      </w:r>
      <w:r w:rsidR="00C1103F" w:rsidRPr="000936BA">
        <w:t xml:space="preserve"> (3.a.)</w:t>
      </w:r>
      <w:r w:rsidR="00F4257C" w:rsidRPr="000936BA">
        <w:t>. T</w:t>
      </w:r>
      <w:r w:rsidR="00581CD4" w:rsidRPr="000936BA">
        <w:t>Cs</w:t>
      </w:r>
      <w:r w:rsidR="00F4257C" w:rsidRPr="000936BA">
        <w:t xml:space="preserve"> </w:t>
      </w:r>
      <w:r w:rsidR="00C1103F" w:rsidRPr="000936BA">
        <w:t xml:space="preserve">were </w:t>
      </w:r>
      <w:r w:rsidR="00F4257C" w:rsidRPr="000936BA">
        <w:t>neutral regard</w:t>
      </w:r>
      <w:r w:rsidR="00591AEE" w:rsidRPr="000936BA">
        <w:t>ing</w:t>
      </w:r>
      <w:r w:rsidR="00F4257C" w:rsidRPr="000936BA">
        <w:t xml:space="preserve"> positive </w:t>
      </w:r>
      <w:r w:rsidR="00591AEE" w:rsidRPr="000936BA">
        <w:t xml:space="preserve">network </w:t>
      </w:r>
      <w:r w:rsidR="00F4257C" w:rsidRPr="000936BA">
        <w:t>relationships</w:t>
      </w:r>
      <w:r w:rsidR="00C1103F" w:rsidRPr="000936BA">
        <w:t xml:space="preserve"> (3.b.)</w:t>
      </w:r>
      <w:r w:rsidR="00F4257C" w:rsidRPr="000936BA">
        <w:t>, meetin</w:t>
      </w:r>
      <w:r w:rsidR="00591AEE" w:rsidRPr="000936BA">
        <w:t>gs</w:t>
      </w:r>
      <w:r w:rsidR="00C1103F" w:rsidRPr="000936BA">
        <w:t xml:space="preserve"> (3.g.)</w:t>
      </w:r>
      <w:r w:rsidR="00F4257C" w:rsidRPr="000936BA">
        <w:t xml:space="preserve"> and local industries</w:t>
      </w:r>
      <w:r w:rsidR="00C1103F" w:rsidRPr="000936BA">
        <w:t xml:space="preserve"> (3.j.)</w:t>
      </w:r>
      <w:r w:rsidR="00F4257C" w:rsidRPr="000936BA">
        <w:t xml:space="preserve">. </w:t>
      </w:r>
      <w:r w:rsidR="005E637C" w:rsidRPr="000936BA">
        <w:t>O</w:t>
      </w:r>
      <w:r w:rsidR="0040521B" w:rsidRPr="000936BA">
        <w:t>ne</w:t>
      </w:r>
      <w:r w:rsidR="00F4257C" w:rsidRPr="000936BA">
        <w:t xml:space="preserve"> factor</w:t>
      </w:r>
      <w:r w:rsidR="005E637C" w:rsidRPr="000936BA">
        <w:t xml:space="preserve"> was identified:</w:t>
      </w:r>
      <w:r w:rsidR="00F4257C" w:rsidRPr="000936BA">
        <w:t xml:space="preserve"> ‘Organisational problems’</w:t>
      </w:r>
      <w:r w:rsidR="004E3461" w:rsidRPr="000936BA">
        <w:t xml:space="preserve">, </w:t>
      </w:r>
      <w:proofErr w:type="gramStart"/>
      <w:r w:rsidR="00711E39">
        <w:t>similar to</w:t>
      </w:r>
      <w:proofErr w:type="gramEnd"/>
      <w:r w:rsidR="004E3461" w:rsidRPr="000936BA">
        <w:t xml:space="preserve"> the</w:t>
      </w:r>
      <w:r w:rsidR="00F4257C" w:rsidRPr="000936BA">
        <w:t xml:space="preserve"> 1</w:t>
      </w:r>
      <w:r w:rsidR="00F4257C" w:rsidRPr="000936BA">
        <w:rPr>
          <w:vertAlign w:val="superscript"/>
        </w:rPr>
        <w:t>st</w:t>
      </w:r>
      <w:r w:rsidR="00F4257C" w:rsidRPr="000936BA">
        <w:t xml:space="preserve"> cohort. </w:t>
      </w:r>
      <w:r w:rsidR="00591AEE" w:rsidRPr="000936BA">
        <w:t>O</w:t>
      </w:r>
      <w:r w:rsidR="00F4257C" w:rsidRPr="000936BA">
        <w:t xml:space="preserve">ne </w:t>
      </w:r>
      <w:r w:rsidR="00591AEE" w:rsidRPr="000936BA">
        <w:t>statistical</w:t>
      </w:r>
      <w:r w:rsidR="005E637C" w:rsidRPr="000936BA">
        <w:t>ly significant</w:t>
      </w:r>
      <w:r w:rsidR="00591AEE" w:rsidRPr="000936BA">
        <w:t xml:space="preserve"> </w:t>
      </w:r>
      <w:r w:rsidR="00F4257C" w:rsidRPr="000936BA">
        <w:t>demographic difference</w:t>
      </w:r>
      <w:r w:rsidR="008F78B6" w:rsidRPr="000936BA">
        <w:t xml:space="preserve"> found</w:t>
      </w:r>
      <w:r w:rsidR="00F4257C" w:rsidRPr="000936BA">
        <w:t xml:space="preserve"> femal</w:t>
      </w:r>
      <w:r w:rsidR="008F78B6" w:rsidRPr="000936BA">
        <w:t>e</w:t>
      </w:r>
      <w:r w:rsidR="00F4257C" w:rsidRPr="000936BA">
        <w:t xml:space="preserve">s </w:t>
      </w:r>
      <w:r w:rsidR="00CF7B37">
        <w:t>more likely to</w:t>
      </w:r>
      <w:r w:rsidR="00F4257C" w:rsidRPr="000936BA">
        <w:t xml:space="preserve"> disagree</w:t>
      </w:r>
      <w:r w:rsidR="00CF7B37">
        <w:t xml:space="preserve"> </w:t>
      </w:r>
      <w:r w:rsidR="00F4257C" w:rsidRPr="000936BA">
        <w:t xml:space="preserve">than males. </w:t>
      </w:r>
      <w:r w:rsidR="00711E39">
        <w:t>T</w:t>
      </w:r>
      <w:r w:rsidR="00F4257C" w:rsidRPr="000936BA">
        <w:t xml:space="preserve">he relative lack of </w:t>
      </w:r>
      <w:r w:rsidR="00BC6268" w:rsidRPr="000936BA">
        <w:t xml:space="preserve">demographic </w:t>
      </w:r>
      <w:r w:rsidR="00F4257C" w:rsidRPr="000936BA">
        <w:t>differences further reinforced concerns about organising of network meetings</w:t>
      </w:r>
      <w:r w:rsidR="00591AEE" w:rsidRPr="000936BA">
        <w:t>, promoting relationships among network members,</w:t>
      </w:r>
      <w:r w:rsidR="00F4257C" w:rsidRPr="000936BA">
        <w:t xml:space="preserve"> and links to local employers.</w:t>
      </w:r>
    </w:p>
    <w:p w14:paraId="3CB8D2F8" w14:textId="60C87344" w:rsidR="00E47B2C" w:rsidRPr="000936BA" w:rsidRDefault="00AA50A2" w:rsidP="00B6268A">
      <w:pPr>
        <w:spacing w:line="480" w:lineRule="auto"/>
        <w:rPr>
          <w:bCs/>
          <w:i/>
          <w:iCs/>
        </w:rPr>
      </w:pPr>
      <w:r w:rsidRPr="000936BA">
        <w:rPr>
          <w:bCs/>
          <w:i/>
          <w:iCs/>
        </w:rPr>
        <w:t xml:space="preserve">3.d. </w:t>
      </w:r>
      <w:r w:rsidR="00F4257C" w:rsidRPr="000936BA">
        <w:rPr>
          <w:bCs/>
          <w:i/>
          <w:iCs/>
        </w:rPr>
        <w:t>Experience</w:t>
      </w:r>
      <w:r w:rsidR="00581CD4" w:rsidRPr="000936BA">
        <w:rPr>
          <w:bCs/>
          <w:i/>
          <w:iCs/>
        </w:rPr>
        <w:t xml:space="preserve"> of</w:t>
      </w:r>
      <w:r w:rsidR="00F4257C" w:rsidRPr="000936BA">
        <w:rPr>
          <w:bCs/>
          <w:i/>
          <w:iCs/>
        </w:rPr>
        <w:t xml:space="preserve"> STEM education:</w:t>
      </w:r>
      <w:r w:rsidR="00F4257C" w:rsidRPr="000936BA">
        <w:t xml:space="preserve"> </w:t>
      </w:r>
      <w:r w:rsidR="005E637C" w:rsidRPr="000936BA">
        <w:t>Item</w:t>
      </w:r>
      <w:r w:rsidR="0016295B" w:rsidRPr="000936BA">
        <w:t xml:space="preserve">s </w:t>
      </w:r>
      <w:r w:rsidR="00F4257C" w:rsidRPr="000936BA">
        <w:t>w</w:t>
      </w:r>
      <w:r w:rsidR="003433CC" w:rsidRPr="000936BA">
        <w:t>ere</w:t>
      </w:r>
      <w:r w:rsidR="00F4257C" w:rsidRPr="000936BA">
        <w:t xml:space="preserve"> reduced from 27 to 18</w:t>
      </w:r>
      <w:r w:rsidRPr="000936BA">
        <w:t>.</w:t>
      </w:r>
      <w:r w:rsidR="00F4257C" w:rsidRPr="000936BA">
        <w:t xml:space="preserve"> TCs </w:t>
      </w:r>
      <w:r w:rsidR="00C1103F" w:rsidRPr="000936BA">
        <w:t xml:space="preserve">strongly </w:t>
      </w:r>
      <w:r w:rsidR="00F4257C" w:rsidRPr="000936BA">
        <w:t>agreed</w:t>
      </w:r>
      <w:r w:rsidR="00C1103F" w:rsidRPr="000936BA">
        <w:t xml:space="preserve"> that </w:t>
      </w:r>
      <w:r w:rsidR="003433CC" w:rsidRPr="000936BA">
        <w:t>s</w:t>
      </w:r>
      <w:r w:rsidR="00F4257C" w:rsidRPr="000936BA">
        <w:t xml:space="preserve">tudents should work independently </w:t>
      </w:r>
      <w:r w:rsidR="00C1103F" w:rsidRPr="000936BA">
        <w:t>(4.v.)</w:t>
      </w:r>
      <w:r w:rsidR="00F4257C" w:rsidRPr="000936BA">
        <w:t>, develop</w:t>
      </w:r>
      <w:r w:rsidR="00C1103F" w:rsidRPr="000936BA">
        <w:t>ing</w:t>
      </w:r>
      <w:r w:rsidR="00F4257C" w:rsidRPr="000936BA">
        <w:t xml:space="preserve"> student’s interpersonal skills</w:t>
      </w:r>
      <w:r w:rsidR="00C1103F" w:rsidRPr="000936BA">
        <w:t xml:space="preserve"> (4.w.)</w:t>
      </w:r>
      <w:r w:rsidR="00F4257C" w:rsidRPr="000936BA">
        <w:t xml:space="preserve">, </w:t>
      </w:r>
      <w:r w:rsidR="00C1103F" w:rsidRPr="000936BA">
        <w:t xml:space="preserve">value of </w:t>
      </w:r>
      <w:r w:rsidR="007355FA" w:rsidRPr="000936BA">
        <w:t>extracurricular</w:t>
      </w:r>
      <w:r w:rsidR="00F4257C" w:rsidRPr="000936BA">
        <w:t xml:space="preserve"> </w:t>
      </w:r>
      <w:r w:rsidR="00C1103F" w:rsidRPr="000936BA">
        <w:t>(4.a.)</w:t>
      </w:r>
      <w:r w:rsidR="00F4257C" w:rsidRPr="000936BA">
        <w:t xml:space="preserve">, </w:t>
      </w:r>
      <w:r w:rsidR="008728F1" w:rsidRPr="000936BA">
        <w:t>real-world</w:t>
      </w:r>
      <w:r w:rsidR="00F4257C" w:rsidRPr="000936BA">
        <w:t xml:space="preserve"> applications</w:t>
      </w:r>
      <w:r w:rsidR="00B54012" w:rsidRPr="000936BA">
        <w:t xml:space="preserve"> </w:t>
      </w:r>
      <w:r w:rsidR="00C1103F" w:rsidRPr="000936BA">
        <w:t>(4.m.)</w:t>
      </w:r>
      <w:r w:rsidR="00F4257C" w:rsidRPr="000936BA">
        <w:t xml:space="preserve"> and </w:t>
      </w:r>
      <w:r w:rsidR="00756CF1" w:rsidRPr="000936BA">
        <w:t>p</w:t>
      </w:r>
      <w:r w:rsidR="00F4257C" w:rsidRPr="000936BA">
        <w:t>roblem</w:t>
      </w:r>
      <w:r w:rsidR="00756CF1" w:rsidRPr="000936BA">
        <w:t>/</w:t>
      </w:r>
      <w:r w:rsidR="00F4257C" w:rsidRPr="000936BA">
        <w:t>project</w:t>
      </w:r>
      <w:r w:rsidR="00756CF1" w:rsidRPr="000936BA">
        <w:t>-</w:t>
      </w:r>
      <w:r w:rsidR="00F4257C" w:rsidRPr="000936BA">
        <w:t xml:space="preserve">based learning </w:t>
      </w:r>
      <w:r w:rsidR="00C1103F" w:rsidRPr="000936BA">
        <w:t>(4.l.)</w:t>
      </w:r>
      <w:r w:rsidR="00F4257C" w:rsidRPr="000936BA">
        <w:t>. They also showed strong pedagogic disagreement with</w:t>
      </w:r>
      <w:r w:rsidR="00C1103F" w:rsidRPr="000936BA">
        <w:t xml:space="preserve"> </w:t>
      </w:r>
      <w:r w:rsidR="00F4257C" w:rsidRPr="000936BA">
        <w:t>fixed</w:t>
      </w:r>
      <w:r w:rsidR="00C1103F" w:rsidRPr="000936BA">
        <w:t xml:space="preserve"> student abilities (4.k.)</w:t>
      </w:r>
      <w:r w:rsidR="00F4257C" w:rsidRPr="000936BA">
        <w:t xml:space="preserve">, STEM </w:t>
      </w:r>
      <w:r w:rsidR="00E01E74" w:rsidRPr="000936BA">
        <w:t>discipline</w:t>
      </w:r>
      <w:r w:rsidR="00F4257C" w:rsidRPr="000936BA">
        <w:t>s</w:t>
      </w:r>
      <w:r w:rsidR="00C1103F" w:rsidRPr="000936BA">
        <w:t xml:space="preserve"> for high-achievers (4.</w:t>
      </w:r>
      <w:r w:rsidR="006C137C" w:rsidRPr="000936BA">
        <w:t>n.)</w:t>
      </w:r>
      <w:r w:rsidR="00F4257C" w:rsidRPr="000936BA">
        <w:t>, single</w:t>
      </w:r>
      <w:r w:rsidR="00581CD4" w:rsidRPr="000936BA">
        <w:t>-</w:t>
      </w:r>
      <w:r w:rsidR="00F4257C" w:rsidRPr="000936BA">
        <w:t>sex groups</w:t>
      </w:r>
      <w:r w:rsidR="006C137C" w:rsidRPr="000936BA">
        <w:t xml:space="preserve"> (4.t.)</w:t>
      </w:r>
      <w:r w:rsidR="00F4257C" w:rsidRPr="000936BA">
        <w:t>, students mess</w:t>
      </w:r>
      <w:r w:rsidR="006C137C" w:rsidRPr="000936BA">
        <w:t>ing</w:t>
      </w:r>
      <w:r w:rsidR="00F4257C" w:rsidRPr="000936BA">
        <w:t xml:space="preserve"> about</w:t>
      </w:r>
      <w:r w:rsidR="006C137C" w:rsidRPr="000936BA">
        <w:t xml:space="preserve"> (4.c.)</w:t>
      </w:r>
      <w:r w:rsidR="00F4257C" w:rsidRPr="000936BA">
        <w:t xml:space="preserve"> and </w:t>
      </w:r>
      <w:r w:rsidR="006C137C" w:rsidRPr="000936BA">
        <w:t>the</w:t>
      </w:r>
      <w:r w:rsidR="00F4257C" w:rsidRPr="000936BA">
        <w:t xml:space="preserve"> importan</w:t>
      </w:r>
      <w:r w:rsidR="006C137C" w:rsidRPr="000936BA">
        <w:t>ce of</w:t>
      </w:r>
      <w:r w:rsidR="00F4257C" w:rsidRPr="000936BA">
        <w:t xml:space="preserve"> </w:t>
      </w:r>
      <w:r w:rsidR="00837108" w:rsidRPr="000936BA">
        <w:t>science/mathematics</w:t>
      </w:r>
      <w:r w:rsidR="00F4257C" w:rsidRPr="000936BA">
        <w:t xml:space="preserve"> fundamentals</w:t>
      </w:r>
      <w:r w:rsidR="006C137C" w:rsidRPr="000936BA">
        <w:t xml:space="preserve"> (4.z.)</w:t>
      </w:r>
      <w:r w:rsidR="00F4257C" w:rsidRPr="000936BA">
        <w:t xml:space="preserve">. </w:t>
      </w:r>
      <w:r w:rsidR="005E637C" w:rsidRPr="000936BA">
        <w:t>Two</w:t>
      </w:r>
      <w:r w:rsidR="00F4257C" w:rsidRPr="000936BA">
        <w:t xml:space="preserve"> factors</w:t>
      </w:r>
      <w:r w:rsidR="005E637C" w:rsidRPr="000936BA">
        <w:t xml:space="preserve"> were identified</w:t>
      </w:r>
      <w:r w:rsidR="00F4257C" w:rsidRPr="000936BA">
        <w:t>: the mainly negative</w:t>
      </w:r>
      <w:r w:rsidR="006A7D7C" w:rsidRPr="000936BA">
        <w:t>ly-worded,</w:t>
      </w:r>
      <w:r w:rsidR="00F4257C" w:rsidRPr="000936BA">
        <w:t xml:space="preserve"> inclusion-oriented ‘Student STEM success’</w:t>
      </w:r>
      <w:r w:rsidR="00B0717D" w:rsidRPr="000936BA">
        <w:t xml:space="preserve"> </w:t>
      </w:r>
      <w:r w:rsidR="00F4257C" w:rsidRPr="000936BA">
        <w:t>(</w:t>
      </w:r>
      <w:r w:rsidR="006C137C" w:rsidRPr="000936BA">
        <w:t>4.c.,d.,g.,k.,n.,p.,t.,z.,aa.</w:t>
      </w:r>
      <w:r w:rsidR="00F4257C" w:rsidRPr="000936BA">
        <w:t>);</w:t>
      </w:r>
      <w:r w:rsidR="00B110CF" w:rsidRPr="000936BA">
        <w:t xml:space="preserve"> and</w:t>
      </w:r>
      <w:r w:rsidR="00F4257C" w:rsidRPr="000936BA">
        <w:t xml:space="preserve"> ‘Pedagogy within STEM’ (</w:t>
      </w:r>
      <w:r w:rsidR="006C137C" w:rsidRPr="000936BA">
        <w:t>4.l.,m.,</w:t>
      </w:r>
      <w:r w:rsidR="00193497" w:rsidRPr="000936BA">
        <w:t>p.,r.,v.,w.</w:t>
      </w:r>
      <w:r w:rsidR="00F4257C" w:rsidRPr="000936BA">
        <w:t xml:space="preserve">). There were no </w:t>
      </w:r>
      <w:r w:rsidR="00E47B2C" w:rsidRPr="000936BA">
        <w:t xml:space="preserve">statistically </w:t>
      </w:r>
      <w:r w:rsidR="00F4257C" w:rsidRPr="000936BA">
        <w:t xml:space="preserve">significant demographic differences found for </w:t>
      </w:r>
      <w:r w:rsidR="00D93408" w:rsidRPr="000936BA">
        <w:t>either</w:t>
      </w:r>
      <w:r w:rsidR="00F4257C" w:rsidRPr="000936BA">
        <w:t xml:space="preserve"> factor, and results were very similar to the 1</w:t>
      </w:r>
      <w:r w:rsidR="00F4257C" w:rsidRPr="000936BA">
        <w:rPr>
          <w:vertAlign w:val="superscript"/>
        </w:rPr>
        <w:t>st</w:t>
      </w:r>
      <w:r w:rsidR="00F4257C" w:rsidRPr="000936BA">
        <w:t xml:space="preserve"> cohort.</w:t>
      </w:r>
    </w:p>
    <w:p w14:paraId="40FE7B63" w14:textId="6948143B" w:rsidR="00F4257C" w:rsidRPr="000936BA" w:rsidRDefault="00AA50A2" w:rsidP="00B6268A">
      <w:pPr>
        <w:spacing w:line="480" w:lineRule="auto"/>
      </w:pPr>
      <w:r w:rsidRPr="000936BA">
        <w:rPr>
          <w:bCs/>
          <w:i/>
          <w:iCs/>
        </w:rPr>
        <w:lastRenderedPageBreak/>
        <w:t xml:space="preserve">3.e. </w:t>
      </w:r>
      <w:r w:rsidR="00581CD4" w:rsidRPr="000936BA">
        <w:rPr>
          <w:bCs/>
          <w:i/>
          <w:iCs/>
        </w:rPr>
        <w:t>P</w:t>
      </w:r>
      <w:r w:rsidR="00F4257C" w:rsidRPr="000936BA">
        <w:rPr>
          <w:bCs/>
          <w:i/>
          <w:iCs/>
        </w:rPr>
        <w:t>articipation in ABC activities:</w:t>
      </w:r>
      <w:r w:rsidR="00F4257C" w:rsidRPr="000936BA">
        <w:t xml:space="preserve"> </w:t>
      </w:r>
      <w:r w:rsidR="006A7D7C" w:rsidRPr="000936BA">
        <w:t>Item</w:t>
      </w:r>
      <w:r w:rsidR="00CE7F91" w:rsidRPr="000936BA">
        <w:t>s</w:t>
      </w:r>
      <w:r w:rsidR="00F4257C" w:rsidRPr="000936BA">
        <w:t xml:space="preserve"> w</w:t>
      </w:r>
      <w:r w:rsidR="00CE7F91" w:rsidRPr="000936BA">
        <w:t>ere</w:t>
      </w:r>
      <w:r w:rsidR="00F4257C" w:rsidRPr="000936BA">
        <w:t xml:space="preserve"> reduced from 11 to 7, and results showed a wide variation in engagement. Some TCs reported themselves as undertaking activities more than 10 times in the year. One-third of TCs never contacted other TCs to discuss networks; 21% undertook no work in school to help their network teachers; 19% had not contacted local STEM industry/employers; and 24% did not check with their teachers to ascertain/help/support networking within their group. </w:t>
      </w:r>
      <w:r w:rsidR="006A7D7C" w:rsidRPr="000936BA">
        <w:t>O</w:t>
      </w:r>
      <w:r w:rsidR="00F4257C" w:rsidRPr="000936BA">
        <w:t xml:space="preserve">ne factor </w:t>
      </w:r>
      <w:r w:rsidR="006A7D7C" w:rsidRPr="000936BA">
        <w:t xml:space="preserve">was identified </w:t>
      </w:r>
      <w:r w:rsidR="00F4257C" w:rsidRPr="000936BA">
        <w:t>that contained all items, ‘General ABC activity level’</w:t>
      </w:r>
      <w:r w:rsidR="00193497" w:rsidRPr="000936BA">
        <w:t xml:space="preserve"> (5.a.,b.,c.,f.,j.,k.,l.)</w:t>
      </w:r>
      <w:r w:rsidR="00F4257C" w:rsidRPr="000936BA">
        <w:t xml:space="preserve">. </w:t>
      </w:r>
      <w:r w:rsidR="00C8305B" w:rsidRPr="000936BA">
        <w:t>One</w:t>
      </w:r>
      <w:r w:rsidR="00290C8C" w:rsidRPr="000936BA">
        <w:t xml:space="preserve"> statistically </w:t>
      </w:r>
      <w:r w:rsidR="00C8305B" w:rsidRPr="000936BA">
        <w:t xml:space="preserve">significant </w:t>
      </w:r>
      <w:r w:rsidR="00F4257C" w:rsidRPr="000936BA">
        <w:t>demographic difference</w:t>
      </w:r>
      <w:r w:rsidR="00C8305B" w:rsidRPr="000936BA">
        <w:t xml:space="preserve"> found</w:t>
      </w:r>
      <w:r w:rsidR="00F4257C" w:rsidRPr="000936BA">
        <w:t xml:space="preserve"> experienced TCs more likely to engage in the </w:t>
      </w:r>
      <w:r w:rsidR="006A7D7C" w:rsidRPr="000936BA">
        <w:t xml:space="preserve">more </w:t>
      </w:r>
      <w:r w:rsidR="00F4257C" w:rsidRPr="000936BA">
        <w:t xml:space="preserve">activities; </w:t>
      </w:r>
      <w:r w:rsidR="006A7D7C" w:rsidRPr="000936BA">
        <w:t>this was</w:t>
      </w:r>
      <w:r w:rsidR="00F4257C" w:rsidRPr="000936BA">
        <w:t xml:space="preserve"> </w:t>
      </w:r>
      <w:r w:rsidR="00183B3E" w:rsidRPr="000936BA">
        <w:t>like</w:t>
      </w:r>
      <w:r w:rsidR="00290C8C" w:rsidRPr="000936BA">
        <w:t xml:space="preserve"> </w:t>
      </w:r>
      <w:r w:rsidR="00F4257C" w:rsidRPr="000936BA">
        <w:t>the 1</w:t>
      </w:r>
      <w:r w:rsidR="00F4257C" w:rsidRPr="000936BA">
        <w:rPr>
          <w:vertAlign w:val="superscript"/>
        </w:rPr>
        <w:t>st</w:t>
      </w:r>
      <w:r w:rsidR="00F4257C" w:rsidRPr="000936BA">
        <w:t xml:space="preserve"> cohort.</w:t>
      </w:r>
    </w:p>
    <w:p w14:paraId="3BC0EE4E" w14:textId="5E24334F" w:rsidR="00F4257C" w:rsidRPr="000936BA" w:rsidRDefault="0061267F" w:rsidP="00B6268A">
      <w:pPr>
        <w:spacing w:line="480" w:lineRule="auto"/>
      </w:pPr>
      <w:r w:rsidRPr="000936BA">
        <w:rPr>
          <w:bCs/>
          <w:i/>
          <w:iCs/>
        </w:rPr>
        <w:t xml:space="preserve">3.f. </w:t>
      </w:r>
      <w:r w:rsidR="007A2591" w:rsidRPr="000936BA">
        <w:rPr>
          <w:bCs/>
          <w:i/>
          <w:iCs/>
        </w:rPr>
        <w:t>Confidence/competence in promoting STEM and Engineering</w:t>
      </w:r>
      <w:r w:rsidR="00F4257C" w:rsidRPr="000936BA">
        <w:rPr>
          <w:bCs/>
          <w:i/>
          <w:iCs/>
        </w:rPr>
        <w:t>:</w:t>
      </w:r>
      <w:r w:rsidR="00F4257C" w:rsidRPr="000936BA">
        <w:t xml:space="preserve"> </w:t>
      </w:r>
      <w:r w:rsidR="006A7D7C" w:rsidRPr="000936BA">
        <w:t>Item</w:t>
      </w:r>
      <w:r w:rsidR="00601C32" w:rsidRPr="000936BA">
        <w:t>s</w:t>
      </w:r>
      <w:r w:rsidR="00F4257C" w:rsidRPr="000936BA">
        <w:t xml:space="preserve"> w</w:t>
      </w:r>
      <w:r w:rsidR="00601C32" w:rsidRPr="000936BA">
        <w:t>ere</w:t>
      </w:r>
      <w:r w:rsidR="00F4257C" w:rsidRPr="000936BA">
        <w:t xml:space="preserve"> reduced from 2</w:t>
      </w:r>
      <w:r w:rsidR="00193497" w:rsidRPr="000936BA">
        <w:t>0</w:t>
      </w:r>
      <w:r w:rsidR="00F4257C" w:rsidRPr="000936BA">
        <w:t xml:space="preserve"> to 11, and the competence scale was reduced from 11</w:t>
      </w:r>
      <w:r w:rsidR="00CF7B37">
        <w:t>-</w:t>
      </w:r>
      <w:r w:rsidR="00F4257C" w:rsidRPr="000936BA">
        <w:t xml:space="preserve"> to 5</w:t>
      </w:r>
      <w:r w:rsidR="00CF7B37">
        <w:t>-</w:t>
      </w:r>
      <w:r w:rsidR="00F4257C" w:rsidRPr="000936BA">
        <w:t>poin</w:t>
      </w:r>
      <w:r w:rsidR="00F33EFC" w:rsidRPr="000936BA">
        <w:t>ts</w:t>
      </w:r>
      <w:r w:rsidR="00F4257C" w:rsidRPr="000936BA">
        <w:t xml:space="preserve">. TCs showed very high confidence levels for all questions, in the range of 70% </w:t>
      </w:r>
      <w:r w:rsidR="00711E39">
        <w:t>to</w:t>
      </w:r>
      <w:r w:rsidR="00F4257C" w:rsidRPr="000936BA">
        <w:t xml:space="preserve"> &gt;90%</w:t>
      </w:r>
      <w:r w:rsidR="00711E39">
        <w:t xml:space="preserve"> confidence</w:t>
      </w:r>
      <w:r w:rsidR="00F4257C" w:rsidRPr="000936BA">
        <w:t>, and no TC report</w:t>
      </w:r>
      <w:r w:rsidR="00581CD4" w:rsidRPr="000936BA">
        <w:t>ed</w:t>
      </w:r>
      <w:r w:rsidR="00F4257C" w:rsidRPr="000936BA">
        <w:t xml:space="preserve"> a confidence level lower than 50</w:t>
      </w:r>
      <w:r w:rsidR="008E7F43" w:rsidRPr="000936BA">
        <w:t>%.</w:t>
      </w:r>
      <w:r w:rsidRPr="000936BA">
        <w:t xml:space="preserve"> </w:t>
      </w:r>
      <w:r w:rsidR="00F33EFC" w:rsidRPr="000936BA">
        <w:t>T</w:t>
      </w:r>
      <w:r w:rsidR="00F4257C" w:rsidRPr="000936BA">
        <w:t>wo factors</w:t>
      </w:r>
      <w:r w:rsidR="00F33EFC" w:rsidRPr="000936BA">
        <w:t xml:space="preserve"> were identified</w:t>
      </w:r>
      <w:r w:rsidR="00F4257C" w:rsidRPr="000936BA">
        <w:t xml:space="preserve">: ‘Enhance ABC </w:t>
      </w:r>
      <w:r w:rsidR="00164E03" w:rsidRPr="000936BA">
        <w:t>p</w:t>
      </w:r>
      <w:r w:rsidR="00F4257C" w:rsidRPr="000936BA">
        <w:t>ractices’ (</w:t>
      </w:r>
      <w:r w:rsidR="00193497" w:rsidRPr="000936BA">
        <w:t>6.a.,c.,d.,e.,n.,t.</w:t>
      </w:r>
      <w:r w:rsidR="00F4257C" w:rsidRPr="000936BA">
        <w:t xml:space="preserve">); and ‘Engineering </w:t>
      </w:r>
      <w:r w:rsidR="00164E03" w:rsidRPr="000936BA">
        <w:t>c</w:t>
      </w:r>
      <w:r w:rsidR="00F4257C" w:rsidRPr="000936BA">
        <w:t>onfidence’ (</w:t>
      </w:r>
      <w:r w:rsidR="00193497" w:rsidRPr="000936BA">
        <w:t>6.</w:t>
      </w:r>
      <w:r w:rsidR="00FC08E5" w:rsidRPr="000936BA">
        <w:t>j.,k.,l.,p.,r.</w:t>
      </w:r>
      <w:r w:rsidR="00F4257C" w:rsidRPr="000936BA">
        <w:t>). S</w:t>
      </w:r>
      <w:r w:rsidR="00FC08E5" w:rsidRPr="000936BA">
        <w:t>tatistically s</w:t>
      </w:r>
      <w:r w:rsidR="00F4257C" w:rsidRPr="000936BA">
        <w:t xml:space="preserve">ignificant </w:t>
      </w:r>
      <w:r w:rsidR="00A11751" w:rsidRPr="000936BA">
        <w:t xml:space="preserve">demographic </w:t>
      </w:r>
      <w:r w:rsidR="00F4257C" w:rsidRPr="000936BA">
        <w:t>differences found: non-teaching TCs scored higher for ‘Enhanc</w:t>
      </w:r>
      <w:r w:rsidR="006A7D7C" w:rsidRPr="000936BA">
        <w:t>e</w:t>
      </w:r>
      <w:r w:rsidR="00F4257C" w:rsidRPr="000936BA">
        <w:t xml:space="preserve"> ABC </w:t>
      </w:r>
      <w:r w:rsidR="00164E03" w:rsidRPr="000936BA">
        <w:t>p</w:t>
      </w:r>
      <w:r w:rsidR="00F4257C" w:rsidRPr="000936BA">
        <w:t xml:space="preserve">ractice’; and male TCs </w:t>
      </w:r>
      <w:r w:rsidR="007826B6" w:rsidRPr="000936BA">
        <w:t>scored</w:t>
      </w:r>
      <w:r w:rsidR="00F4257C" w:rsidRPr="000936BA">
        <w:t xml:space="preserve"> significantly higher</w:t>
      </w:r>
      <w:r w:rsidR="00241610" w:rsidRPr="000936BA">
        <w:t xml:space="preserve"> for</w:t>
      </w:r>
      <w:r w:rsidR="00F4257C" w:rsidRPr="000936BA">
        <w:t xml:space="preserve"> ‘Engineering </w:t>
      </w:r>
      <w:r w:rsidR="00164E03" w:rsidRPr="000936BA">
        <w:t>c</w:t>
      </w:r>
      <w:r w:rsidR="00F4257C" w:rsidRPr="000936BA">
        <w:t xml:space="preserve">onfidence’ than females. </w:t>
      </w:r>
      <w:r w:rsidR="00840565" w:rsidRPr="000936BA">
        <w:t>N</w:t>
      </w:r>
      <w:r w:rsidR="00F4257C" w:rsidRPr="000936BA">
        <w:t xml:space="preserve">o direct comparisons </w:t>
      </w:r>
      <w:r w:rsidR="00840565" w:rsidRPr="000936BA">
        <w:t xml:space="preserve">could </w:t>
      </w:r>
      <w:r w:rsidR="00290C8C" w:rsidRPr="000936BA">
        <w:t xml:space="preserve">be made </w:t>
      </w:r>
      <w:r w:rsidR="00F4257C" w:rsidRPr="000936BA">
        <w:t>between the two cohorts</w:t>
      </w:r>
      <w:r w:rsidR="00897F08" w:rsidRPr="000936BA">
        <w:t>.</w:t>
      </w:r>
      <w:r w:rsidR="00F4257C" w:rsidRPr="000936BA">
        <w:t xml:space="preserve"> </w:t>
      </w:r>
      <w:r w:rsidR="00897F08" w:rsidRPr="000936BA">
        <w:t>W</w:t>
      </w:r>
      <w:r w:rsidR="00F4257C" w:rsidRPr="000936BA">
        <w:t>e may speculate that the intervening year allowed for greater homogeneity among TCs and more confidence-building throughout the year.</w:t>
      </w:r>
    </w:p>
    <w:p w14:paraId="7382F6E2" w14:textId="7108CD95" w:rsidR="00F4257C" w:rsidRPr="000936BA" w:rsidRDefault="0061267F" w:rsidP="00B6268A">
      <w:pPr>
        <w:spacing w:line="480" w:lineRule="auto"/>
        <w:rPr>
          <w:b/>
        </w:rPr>
      </w:pPr>
      <w:r w:rsidRPr="000936BA">
        <w:rPr>
          <w:bCs/>
          <w:i/>
          <w:iCs/>
        </w:rPr>
        <w:t xml:space="preserve">3.g. </w:t>
      </w:r>
      <w:r w:rsidR="00F4257C" w:rsidRPr="000936BA">
        <w:rPr>
          <w:bCs/>
          <w:i/>
          <w:iCs/>
        </w:rPr>
        <w:t xml:space="preserve">Impact of </w:t>
      </w:r>
      <w:r w:rsidRPr="000936BA">
        <w:rPr>
          <w:bCs/>
          <w:i/>
          <w:iCs/>
        </w:rPr>
        <w:t>ABC</w:t>
      </w:r>
      <w:r w:rsidR="00F4257C" w:rsidRPr="000936BA">
        <w:rPr>
          <w:bCs/>
          <w:i/>
          <w:iCs/>
        </w:rPr>
        <w:t>:</w:t>
      </w:r>
      <w:r w:rsidR="00F4257C" w:rsidRPr="000936BA">
        <w:t xml:space="preserve"> The original </w:t>
      </w:r>
      <w:r w:rsidR="00164E03" w:rsidRPr="000936BA">
        <w:t xml:space="preserve">9 </w:t>
      </w:r>
      <w:r w:rsidR="00F33EFC" w:rsidRPr="000936BA">
        <w:t>item</w:t>
      </w:r>
      <w:r w:rsidR="00F4257C" w:rsidRPr="000936BA">
        <w:t xml:space="preserve">s were reduced to </w:t>
      </w:r>
      <w:r w:rsidR="00164E03" w:rsidRPr="000936BA">
        <w:t>7</w:t>
      </w:r>
      <w:r w:rsidR="00F4257C" w:rsidRPr="000936BA">
        <w:t xml:space="preserve">. Responses to all questions showed high levels of agreement </w:t>
      </w:r>
      <w:r w:rsidR="00473FF0" w:rsidRPr="000936BA">
        <w:t>regarding</w:t>
      </w:r>
      <w:r w:rsidR="00F4257C" w:rsidRPr="000936BA">
        <w:t xml:space="preserve"> positive impact</w:t>
      </w:r>
      <w:r w:rsidR="00473FF0" w:rsidRPr="000936BA">
        <w:t>s</w:t>
      </w:r>
      <w:r w:rsidR="00F4257C" w:rsidRPr="000936BA">
        <w:t xml:space="preserve"> </w:t>
      </w:r>
      <w:r w:rsidR="00164E03" w:rsidRPr="000936BA">
        <w:t>of ABC</w:t>
      </w:r>
      <w:r w:rsidR="00FC08E5" w:rsidRPr="000936BA">
        <w:t xml:space="preserve"> (7.a.,b.,c.,e.,f.,g.,h.)</w:t>
      </w:r>
      <w:r w:rsidR="00F4257C" w:rsidRPr="000936BA">
        <w:t xml:space="preserve">. </w:t>
      </w:r>
      <w:r w:rsidR="00F33EFC" w:rsidRPr="000936BA">
        <w:t>O</w:t>
      </w:r>
      <w:r w:rsidR="00F4257C" w:rsidRPr="000936BA">
        <w:t>ne factor</w:t>
      </w:r>
      <w:r w:rsidR="00F33EFC" w:rsidRPr="000936BA">
        <w:t xml:space="preserve"> was identified</w:t>
      </w:r>
      <w:r w:rsidR="00373CD0" w:rsidRPr="000936BA">
        <w:t>: ‘Impa</w:t>
      </w:r>
      <w:r w:rsidR="00D436C3" w:rsidRPr="000936BA">
        <w:t>ct’</w:t>
      </w:r>
      <w:r w:rsidR="00F4257C" w:rsidRPr="000936BA">
        <w:t xml:space="preserve"> included all question items. </w:t>
      </w:r>
      <w:r w:rsidR="00290C8C" w:rsidRPr="000936BA">
        <w:t xml:space="preserve">Statistically </w:t>
      </w:r>
      <w:r w:rsidR="00FC08E5" w:rsidRPr="000936BA">
        <w:t>s</w:t>
      </w:r>
      <w:r w:rsidR="00F4257C" w:rsidRPr="000936BA">
        <w:t>ignificant demographic differences were found for</w:t>
      </w:r>
      <w:r w:rsidR="005B6060" w:rsidRPr="000936BA">
        <w:t>: t</w:t>
      </w:r>
      <w:r w:rsidR="00F4257C" w:rsidRPr="000936BA">
        <w:t xml:space="preserve">eaching qualification – with </w:t>
      </w:r>
      <w:r w:rsidR="005B6060" w:rsidRPr="000936BA">
        <w:t>c</w:t>
      </w:r>
      <w:r w:rsidR="00F4257C" w:rsidRPr="000936BA">
        <w:t xml:space="preserve">hemists having the highest level of agreement </w:t>
      </w:r>
      <w:r w:rsidR="00290C8C" w:rsidRPr="000936BA">
        <w:t xml:space="preserve">on </w:t>
      </w:r>
      <w:r w:rsidR="00F4257C" w:rsidRPr="000936BA">
        <w:t xml:space="preserve">impact. </w:t>
      </w:r>
      <w:r w:rsidR="00290C8C" w:rsidRPr="000936BA">
        <w:t xml:space="preserve">As with </w:t>
      </w:r>
      <w:r w:rsidR="00F4257C" w:rsidRPr="000936BA">
        <w:t>the 1</w:t>
      </w:r>
      <w:r w:rsidR="00F4257C" w:rsidRPr="000936BA">
        <w:rPr>
          <w:vertAlign w:val="superscript"/>
        </w:rPr>
        <w:t>st</w:t>
      </w:r>
      <w:r w:rsidR="00F4257C" w:rsidRPr="000936BA">
        <w:t xml:space="preserve"> cohort, there was strong agreement that ABC had a range of positive impacts on </w:t>
      </w:r>
      <w:r w:rsidR="00164E03" w:rsidRPr="000936BA">
        <w:t xml:space="preserve">students’ </w:t>
      </w:r>
      <w:r w:rsidR="00F4257C" w:rsidRPr="000936BA">
        <w:t>development.</w:t>
      </w:r>
    </w:p>
    <w:p w14:paraId="4A32D5ED" w14:textId="5789C002" w:rsidR="00290C8C" w:rsidRPr="000936BA" w:rsidRDefault="004371EB" w:rsidP="009C1B3E">
      <w:pPr>
        <w:spacing w:before="120" w:line="480" w:lineRule="auto"/>
        <w:rPr>
          <w:b/>
          <w:bCs/>
          <w:i/>
          <w:iCs/>
        </w:rPr>
      </w:pPr>
      <w:r w:rsidRPr="000936BA">
        <w:rPr>
          <w:i/>
          <w:iCs/>
        </w:rPr>
        <w:lastRenderedPageBreak/>
        <w:t>3</w:t>
      </w:r>
      <w:r w:rsidR="00951D72" w:rsidRPr="000936BA">
        <w:rPr>
          <w:i/>
          <w:iCs/>
        </w:rPr>
        <w:t xml:space="preserve">.h. </w:t>
      </w:r>
      <w:r w:rsidR="00BC2638" w:rsidRPr="000936BA">
        <w:rPr>
          <w:i/>
          <w:iCs/>
        </w:rPr>
        <w:t>Overview of TC responses:</w:t>
      </w:r>
      <w:r w:rsidR="00BC2638" w:rsidRPr="000936BA">
        <w:t xml:space="preserve"> </w:t>
      </w:r>
      <w:r w:rsidR="00F4257C" w:rsidRPr="000936BA">
        <w:t>Overall, TCs responses w</w:t>
      </w:r>
      <w:r w:rsidR="004378D5" w:rsidRPr="000936BA">
        <w:t>ere</w:t>
      </w:r>
      <w:r w:rsidR="00F4257C" w:rsidRPr="000936BA">
        <w:t xml:space="preserve"> positive. There were many similarities between the two cohorts</w:t>
      </w:r>
      <w:r w:rsidR="00290C8C" w:rsidRPr="000936BA">
        <w:t xml:space="preserve">, </w:t>
      </w:r>
      <w:r w:rsidR="00F4257C" w:rsidRPr="000936BA">
        <w:t xml:space="preserve">given the continuity of TC membership and stability in their views. </w:t>
      </w:r>
      <w:r w:rsidR="000E06C6" w:rsidRPr="000936BA">
        <w:t>V</w:t>
      </w:r>
      <w:r w:rsidR="00F4257C" w:rsidRPr="000936BA">
        <w:t xml:space="preserve">ariation amongst TCs </w:t>
      </w:r>
      <w:r w:rsidR="002A2A1C" w:rsidRPr="000936BA">
        <w:t>related to</w:t>
      </w:r>
      <w:r w:rsidR="00F4257C" w:rsidRPr="000936BA">
        <w:t xml:space="preserve"> engage</w:t>
      </w:r>
      <w:r w:rsidR="002A2A1C" w:rsidRPr="000936BA">
        <w:t>ment</w:t>
      </w:r>
      <w:r w:rsidR="00F4257C" w:rsidRPr="000936BA">
        <w:t xml:space="preserve"> in </w:t>
      </w:r>
      <w:r w:rsidR="002A2A1C" w:rsidRPr="000936BA">
        <w:t>ABC</w:t>
      </w:r>
      <w:r w:rsidR="00F4257C" w:rsidRPr="000936BA">
        <w:t xml:space="preserve"> activities and planning</w:t>
      </w:r>
      <w:r w:rsidR="003B14D6" w:rsidRPr="000936BA">
        <w:t>/</w:t>
      </w:r>
      <w:r w:rsidR="00F4257C" w:rsidRPr="000936BA">
        <w:t xml:space="preserve">support </w:t>
      </w:r>
      <w:r w:rsidR="00164E03" w:rsidRPr="000936BA">
        <w:t>for</w:t>
      </w:r>
      <w:r w:rsidR="00F4257C" w:rsidRPr="000936BA">
        <w:t xml:space="preserve"> networks as learning communities. </w:t>
      </w:r>
      <w:r w:rsidR="00A34098" w:rsidRPr="000936BA">
        <w:t>E</w:t>
      </w:r>
      <w:r w:rsidR="00F4257C" w:rsidRPr="000936BA">
        <w:t>xperienced TCs were more STEM confident a</w:t>
      </w:r>
      <w:r w:rsidR="003F187A" w:rsidRPr="000936BA">
        <w:t>nd</w:t>
      </w:r>
      <w:r w:rsidR="00F4257C" w:rsidRPr="000936BA">
        <w:t xml:space="preserve"> engaged with their networks</w:t>
      </w:r>
      <w:r w:rsidR="003F187A" w:rsidRPr="000936BA">
        <w:t>.</w:t>
      </w:r>
      <w:r w:rsidR="00F4257C" w:rsidRPr="000936BA">
        <w:t xml:space="preserve"> </w:t>
      </w:r>
      <w:r w:rsidR="00803E62" w:rsidRPr="000936BA">
        <w:t xml:space="preserve">Less experienced </w:t>
      </w:r>
      <w:r w:rsidR="00F4257C" w:rsidRPr="000936BA">
        <w:t>TCs lack</w:t>
      </w:r>
      <w:r w:rsidR="00803E62" w:rsidRPr="000936BA">
        <w:t xml:space="preserve">ed </w:t>
      </w:r>
      <w:r w:rsidR="00F4257C" w:rsidRPr="000936BA">
        <w:t>confidence</w:t>
      </w:r>
      <w:r w:rsidR="00430119" w:rsidRPr="000936BA">
        <w:t>/competence</w:t>
      </w:r>
      <w:r w:rsidR="00F4257C" w:rsidRPr="000936BA">
        <w:t xml:space="preserve"> </w:t>
      </w:r>
      <w:r w:rsidR="00803E62" w:rsidRPr="000936BA">
        <w:t xml:space="preserve">and </w:t>
      </w:r>
      <w:r w:rsidR="00F4257C" w:rsidRPr="000936BA">
        <w:t>engage</w:t>
      </w:r>
      <w:r w:rsidR="00D551B6" w:rsidRPr="000936BA">
        <w:t xml:space="preserve">d less </w:t>
      </w:r>
      <w:r w:rsidR="002B7CD8" w:rsidRPr="000936BA">
        <w:t>with</w:t>
      </w:r>
      <w:r w:rsidR="00F4257C" w:rsidRPr="000936BA">
        <w:t xml:space="preserve"> their networks.</w:t>
      </w:r>
    </w:p>
    <w:p w14:paraId="4F48ABB3" w14:textId="60CC49C6" w:rsidR="005941C6" w:rsidRPr="000936BA" w:rsidRDefault="0061267F" w:rsidP="00B6268A">
      <w:pPr>
        <w:spacing w:after="120" w:line="480" w:lineRule="auto"/>
      </w:pPr>
      <w:r w:rsidRPr="00ED0D2E">
        <w:rPr>
          <w:i/>
          <w:iCs/>
        </w:rPr>
        <w:t>4. Teachers 2018</w:t>
      </w:r>
      <w:r w:rsidR="00B8209E" w:rsidRPr="00ED0D2E">
        <w:rPr>
          <w:i/>
          <w:iCs/>
        </w:rPr>
        <w:t>, 2</w:t>
      </w:r>
      <w:r w:rsidR="00B8209E" w:rsidRPr="00ED0D2E">
        <w:rPr>
          <w:i/>
          <w:iCs/>
          <w:vertAlign w:val="superscript"/>
        </w:rPr>
        <w:t>nd</w:t>
      </w:r>
      <w:r w:rsidR="00B8209E" w:rsidRPr="00ED0D2E">
        <w:rPr>
          <w:i/>
          <w:iCs/>
        </w:rPr>
        <w:t xml:space="preserve"> cohort</w:t>
      </w:r>
      <w:r w:rsidRPr="00ED0D2E">
        <w:rPr>
          <w:i/>
          <w:iCs/>
        </w:rPr>
        <w:t>:</w:t>
      </w:r>
      <w:r w:rsidRPr="000936BA">
        <w:t xml:space="preserve"> </w:t>
      </w:r>
      <w:r w:rsidR="00F33EFC" w:rsidRPr="000936BA">
        <w:t>For t</w:t>
      </w:r>
      <w:r w:rsidR="005941C6" w:rsidRPr="000936BA">
        <w:t>he 2</w:t>
      </w:r>
      <w:r w:rsidR="005941C6" w:rsidRPr="000936BA">
        <w:rPr>
          <w:vertAlign w:val="superscript"/>
        </w:rPr>
        <w:t>nd</w:t>
      </w:r>
      <w:r w:rsidR="005941C6" w:rsidRPr="000936BA">
        <w:t xml:space="preserve"> teacher cohort </w:t>
      </w:r>
      <w:r w:rsidR="00F33EFC" w:rsidRPr="000936BA">
        <w:t>the number of question items were reduced but the</w:t>
      </w:r>
      <w:r w:rsidR="00F4257C" w:rsidRPr="000936BA">
        <w:t xml:space="preserve"> same grouping</w:t>
      </w:r>
      <w:r w:rsidR="005941C6" w:rsidRPr="000936BA">
        <w:t>s</w:t>
      </w:r>
      <w:r w:rsidR="00F4257C" w:rsidRPr="000936BA">
        <w:t xml:space="preserve"> </w:t>
      </w:r>
      <w:r w:rsidR="00DA779E" w:rsidRPr="000936BA">
        <w:t>were retained</w:t>
      </w:r>
      <w:r w:rsidR="00F4257C" w:rsidRPr="000936BA">
        <w:t>.</w:t>
      </w:r>
      <w:r w:rsidR="00732550" w:rsidRPr="000936BA">
        <w:t xml:space="preserve"> A</w:t>
      </w:r>
      <w:r w:rsidR="00F4257C" w:rsidRPr="000936BA">
        <w:t xml:space="preserve"> limited number of teachers completed the questionnaire</w:t>
      </w:r>
      <w:r w:rsidR="00F33EFC" w:rsidRPr="000936BA">
        <w:t xml:space="preserve"> (25%</w:t>
      </w:r>
      <w:r w:rsidR="008A3237" w:rsidRPr="000936BA">
        <w:t xml:space="preserve"> response rate</w:t>
      </w:r>
      <w:r w:rsidR="00F33EFC" w:rsidRPr="000936BA">
        <w:t xml:space="preserve">, </w:t>
      </w:r>
      <w:r w:rsidR="00783293" w:rsidRPr="000936BA">
        <w:t>n= 142</w:t>
      </w:r>
      <w:r w:rsidR="008A3237" w:rsidRPr="000936BA">
        <w:t xml:space="preserve">) </w:t>
      </w:r>
      <w:r w:rsidR="00F4257C" w:rsidRPr="000936BA">
        <w:t>.</w:t>
      </w:r>
      <w:r w:rsidR="0008217A" w:rsidRPr="000936BA">
        <w:t xml:space="preserve"> </w:t>
      </w:r>
      <w:r w:rsidR="00F90BC9" w:rsidRPr="000936BA">
        <w:t>The sample included</w:t>
      </w:r>
      <w:r w:rsidR="00F4257C" w:rsidRPr="000936BA">
        <w:t xml:space="preserve"> teachers </w:t>
      </w:r>
      <w:r w:rsidR="00F90BC9" w:rsidRPr="000936BA">
        <w:t xml:space="preserve">who </w:t>
      </w:r>
      <w:r w:rsidR="00F4257C" w:rsidRPr="000936BA">
        <w:t xml:space="preserve">worked with most of the TCs, although over half of these responses were from teachers who worked with just six of the TCs. </w:t>
      </w:r>
      <w:r w:rsidR="00F4257C" w:rsidRPr="000936BA">
        <w:rPr>
          <w:bCs/>
        </w:rPr>
        <w:t>When compared to the 1</w:t>
      </w:r>
      <w:r w:rsidR="00F4257C" w:rsidRPr="000936BA">
        <w:rPr>
          <w:bCs/>
          <w:vertAlign w:val="superscript"/>
        </w:rPr>
        <w:t>st</w:t>
      </w:r>
      <w:r w:rsidR="00F4257C" w:rsidRPr="000936BA">
        <w:rPr>
          <w:bCs/>
        </w:rPr>
        <w:t xml:space="preserve"> cohort, there </w:t>
      </w:r>
      <w:r w:rsidR="00732550" w:rsidRPr="000936BA">
        <w:rPr>
          <w:bCs/>
        </w:rPr>
        <w:t>wa</w:t>
      </w:r>
      <w:r w:rsidR="00F4257C" w:rsidRPr="000936BA">
        <w:rPr>
          <w:bCs/>
        </w:rPr>
        <w:t>s a</w:t>
      </w:r>
      <w:r w:rsidR="00DA779E" w:rsidRPr="000936BA">
        <w:rPr>
          <w:bCs/>
        </w:rPr>
        <w:t xml:space="preserve"> higher proportion</w:t>
      </w:r>
      <w:r w:rsidR="00F4257C" w:rsidRPr="000936BA">
        <w:rPr>
          <w:bCs/>
        </w:rPr>
        <w:t xml:space="preserve"> of teachers with a general </w:t>
      </w:r>
      <w:r w:rsidR="00732550" w:rsidRPr="000936BA">
        <w:rPr>
          <w:bCs/>
        </w:rPr>
        <w:t>e</w:t>
      </w:r>
      <w:r w:rsidR="00F4257C" w:rsidRPr="000936BA">
        <w:rPr>
          <w:bCs/>
        </w:rPr>
        <w:t xml:space="preserve">ducation qualification and </w:t>
      </w:r>
      <w:r w:rsidR="00290C8C" w:rsidRPr="000936BA">
        <w:rPr>
          <w:bCs/>
        </w:rPr>
        <w:t xml:space="preserve">a </w:t>
      </w:r>
      <w:r w:rsidR="00F4257C" w:rsidRPr="000936BA">
        <w:rPr>
          <w:bCs/>
        </w:rPr>
        <w:t>lower proportion with qualifications in Biology, Chemistry, Physics and Engineering.</w:t>
      </w:r>
      <w:r w:rsidR="00F4257C" w:rsidRPr="000936BA">
        <w:t xml:space="preserve"> 39.7% </w:t>
      </w:r>
      <w:r w:rsidR="00DA779E" w:rsidRPr="000936BA">
        <w:t xml:space="preserve">of these teachers </w:t>
      </w:r>
      <w:r w:rsidR="00F4257C" w:rsidRPr="000936BA">
        <w:t xml:space="preserve">were new to </w:t>
      </w:r>
      <w:r w:rsidR="00DA779E" w:rsidRPr="000936BA">
        <w:t>ABC</w:t>
      </w:r>
      <w:r w:rsidR="00F4257C" w:rsidRPr="000936BA">
        <w:t>.</w:t>
      </w:r>
    </w:p>
    <w:p w14:paraId="04C934AA" w14:textId="47DFAE46" w:rsidR="00F4257C" w:rsidRPr="000936BA" w:rsidRDefault="005941C6" w:rsidP="00B6268A">
      <w:pPr>
        <w:spacing w:after="120" w:line="480" w:lineRule="auto"/>
      </w:pPr>
      <w:r w:rsidRPr="000936BA">
        <w:rPr>
          <w:bCs/>
          <w:i/>
          <w:iCs/>
        </w:rPr>
        <w:t xml:space="preserve">4.a. </w:t>
      </w:r>
      <w:r w:rsidR="00732550" w:rsidRPr="000936BA">
        <w:rPr>
          <w:bCs/>
          <w:i/>
          <w:iCs/>
        </w:rPr>
        <w:t>J</w:t>
      </w:r>
      <w:r w:rsidR="00F4257C" w:rsidRPr="000936BA">
        <w:rPr>
          <w:bCs/>
          <w:i/>
          <w:iCs/>
        </w:rPr>
        <w:t>oinin</w:t>
      </w:r>
      <w:r w:rsidR="00DA779E" w:rsidRPr="000936BA">
        <w:rPr>
          <w:bCs/>
          <w:i/>
          <w:iCs/>
        </w:rPr>
        <w:t>g</w:t>
      </w:r>
      <w:r w:rsidR="00F4257C" w:rsidRPr="000936BA">
        <w:rPr>
          <w:bCs/>
          <w:i/>
          <w:iCs/>
        </w:rPr>
        <w:t xml:space="preserve"> ABC:</w:t>
      </w:r>
      <w:r w:rsidR="00F4257C" w:rsidRPr="000936BA">
        <w:t xml:space="preserve"> The original 8 </w:t>
      </w:r>
      <w:r w:rsidR="00BB04EA" w:rsidRPr="000936BA">
        <w:t>item</w:t>
      </w:r>
      <w:r w:rsidR="00DA779E" w:rsidRPr="000936BA">
        <w:t>s</w:t>
      </w:r>
      <w:r w:rsidR="00F4257C" w:rsidRPr="000936BA">
        <w:t xml:space="preserve"> were reduced to </w:t>
      </w:r>
      <w:r w:rsidR="0008217A" w:rsidRPr="000936BA">
        <w:t>6.</w:t>
      </w:r>
      <w:r w:rsidR="00F4257C" w:rsidRPr="000936BA">
        <w:t xml:space="preserve"> Most questions were responded to positively except for </w:t>
      </w:r>
      <w:r w:rsidR="0008217A" w:rsidRPr="000936BA">
        <w:t>engineering</w:t>
      </w:r>
      <w:r w:rsidR="00F4257C" w:rsidRPr="000936BA">
        <w:t xml:space="preserve"> work</w:t>
      </w:r>
      <w:r w:rsidR="0008217A" w:rsidRPr="000936BA">
        <w:t xml:space="preserve"> experience</w:t>
      </w:r>
      <w:r w:rsidR="00F4257C" w:rsidRPr="000936BA">
        <w:t xml:space="preserve">. The strongest reasons for joining included: </w:t>
      </w:r>
      <w:r w:rsidR="00D80311" w:rsidRPr="000936BA">
        <w:t xml:space="preserve">improve </w:t>
      </w:r>
      <w:r w:rsidR="00F4257C" w:rsidRPr="000936BA">
        <w:t>STEM</w:t>
      </w:r>
      <w:r w:rsidR="00D80311" w:rsidRPr="000936BA">
        <w:t xml:space="preserve"> in school</w:t>
      </w:r>
      <w:r w:rsidR="00F4257C" w:rsidRPr="000936BA">
        <w:t xml:space="preserve"> </w:t>
      </w:r>
      <w:r w:rsidR="0008217A" w:rsidRPr="000936BA">
        <w:t>(1</w:t>
      </w:r>
      <w:r w:rsidR="00D80311" w:rsidRPr="000936BA">
        <w:t>.i</w:t>
      </w:r>
      <w:r w:rsidR="0008217A" w:rsidRPr="000936BA">
        <w:t>.)</w:t>
      </w:r>
      <w:r w:rsidR="00F4257C" w:rsidRPr="000936BA">
        <w:t xml:space="preserve">; real-world applications </w:t>
      </w:r>
      <w:r w:rsidR="0008217A" w:rsidRPr="000936BA">
        <w:t>(1.e.)</w:t>
      </w:r>
      <w:r w:rsidR="00F4257C" w:rsidRPr="000936BA">
        <w:t xml:space="preserve">; </w:t>
      </w:r>
      <w:r w:rsidR="001B3144" w:rsidRPr="000936BA">
        <w:t>and</w:t>
      </w:r>
      <w:r w:rsidR="00F4257C" w:rsidRPr="000936BA">
        <w:t xml:space="preserve"> </w:t>
      </w:r>
      <w:r w:rsidR="00DA779E" w:rsidRPr="000936BA">
        <w:t>i</w:t>
      </w:r>
      <w:r w:rsidR="00F4257C" w:rsidRPr="000936BA">
        <w:t>nvolv</w:t>
      </w:r>
      <w:r w:rsidR="0008217A" w:rsidRPr="000936BA">
        <w:t>ing</w:t>
      </w:r>
      <w:r w:rsidR="00F4257C" w:rsidRPr="000936BA">
        <w:t xml:space="preserve"> STEM organisations</w:t>
      </w:r>
      <w:r w:rsidR="0008217A" w:rsidRPr="000936BA">
        <w:t xml:space="preserve"> (1.h.)</w:t>
      </w:r>
      <w:r w:rsidR="00F4257C" w:rsidRPr="000936BA">
        <w:t>. Extend</w:t>
      </w:r>
      <w:r w:rsidR="00DA779E" w:rsidRPr="000936BA">
        <w:t>ing</w:t>
      </w:r>
      <w:r w:rsidR="00F4257C" w:rsidRPr="000936BA">
        <w:t xml:space="preserve"> opportunities to develop new STEM pedagogic approaches</w:t>
      </w:r>
      <w:r w:rsidR="0008217A" w:rsidRPr="000936BA">
        <w:t xml:space="preserve"> (1.d.)</w:t>
      </w:r>
      <w:r w:rsidR="00F4257C" w:rsidRPr="000936BA">
        <w:t xml:space="preserve"> was rated at a lower level. </w:t>
      </w:r>
      <w:r w:rsidR="00BB04EA" w:rsidRPr="000936BA">
        <w:t>T</w:t>
      </w:r>
      <w:r w:rsidR="00DA779E" w:rsidRPr="000936BA">
        <w:t>wo</w:t>
      </w:r>
      <w:r w:rsidR="00F4257C" w:rsidRPr="000936BA">
        <w:t xml:space="preserve"> factors</w:t>
      </w:r>
      <w:r w:rsidR="00BB04EA" w:rsidRPr="000936BA">
        <w:t xml:space="preserve"> were</w:t>
      </w:r>
      <w:r w:rsidR="00FD773A">
        <w:t xml:space="preserve"> identified</w:t>
      </w:r>
      <w:r w:rsidR="00F4257C" w:rsidRPr="000936BA">
        <w:t xml:space="preserve">: </w:t>
      </w:r>
      <w:r w:rsidR="00DA779E" w:rsidRPr="000936BA">
        <w:t>‘</w:t>
      </w:r>
      <w:r w:rsidR="00F4257C" w:rsidRPr="000936BA">
        <w:t>General STEM experience</w:t>
      </w:r>
      <w:r w:rsidR="00DA779E" w:rsidRPr="000936BA">
        <w:t>’</w:t>
      </w:r>
      <w:r w:rsidR="00F4257C" w:rsidRPr="000936BA">
        <w:t xml:space="preserve"> (</w:t>
      </w:r>
      <w:r w:rsidR="00D80311" w:rsidRPr="000936BA">
        <w:t>1.a.,e.,f.,i.</w:t>
      </w:r>
      <w:r w:rsidR="00DA779E" w:rsidRPr="000936BA">
        <w:t>)</w:t>
      </w:r>
      <w:r w:rsidR="00F4257C" w:rsidRPr="000936BA">
        <w:t xml:space="preserve">; and </w:t>
      </w:r>
      <w:r w:rsidR="00DA779E" w:rsidRPr="000936BA">
        <w:t>‘</w:t>
      </w:r>
      <w:r w:rsidR="00F4257C" w:rsidRPr="000936BA">
        <w:t xml:space="preserve">STEM </w:t>
      </w:r>
      <w:r w:rsidR="00732550" w:rsidRPr="000936BA">
        <w:t>p</w:t>
      </w:r>
      <w:r w:rsidR="00F4257C" w:rsidRPr="000936BA">
        <w:t>edagogy</w:t>
      </w:r>
      <w:r w:rsidR="00DA779E" w:rsidRPr="000936BA">
        <w:t>’</w:t>
      </w:r>
      <w:r w:rsidR="00F4257C" w:rsidRPr="000936BA">
        <w:t xml:space="preserve"> (</w:t>
      </w:r>
      <w:r w:rsidR="00D80311" w:rsidRPr="000936BA">
        <w:t>1.d.,e.</w:t>
      </w:r>
      <w:r w:rsidR="00F4257C" w:rsidRPr="000936BA">
        <w:t xml:space="preserve">). </w:t>
      </w:r>
      <w:r w:rsidR="00E33E04" w:rsidRPr="000936BA">
        <w:t>One</w:t>
      </w:r>
      <w:r w:rsidR="00F4257C" w:rsidRPr="000936BA">
        <w:t xml:space="preserve"> </w:t>
      </w:r>
      <w:r w:rsidR="00D80311" w:rsidRPr="000936BA">
        <w:t xml:space="preserve">statistically </w:t>
      </w:r>
      <w:r w:rsidR="00F4257C" w:rsidRPr="000936BA">
        <w:t xml:space="preserve">significant </w:t>
      </w:r>
      <w:r w:rsidR="00BB04EA" w:rsidRPr="000936BA">
        <w:t>and curious</w:t>
      </w:r>
      <w:r w:rsidR="00E33E04" w:rsidRPr="000936BA">
        <w:t xml:space="preserve"> </w:t>
      </w:r>
      <w:r w:rsidRPr="000936BA">
        <w:t>difference</w:t>
      </w:r>
      <w:r w:rsidR="00F4257C" w:rsidRPr="000936BA">
        <w:t xml:space="preserve"> </w:t>
      </w:r>
      <w:r w:rsidR="00BB04EA" w:rsidRPr="000936BA">
        <w:t>emerged. T</w:t>
      </w:r>
      <w:r w:rsidR="00F4257C" w:rsidRPr="000936BA">
        <w:t xml:space="preserve">eachers </w:t>
      </w:r>
      <w:r w:rsidR="00D80311" w:rsidRPr="000936BA">
        <w:t>in high questionnaire submission</w:t>
      </w:r>
      <w:r w:rsidR="00E33E04" w:rsidRPr="000936BA">
        <w:t xml:space="preserve"> network</w:t>
      </w:r>
      <w:r w:rsidR="00D80311" w:rsidRPr="000936BA">
        <w:t>s</w:t>
      </w:r>
      <w:r w:rsidR="00F4257C" w:rsidRPr="000936BA">
        <w:t xml:space="preserve"> saw </w:t>
      </w:r>
      <w:r w:rsidR="00290C8C" w:rsidRPr="000936BA">
        <w:t>‘</w:t>
      </w:r>
      <w:r w:rsidR="00F4257C" w:rsidRPr="000936BA">
        <w:t xml:space="preserve">General STEM </w:t>
      </w:r>
      <w:r w:rsidR="00732550" w:rsidRPr="000936BA">
        <w:t>e</w:t>
      </w:r>
      <w:r w:rsidR="00F4257C" w:rsidRPr="000936BA">
        <w:t>xperience</w:t>
      </w:r>
      <w:r w:rsidR="00290C8C" w:rsidRPr="000936BA">
        <w:t>’</w:t>
      </w:r>
      <w:r w:rsidR="00F4257C" w:rsidRPr="000936BA">
        <w:t xml:space="preserve"> as more significant than </w:t>
      </w:r>
      <w:r w:rsidR="00D80311" w:rsidRPr="000936BA">
        <w:t>those in low submission networks</w:t>
      </w:r>
      <w:r w:rsidR="00FD773A">
        <w:t xml:space="preserve"> – </w:t>
      </w:r>
      <w:proofErr w:type="gramStart"/>
      <w:r w:rsidR="00FD773A">
        <w:t>similar to</w:t>
      </w:r>
      <w:proofErr w:type="gramEnd"/>
      <w:r w:rsidR="00FD773A">
        <w:t xml:space="preserve"> the 1</w:t>
      </w:r>
      <w:r w:rsidR="00FD773A" w:rsidRPr="00ED0D2E">
        <w:rPr>
          <w:vertAlign w:val="superscript"/>
        </w:rPr>
        <w:t>st</w:t>
      </w:r>
      <w:r w:rsidR="00FD773A">
        <w:t xml:space="preserve"> cohort</w:t>
      </w:r>
      <w:r w:rsidR="00F4257C" w:rsidRPr="000936BA">
        <w:t xml:space="preserve">. </w:t>
      </w:r>
      <w:r w:rsidR="00E33E04" w:rsidRPr="000936BA">
        <w:t>‘</w:t>
      </w:r>
      <w:r w:rsidR="00F4257C" w:rsidRPr="000936BA">
        <w:t xml:space="preserve">STEM </w:t>
      </w:r>
      <w:r w:rsidR="00732550" w:rsidRPr="000936BA">
        <w:t>p</w:t>
      </w:r>
      <w:r w:rsidR="00F4257C" w:rsidRPr="000936BA">
        <w:t>edagogy</w:t>
      </w:r>
      <w:r w:rsidR="00E33E04" w:rsidRPr="000936BA">
        <w:t>’</w:t>
      </w:r>
      <w:r w:rsidR="00F4257C" w:rsidRPr="000936BA">
        <w:t xml:space="preserve"> </w:t>
      </w:r>
      <w:r w:rsidR="00E33E04" w:rsidRPr="000936BA">
        <w:t>appeared important to all 2</w:t>
      </w:r>
      <w:r w:rsidR="00E33E04" w:rsidRPr="000936BA">
        <w:rPr>
          <w:vertAlign w:val="superscript"/>
        </w:rPr>
        <w:t>nd</w:t>
      </w:r>
      <w:r w:rsidR="00E33E04" w:rsidRPr="000936BA">
        <w:t xml:space="preserve"> cohort teachers.</w:t>
      </w:r>
    </w:p>
    <w:p w14:paraId="35F605B2" w14:textId="3BA20B7F" w:rsidR="00F4257C" w:rsidRPr="000936BA" w:rsidRDefault="005941C6" w:rsidP="00B6268A">
      <w:pPr>
        <w:spacing w:line="480" w:lineRule="auto"/>
      </w:pPr>
      <w:r w:rsidRPr="000936BA">
        <w:rPr>
          <w:bCs/>
          <w:i/>
          <w:iCs/>
        </w:rPr>
        <w:t xml:space="preserve">4.b. </w:t>
      </w:r>
      <w:r w:rsidR="00F4257C" w:rsidRPr="000936BA">
        <w:rPr>
          <w:bCs/>
          <w:i/>
          <w:iCs/>
        </w:rPr>
        <w:t>Experience of AB</w:t>
      </w:r>
      <w:r w:rsidR="00E33E04" w:rsidRPr="000936BA">
        <w:rPr>
          <w:bCs/>
          <w:i/>
          <w:iCs/>
        </w:rPr>
        <w:t>C</w:t>
      </w:r>
      <w:r w:rsidR="00F4257C" w:rsidRPr="000936BA">
        <w:rPr>
          <w:bCs/>
          <w:i/>
          <w:iCs/>
        </w:rPr>
        <w:t xml:space="preserve">: </w:t>
      </w:r>
      <w:r w:rsidR="00BB04EA" w:rsidRPr="000936BA">
        <w:t>Item</w:t>
      </w:r>
      <w:r w:rsidR="00F4257C" w:rsidRPr="000936BA">
        <w:t>s were reduced from 9 to 6.  The most positive programme experiences identified support gained from other network members</w:t>
      </w:r>
      <w:r w:rsidR="00D80311" w:rsidRPr="000936BA">
        <w:t xml:space="preserve"> (3.1.a.)</w:t>
      </w:r>
      <w:r w:rsidR="00F4257C" w:rsidRPr="000936BA">
        <w:t xml:space="preserve"> and the acquisition of new materials for class/</w:t>
      </w:r>
      <w:r w:rsidR="007355FA" w:rsidRPr="000936BA">
        <w:t>extracurricular</w:t>
      </w:r>
      <w:r w:rsidR="00F4257C" w:rsidRPr="000936BA">
        <w:t xml:space="preserve"> activities</w:t>
      </w:r>
      <w:r w:rsidR="00D80311" w:rsidRPr="000936BA">
        <w:t xml:space="preserve"> (3.1.c)</w:t>
      </w:r>
      <w:r w:rsidR="00F4257C" w:rsidRPr="000936BA">
        <w:t xml:space="preserve">. Teachers were </w:t>
      </w:r>
      <w:r w:rsidR="00996250" w:rsidRPr="000936BA">
        <w:t>less</w:t>
      </w:r>
      <w:r w:rsidR="00F4257C" w:rsidRPr="000936BA">
        <w:t xml:space="preserve"> </w:t>
      </w:r>
      <w:r w:rsidR="00F4257C" w:rsidRPr="000936BA">
        <w:lastRenderedPageBreak/>
        <w:t>positive in reflect</w:t>
      </w:r>
      <w:r w:rsidR="00996250" w:rsidRPr="000936BA">
        <w:t>ing</w:t>
      </w:r>
      <w:r w:rsidR="00F4257C" w:rsidRPr="000936BA">
        <w:t xml:space="preserve"> on thei</w:t>
      </w:r>
      <w:r w:rsidR="00996250" w:rsidRPr="000936BA">
        <w:t>r</w:t>
      </w:r>
      <w:r w:rsidR="00F4257C" w:rsidRPr="000936BA">
        <w:t xml:space="preserve"> teaching</w:t>
      </w:r>
      <w:r w:rsidR="00D80311" w:rsidRPr="000936BA">
        <w:t xml:space="preserve"> (3.1.e.)</w:t>
      </w:r>
      <w:r w:rsidR="00996250" w:rsidRPr="000936BA">
        <w:t>. They</w:t>
      </w:r>
      <w:r w:rsidR="00F4257C" w:rsidRPr="000936BA">
        <w:t xml:space="preserve"> expressed neutral opinions regarding contacting members of their networks </w:t>
      </w:r>
      <w:r w:rsidR="00D80311" w:rsidRPr="000936BA">
        <w:t xml:space="preserve"> (3.1.h.) </w:t>
      </w:r>
      <w:r w:rsidR="00F4257C" w:rsidRPr="000936BA">
        <w:t>and difficulties in attending network meetings</w:t>
      </w:r>
      <w:r w:rsidR="00D80311" w:rsidRPr="000936BA">
        <w:t xml:space="preserve"> (3.1.g)</w:t>
      </w:r>
      <w:r w:rsidR="00F4257C" w:rsidRPr="000936BA">
        <w:t xml:space="preserve">. </w:t>
      </w:r>
      <w:r w:rsidR="00BB04EA" w:rsidRPr="000936BA">
        <w:t>O</w:t>
      </w:r>
      <w:r w:rsidR="00996250" w:rsidRPr="000936BA">
        <w:t>ne factor</w:t>
      </w:r>
      <w:r w:rsidR="00BB04EA" w:rsidRPr="000936BA">
        <w:t xml:space="preserve"> was identified</w:t>
      </w:r>
      <w:r w:rsidR="00996250" w:rsidRPr="000936BA">
        <w:t>: ‘Teaching support’</w:t>
      </w:r>
      <w:r w:rsidR="00F4257C" w:rsidRPr="000936BA">
        <w:t xml:space="preserve"> (</w:t>
      </w:r>
      <w:r w:rsidR="00D80311" w:rsidRPr="000936BA">
        <w:t>3.1.a.-e</w:t>
      </w:r>
      <w:r w:rsidR="00B80649" w:rsidRPr="000936BA">
        <w:t>.</w:t>
      </w:r>
      <w:r w:rsidR="00F4257C" w:rsidRPr="000936BA">
        <w:t xml:space="preserve">). </w:t>
      </w:r>
      <w:r w:rsidR="00FD773A">
        <w:t>T</w:t>
      </w:r>
      <w:r w:rsidR="00F4257C" w:rsidRPr="000936BA">
        <w:t xml:space="preserve">eachers with a general </w:t>
      </w:r>
      <w:r w:rsidR="00732550" w:rsidRPr="000936BA">
        <w:t>e</w:t>
      </w:r>
      <w:r w:rsidR="00F4257C" w:rsidRPr="000936BA">
        <w:t xml:space="preserve">ducation qualification and those with greater experience of ABC identified </w:t>
      </w:r>
      <w:r w:rsidR="00AE3373" w:rsidRPr="000936BA">
        <w:t>‘</w:t>
      </w:r>
      <w:r w:rsidR="00996250" w:rsidRPr="000936BA">
        <w:t>Teaching support</w:t>
      </w:r>
      <w:r w:rsidR="00AE3373" w:rsidRPr="000936BA">
        <w:t>’</w:t>
      </w:r>
      <w:r w:rsidR="00F4257C" w:rsidRPr="000936BA">
        <w:t xml:space="preserve"> as more </w:t>
      </w:r>
      <w:r w:rsidR="00BB04EA" w:rsidRPr="000936BA">
        <w:t>important</w:t>
      </w:r>
      <w:r w:rsidR="00F4257C" w:rsidRPr="000936BA">
        <w:t xml:space="preserve"> than other teachers. </w:t>
      </w:r>
      <w:r w:rsidR="00FD773A">
        <w:t>B</w:t>
      </w:r>
      <w:r w:rsidR="00F4257C" w:rsidRPr="000936BA">
        <w:t xml:space="preserve">oth cohorts appeared to recognise the importance of </w:t>
      </w:r>
      <w:r w:rsidR="00996250" w:rsidRPr="000936BA">
        <w:t>ABC</w:t>
      </w:r>
      <w:r w:rsidR="00F4257C" w:rsidRPr="000936BA">
        <w:t xml:space="preserve"> in providing STEM-based information and some </w:t>
      </w:r>
      <w:r w:rsidR="00996250" w:rsidRPr="000936BA">
        <w:t xml:space="preserve">(limited) </w:t>
      </w:r>
      <w:r w:rsidR="00F4257C" w:rsidRPr="000936BA">
        <w:t xml:space="preserve">form of collegial support. </w:t>
      </w:r>
    </w:p>
    <w:p w14:paraId="3A455063" w14:textId="1DCA5A85" w:rsidR="00F4257C" w:rsidRPr="000936BA" w:rsidRDefault="005941C6" w:rsidP="00B6268A">
      <w:pPr>
        <w:keepNext/>
        <w:spacing w:line="480" w:lineRule="auto"/>
      </w:pPr>
      <w:r w:rsidRPr="000936BA">
        <w:rPr>
          <w:bCs/>
          <w:i/>
          <w:iCs/>
        </w:rPr>
        <w:t xml:space="preserve">4.c. </w:t>
      </w:r>
      <w:r w:rsidR="00F4257C" w:rsidRPr="000936BA">
        <w:rPr>
          <w:bCs/>
          <w:i/>
          <w:iCs/>
        </w:rPr>
        <w:t>Experience of STEM education:</w:t>
      </w:r>
      <w:r w:rsidR="00F4257C" w:rsidRPr="000936BA">
        <w:t xml:space="preserve"> </w:t>
      </w:r>
      <w:r w:rsidR="00BB04EA" w:rsidRPr="000936BA">
        <w:t>Item</w:t>
      </w:r>
      <w:r w:rsidR="00F4257C" w:rsidRPr="000936BA">
        <w:t xml:space="preserve">s were reduced from 25 to 15. </w:t>
      </w:r>
      <w:r w:rsidR="00732550" w:rsidRPr="000936BA">
        <w:t>There was s</w:t>
      </w:r>
      <w:r w:rsidR="001B3144" w:rsidRPr="000936BA">
        <w:t xml:space="preserve">trong agreement </w:t>
      </w:r>
      <w:r w:rsidR="00732550" w:rsidRPr="000936BA">
        <w:t>regarding</w:t>
      </w:r>
      <w:r w:rsidR="001B3144" w:rsidRPr="000936BA">
        <w:t xml:space="preserve"> </w:t>
      </w:r>
      <w:r w:rsidR="00136759" w:rsidRPr="000936BA">
        <w:t>‘</w:t>
      </w:r>
      <w:r w:rsidR="001B3144" w:rsidRPr="000936BA">
        <w:t>social pedagog</w:t>
      </w:r>
      <w:r w:rsidR="00BB04EA" w:rsidRPr="000936BA">
        <w:t>y</w:t>
      </w:r>
      <w:r w:rsidR="00136759" w:rsidRPr="000936BA">
        <w:t>’</w:t>
      </w:r>
      <w:r w:rsidR="001B3144" w:rsidRPr="000936BA">
        <w:t xml:space="preserve"> issues: develop</w:t>
      </w:r>
      <w:r w:rsidR="00B80649" w:rsidRPr="000936BA">
        <w:t>ing</w:t>
      </w:r>
      <w:r w:rsidR="001B3144" w:rsidRPr="000936BA">
        <w:t xml:space="preserve"> student’s interpersonal skills</w:t>
      </w:r>
      <w:r w:rsidR="00B80649" w:rsidRPr="000936BA">
        <w:t xml:space="preserve"> (4.w.)</w:t>
      </w:r>
      <w:r w:rsidR="001B3144" w:rsidRPr="000936BA">
        <w:t xml:space="preserve">; </w:t>
      </w:r>
      <w:r w:rsidR="00B80649" w:rsidRPr="000936BA">
        <w:t xml:space="preserve">value of </w:t>
      </w:r>
      <w:r w:rsidR="007355FA" w:rsidRPr="000936BA">
        <w:t>extracurricular</w:t>
      </w:r>
      <w:r w:rsidR="001B3144" w:rsidRPr="000936BA">
        <w:t xml:space="preserve"> activities </w:t>
      </w:r>
      <w:r w:rsidR="00B80649" w:rsidRPr="000936BA">
        <w:t>(4.a.)</w:t>
      </w:r>
      <w:r w:rsidR="001B3144" w:rsidRPr="000936BA">
        <w:t>; and real</w:t>
      </w:r>
      <w:r w:rsidR="003D23FF" w:rsidRPr="000936BA">
        <w:t>-</w:t>
      </w:r>
      <w:r w:rsidR="001B3144" w:rsidRPr="000936BA">
        <w:t xml:space="preserve">world applications </w:t>
      </w:r>
      <w:r w:rsidR="00B80649" w:rsidRPr="000936BA">
        <w:t>(4.m.)</w:t>
      </w:r>
      <w:r w:rsidR="001B3144" w:rsidRPr="000936BA">
        <w:t xml:space="preserve">. </w:t>
      </w:r>
      <w:r w:rsidR="00B80649" w:rsidRPr="000936BA">
        <w:t>S</w:t>
      </w:r>
      <w:r w:rsidR="00F4257C" w:rsidRPr="000936BA">
        <w:t>ocial pedagog</w:t>
      </w:r>
      <w:r w:rsidR="00BB04EA" w:rsidRPr="000936BA">
        <w:t>y</w:t>
      </w:r>
      <w:r w:rsidR="00F4257C" w:rsidRPr="000936BA">
        <w:t xml:space="preserve"> agreements were</w:t>
      </w:r>
      <w:r w:rsidR="007D38FA">
        <w:t xml:space="preserve"> also</w:t>
      </w:r>
      <w:r w:rsidR="00F4257C" w:rsidRPr="000936BA">
        <w:t xml:space="preserve"> found </w:t>
      </w:r>
      <w:r w:rsidR="00732550" w:rsidRPr="000936BA">
        <w:t>regarding</w:t>
      </w:r>
      <w:r w:rsidR="00F4257C" w:rsidRPr="000936BA">
        <w:t xml:space="preserve">: </w:t>
      </w:r>
      <w:r w:rsidR="003D23FF" w:rsidRPr="000936BA">
        <w:t>c</w:t>
      </w:r>
      <w:r w:rsidR="00F4257C" w:rsidRPr="000936BA">
        <w:t xml:space="preserve">ompetition in STEM clubs </w:t>
      </w:r>
      <w:r w:rsidR="00B80649" w:rsidRPr="000936BA">
        <w:t>(4.o.)</w:t>
      </w:r>
      <w:r w:rsidR="00F4257C" w:rsidRPr="000936BA">
        <w:t xml:space="preserve">; </w:t>
      </w:r>
      <w:r w:rsidR="003D23FF" w:rsidRPr="000936BA">
        <w:t>s</w:t>
      </w:r>
      <w:r w:rsidR="00F4257C" w:rsidRPr="000936BA">
        <w:t>tudents work</w:t>
      </w:r>
      <w:r w:rsidR="00B80649" w:rsidRPr="000936BA">
        <w:t>ing</w:t>
      </w:r>
      <w:r w:rsidR="00F4257C" w:rsidRPr="000936BA">
        <w:t xml:space="preserve"> independently of their STEM teacher</w:t>
      </w:r>
      <w:r w:rsidR="00B80649" w:rsidRPr="000936BA">
        <w:t xml:space="preserve"> (4.v.)</w:t>
      </w:r>
      <w:r w:rsidR="00F4257C" w:rsidRPr="000936BA">
        <w:t xml:space="preserve">; and </w:t>
      </w:r>
      <w:r w:rsidR="003D23FF" w:rsidRPr="000936BA">
        <w:t>s</w:t>
      </w:r>
      <w:r w:rsidR="00F4257C" w:rsidRPr="000936BA">
        <w:t>tudents reflect</w:t>
      </w:r>
      <w:r w:rsidR="00B80649" w:rsidRPr="000936BA">
        <w:t>ing</w:t>
      </w:r>
      <w:r w:rsidR="00F4257C" w:rsidRPr="000936BA">
        <w:t xml:space="preserve"> on STEM lessons</w:t>
      </w:r>
      <w:r w:rsidR="00B80649" w:rsidRPr="000936BA">
        <w:t xml:space="preserve"> (4.p.)</w:t>
      </w:r>
      <w:r w:rsidR="00F4257C" w:rsidRPr="000936BA">
        <w:t>. Strong disagreement was found regard</w:t>
      </w:r>
      <w:r w:rsidR="003D23FF" w:rsidRPr="000936BA">
        <w:t>ing</w:t>
      </w:r>
      <w:r w:rsidR="00F4257C" w:rsidRPr="000936BA">
        <w:t xml:space="preserve"> </w:t>
      </w:r>
      <w:r w:rsidR="00136759" w:rsidRPr="000936BA">
        <w:t>‘social inclusion’</w:t>
      </w:r>
      <w:r w:rsidR="00F4257C" w:rsidRPr="000936BA">
        <w:t xml:space="preserve"> aspects of STEM: single</w:t>
      </w:r>
      <w:r w:rsidR="003D23FF" w:rsidRPr="000936BA">
        <w:t>-</w:t>
      </w:r>
      <w:r w:rsidR="00F4257C" w:rsidRPr="000936BA">
        <w:t>sex groups</w:t>
      </w:r>
      <w:r w:rsidR="00B80649" w:rsidRPr="000936BA">
        <w:t xml:space="preserve"> (4.t.</w:t>
      </w:r>
      <w:r w:rsidR="00FD0527" w:rsidRPr="000936BA">
        <w:t>)</w:t>
      </w:r>
      <w:r w:rsidR="00F4257C" w:rsidRPr="000936BA">
        <w:t>; fixed</w:t>
      </w:r>
      <w:r w:rsidR="00B80649" w:rsidRPr="000936BA">
        <w:t xml:space="preserve"> abilities (4.k.)</w:t>
      </w:r>
      <w:r w:rsidR="00F4257C" w:rsidRPr="000936BA">
        <w:t xml:space="preserve">; </w:t>
      </w:r>
      <w:r w:rsidR="003D23FF" w:rsidRPr="000936BA">
        <w:t>o</w:t>
      </w:r>
      <w:r w:rsidR="00F4257C" w:rsidRPr="000936BA">
        <w:t xml:space="preserve">nly high achieving students </w:t>
      </w:r>
      <w:r w:rsidR="003D23FF" w:rsidRPr="000936BA">
        <w:t>can</w:t>
      </w:r>
      <w:r w:rsidR="00F4257C" w:rsidRPr="000936BA">
        <w:t xml:space="preserve"> study STEM </w:t>
      </w:r>
      <w:r w:rsidR="00B80649" w:rsidRPr="000936BA">
        <w:t>(4.n.)</w:t>
      </w:r>
      <w:r w:rsidR="00F4257C" w:rsidRPr="000936BA">
        <w:t>;</w:t>
      </w:r>
      <w:r w:rsidR="00B80649" w:rsidRPr="000936BA">
        <w:t xml:space="preserve"> </w:t>
      </w:r>
      <w:r w:rsidR="00F4257C" w:rsidRPr="000936BA">
        <w:t>students mess about</w:t>
      </w:r>
      <w:r w:rsidR="00B80649" w:rsidRPr="000936BA">
        <w:t xml:space="preserve"> (4.c.)</w:t>
      </w:r>
      <w:r w:rsidR="00F4257C" w:rsidRPr="000936BA">
        <w:t>; teach</w:t>
      </w:r>
      <w:r w:rsidR="00B80649" w:rsidRPr="000936BA">
        <w:t>ing</w:t>
      </w:r>
      <w:r w:rsidR="00F4257C" w:rsidRPr="000936BA">
        <w:t xml:space="preserve"> </w:t>
      </w:r>
      <w:r w:rsidR="003D23FF" w:rsidRPr="000936BA">
        <w:t>science/mathematics</w:t>
      </w:r>
      <w:r w:rsidR="00F4257C" w:rsidRPr="000936BA">
        <w:t xml:space="preserve"> fundamentals </w:t>
      </w:r>
      <w:r w:rsidR="00B80649" w:rsidRPr="000936BA">
        <w:t>(4.z.)</w:t>
      </w:r>
      <w:r w:rsidR="00F4257C" w:rsidRPr="000936BA">
        <w:t>; and school</w:t>
      </w:r>
      <w:r w:rsidR="003D23FF" w:rsidRPr="000936BA">
        <w:t xml:space="preserve"> population</w:t>
      </w:r>
      <w:r w:rsidR="00F4257C" w:rsidRPr="000936BA">
        <w:t>s do not allow effective STEM teaching</w:t>
      </w:r>
      <w:r w:rsidR="00B80649" w:rsidRPr="000936BA">
        <w:t xml:space="preserve"> (4.</w:t>
      </w:r>
      <w:r w:rsidR="001E684A" w:rsidRPr="000936BA">
        <w:t>aa.)</w:t>
      </w:r>
      <w:r w:rsidR="00F4257C" w:rsidRPr="000936BA">
        <w:t xml:space="preserve">. </w:t>
      </w:r>
      <w:r w:rsidR="00BB04EA" w:rsidRPr="000936BA">
        <w:t>T</w:t>
      </w:r>
      <w:r w:rsidR="003D23FF" w:rsidRPr="000936BA">
        <w:t>wo</w:t>
      </w:r>
      <w:r w:rsidR="00F4257C" w:rsidRPr="000936BA">
        <w:t xml:space="preserve"> factor</w:t>
      </w:r>
      <w:r w:rsidR="003D23FF" w:rsidRPr="000936BA">
        <w:t>s</w:t>
      </w:r>
      <w:r w:rsidR="00BB04EA" w:rsidRPr="000936BA">
        <w:t xml:space="preserve"> were identified</w:t>
      </w:r>
      <w:r w:rsidR="00F4257C" w:rsidRPr="000936BA">
        <w:t>:</w:t>
      </w:r>
      <w:r w:rsidR="00F4257C" w:rsidRPr="000936BA" w:rsidDel="001A284F">
        <w:t xml:space="preserve"> </w:t>
      </w:r>
      <w:r w:rsidR="00732550" w:rsidRPr="000936BA">
        <w:t>‘S</w:t>
      </w:r>
      <w:r w:rsidR="00F4257C" w:rsidRPr="000936BA">
        <w:t>ocial inclusion</w:t>
      </w:r>
      <w:r w:rsidR="00732550" w:rsidRPr="000936BA">
        <w:t>’</w:t>
      </w:r>
      <w:r w:rsidR="00F4257C" w:rsidRPr="000936BA">
        <w:t xml:space="preserve"> and </w:t>
      </w:r>
      <w:r w:rsidR="00732550" w:rsidRPr="000936BA">
        <w:t>‘S</w:t>
      </w:r>
      <w:r w:rsidR="00F4257C" w:rsidRPr="000936BA">
        <w:t>ocial pedagogy</w:t>
      </w:r>
      <w:r w:rsidR="00732550" w:rsidRPr="000936BA">
        <w:t>’</w:t>
      </w:r>
      <w:r w:rsidR="00F4257C" w:rsidRPr="000936BA">
        <w:t xml:space="preserve"> (described above). </w:t>
      </w:r>
      <w:r w:rsidR="00FD773A">
        <w:t>N</w:t>
      </w:r>
      <w:r w:rsidR="00F4257C" w:rsidRPr="000936BA">
        <w:t xml:space="preserve">o </w:t>
      </w:r>
      <w:r w:rsidR="008D001A" w:rsidRPr="000936BA">
        <w:t xml:space="preserve">statistically </w:t>
      </w:r>
      <w:r w:rsidR="00F4257C" w:rsidRPr="000936BA">
        <w:t xml:space="preserve">significant </w:t>
      </w:r>
      <w:r w:rsidR="00136759" w:rsidRPr="000936BA">
        <w:t xml:space="preserve">demographic </w:t>
      </w:r>
      <w:r w:rsidR="00F4257C" w:rsidRPr="000936BA">
        <w:t xml:space="preserve">differences </w:t>
      </w:r>
      <w:r w:rsidR="00FD773A">
        <w:t xml:space="preserve">were </w:t>
      </w:r>
      <w:r w:rsidR="00F4257C" w:rsidRPr="000936BA">
        <w:t>found</w:t>
      </w:r>
      <w:r w:rsidR="00FD773A">
        <w:t xml:space="preserve">. </w:t>
      </w:r>
      <w:proofErr w:type="gramStart"/>
      <w:r w:rsidR="00FD773A">
        <w:t>Similar to</w:t>
      </w:r>
      <w:proofErr w:type="gramEnd"/>
      <w:r w:rsidR="00FD773A">
        <w:t xml:space="preserve"> the 1</w:t>
      </w:r>
      <w:r w:rsidR="00FD773A" w:rsidRPr="00ED0D2E">
        <w:rPr>
          <w:vertAlign w:val="superscript"/>
        </w:rPr>
        <w:t>st</w:t>
      </w:r>
      <w:r w:rsidR="00FD773A">
        <w:t xml:space="preserve"> cohort</w:t>
      </w:r>
      <w:r w:rsidR="008D001A" w:rsidRPr="000936BA">
        <w:t>,</w:t>
      </w:r>
      <w:r w:rsidR="00F4257C" w:rsidRPr="000936BA">
        <w:t xml:space="preserve"> most teachers had a strong social inclusion orientation a</w:t>
      </w:r>
      <w:r w:rsidR="00BB04EA" w:rsidRPr="000936BA">
        <w:t>nd agreed that</w:t>
      </w:r>
      <w:r w:rsidR="00F4257C" w:rsidRPr="000936BA">
        <w:t xml:space="preserve"> social pedagogic factors</w:t>
      </w:r>
      <w:r w:rsidR="005607D0" w:rsidRPr="000936BA">
        <w:t xml:space="preserve"> were important</w:t>
      </w:r>
      <w:r w:rsidR="00F4257C" w:rsidRPr="000936BA">
        <w:t xml:space="preserve"> in the promotion of STEM education.</w:t>
      </w:r>
    </w:p>
    <w:p w14:paraId="1029ADD3" w14:textId="380FDEE4" w:rsidR="00F4257C" w:rsidRPr="000936BA" w:rsidRDefault="0020309E" w:rsidP="00B6268A">
      <w:pPr>
        <w:spacing w:line="480" w:lineRule="auto"/>
      </w:pPr>
      <w:r w:rsidRPr="000936BA">
        <w:rPr>
          <w:bCs/>
          <w:i/>
          <w:iCs/>
        </w:rPr>
        <w:t xml:space="preserve">4.d. </w:t>
      </w:r>
      <w:r w:rsidR="00B45C85" w:rsidRPr="000936BA">
        <w:rPr>
          <w:i/>
          <w:iCs/>
        </w:rPr>
        <w:t>P</w:t>
      </w:r>
      <w:r w:rsidR="00B66402" w:rsidRPr="000936BA">
        <w:rPr>
          <w:i/>
          <w:iCs/>
        </w:rPr>
        <w:t>articipation in ABC</w:t>
      </w:r>
      <w:r w:rsidR="00B66402" w:rsidRPr="000936BA">
        <w:rPr>
          <w:bCs/>
          <w:i/>
          <w:iCs/>
        </w:rPr>
        <w:t>:</w:t>
      </w:r>
      <w:r w:rsidR="00F4257C" w:rsidRPr="000936BA">
        <w:t xml:space="preserve"> </w:t>
      </w:r>
      <w:r w:rsidR="005607D0" w:rsidRPr="000936BA">
        <w:t>Item</w:t>
      </w:r>
      <w:r w:rsidR="003261E7" w:rsidRPr="000936BA">
        <w:t>s were</w:t>
      </w:r>
      <w:r w:rsidR="00F4257C" w:rsidRPr="000936BA">
        <w:t xml:space="preserve"> reduced from 1</w:t>
      </w:r>
      <w:r w:rsidR="00D0218A" w:rsidRPr="000936BA">
        <w:t>0</w:t>
      </w:r>
      <w:r w:rsidR="00FD0527" w:rsidRPr="000936BA">
        <w:t xml:space="preserve"> </w:t>
      </w:r>
      <w:r w:rsidR="00802A3D" w:rsidRPr="000936BA">
        <w:t>to</w:t>
      </w:r>
      <w:r w:rsidR="00F4257C" w:rsidRPr="000936BA">
        <w:t xml:space="preserve"> 7</w:t>
      </w:r>
      <w:r w:rsidRPr="000936BA">
        <w:t xml:space="preserve">. </w:t>
      </w:r>
      <w:r w:rsidR="00F4257C" w:rsidRPr="000936BA">
        <w:t>A striking feature in these responses is tha</w:t>
      </w:r>
      <w:r w:rsidR="00040E4B" w:rsidRPr="000936BA">
        <w:t>t</w:t>
      </w:r>
      <w:r w:rsidR="00F4257C" w:rsidRPr="000936BA">
        <w:t xml:space="preserve"> some </w:t>
      </w:r>
      <w:r w:rsidRPr="000936BA">
        <w:t>t</w:t>
      </w:r>
      <w:r w:rsidR="00F4257C" w:rsidRPr="000936BA">
        <w:t>eachers respond</w:t>
      </w:r>
      <w:r w:rsidR="00040E4B" w:rsidRPr="000936BA">
        <w:t>ed</w:t>
      </w:r>
      <w:r w:rsidR="00F4257C" w:rsidRPr="000936BA">
        <w:t xml:space="preserve"> </w:t>
      </w:r>
      <w:r w:rsidR="00FD0527" w:rsidRPr="000936BA">
        <w:t>‘</w:t>
      </w:r>
      <w:r w:rsidR="00F4257C" w:rsidRPr="000936BA">
        <w:t>Never</w:t>
      </w:r>
      <w:r w:rsidR="00FD0527" w:rsidRPr="000936BA">
        <w:t>’</w:t>
      </w:r>
      <w:r w:rsidR="005607D0" w:rsidRPr="000936BA">
        <w:t>,</w:t>
      </w:r>
      <w:r w:rsidR="00F4257C" w:rsidRPr="000936BA">
        <w:t xml:space="preserve"> </w:t>
      </w:r>
      <w:r w:rsidR="00B45C85" w:rsidRPr="000936BA">
        <w:t xml:space="preserve">and </w:t>
      </w:r>
      <w:r w:rsidR="0074713D" w:rsidRPr="000936BA">
        <w:t>some used never multiple times</w:t>
      </w:r>
      <w:r w:rsidR="00F4257C" w:rsidRPr="000936BA">
        <w:t xml:space="preserve">. Most frequent activities </w:t>
      </w:r>
      <w:r w:rsidR="00B45C85" w:rsidRPr="000936BA">
        <w:t>concerned</w:t>
      </w:r>
      <w:r w:rsidR="00F4257C" w:rsidRPr="000936BA">
        <w:t xml:space="preserve"> ABC resources and within-school work</w:t>
      </w:r>
      <w:r w:rsidR="00D0218A" w:rsidRPr="000936BA">
        <w:t xml:space="preserve"> with other teachers (5.c.,e.)</w:t>
      </w:r>
      <w:r w:rsidR="00F4257C" w:rsidRPr="000936BA">
        <w:t xml:space="preserve">. </w:t>
      </w:r>
      <w:r w:rsidR="00860331">
        <w:t>64%</w:t>
      </w:r>
      <w:r w:rsidR="00D0218A" w:rsidRPr="000936BA">
        <w:t xml:space="preserve"> p</w:t>
      </w:r>
      <w:r w:rsidR="00DE17A6" w:rsidRPr="000936BA">
        <w:t>er</w:t>
      </w:r>
      <w:r w:rsidR="00D0218A" w:rsidRPr="000936BA">
        <w:t>cent</w:t>
      </w:r>
      <w:r w:rsidR="00F4257C" w:rsidRPr="000936BA">
        <w:t xml:space="preserve"> of </w:t>
      </w:r>
      <w:r w:rsidR="005F6067" w:rsidRPr="000936BA">
        <w:t>m</w:t>
      </w:r>
      <w:r w:rsidR="00F4257C" w:rsidRPr="000936BA">
        <w:t xml:space="preserve">athematics teachers and 47% of </w:t>
      </w:r>
      <w:r w:rsidR="005F6067" w:rsidRPr="000936BA">
        <w:t>p</w:t>
      </w:r>
      <w:r w:rsidR="00F4257C" w:rsidRPr="000936BA">
        <w:t xml:space="preserve">hysics teachers never used </w:t>
      </w:r>
      <w:r w:rsidR="003C47F1" w:rsidRPr="000936BA">
        <w:t xml:space="preserve">resource </w:t>
      </w:r>
      <w:r w:rsidR="00F4257C" w:rsidRPr="000936BA">
        <w:t>materials in class</w:t>
      </w:r>
      <w:r w:rsidR="00D0218A" w:rsidRPr="000936BA">
        <w:t xml:space="preserve"> (5.e.)</w:t>
      </w:r>
      <w:r w:rsidR="00F4257C" w:rsidRPr="000936BA">
        <w:t xml:space="preserve">. Non-participation was especially high for </w:t>
      </w:r>
      <w:r w:rsidR="003C47F1" w:rsidRPr="000936BA">
        <w:t>c</w:t>
      </w:r>
      <w:r w:rsidR="00F4257C" w:rsidRPr="000936BA">
        <w:t>o-t</w:t>
      </w:r>
      <w:r w:rsidR="00B45C85" w:rsidRPr="000936BA">
        <w:t>eaching</w:t>
      </w:r>
      <w:r w:rsidR="00F4257C" w:rsidRPr="000936BA">
        <w:t xml:space="preserve"> a </w:t>
      </w:r>
      <w:r w:rsidR="00F4257C" w:rsidRPr="000936BA">
        <w:lastRenderedPageBreak/>
        <w:t>STEM class (63.1%</w:t>
      </w:r>
      <w:r w:rsidR="00D0218A" w:rsidRPr="000936BA">
        <w:t>; 5.g.</w:t>
      </w:r>
      <w:r w:rsidR="00F4257C" w:rsidRPr="000936BA">
        <w:t xml:space="preserve">). 60% of teachers </w:t>
      </w:r>
      <w:r w:rsidR="00B45C85" w:rsidRPr="000936BA">
        <w:t>had</w:t>
      </w:r>
      <w:r w:rsidR="00F4257C" w:rsidRPr="000936BA">
        <w:t xml:space="preserve"> </w:t>
      </w:r>
      <w:r w:rsidR="00B404B8" w:rsidRPr="000936BA">
        <w:t>c</w:t>
      </w:r>
      <w:r w:rsidR="00F4257C" w:rsidRPr="000936BA">
        <w:t xml:space="preserve">ontacted local industry for </w:t>
      </w:r>
      <w:r w:rsidR="00075A6E" w:rsidRPr="000936BA">
        <w:t xml:space="preserve">STEM </w:t>
      </w:r>
      <w:r w:rsidR="00F4257C" w:rsidRPr="000936BA">
        <w:t>support</w:t>
      </w:r>
      <w:r w:rsidR="00DE17A6" w:rsidRPr="000936BA">
        <w:t xml:space="preserve"> (5.k.)</w:t>
      </w:r>
      <w:r w:rsidR="00F4257C" w:rsidRPr="000936BA">
        <w:t xml:space="preserve">. 44% of teachers had not </w:t>
      </w:r>
      <w:r w:rsidR="00075A6E" w:rsidRPr="000936BA">
        <w:t>p</w:t>
      </w:r>
      <w:r w:rsidR="00F4257C" w:rsidRPr="000936BA">
        <w:t>rovided feedback to ABC concerning resource boxes</w:t>
      </w:r>
      <w:r w:rsidR="00B45C85" w:rsidRPr="000936BA">
        <w:t>,</w:t>
      </w:r>
      <w:r w:rsidR="00F4257C" w:rsidRPr="000936BA">
        <w:t xml:space="preserve"> while </w:t>
      </w:r>
      <w:r w:rsidR="004C5093" w:rsidRPr="000936BA">
        <w:t>70</w:t>
      </w:r>
      <w:r w:rsidR="000C78DE" w:rsidRPr="000936BA">
        <w:t>% of</w:t>
      </w:r>
      <w:r w:rsidR="00F4257C" w:rsidRPr="000936BA">
        <w:t xml:space="preserve"> new </w:t>
      </w:r>
      <w:r w:rsidR="004C5093" w:rsidRPr="000936BA">
        <w:t xml:space="preserve">ABC </w:t>
      </w:r>
      <w:r w:rsidR="00F4257C" w:rsidRPr="000936BA">
        <w:t xml:space="preserve">members did not provide </w:t>
      </w:r>
      <w:r w:rsidR="000C78DE" w:rsidRPr="000936BA">
        <w:t xml:space="preserve">any </w:t>
      </w:r>
      <w:r w:rsidR="00F4257C" w:rsidRPr="000936BA">
        <w:t>feedback</w:t>
      </w:r>
      <w:r w:rsidR="00DE17A6" w:rsidRPr="000936BA">
        <w:t xml:space="preserve"> (5.a.)</w:t>
      </w:r>
      <w:r w:rsidR="00F4257C" w:rsidRPr="000936BA">
        <w:t>.</w:t>
      </w:r>
      <w:r w:rsidR="00802A3D" w:rsidRPr="000936BA">
        <w:t xml:space="preserve"> </w:t>
      </w:r>
      <w:r w:rsidR="005607D0" w:rsidRPr="000936BA">
        <w:t>O</w:t>
      </w:r>
      <w:r w:rsidR="00F4257C" w:rsidRPr="000936BA">
        <w:t xml:space="preserve">ne factor and </w:t>
      </w:r>
      <w:r w:rsidR="00B45C85" w:rsidRPr="000936BA">
        <w:t>one</w:t>
      </w:r>
      <w:r w:rsidR="00F4257C" w:rsidRPr="000936BA">
        <w:t xml:space="preserve"> sub-factor</w:t>
      </w:r>
      <w:r w:rsidR="005607D0" w:rsidRPr="000936BA">
        <w:t xml:space="preserve"> were identified</w:t>
      </w:r>
      <w:r w:rsidR="00806303" w:rsidRPr="000936BA">
        <w:t>:</w:t>
      </w:r>
      <w:r w:rsidR="00F4257C" w:rsidRPr="000936BA">
        <w:t xml:space="preserve"> ‘Total</w:t>
      </w:r>
      <w:r w:rsidR="00004409" w:rsidRPr="000936BA">
        <w:t>’ (</w:t>
      </w:r>
      <w:r w:rsidR="00DE17A6" w:rsidRPr="000936BA">
        <w:t>all questions 5.a.-l.</w:t>
      </w:r>
      <w:r w:rsidR="00004409" w:rsidRPr="000936BA">
        <w:t xml:space="preserve">); </w:t>
      </w:r>
      <w:r w:rsidR="00DE17A6" w:rsidRPr="000936BA">
        <w:t>and</w:t>
      </w:r>
      <w:r w:rsidR="00F4257C" w:rsidRPr="000936BA">
        <w:t xml:space="preserve"> ‘Use of Resource Box’ (</w:t>
      </w:r>
      <w:r w:rsidR="00DE17A6" w:rsidRPr="000936BA">
        <w:t>5.a.,e.</w:t>
      </w:r>
      <w:r w:rsidR="00F4257C" w:rsidRPr="000936BA">
        <w:t>)</w:t>
      </w:r>
      <w:r w:rsidR="00B45C85" w:rsidRPr="000936BA">
        <w:t xml:space="preserve">. </w:t>
      </w:r>
      <w:r w:rsidR="008D001A" w:rsidRPr="000936BA">
        <w:t xml:space="preserve">Statistically </w:t>
      </w:r>
      <w:r w:rsidR="00DE17A6" w:rsidRPr="000936BA">
        <w:t>s</w:t>
      </w:r>
      <w:r w:rsidR="00C9327C" w:rsidRPr="000936BA">
        <w:t>ignifican</w:t>
      </w:r>
      <w:r w:rsidR="00A2376B" w:rsidRPr="000936BA">
        <w:t>t</w:t>
      </w:r>
      <w:r w:rsidR="00321022" w:rsidRPr="000936BA">
        <w:t xml:space="preserve"> differences</w:t>
      </w:r>
      <w:r w:rsidR="00B45C85" w:rsidRPr="000936BA">
        <w:t xml:space="preserve"> </w:t>
      </w:r>
      <w:r w:rsidR="00A068E9">
        <w:t>identified</w:t>
      </w:r>
      <w:r w:rsidR="00F4257C" w:rsidRPr="000936BA">
        <w:t xml:space="preserve"> </w:t>
      </w:r>
      <w:r w:rsidR="005607D0" w:rsidRPr="000936BA">
        <w:t>length of</w:t>
      </w:r>
      <w:r w:rsidR="00F4257C" w:rsidRPr="000936BA">
        <w:t xml:space="preserve"> AB</w:t>
      </w:r>
      <w:r w:rsidR="003F5B43" w:rsidRPr="000936BA">
        <w:t>C</w:t>
      </w:r>
      <w:r w:rsidR="005607D0" w:rsidRPr="000936BA">
        <w:t xml:space="preserve"> involvement</w:t>
      </w:r>
      <w:r w:rsidR="00A068E9">
        <w:t xml:space="preserve">; </w:t>
      </w:r>
      <w:r w:rsidR="001614FF">
        <w:t xml:space="preserve">teachers with more experience of ABC </w:t>
      </w:r>
      <w:r w:rsidR="00F4257C" w:rsidRPr="000936BA">
        <w:t xml:space="preserve"> undertook </w:t>
      </w:r>
      <w:r w:rsidR="00803E62" w:rsidRPr="000936BA">
        <w:t xml:space="preserve">more </w:t>
      </w:r>
      <w:r w:rsidR="00F4257C" w:rsidRPr="000936BA">
        <w:t>activitie</w:t>
      </w:r>
      <w:r w:rsidR="003F5B43" w:rsidRPr="000936BA">
        <w:t>s</w:t>
      </w:r>
      <w:r w:rsidR="00F4257C" w:rsidRPr="000936BA">
        <w:t xml:space="preserve">. </w:t>
      </w:r>
      <w:r w:rsidR="00FD0527" w:rsidRPr="000936BA">
        <w:t>Like</w:t>
      </w:r>
      <w:r w:rsidR="00F4257C" w:rsidRPr="000936BA">
        <w:t xml:space="preserve"> the 1</w:t>
      </w:r>
      <w:r w:rsidR="00F4257C" w:rsidRPr="000936BA">
        <w:rPr>
          <w:vertAlign w:val="superscript"/>
        </w:rPr>
        <w:t>st</w:t>
      </w:r>
      <w:r w:rsidR="00F4257C" w:rsidRPr="000936BA">
        <w:t xml:space="preserve"> cohort, teachers participated in ABC activities </w:t>
      </w:r>
      <w:r w:rsidR="006B6FCD" w:rsidRPr="000936BA">
        <w:t>1-3</w:t>
      </w:r>
      <w:r w:rsidR="00F4257C" w:rsidRPr="000936BA">
        <w:t xml:space="preserve"> times in the year</w:t>
      </w:r>
      <w:r w:rsidR="009260E8" w:rsidRPr="000936BA">
        <w:t>, and activity involvement correlated with</w:t>
      </w:r>
      <w:r w:rsidR="00F4257C" w:rsidRPr="000936BA">
        <w:t xml:space="preserve"> number of years on the ABC programme.</w:t>
      </w:r>
    </w:p>
    <w:p w14:paraId="29FE328C" w14:textId="6F12F1DC" w:rsidR="00F4257C" w:rsidRPr="000936BA" w:rsidRDefault="0020309E" w:rsidP="00B6268A">
      <w:pPr>
        <w:spacing w:line="480" w:lineRule="auto"/>
      </w:pPr>
      <w:r w:rsidRPr="000936BA">
        <w:rPr>
          <w:bCs/>
          <w:i/>
          <w:iCs/>
        </w:rPr>
        <w:t xml:space="preserve">4.e. </w:t>
      </w:r>
      <w:r w:rsidR="009C1FF1" w:rsidRPr="000936BA">
        <w:rPr>
          <w:bCs/>
          <w:i/>
          <w:iCs/>
        </w:rPr>
        <w:t>Confidence/competence in promoting STEM/engineering</w:t>
      </w:r>
      <w:r w:rsidR="00F4257C" w:rsidRPr="000936BA">
        <w:rPr>
          <w:bCs/>
          <w:i/>
          <w:iCs/>
        </w:rPr>
        <w:t xml:space="preserve">: </w:t>
      </w:r>
      <w:r w:rsidR="005607D0" w:rsidRPr="000936BA">
        <w:rPr>
          <w:bCs/>
        </w:rPr>
        <w:t>Item</w:t>
      </w:r>
      <w:r w:rsidR="00F513DF" w:rsidRPr="000936BA">
        <w:rPr>
          <w:bCs/>
        </w:rPr>
        <w:t>s</w:t>
      </w:r>
      <w:r w:rsidR="00F4257C" w:rsidRPr="000936BA">
        <w:rPr>
          <w:bCs/>
        </w:rPr>
        <w:t xml:space="preserve"> w</w:t>
      </w:r>
      <w:r w:rsidR="00F513DF" w:rsidRPr="000936BA">
        <w:rPr>
          <w:bCs/>
        </w:rPr>
        <w:t>ere</w:t>
      </w:r>
      <w:r w:rsidR="00F4257C" w:rsidRPr="000936BA">
        <w:rPr>
          <w:bCs/>
        </w:rPr>
        <w:t xml:space="preserve"> reduced from 2</w:t>
      </w:r>
      <w:r w:rsidR="00DE17A6" w:rsidRPr="000936BA">
        <w:rPr>
          <w:bCs/>
        </w:rPr>
        <w:t>4</w:t>
      </w:r>
      <w:r w:rsidR="00F4257C" w:rsidRPr="000936BA">
        <w:t xml:space="preserve"> to 13</w:t>
      </w:r>
      <w:r w:rsidR="00F513DF" w:rsidRPr="000936BA">
        <w:t>,</w:t>
      </w:r>
      <w:r w:rsidR="00F4257C" w:rsidRPr="000936BA">
        <w:t xml:space="preserve"> and the original 11-point scale was reduced to 5-points. </w:t>
      </w:r>
      <w:r w:rsidR="00CF1D00" w:rsidRPr="000936BA">
        <w:t>T</w:t>
      </w:r>
      <w:r w:rsidR="00F4257C" w:rsidRPr="000936BA">
        <w:t xml:space="preserve">eachers showed high confidence </w:t>
      </w:r>
      <w:r w:rsidR="005607D0" w:rsidRPr="000936BA">
        <w:t>for</w:t>
      </w:r>
      <w:r w:rsidR="00F4257C" w:rsidRPr="000936BA">
        <w:t xml:space="preserve"> all questions; the average confidence was 3.8,</w:t>
      </w:r>
      <w:r w:rsidR="003F1AAA" w:rsidRPr="000936BA">
        <w:t xml:space="preserve"> </w:t>
      </w:r>
      <w:r w:rsidR="00F4257C" w:rsidRPr="000936BA">
        <w:t>a 70</w:t>
      </w:r>
      <w:r w:rsidR="00B45C85" w:rsidRPr="000936BA">
        <w:t>+</w:t>
      </w:r>
      <w:r w:rsidR="00F4257C" w:rsidRPr="000936BA">
        <w:t xml:space="preserve">% </w:t>
      </w:r>
      <w:r w:rsidR="003F1AAA" w:rsidRPr="000936BA">
        <w:t xml:space="preserve">confidence </w:t>
      </w:r>
      <w:r w:rsidR="00F4257C" w:rsidRPr="000936BA">
        <w:t>level. A few teachers</w:t>
      </w:r>
      <w:r w:rsidR="00190123">
        <w:t xml:space="preserve"> (10%)</w:t>
      </w:r>
      <w:r w:rsidR="00F4257C" w:rsidRPr="000936BA">
        <w:t xml:space="preserve"> were not confident at all – and this was especially demonstrated in </w:t>
      </w:r>
      <w:r w:rsidR="00C90565" w:rsidRPr="000936BA">
        <w:t>d</w:t>
      </w:r>
      <w:r w:rsidR="00F4257C" w:rsidRPr="000936BA">
        <w:t>esign</w:t>
      </w:r>
      <w:r w:rsidR="00BC51E1" w:rsidRPr="000936BA">
        <w:t>ing</w:t>
      </w:r>
      <w:r w:rsidR="00F4257C" w:rsidRPr="000936BA">
        <w:t xml:space="preserve"> an effective activity for weak</w:t>
      </w:r>
      <w:r w:rsidR="00BC51E1" w:rsidRPr="000936BA">
        <w:t xml:space="preserve"> </w:t>
      </w:r>
      <w:r w:rsidR="00F4257C" w:rsidRPr="000936BA">
        <w:t>students</w:t>
      </w:r>
      <w:r w:rsidR="00BC51E1" w:rsidRPr="000936BA">
        <w:t xml:space="preserve"> (6.n.)</w:t>
      </w:r>
      <w:r w:rsidR="00F4257C" w:rsidRPr="000936BA">
        <w:t xml:space="preserve">  and </w:t>
      </w:r>
      <w:r w:rsidR="00F03FD2" w:rsidRPr="000936BA">
        <w:t>h</w:t>
      </w:r>
      <w:r w:rsidR="00F4257C" w:rsidRPr="000936BA">
        <w:t>elp</w:t>
      </w:r>
      <w:r w:rsidR="00BC51E1" w:rsidRPr="000936BA">
        <w:t xml:space="preserve"> </w:t>
      </w:r>
      <w:r w:rsidR="00F4257C" w:rsidRPr="000936BA">
        <w:t>student</w:t>
      </w:r>
      <w:r w:rsidR="00BC51E1" w:rsidRPr="000936BA">
        <w:t>s</w:t>
      </w:r>
      <w:r w:rsidR="00F4257C" w:rsidRPr="000936BA">
        <w:t xml:space="preserve"> understand a difficult scientific concept</w:t>
      </w:r>
      <w:r w:rsidR="00BC51E1" w:rsidRPr="000936BA">
        <w:t xml:space="preserve"> (6.g.)</w:t>
      </w:r>
      <w:r w:rsidR="00F4257C" w:rsidRPr="000936BA">
        <w:t xml:space="preserve">. </w:t>
      </w:r>
      <w:r w:rsidR="00F46FE7" w:rsidRPr="000936BA">
        <w:t>N</w:t>
      </w:r>
      <w:r w:rsidR="00F4257C" w:rsidRPr="000936BA">
        <w:t xml:space="preserve">on-confident teachers tended to be the newest/least experienced in ABC and in TC groups that submitted the least number of questionnaire replies. </w:t>
      </w:r>
      <w:r w:rsidR="00B136CC" w:rsidRPr="000936BA">
        <w:t>H</w:t>
      </w:r>
      <w:r w:rsidR="00F4257C" w:rsidRPr="000936BA">
        <w:t xml:space="preserve">ighest levels of confidence characterised a range of teaching, social pedagogic and engineering skills </w:t>
      </w:r>
      <w:r w:rsidR="00F4257C" w:rsidRPr="000936BA">
        <w:rPr>
          <w:color w:val="000000" w:themeColor="text1"/>
        </w:rPr>
        <w:t>(</w:t>
      </w:r>
      <w:r w:rsidR="00B136CC" w:rsidRPr="000936BA">
        <w:rPr>
          <w:color w:val="000000" w:themeColor="text1"/>
        </w:rPr>
        <w:t>p</w:t>
      </w:r>
      <w:r w:rsidR="00F4257C" w:rsidRPr="000936BA">
        <w:rPr>
          <w:color w:val="000000" w:themeColor="text1"/>
        </w:rPr>
        <w:t>romote a positive attitude to engineerin</w:t>
      </w:r>
      <w:r w:rsidR="006D4EEB" w:rsidRPr="000936BA">
        <w:rPr>
          <w:color w:val="000000" w:themeColor="text1"/>
        </w:rPr>
        <w:t>g</w:t>
      </w:r>
      <w:r w:rsidR="00F4257C" w:rsidRPr="000936BA">
        <w:rPr>
          <w:color w:val="000000" w:themeColor="text1"/>
        </w:rPr>
        <w:t xml:space="preserve"> [4.31</w:t>
      </w:r>
      <w:r w:rsidR="006D4EEB" w:rsidRPr="000936BA">
        <w:rPr>
          <w:color w:val="000000" w:themeColor="text1"/>
        </w:rPr>
        <w:t>(mean), 6.c.(question)</w:t>
      </w:r>
      <w:r w:rsidR="00F4257C" w:rsidRPr="000936BA">
        <w:rPr>
          <w:color w:val="000000" w:themeColor="text1"/>
        </w:rPr>
        <w:t>], why we recycle paper [4.25</w:t>
      </w:r>
      <w:r w:rsidR="006D4EEB" w:rsidRPr="000936BA">
        <w:rPr>
          <w:color w:val="000000" w:themeColor="text1"/>
        </w:rPr>
        <w:t>, 6.l.</w:t>
      </w:r>
      <w:r w:rsidR="00F4257C" w:rsidRPr="000936BA">
        <w:rPr>
          <w:color w:val="000000" w:themeColor="text1"/>
        </w:rPr>
        <w:t xml:space="preserve">], </w:t>
      </w:r>
      <w:r w:rsidR="00157014" w:rsidRPr="000936BA">
        <w:rPr>
          <w:color w:val="000000" w:themeColor="text1"/>
        </w:rPr>
        <w:t>p</w:t>
      </w:r>
      <w:r w:rsidR="00F4257C" w:rsidRPr="000936BA">
        <w:rPr>
          <w:color w:val="000000" w:themeColor="text1"/>
        </w:rPr>
        <w:t xml:space="preserve">romote </w:t>
      </w:r>
      <w:r w:rsidR="00C77B19" w:rsidRPr="000936BA">
        <w:rPr>
          <w:color w:val="000000" w:themeColor="text1"/>
        </w:rPr>
        <w:t>teamwork</w:t>
      </w:r>
      <w:r w:rsidR="00F4257C" w:rsidRPr="000936BA">
        <w:rPr>
          <w:color w:val="000000" w:themeColor="text1"/>
        </w:rPr>
        <w:t xml:space="preserve"> on engineering problems [4.10</w:t>
      </w:r>
      <w:r w:rsidR="006D4EEB" w:rsidRPr="000936BA">
        <w:rPr>
          <w:color w:val="000000" w:themeColor="text1"/>
        </w:rPr>
        <w:t>, 6.d.</w:t>
      </w:r>
      <w:r w:rsidR="00F4257C" w:rsidRPr="000936BA">
        <w:rPr>
          <w:color w:val="000000" w:themeColor="text1"/>
        </w:rPr>
        <w:t>], think creatively about engineering problems [4.08</w:t>
      </w:r>
      <w:r w:rsidR="006D4EEB" w:rsidRPr="000936BA">
        <w:rPr>
          <w:color w:val="000000" w:themeColor="text1"/>
        </w:rPr>
        <w:t>, 6.e.</w:t>
      </w:r>
      <w:r w:rsidR="00F4257C" w:rsidRPr="000936BA">
        <w:rPr>
          <w:color w:val="000000" w:themeColor="text1"/>
        </w:rPr>
        <w:t xml:space="preserve">], </w:t>
      </w:r>
      <w:r w:rsidR="007355FA" w:rsidRPr="000936BA">
        <w:rPr>
          <w:color w:val="000000" w:themeColor="text1"/>
        </w:rPr>
        <w:t>extracurricular</w:t>
      </w:r>
      <w:r w:rsidR="00F4257C" w:rsidRPr="000936BA">
        <w:rPr>
          <w:color w:val="000000" w:themeColor="text1"/>
        </w:rPr>
        <w:t xml:space="preserve"> STEM activities [4.00</w:t>
      </w:r>
      <w:r w:rsidR="006D4EEB" w:rsidRPr="000936BA">
        <w:rPr>
          <w:color w:val="000000" w:themeColor="text1"/>
        </w:rPr>
        <w:t>, 6.j.</w:t>
      </w:r>
      <w:r w:rsidR="00F4257C" w:rsidRPr="000936BA">
        <w:rPr>
          <w:color w:val="000000" w:themeColor="text1"/>
        </w:rPr>
        <w:t xml:space="preserve">]). </w:t>
      </w:r>
      <w:r w:rsidR="005607D0" w:rsidRPr="000936BA">
        <w:t>Analyses identified o</w:t>
      </w:r>
      <w:r w:rsidR="00247893" w:rsidRPr="000936BA">
        <w:t>ne factor</w:t>
      </w:r>
      <w:r w:rsidR="005607D0" w:rsidRPr="000936BA">
        <w:t xml:space="preserve"> ‘Total confidence’</w:t>
      </w:r>
      <w:r w:rsidR="00F4257C" w:rsidRPr="000936BA">
        <w:t xml:space="preserve"> </w:t>
      </w:r>
      <w:r w:rsidR="00A068E9">
        <w:t>(</w:t>
      </w:r>
      <w:r w:rsidR="00F4257C" w:rsidRPr="000936BA">
        <w:t>included all items</w:t>
      </w:r>
      <w:r w:rsidR="005607D0" w:rsidRPr="000936BA">
        <w:t xml:space="preserve">, </w:t>
      </w:r>
      <w:r w:rsidR="006D4EEB" w:rsidRPr="000936BA">
        <w:t>6.a.-x.)</w:t>
      </w:r>
      <w:r w:rsidR="005607D0" w:rsidRPr="000936BA">
        <w:t xml:space="preserve"> </w:t>
      </w:r>
      <w:r w:rsidR="00BB691B" w:rsidRPr="000936BA">
        <w:t>and</w:t>
      </w:r>
      <w:r w:rsidR="00F4257C" w:rsidRPr="000936BA">
        <w:t xml:space="preserve"> three sub-factors: </w:t>
      </w:r>
      <w:r w:rsidR="00BB691B" w:rsidRPr="000936BA">
        <w:t>(</w:t>
      </w:r>
      <w:r w:rsidR="00B45C85" w:rsidRPr="000936BA">
        <w:t>‘</w:t>
      </w:r>
      <w:r w:rsidR="00F4257C" w:rsidRPr="000936BA">
        <w:t xml:space="preserve">Social </w:t>
      </w:r>
      <w:r w:rsidR="00B45C85" w:rsidRPr="000936BA">
        <w:t>p</w:t>
      </w:r>
      <w:r w:rsidR="00F4257C" w:rsidRPr="000936BA">
        <w:t xml:space="preserve">edagogic </w:t>
      </w:r>
      <w:r w:rsidR="00B45C85" w:rsidRPr="000936BA">
        <w:t>c</w:t>
      </w:r>
      <w:r w:rsidR="00F4257C" w:rsidRPr="000936BA">
        <w:t>onfidence</w:t>
      </w:r>
      <w:r w:rsidR="00B45C85" w:rsidRPr="000936BA">
        <w:t>’</w:t>
      </w:r>
      <w:r w:rsidR="00F4257C" w:rsidRPr="000936BA">
        <w:t xml:space="preserve"> </w:t>
      </w:r>
      <w:r w:rsidR="00F4257C" w:rsidRPr="000936BA">
        <w:rPr>
          <w:color w:val="000000" w:themeColor="text1"/>
        </w:rPr>
        <w:t>(</w:t>
      </w:r>
      <w:r w:rsidR="006D4EEB" w:rsidRPr="000936BA">
        <w:rPr>
          <w:color w:val="000000" w:themeColor="text1"/>
        </w:rPr>
        <w:t>6.a.,c.,d.,e.,f.,v.</w:t>
      </w:r>
      <w:r w:rsidR="00F4257C" w:rsidRPr="000936BA">
        <w:rPr>
          <w:color w:val="000000" w:themeColor="text1"/>
        </w:rPr>
        <w:t xml:space="preserve">); </w:t>
      </w:r>
      <w:r w:rsidR="00B45C85" w:rsidRPr="000936BA">
        <w:t>‘</w:t>
      </w:r>
      <w:r w:rsidR="00F4257C" w:rsidRPr="000936BA">
        <w:t xml:space="preserve">Engineering </w:t>
      </w:r>
      <w:r w:rsidR="00B45C85" w:rsidRPr="000936BA">
        <w:t>c</w:t>
      </w:r>
      <w:r w:rsidR="00F4257C" w:rsidRPr="000936BA">
        <w:t>onfidence</w:t>
      </w:r>
      <w:r w:rsidR="00B45C85" w:rsidRPr="000936BA">
        <w:t>’</w:t>
      </w:r>
      <w:r w:rsidR="00F4257C" w:rsidRPr="000936BA">
        <w:t xml:space="preserve"> </w:t>
      </w:r>
      <w:r w:rsidR="00F4257C" w:rsidRPr="000936BA">
        <w:rPr>
          <w:color w:val="000000" w:themeColor="text1"/>
        </w:rPr>
        <w:t>(</w:t>
      </w:r>
      <w:r w:rsidR="006D4EEB" w:rsidRPr="000936BA">
        <w:rPr>
          <w:color w:val="000000" w:themeColor="text1"/>
        </w:rPr>
        <w:t>6.a.,k.,l.,p.,r.,t.</w:t>
      </w:r>
      <w:r w:rsidR="00F4257C" w:rsidRPr="000936BA">
        <w:rPr>
          <w:color w:val="000000" w:themeColor="text1"/>
        </w:rPr>
        <w:t xml:space="preserve">); </w:t>
      </w:r>
      <w:r w:rsidR="00F4257C" w:rsidRPr="000936BA">
        <w:t xml:space="preserve">and </w:t>
      </w:r>
      <w:r w:rsidR="00B45C85" w:rsidRPr="000936BA">
        <w:t>‘</w:t>
      </w:r>
      <w:r w:rsidR="00F4257C" w:rsidRPr="000936BA">
        <w:t xml:space="preserve">STEM </w:t>
      </w:r>
      <w:r w:rsidR="00B45C85" w:rsidRPr="000936BA">
        <w:t>t</w:t>
      </w:r>
      <w:r w:rsidR="00F4257C" w:rsidRPr="000936BA">
        <w:t xml:space="preserve">eaching </w:t>
      </w:r>
      <w:r w:rsidR="00B45C85" w:rsidRPr="000936BA">
        <w:t>c</w:t>
      </w:r>
      <w:r w:rsidR="00F4257C" w:rsidRPr="000936BA">
        <w:t>onfidence</w:t>
      </w:r>
      <w:r w:rsidR="00B45C85" w:rsidRPr="000936BA">
        <w:t>’</w:t>
      </w:r>
      <w:r w:rsidR="00F4257C" w:rsidRPr="000936BA">
        <w:t xml:space="preserve"> (</w:t>
      </w:r>
      <w:r w:rsidR="006E5119" w:rsidRPr="000936BA">
        <w:t>6.j.,n.</w:t>
      </w:r>
      <w:r w:rsidR="00067FC3" w:rsidRPr="000936BA">
        <w:t>)</w:t>
      </w:r>
      <w:r w:rsidR="00BB691B" w:rsidRPr="000936BA">
        <w:t>)</w:t>
      </w:r>
      <w:r w:rsidR="00F4257C" w:rsidRPr="000936BA">
        <w:t>. There were many</w:t>
      </w:r>
      <w:r w:rsidR="008D001A" w:rsidRPr="000936BA">
        <w:t xml:space="preserve"> statistically</w:t>
      </w:r>
      <w:r w:rsidR="006E5119" w:rsidRPr="000936BA">
        <w:t xml:space="preserve"> </w:t>
      </w:r>
      <w:r w:rsidR="00F4257C" w:rsidRPr="000936BA">
        <w:t>significant differences.</w:t>
      </w:r>
      <w:r w:rsidR="007675DF" w:rsidRPr="000936BA">
        <w:t xml:space="preserve"> </w:t>
      </w:r>
      <w:r w:rsidR="00F4257C" w:rsidRPr="000936BA">
        <w:t xml:space="preserve">Teachers with an </w:t>
      </w:r>
      <w:r w:rsidR="007675DF" w:rsidRPr="000936BA">
        <w:t>e</w:t>
      </w:r>
      <w:r w:rsidR="00F4257C" w:rsidRPr="000936BA">
        <w:t xml:space="preserve">ngineering </w:t>
      </w:r>
      <w:r w:rsidR="007675DF" w:rsidRPr="000936BA">
        <w:t>q</w:t>
      </w:r>
      <w:r w:rsidR="00F4257C" w:rsidRPr="000936BA">
        <w:t>ualification showed</w:t>
      </w:r>
      <w:r w:rsidR="00190123">
        <w:t xml:space="preserve"> the</w:t>
      </w:r>
      <w:r w:rsidR="00F4257C" w:rsidRPr="000936BA">
        <w:t xml:space="preserve"> highe</w:t>
      </w:r>
      <w:r w:rsidR="00190123">
        <w:t>st</w:t>
      </w:r>
      <w:r w:rsidR="00F4257C" w:rsidRPr="000936BA">
        <w:t xml:space="preserve"> levels of confidence for </w:t>
      </w:r>
      <w:r w:rsidR="008D001A" w:rsidRPr="000936BA">
        <w:t>‘</w:t>
      </w:r>
      <w:r w:rsidR="00F4257C" w:rsidRPr="000936BA">
        <w:t>Total Confidence</w:t>
      </w:r>
      <w:r w:rsidR="008D001A" w:rsidRPr="000936BA">
        <w:t>’</w:t>
      </w:r>
      <w:r w:rsidR="00F4257C" w:rsidRPr="000936BA">
        <w:t xml:space="preserve"> and each of the sub-factors</w:t>
      </w:r>
      <w:r w:rsidR="004221AF" w:rsidRPr="000936BA">
        <w:t xml:space="preserve">. </w:t>
      </w:r>
      <w:r w:rsidR="00F4257C" w:rsidRPr="000936BA">
        <w:t>Mathematics teachers</w:t>
      </w:r>
      <w:r w:rsidR="00190123">
        <w:t xml:space="preserve"> and teachers new to A</w:t>
      </w:r>
      <w:r w:rsidR="0090080C">
        <w:t>B</w:t>
      </w:r>
      <w:r w:rsidR="00190123">
        <w:t>C</w:t>
      </w:r>
      <w:r w:rsidR="00F4257C" w:rsidRPr="000936BA">
        <w:t xml:space="preserve"> show</w:t>
      </w:r>
      <w:r w:rsidR="00BB691B" w:rsidRPr="000936BA">
        <w:t>ed</w:t>
      </w:r>
      <w:r w:rsidR="00F4257C" w:rsidRPr="000936BA">
        <w:t xml:space="preserve"> the l</w:t>
      </w:r>
      <w:r w:rsidR="004221AF" w:rsidRPr="000936BA">
        <w:t>owest</w:t>
      </w:r>
      <w:r w:rsidR="00F4257C" w:rsidRPr="000936BA">
        <w:t xml:space="preserve"> confidence in each of these. </w:t>
      </w:r>
      <w:r w:rsidR="00363220" w:rsidRPr="000936BA">
        <w:t>W</w:t>
      </w:r>
      <w:r w:rsidR="00F4257C" w:rsidRPr="000936BA">
        <w:t xml:space="preserve">ork as an </w:t>
      </w:r>
      <w:r w:rsidR="00363220" w:rsidRPr="000936BA">
        <w:t>e</w:t>
      </w:r>
      <w:r w:rsidR="00F4257C" w:rsidRPr="000936BA">
        <w:t xml:space="preserve">ngineer </w:t>
      </w:r>
      <w:r w:rsidR="00FE0010" w:rsidRPr="000936BA">
        <w:lastRenderedPageBreak/>
        <w:t xml:space="preserve">was higher for </w:t>
      </w:r>
      <w:r w:rsidR="008D001A" w:rsidRPr="000936BA">
        <w:t>‘</w:t>
      </w:r>
      <w:r w:rsidR="00F4257C" w:rsidRPr="000936BA">
        <w:t xml:space="preserve">Total </w:t>
      </w:r>
      <w:r w:rsidR="00B45C85" w:rsidRPr="000936BA">
        <w:t>c</w:t>
      </w:r>
      <w:r w:rsidR="00F4257C" w:rsidRPr="000936BA">
        <w:t>onfidence</w:t>
      </w:r>
      <w:r w:rsidR="008D001A" w:rsidRPr="000936BA">
        <w:t>’</w:t>
      </w:r>
      <w:r w:rsidR="00F4257C" w:rsidRPr="000936BA">
        <w:t xml:space="preserve"> but did not affect </w:t>
      </w:r>
      <w:r w:rsidR="008D001A" w:rsidRPr="000936BA">
        <w:t>‘</w:t>
      </w:r>
      <w:r w:rsidR="00B45C85" w:rsidRPr="000936BA">
        <w:t>S</w:t>
      </w:r>
      <w:r w:rsidR="00F4257C" w:rsidRPr="000936BA">
        <w:t xml:space="preserve">ocial </w:t>
      </w:r>
      <w:r w:rsidR="00B45C85" w:rsidRPr="000936BA">
        <w:t>p</w:t>
      </w:r>
      <w:r w:rsidR="00F4257C" w:rsidRPr="000936BA">
        <w:t>edagogic</w:t>
      </w:r>
      <w:r w:rsidR="008D001A" w:rsidRPr="000936BA">
        <w:t>’</w:t>
      </w:r>
      <w:r w:rsidR="00F4257C" w:rsidRPr="000936BA">
        <w:t xml:space="preserve"> </w:t>
      </w:r>
      <w:r w:rsidR="00B45C85" w:rsidRPr="000936BA">
        <w:t>c</w:t>
      </w:r>
      <w:r w:rsidR="00F4257C" w:rsidRPr="000936BA">
        <w:t xml:space="preserve">onfidence </w:t>
      </w:r>
      <w:r w:rsidR="00B12062" w:rsidRPr="000936BA">
        <w:t xml:space="preserve">nor </w:t>
      </w:r>
      <w:r w:rsidR="008D001A" w:rsidRPr="000936BA">
        <w:t>‘</w:t>
      </w:r>
      <w:r w:rsidR="00F4257C" w:rsidRPr="000936BA">
        <w:t xml:space="preserve">STEM </w:t>
      </w:r>
      <w:r w:rsidR="00B45C85" w:rsidRPr="000936BA">
        <w:t>t</w:t>
      </w:r>
      <w:r w:rsidR="00F4257C" w:rsidRPr="000936BA">
        <w:t>eaching</w:t>
      </w:r>
      <w:r w:rsidR="008D001A" w:rsidRPr="000936BA">
        <w:t>’</w:t>
      </w:r>
      <w:r w:rsidR="00F4257C" w:rsidRPr="000936BA">
        <w:t xml:space="preserve"> </w:t>
      </w:r>
      <w:r w:rsidR="00B45C85" w:rsidRPr="000936BA">
        <w:t>c</w:t>
      </w:r>
      <w:r w:rsidR="00F4257C" w:rsidRPr="000936BA">
        <w:t xml:space="preserve">onfidence. </w:t>
      </w:r>
      <w:r w:rsidR="008D001A" w:rsidRPr="000936BA">
        <w:t xml:space="preserve">As with </w:t>
      </w:r>
      <w:r w:rsidR="00F4257C" w:rsidRPr="000936BA">
        <w:t>the 1</w:t>
      </w:r>
      <w:r w:rsidR="00F4257C" w:rsidRPr="000936BA">
        <w:rPr>
          <w:vertAlign w:val="superscript"/>
        </w:rPr>
        <w:t>st</w:t>
      </w:r>
      <w:r w:rsidR="00F4257C" w:rsidRPr="000936BA">
        <w:t xml:space="preserve"> cohort, scoring on the </w:t>
      </w:r>
      <w:r w:rsidR="008D001A" w:rsidRPr="000936BA">
        <w:t>‘</w:t>
      </w:r>
      <w:r w:rsidR="00F4257C" w:rsidRPr="000936BA">
        <w:t>Total</w:t>
      </w:r>
      <w:r w:rsidR="00B45C85" w:rsidRPr="000936BA">
        <w:t xml:space="preserve"> confidence</w:t>
      </w:r>
      <w:r w:rsidR="008D001A" w:rsidRPr="000936BA">
        <w:t>’</w:t>
      </w:r>
      <w:r w:rsidR="00F4257C" w:rsidRPr="000936BA">
        <w:t xml:space="preserve"> factor was related to length of experience on ABC.</w:t>
      </w:r>
    </w:p>
    <w:p w14:paraId="6BD385C2" w14:textId="04C64FB0" w:rsidR="00401749" w:rsidRPr="000936BA" w:rsidRDefault="0020309E" w:rsidP="00B6268A">
      <w:pPr>
        <w:spacing w:line="480" w:lineRule="auto"/>
      </w:pPr>
      <w:r w:rsidRPr="000936BA">
        <w:rPr>
          <w:bCs/>
          <w:i/>
          <w:iCs/>
        </w:rPr>
        <w:t xml:space="preserve">4.f. </w:t>
      </w:r>
      <w:r w:rsidR="00864593" w:rsidRPr="000936BA">
        <w:rPr>
          <w:bCs/>
          <w:i/>
          <w:iCs/>
        </w:rPr>
        <w:t>Impact of ABC</w:t>
      </w:r>
      <w:r w:rsidR="00F4257C" w:rsidRPr="000936BA">
        <w:rPr>
          <w:bCs/>
          <w:i/>
          <w:iCs/>
        </w:rPr>
        <w:t>:</w:t>
      </w:r>
      <w:r w:rsidR="00F4257C" w:rsidRPr="000936BA">
        <w:t xml:space="preserve"> </w:t>
      </w:r>
      <w:r w:rsidR="00BB691B" w:rsidRPr="000936BA">
        <w:t>Item</w:t>
      </w:r>
      <w:r w:rsidR="00607B62" w:rsidRPr="000936BA">
        <w:t>s</w:t>
      </w:r>
      <w:r w:rsidR="00F4257C" w:rsidRPr="000936BA">
        <w:t xml:space="preserve"> </w:t>
      </w:r>
      <w:r w:rsidR="00607B62" w:rsidRPr="000936BA">
        <w:t>were</w:t>
      </w:r>
      <w:r w:rsidR="00F4257C" w:rsidRPr="000936BA">
        <w:t xml:space="preserve"> reduced from </w:t>
      </w:r>
      <w:r w:rsidR="006E5119" w:rsidRPr="000936BA">
        <w:t>9</w:t>
      </w:r>
      <w:r w:rsidR="00F4257C" w:rsidRPr="000936BA">
        <w:t xml:space="preserve"> to </w:t>
      </w:r>
      <w:r w:rsidR="006E5119" w:rsidRPr="000936BA">
        <w:t>7</w:t>
      </w:r>
      <w:r w:rsidR="00F4257C" w:rsidRPr="000936BA">
        <w:t xml:space="preserve">, and the original 7-point scale was reduced to 5-points. All respondents agreed that ABC had a range of positive impacts on students, with an average score of 1.94. There was no ‘Strong Disagreement’ with any </w:t>
      </w:r>
      <w:r w:rsidR="00BB691B" w:rsidRPr="000936BA">
        <w:t>item</w:t>
      </w:r>
      <w:r w:rsidR="00F4257C" w:rsidRPr="000936BA">
        <w:t>. Strongest agreement</w:t>
      </w:r>
      <w:r w:rsidR="00C503D3" w:rsidRPr="000936BA">
        <w:t>s</w:t>
      </w:r>
      <w:r w:rsidR="00F4257C" w:rsidRPr="000936BA">
        <w:t xml:space="preserve"> were found with: relevan</w:t>
      </w:r>
      <w:r w:rsidR="006E5119" w:rsidRPr="000936BA">
        <w:t>ce</w:t>
      </w:r>
      <w:r w:rsidR="00F4257C" w:rsidRPr="000936BA">
        <w:t xml:space="preserve"> to the STEM curriculum </w:t>
      </w:r>
      <w:r w:rsidR="006E5119" w:rsidRPr="000936BA">
        <w:t>[</w:t>
      </w:r>
      <w:r w:rsidR="00F4257C" w:rsidRPr="000936BA">
        <w:t>1.80</w:t>
      </w:r>
      <w:r w:rsidR="006E5119" w:rsidRPr="000936BA">
        <w:t>, 7.a.]</w:t>
      </w:r>
      <w:r w:rsidR="00F4257C" w:rsidRPr="000936BA">
        <w:t xml:space="preserve">; understanding STEM careers </w:t>
      </w:r>
      <w:r w:rsidR="006E5119" w:rsidRPr="000936BA">
        <w:t>[</w:t>
      </w:r>
      <w:r w:rsidR="00F4257C" w:rsidRPr="000936BA">
        <w:t>1.82</w:t>
      </w:r>
      <w:r w:rsidR="006E5119" w:rsidRPr="000936BA">
        <w:t>, 7.h.]</w:t>
      </w:r>
      <w:r w:rsidR="00F4257C" w:rsidRPr="000936BA">
        <w:t xml:space="preserve">; </w:t>
      </w:r>
      <w:r w:rsidR="001E70DC" w:rsidRPr="000936BA">
        <w:t>s</w:t>
      </w:r>
      <w:r w:rsidR="00F4257C" w:rsidRPr="000936BA">
        <w:t xml:space="preserve">tudent attainment </w:t>
      </w:r>
      <w:r w:rsidR="006E5119" w:rsidRPr="000936BA">
        <w:t>[</w:t>
      </w:r>
      <w:r w:rsidR="00F4257C" w:rsidRPr="000936BA">
        <w:t>1.89</w:t>
      </w:r>
      <w:r w:rsidR="006E5119" w:rsidRPr="000936BA">
        <w:t>, 7.b.]</w:t>
      </w:r>
      <w:r w:rsidR="00F4257C" w:rsidRPr="000936BA">
        <w:t xml:space="preserve">; and interest in </w:t>
      </w:r>
      <w:r w:rsidR="0016163F" w:rsidRPr="000936BA">
        <w:t>e</w:t>
      </w:r>
      <w:r w:rsidR="00F4257C" w:rsidRPr="000936BA">
        <w:t xml:space="preserve">ngineering careers </w:t>
      </w:r>
      <w:r w:rsidR="006E5119" w:rsidRPr="000936BA">
        <w:t>[</w:t>
      </w:r>
      <w:r w:rsidR="00F4257C" w:rsidRPr="000936BA">
        <w:t>1.90</w:t>
      </w:r>
      <w:r w:rsidR="006E5119" w:rsidRPr="000936BA">
        <w:t>, 7.g.]</w:t>
      </w:r>
      <w:r w:rsidR="00F4257C" w:rsidRPr="000936BA">
        <w:t xml:space="preserve">. </w:t>
      </w:r>
      <w:r w:rsidR="0016163F" w:rsidRPr="000936BA">
        <w:t>W</w:t>
      </w:r>
      <w:r w:rsidR="00F4257C" w:rsidRPr="000936BA">
        <w:t>eakest agreement w</w:t>
      </w:r>
      <w:r w:rsidR="002F6E94" w:rsidRPr="000936BA">
        <w:t>as</w:t>
      </w:r>
      <w:r w:rsidR="00F4257C" w:rsidRPr="000936BA">
        <w:t xml:space="preserve"> found regard</w:t>
      </w:r>
      <w:r w:rsidR="002F6E94" w:rsidRPr="000936BA">
        <w:t>ing</w:t>
      </w:r>
      <w:r w:rsidR="006E5119" w:rsidRPr="000936BA">
        <w:t>:</w:t>
      </w:r>
      <w:r w:rsidR="00F4257C" w:rsidRPr="000936BA">
        <w:t xml:space="preserve"> choos</w:t>
      </w:r>
      <w:r w:rsidR="006E5119" w:rsidRPr="000936BA">
        <w:t>ing</w:t>
      </w:r>
      <w:r w:rsidR="00F4257C" w:rsidRPr="000936BA">
        <w:t xml:space="preserve"> D</w:t>
      </w:r>
      <w:r w:rsidR="00A4466A" w:rsidRPr="000936BA">
        <w:t>T&amp;E</w:t>
      </w:r>
      <w:r w:rsidR="00F4257C" w:rsidRPr="000936BA">
        <w:t xml:space="preserve"> </w:t>
      </w:r>
      <w:r w:rsidR="00E01E74" w:rsidRPr="000936BA">
        <w:t>discipline</w:t>
      </w:r>
      <w:r w:rsidR="00F4257C" w:rsidRPr="000936BA">
        <w:t xml:space="preserve"> options </w:t>
      </w:r>
      <w:r w:rsidR="006E5119" w:rsidRPr="000936BA">
        <w:t>[</w:t>
      </w:r>
      <w:r w:rsidR="00F4257C" w:rsidRPr="000936BA">
        <w:t>2.11</w:t>
      </w:r>
      <w:r w:rsidR="006E5119" w:rsidRPr="000936BA">
        <w:t>, 7.e.</w:t>
      </w:r>
      <w:r w:rsidR="00F4257C" w:rsidRPr="000936BA">
        <w:t xml:space="preserve">). </w:t>
      </w:r>
      <w:r w:rsidR="005A30B1" w:rsidRPr="000936BA">
        <w:t>T</w:t>
      </w:r>
      <w:r w:rsidR="00F4257C" w:rsidRPr="000936BA">
        <w:t>eachers</w:t>
      </w:r>
      <w:r w:rsidR="005A30B1" w:rsidRPr="000936BA">
        <w:t xml:space="preserve"> that</w:t>
      </w:r>
      <w:r w:rsidR="00F4257C" w:rsidRPr="000936BA">
        <w:t xml:space="preserve"> provid</w:t>
      </w:r>
      <w:r w:rsidR="00891D69" w:rsidRPr="000936BA">
        <w:t>ed</w:t>
      </w:r>
      <w:r w:rsidR="005A30B1" w:rsidRPr="000936BA">
        <w:t xml:space="preserve"> </w:t>
      </w:r>
      <w:r w:rsidR="00F4257C" w:rsidRPr="000936BA">
        <w:t>‘No Opinion’ or ‘Disagree’ responses included</w:t>
      </w:r>
      <w:r w:rsidR="002B1A9B" w:rsidRPr="000936BA">
        <w:t xml:space="preserve"> those</w:t>
      </w:r>
      <w:r w:rsidR="00F4257C" w:rsidRPr="000936BA">
        <w:t xml:space="preserve"> with </w:t>
      </w:r>
      <w:r w:rsidR="005A30B1" w:rsidRPr="000936BA">
        <w:t>p</w:t>
      </w:r>
      <w:r w:rsidR="00F4257C" w:rsidRPr="000936BA">
        <w:t>hysics qualification</w:t>
      </w:r>
      <w:r w:rsidR="006E5119" w:rsidRPr="000936BA">
        <w:t>s,</w:t>
      </w:r>
      <w:r w:rsidR="00F4257C" w:rsidRPr="000936BA">
        <w:t xml:space="preserve"> </w:t>
      </w:r>
      <w:r w:rsidR="006E5119" w:rsidRPr="000936BA">
        <w:t>had</w:t>
      </w:r>
      <w:r w:rsidR="002B1A9B" w:rsidRPr="000936BA">
        <w:t xml:space="preserve"> </w:t>
      </w:r>
      <w:r w:rsidR="00F4257C" w:rsidRPr="000936BA">
        <w:t>just joined ABC</w:t>
      </w:r>
      <w:r w:rsidR="00FD0527" w:rsidRPr="000936BA">
        <w:t>,</w:t>
      </w:r>
      <w:r w:rsidR="00F4257C" w:rsidRPr="000936BA">
        <w:t xml:space="preserve"> and</w:t>
      </w:r>
      <w:r w:rsidR="00A14438" w:rsidRPr="000936BA">
        <w:t xml:space="preserve"> </w:t>
      </w:r>
      <w:r w:rsidR="00F4257C" w:rsidRPr="000936BA">
        <w:t xml:space="preserve">taught at upper secondary level. </w:t>
      </w:r>
      <w:r w:rsidR="00BB691B" w:rsidRPr="000936BA">
        <w:t>One</w:t>
      </w:r>
      <w:r w:rsidR="00A14438" w:rsidRPr="000936BA">
        <w:t xml:space="preserve"> factor</w:t>
      </w:r>
      <w:r w:rsidR="00BB691B" w:rsidRPr="000936BA">
        <w:t xml:space="preserve"> was identified</w:t>
      </w:r>
      <w:r w:rsidR="00A14438" w:rsidRPr="000936BA">
        <w:t>:</w:t>
      </w:r>
      <w:r w:rsidR="00F4257C" w:rsidRPr="000936BA">
        <w:t xml:space="preserve"> </w:t>
      </w:r>
      <w:r w:rsidR="00C503D3" w:rsidRPr="000936BA">
        <w:t>‘</w:t>
      </w:r>
      <w:r w:rsidR="00F4257C" w:rsidRPr="000936BA">
        <w:t xml:space="preserve">Total </w:t>
      </w:r>
      <w:r w:rsidR="00C503D3" w:rsidRPr="000936BA">
        <w:t>p</w:t>
      </w:r>
      <w:r w:rsidR="00F4257C" w:rsidRPr="000936BA">
        <w:t xml:space="preserve">erceived </w:t>
      </w:r>
      <w:r w:rsidR="00C503D3" w:rsidRPr="000936BA">
        <w:t>i</w:t>
      </w:r>
      <w:r w:rsidR="00F4257C" w:rsidRPr="000936BA">
        <w:t>mpact</w:t>
      </w:r>
      <w:r w:rsidR="00C503D3" w:rsidRPr="000936BA">
        <w:t>’</w:t>
      </w:r>
      <w:r w:rsidR="00A14438" w:rsidRPr="000936BA">
        <w:t>,</w:t>
      </w:r>
      <w:r w:rsidR="00F4257C" w:rsidRPr="000936BA">
        <w:t xml:space="preserve"> with a high mean (1.94)</w:t>
      </w:r>
      <w:r w:rsidR="008728F1" w:rsidRPr="000936BA">
        <w:t xml:space="preserve"> and included all </w:t>
      </w:r>
      <w:r w:rsidR="00BB691B" w:rsidRPr="000936BA">
        <w:t>item</w:t>
      </w:r>
      <w:r w:rsidR="008728F1" w:rsidRPr="000936BA">
        <w:t>s</w:t>
      </w:r>
      <w:r w:rsidR="00FD0527" w:rsidRPr="000936BA">
        <w:t xml:space="preserve"> (7.a.-i.)</w:t>
      </w:r>
      <w:r w:rsidR="00F4257C" w:rsidRPr="000936BA">
        <w:t xml:space="preserve">. The only </w:t>
      </w:r>
      <w:r w:rsidR="008D001A" w:rsidRPr="000936BA">
        <w:t xml:space="preserve">statistically </w:t>
      </w:r>
      <w:r w:rsidR="00F4257C" w:rsidRPr="000936BA">
        <w:t xml:space="preserve">significant difference was found </w:t>
      </w:r>
      <w:r w:rsidR="00C503D3" w:rsidRPr="000936BA">
        <w:t xml:space="preserve">regarding </w:t>
      </w:r>
      <w:r w:rsidR="00F4257C" w:rsidRPr="000936BA">
        <w:t xml:space="preserve">experience on ABC, where </w:t>
      </w:r>
      <w:r w:rsidR="00313C59" w:rsidRPr="000936BA">
        <w:t xml:space="preserve">recently joined </w:t>
      </w:r>
      <w:r w:rsidR="00F4257C" w:rsidRPr="000936BA">
        <w:t>teachers were most likely to have ‘No Opinion’ or ‘Disagree’ with impact statements</w:t>
      </w:r>
      <w:r w:rsidR="003312AC">
        <w:t xml:space="preserve"> – </w:t>
      </w:r>
      <w:proofErr w:type="gramStart"/>
      <w:r w:rsidR="003312AC">
        <w:t>similar to</w:t>
      </w:r>
      <w:proofErr w:type="gramEnd"/>
      <w:r w:rsidR="003312AC">
        <w:t xml:space="preserve"> the 1</w:t>
      </w:r>
      <w:r w:rsidR="003312AC" w:rsidRPr="00ED0D2E">
        <w:rPr>
          <w:vertAlign w:val="superscript"/>
        </w:rPr>
        <w:t>st</w:t>
      </w:r>
      <w:r w:rsidR="003312AC">
        <w:t xml:space="preserve"> cohort</w:t>
      </w:r>
      <w:r w:rsidR="00F4257C" w:rsidRPr="000936BA">
        <w:t>.</w:t>
      </w:r>
    </w:p>
    <w:p w14:paraId="0BC80D68" w14:textId="77777777" w:rsidR="008D001A" w:rsidRPr="000936BA" w:rsidRDefault="008D001A" w:rsidP="00B6268A">
      <w:pPr>
        <w:spacing w:line="480" w:lineRule="auto"/>
      </w:pPr>
    </w:p>
    <w:p w14:paraId="0A67C01A" w14:textId="18D25F1C" w:rsidR="008D001A" w:rsidRPr="000936BA" w:rsidRDefault="00401749" w:rsidP="00B6268A">
      <w:pPr>
        <w:spacing w:line="480" w:lineRule="auto"/>
      </w:pPr>
      <w:r w:rsidRPr="000936BA">
        <w:rPr>
          <w:b/>
          <w:bCs/>
        </w:rPr>
        <w:t>Discussion</w:t>
      </w:r>
    </w:p>
    <w:p w14:paraId="3EEF911B" w14:textId="5EB73B0B" w:rsidR="002B06B1" w:rsidRPr="000936BA" w:rsidRDefault="005C3F75" w:rsidP="00B6268A">
      <w:pPr>
        <w:spacing w:line="480" w:lineRule="auto"/>
      </w:pPr>
      <w:r w:rsidRPr="000936BA">
        <w:t>In undertaking the ABC evaluation, we opened a lengthy and complex topic for consideration</w:t>
      </w:r>
      <w:r w:rsidR="00EE5B3B" w:rsidRPr="000936BA">
        <w:t>, in which attention to detail carri</w:t>
      </w:r>
      <w:r w:rsidR="00B77F58">
        <w:t>es</w:t>
      </w:r>
      <w:r w:rsidR="00EE5B3B" w:rsidRPr="000936BA">
        <w:t xml:space="preserve"> great importance in identifying the range of factors and items that contribute to a full understanding of thi</w:t>
      </w:r>
      <w:r w:rsidR="00514F9C">
        <w:t>s</w:t>
      </w:r>
      <w:r w:rsidR="00EE5B3B" w:rsidRPr="000936BA">
        <w:t xml:space="preserve"> project</w:t>
      </w:r>
      <w:r w:rsidRPr="000936BA">
        <w:t xml:space="preserve">. </w:t>
      </w:r>
      <w:r w:rsidR="00F44832" w:rsidRPr="000936BA">
        <w:t>W</w:t>
      </w:r>
      <w:r w:rsidRPr="000936BA">
        <w:t xml:space="preserve">e </w:t>
      </w:r>
      <w:r w:rsidR="00E76FDA" w:rsidRPr="000936BA">
        <w:t>were</w:t>
      </w:r>
      <w:r w:rsidRPr="000936BA">
        <w:t xml:space="preserve"> ambitious in respond</w:t>
      </w:r>
      <w:r w:rsidR="00E76FDA" w:rsidRPr="000936BA">
        <w:t>ing</w:t>
      </w:r>
      <w:r w:rsidRPr="000936BA">
        <w:t xml:space="preserve"> to a range of evaluation and STEM concerns</w:t>
      </w:r>
      <w:r w:rsidR="00EE5B3B" w:rsidRPr="000936BA">
        <w:t xml:space="preserve">, </w:t>
      </w:r>
      <w:r w:rsidRPr="000936BA">
        <w:t xml:space="preserve">as well as </w:t>
      </w:r>
      <w:r w:rsidR="00E76FDA" w:rsidRPr="000936BA">
        <w:t>reporting</w:t>
      </w:r>
      <w:r w:rsidRPr="000936BA">
        <w:t xml:space="preserve"> 8 years of evaluation. </w:t>
      </w:r>
      <w:r w:rsidR="00CA63FE">
        <w:t>I</w:t>
      </w:r>
      <w:r w:rsidR="00EE5B3B" w:rsidRPr="000936BA">
        <w:t xml:space="preserve">ndeed, one of the main findings here is that it is unwise, even misjudged, to look for singular, straightforward or simple answers and solutions to matters concerning the efficacy and practice of STEM-CPD.  Rather, the complexity of contextual and pragmatic factors played a significant role in the efficacy and impact of the STEM-CPD reported here. </w:t>
      </w:r>
      <w:r w:rsidR="00EA7F74" w:rsidRPr="000936BA">
        <w:lastRenderedPageBreak/>
        <w:t>While</w:t>
      </w:r>
      <w:r w:rsidR="002B06B1" w:rsidRPr="000936BA">
        <w:t xml:space="preserve"> it is possible to identify some key contributors to effective STEM-CPD</w:t>
      </w:r>
      <w:r w:rsidR="00EA7F74" w:rsidRPr="000936BA">
        <w:t xml:space="preserve"> (e.g.,</w:t>
      </w:r>
      <w:r w:rsidR="002B06B1" w:rsidRPr="000936BA">
        <w:t xml:space="preserve"> </w:t>
      </w:r>
      <w:r w:rsidR="00EA7F74" w:rsidRPr="000936BA">
        <w:t xml:space="preserve">importance of </w:t>
      </w:r>
      <w:r w:rsidR="002B06B1" w:rsidRPr="000936BA">
        <w:t>networking,</w:t>
      </w:r>
      <w:r w:rsidR="00EA7F74" w:rsidRPr="000936BA">
        <w:t xml:space="preserve"> quality of communication/reflection, social inclusion) </w:t>
      </w:r>
      <w:r w:rsidR="002B06B1" w:rsidRPr="000936BA">
        <w:t xml:space="preserve"> and contributors to less effective STEM-CPD </w:t>
      </w:r>
      <w:r w:rsidR="00EA7F74" w:rsidRPr="000936BA">
        <w:t>(</w:t>
      </w:r>
      <w:r w:rsidR="002B06B1" w:rsidRPr="000936BA">
        <w:t>e.g.,</w:t>
      </w:r>
      <w:r w:rsidR="00EA7F74" w:rsidRPr="000936BA">
        <w:rPr>
          <w:b/>
        </w:rPr>
        <w:t xml:space="preserve"> </w:t>
      </w:r>
      <w:r w:rsidR="00EA7F74" w:rsidRPr="000936BA">
        <w:rPr>
          <w:bCs/>
        </w:rPr>
        <w:t>disciplinary divides, time, practical pedagogic support),</w:t>
      </w:r>
      <w:r w:rsidR="00AF34B9" w:rsidRPr="000936BA">
        <w:rPr>
          <w:b/>
        </w:rPr>
        <w:t xml:space="preserve"> </w:t>
      </w:r>
      <w:r w:rsidR="002B06B1" w:rsidRPr="000936BA">
        <w:t xml:space="preserve">the overall </w:t>
      </w:r>
      <w:r w:rsidR="00AF34B9" w:rsidRPr="000936BA">
        <w:t>message is that of the significance of local and institutional factors and players, and that these vary from institution</w:t>
      </w:r>
      <w:r w:rsidR="00EA7F74" w:rsidRPr="000936BA">
        <w:t>-</w:t>
      </w:r>
      <w:r w:rsidR="00AF34B9" w:rsidRPr="000936BA">
        <w:t>to</w:t>
      </w:r>
      <w:r w:rsidR="00EA7F74" w:rsidRPr="000936BA">
        <w:t>-</w:t>
      </w:r>
      <w:r w:rsidR="00AF34B9" w:rsidRPr="000936BA">
        <w:t xml:space="preserve">institution, and from </w:t>
      </w:r>
      <w:r w:rsidR="00EA7F74" w:rsidRPr="000936BA">
        <w:t>network-</w:t>
      </w:r>
      <w:r w:rsidR="00AF34B9" w:rsidRPr="000936BA">
        <w:t>to</w:t>
      </w:r>
      <w:r w:rsidR="00EA7F74" w:rsidRPr="000936BA">
        <w:t>-network</w:t>
      </w:r>
      <w:r w:rsidR="00AF34B9" w:rsidRPr="000936BA">
        <w:t>. In other words, whilst it may be possible to tease out some key elements – the ‘signal</w:t>
      </w:r>
      <w:r w:rsidR="00514F9C">
        <w:t>’</w:t>
      </w:r>
      <w:r w:rsidR="00AF34B9" w:rsidRPr="000936BA">
        <w:t xml:space="preserve"> – in fact a major message is that the ‘noise’ is </w:t>
      </w:r>
      <w:proofErr w:type="gramStart"/>
      <w:r w:rsidR="00AF34B9" w:rsidRPr="000936BA">
        <w:t>actually the</w:t>
      </w:r>
      <w:proofErr w:type="gramEnd"/>
      <w:r w:rsidR="00AF34B9" w:rsidRPr="000936BA">
        <w:t xml:space="preserve"> signal. Context</w:t>
      </w:r>
      <w:r w:rsidR="00EE3D48" w:rsidRPr="000936BA">
        <w:t>s</w:t>
      </w:r>
      <w:r w:rsidR="00AF34B9" w:rsidRPr="000936BA">
        <w:t xml:space="preserve"> </w:t>
      </w:r>
      <w:r w:rsidR="00EE3D48" w:rsidRPr="000936BA">
        <w:t>and their dynamics matter</w:t>
      </w:r>
      <w:r w:rsidR="00AF34B9" w:rsidRPr="000936BA">
        <w:t>.</w:t>
      </w:r>
    </w:p>
    <w:p w14:paraId="0671BDCB" w14:textId="77777777" w:rsidR="002B06B1" w:rsidRPr="000936BA" w:rsidRDefault="002B06B1" w:rsidP="00B6268A">
      <w:pPr>
        <w:spacing w:line="480" w:lineRule="auto"/>
      </w:pPr>
    </w:p>
    <w:p w14:paraId="382D95C0" w14:textId="40A30ECF" w:rsidR="00401749" w:rsidRPr="000936BA" w:rsidRDefault="005C3F75" w:rsidP="00B6268A">
      <w:pPr>
        <w:spacing w:line="480" w:lineRule="auto"/>
      </w:pPr>
      <w:r w:rsidRPr="000936BA">
        <w:t xml:space="preserve">We note that relatively few </w:t>
      </w:r>
      <w:r w:rsidR="00EF3AF2" w:rsidRPr="000936BA">
        <w:t>STEM-CPD</w:t>
      </w:r>
      <w:r w:rsidRPr="000936BA">
        <w:t xml:space="preserve"> </w:t>
      </w:r>
      <w:r w:rsidR="00F44832" w:rsidRPr="000936BA">
        <w:t>studies</w:t>
      </w:r>
      <w:r w:rsidRPr="000936BA">
        <w:t xml:space="preserve"> focus on inclusive school</w:t>
      </w:r>
      <w:r w:rsidR="00E76FDA" w:rsidRPr="000936BA">
        <w:t>ing</w:t>
      </w:r>
      <w:r w:rsidR="00F44832" w:rsidRPr="000936BA">
        <w:t>,</w:t>
      </w:r>
      <w:r w:rsidRPr="000936BA">
        <w:t xml:space="preserve"> devel</w:t>
      </w:r>
      <w:r w:rsidR="00F44832" w:rsidRPr="000936BA">
        <w:t>op</w:t>
      </w:r>
      <w:r w:rsidRPr="000936BA">
        <w:t xml:space="preserve"> focused </w:t>
      </w:r>
      <w:r w:rsidR="003C7CC6" w:rsidRPr="000936BA">
        <w:t xml:space="preserve">evaluation </w:t>
      </w:r>
      <w:r w:rsidRPr="000936BA">
        <w:t xml:space="preserve">methods and analyses </w:t>
      </w:r>
      <w:r w:rsidR="00F44832" w:rsidRPr="000936BA">
        <w:t>covering both</w:t>
      </w:r>
      <w:r w:rsidRPr="000936BA">
        <w:t xml:space="preserve"> programme and its perceived impacts. In following </w:t>
      </w:r>
      <w:proofErr w:type="spellStart"/>
      <w:r w:rsidRPr="000936BA">
        <w:t>Guskey’s</w:t>
      </w:r>
      <w:proofErr w:type="spellEnd"/>
      <w:r w:rsidRPr="000936BA">
        <w:t xml:space="preserve"> (2000) and Desimone’s (200</w:t>
      </w:r>
      <w:r w:rsidR="009B4BD3" w:rsidRPr="000936BA">
        <w:t>9</w:t>
      </w:r>
      <w:r w:rsidRPr="000936BA">
        <w:t xml:space="preserve">) </w:t>
      </w:r>
      <w:r w:rsidR="00F44832" w:rsidRPr="000936BA">
        <w:t xml:space="preserve">evaluation </w:t>
      </w:r>
      <w:r w:rsidR="00353CDE" w:rsidRPr="000936BA">
        <w:t xml:space="preserve">recommendations, </w:t>
      </w:r>
      <w:r w:rsidR="003C7CC6" w:rsidRPr="000936BA">
        <w:t>we</w:t>
      </w:r>
      <w:r w:rsidR="00353CDE" w:rsidRPr="000936BA">
        <w:t xml:space="preserve"> drew information from teachers and TCs, </w:t>
      </w:r>
      <w:r w:rsidR="003C7CC6" w:rsidRPr="000936BA">
        <w:t xml:space="preserve">concerning </w:t>
      </w:r>
      <w:r w:rsidR="00353CDE" w:rsidRPr="000936BA">
        <w:t>their participation in learning, organisational support, pedagogic</w:t>
      </w:r>
      <w:r w:rsidR="00F44832" w:rsidRPr="000936BA">
        <w:t xml:space="preserve"> and social pedagogic</w:t>
      </w:r>
      <w:r w:rsidR="00353CDE" w:rsidRPr="000936BA">
        <w:t xml:space="preserve"> aspects </w:t>
      </w:r>
      <w:r w:rsidR="00F44832" w:rsidRPr="000936BA">
        <w:t>of</w:t>
      </w:r>
      <w:r w:rsidR="00353CDE" w:rsidRPr="000936BA">
        <w:t xml:space="preserve"> CPD</w:t>
      </w:r>
      <w:r w:rsidR="00F44832" w:rsidRPr="000936BA">
        <w:t xml:space="preserve"> and</w:t>
      </w:r>
      <w:r w:rsidR="00353CDE" w:rsidRPr="000936BA">
        <w:t xml:space="preserve"> collective</w:t>
      </w:r>
      <w:r w:rsidR="00F44832" w:rsidRPr="000936BA">
        <w:t>/network</w:t>
      </w:r>
      <w:r w:rsidR="00353CDE" w:rsidRPr="000936BA">
        <w:t xml:space="preserve"> participation. </w:t>
      </w:r>
      <w:r w:rsidR="00F44832" w:rsidRPr="000936BA">
        <w:t>O</w:t>
      </w:r>
      <w:r w:rsidR="00353CDE" w:rsidRPr="000936BA">
        <w:t xml:space="preserve">ur bootstrapped </w:t>
      </w:r>
      <w:r w:rsidR="00F44832" w:rsidRPr="000936BA">
        <w:t xml:space="preserve">methodological </w:t>
      </w:r>
      <w:r w:rsidR="00353CDE" w:rsidRPr="000936BA">
        <w:t xml:space="preserve">approach </w:t>
      </w:r>
      <w:r w:rsidR="00EE5B3B" w:rsidRPr="000936BA">
        <w:t xml:space="preserve">enabled </w:t>
      </w:r>
      <w:r w:rsidR="003C7CC6" w:rsidRPr="000936BA">
        <w:t xml:space="preserve">the </w:t>
      </w:r>
      <w:r w:rsidR="00353CDE" w:rsidRPr="000936BA">
        <w:t xml:space="preserve">evaluation </w:t>
      </w:r>
      <w:r w:rsidR="00EE5B3B" w:rsidRPr="000936BA">
        <w:t xml:space="preserve">to reveal </w:t>
      </w:r>
      <w:r w:rsidR="00353CDE" w:rsidRPr="000936BA">
        <w:t xml:space="preserve">insights as ABC developed, various effects of the programme and </w:t>
      </w:r>
      <w:r w:rsidR="00135E12" w:rsidRPr="000936BA">
        <w:t xml:space="preserve">consideration of </w:t>
      </w:r>
      <w:r w:rsidR="00353CDE" w:rsidRPr="000936BA">
        <w:t>demographic differences among teachers and TCs.</w:t>
      </w:r>
    </w:p>
    <w:p w14:paraId="3C866570" w14:textId="77777777" w:rsidR="00877C82" w:rsidRPr="000936BA" w:rsidRDefault="00877C82" w:rsidP="00B6268A">
      <w:pPr>
        <w:spacing w:line="480" w:lineRule="auto"/>
      </w:pPr>
    </w:p>
    <w:p w14:paraId="01B29605" w14:textId="784BA50B" w:rsidR="00CA63FE" w:rsidRDefault="003C7CC6" w:rsidP="00B6268A">
      <w:pPr>
        <w:spacing w:line="480" w:lineRule="auto"/>
      </w:pPr>
      <w:r w:rsidRPr="000936BA">
        <w:t xml:space="preserve">Qualitative findings identified key questions and concerns that were followed-up in the quantitative findings. </w:t>
      </w:r>
      <w:r w:rsidR="00782C27" w:rsidRPr="000936BA">
        <w:t>Teachers</w:t>
      </w:r>
      <w:r w:rsidR="00EE4E09" w:rsidRPr="000936BA">
        <w:t>/</w:t>
      </w:r>
      <w:r w:rsidR="00782C27" w:rsidRPr="000936BA">
        <w:t xml:space="preserve">TCs involved in the early </w:t>
      </w:r>
      <w:r w:rsidR="00EE4E09" w:rsidRPr="000936BA">
        <w:t xml:space="preserve">ABC </w:t>
      </w:r>
      <w:r w:rsidR="00782C27" w:rsidRPr="000936BA">
        <w:t xml:space="preserve">implementation were drawn from a range of STEM </w:t>
      </w:r>
      <w:r w:rsidR="00E01E74" w:rsidRPr="000936BA">
        <w:t>discipline</w:t>
      </w:r>
      <w:r w:rsidR="00782C27" w:rsidRPr="000936BA">
        <w:t xml:space="preserve"> backgrounds, yet few had experience of integrated STEM teaching (</w:t>
      </w:r>
      <w:r w:rsidR="000A6668" w:rsidRPr="000936BA">
        <w:t>Avery &amp; Reeve, 2013; Carlton-Hug &amp; Hug, 2010</w:t>
      </w:r>
      <w:r w:rsidR="00782C27" w:rsidRPr="000936BA">
        <w:t>). As TCs</w:t>
      </w:r>
      <w:r w:rsidR="00E76FDA" w:rsidRPr="000936BA">
        <w:t>/</w:t>
      </w:r>
      <w:r w:rsidR="00782C27" w:rsidRPr="000936BA">
        <w:t xml:space="preserve">teachers could only devote a limited amount of their time to </w:t>
      </w:r>
      <w:r w:rsidR="00EE5B3B" w:rsidRPr="000936BA">
        <w:t>the pr</w:t>
      </w:r>
      <w:r w:rsidR="00EA7F74" w:rsidRPr="000936BA">
        <w:t>ogramme</w:t>
      </w:r>
      <w:r w:rsidR="00782C27" w:rsidRPr="000936BA">
        <w:t xml:space="preserve">, potential shortcomings of a CPD programme were identified: </w:t>
      </w:r>
      <w:r w:rsidR="00EE5B3B" w:rsidRPr="000936BA">
        <w:t>f</w:t>
      </w:r>
      <w:r w:rsidR="00782C27" w:rsidRPr="000936BA">
        <w:t>or TCs, there was limited time</w:t>
      </w:r>
      <w:r w:rsidR="00803E62" w:rsidRPr="000936BA">
        <w:t xml:space="preserve"> or expectation</w:t>
      </w:r>
      <w:r w:rsidR="00782C27" w:rsidRPr="000936BA">
        <w:t xml:space="preserve"> to visit/observe network teachers, promote development of networks, integrate new teachers </w:t>
      </w:r>
      <w:r w:rsidR="00EE4E09" w:rsidRPr="000936BA">
        <w:t>into</w:t>
      </w:r>
      <w:r w:rsidR="00782C27" w:rsidRPr="000936BA">
        <w:t xml:space="preserve"> networks (</w:t>
      </w:r>
      <w:r w:rsidR="00C56DB3" w:rsidRPr="000936BA">
        <w:t xml:space="preserve">Khalil et al., 2016; </w:t>
      </w:r>
      <w:r w:rsidR="000A6668" w:rsidRPr="000936BA">
        <w:t xml:space="preserve">Wenger, </w:t>
      </w:r>
      <w:r w:rsidR="00ED0D2E">
        <w:t>1998</w:t>
      </w:r>
      <w:r w:rsidR="00782C27" w:rsidRPr="000936BA">
        <w:t>)</w:t>
      </w:r>
      <w:r w:rsidR="00EE5B3B" w:rsidRPr="000936BA">
        <w:t>, and/</w:t>
      </w:r>
      <w:r w:rsidR="00C81A4B" w:rsidRPr="000936BA">
        <w:t>or</w:t>
      </w:r>
      <w:r w:rsidR="00782C27" w:rsidRPr="000936BA">
        <w:t xml:space="preserve"> </w:t>
      </w:r>
      <w:r w:rsidR="00EE5B3B" w:rsidRPr="000936BA">
        <w:t xml:space="preserve">to </w:t>
      </w:r>
      <w:r w:rsidR="00AD5751" w:rsidRPr="000936BA">
        <w:t>consider alternat</w:t>
      </w:r>
      <w:r w:rsidR="00EE5B3B" w:rsidRPr="000936BA">
        <w:t>iv</w:t>
      </w:r>
      <w:r w:rsidR="00AD5751" w:rsidRPr="000936BA">
        <w:t>e pedagogic</w:t>
      </w:r>
      <w:r w:rsidR="00C81A4B" w:rsidRPr="000936BA">
        <w:t xml:space="preserve"> and social </w:t>
      </w:r>
      <w:r w:rsidR="00C81A4B" w:rsidRPr="000936BA">
        <w:lastRenderedPageBreak/>
        <w:t>pedagogic</w:t>
      </w:r>
      <w:r w:rsidR="00AD5751" w:rsidRPr="000936BA">
        <w:t xml:space="preserve"> approach</w:t>
      </w:r>
      <w:r w:rsidR="00EE4E09" w:rsidRPr="000936BA">
        <w:t>es</w:t>
      </w:r>
      <w:r w:rsidR="00AD5751" w:rsidRPr="000936BA">
        <w:t xml:space="preserve"> regarding socially inclusive classes (</w:t>
      </w:r>
      <w:r w:rsidR="00EA7F74" w:rsidRPr="000936BA">
        <w:t xml:space="preserve">Kutnick &amp; </w:t>
      </w:r>
      <w:r w:rsidR="00C56DB3" w:rsidRPr="000936BA">
        <w:t>Blatchford</w:t>
      </w:r>
      <w:r w:rsidR="00D7596C" w:rsidRPr="000936BA">
        <w:t>, 20</w:t>
      </w:r>
      <w:r w:rsidR="00EA7F74" w:rsidRPr="000936BA">
        <w:t>14</w:t>
      </w:r>
      <w:r w:rsidR="00AD5751" w:rsidRPr="000936BA">
        <w:t xml:space="preserve">). Teachers </w:t>
      </w:r>
      <w:r w:rsidR="00EE4E09" w:rsidRPr="000936BA">
        <w:t>had</w:t>
      </w:r>
      <w:r w:rsidR="00AD5751" w:rsidRPr="000936BA">
        <w:t xml:space="preserve"> high levels of </w:t>
      </w:r>
      <w:r w:rsidR="00EE4E09" w:rsidRPr="000936BA">
        <w:t xml:space="preserve">STEM </w:t>
      </w:r>
      <w:r w:rsidR="00AD5751" w:rsidRPr="000936BA">
        <w:t>efficacy</w:t>
      </w:r>
      <w:r w:rsidR="0057174A">
        <w:t>.</w:t>
      </w:r>
      <w:r w:rsidR="008104E6">
        <w:t xml:space="preserve"> </w:t>
      </w:r>
      <w:r w:rsidR="0057174A">
        <w:t>B</w:t>
      </w:r>
      <w:r w:rsidR="008104E6">
        <w:t>ut</w:t>
      </w:r>
      <w:r w:rsidR="0057174A">
        <w:t xml:space="preserve"> that efficacy was not necessarily related to pedagogic and social pedagogic practices</w:t>
      </w:r>
      <w:r w:rsidR="00EE4E09" w:rsidRPr="000936BA">
        <w:t xml:space="preserve">. </w:t>
      </w:r>
      <w:r w:rsidR="00EE5B3B" w:rsidRPr="000936BA">
        <w:t xml:space="preserve">Participants </w:t>
      </w:r>
      <w:r w:rsidR="00AD5751" w:rsidRPr="000936BA">
        <w:t>received little help to</w:t>
      </w:r>
      <w:r w:rsidR="00EE4E09" w:rsidRPr="000936BA">
        <w:t>:</w:t>
      </w:r>
      <w:r w:rsidR="00AD5751" w:rsidRPr="000936BA">
        <w:t xml:space="preserve"> overcome their single (STEM) discipline background (</w:t>
      </w:r>
      <w:proofErr w:type="spellStart"/>
      <w:r w:rsidR="00D7596C" w:rsidRPr="000936BA">
        <w:t>Shernoff</w:t>
      </w:r>
      <w:proofErr w:type="spellEnd"/>
      <w:r w:rsidR="00D7596C" w:rsidRPr="000936BA">
        <w:t xml:space="preserve"> et al., 2017</w:t>
      </w:r>
      <w:r w:rsidR="00AD5751" w:rsidRPr="000936BA">
        <w:t>)</w:t>
      </w:r>
      <w:r w:rsidR="00EE4E09" w:rsidRPr="000936BA">
        <w:t>;</w:t>
      </w:r>
      <w:r w:rsidR="00AD5751" w:rsidRPr="000936BA">
        <w:t xml:space="preserve"> experience and reflect o</w:t>
      </w:r>
      <w:r w:rsidR="00EE4E09" w:rsidRPr="000936BA">
        <w:t>n</w:t>
      </w:r>
      <w:r w:rsidR="00AD5751" w:rsidRPr="000936BA">
        <w:t xml:space="preserve"> integrated curriculum teaching</w:t>
      </w:r>
      <w:r w:rsidR="00EE4E09" w:rsidRPr="000936BA">
        <w:t>; or</w:t>
      </w:r>
      <w:r w:rsidR="00AD5751" w:rsidRPr="000936BA">
        <w:t xml:space="preserve"> plan for/overcome the diversity of students in their classes (</w:t>
      </w:r>
      <w:proofErr w:type="spellStart"/>
      <w:r w:rsidR="00D7596C" w:rsidRPr="000936BA">
        <w:t>Kudenko</w:t>
      </w:r>
      <w:proofErr w:type="spellEnd"/>
      <w:r w:rsidR="00D7596C" w:rsidRPr="000936BA">
        <w:t xml:space="preserve"> &amp; Hoyle, 2014</w:t>
      </w:r>
      <w:r w:rsidR="00AD5751" w:rsidRPr="000936BA">
        <w:t xml:space="preserve">). School-based </w:t>
      </w:r>
      <w:r w:rsidR="00D74C51">
        <w:t>reports (from teachers)</w:t>
      </w:r>
      <w:r w:rsidR="00AD5751" w:rsidRPr="000936BA">
        <w:t xml:space="preserve"> also found</w:t>
      </w:r>
      <w:r w:rsidR="00F62F91" w:rsidRPr="000936BA">
        <w:t xml:space="preserve"> few</w:t>
      </w:r>
      <w:r w:rsidR="00AD5751" w:rsidRPr="000936BA">
        <w:t xml:space="preserve"> efforts to integrate STEM </w:t>
      </w:r>
      <w:r w:rsidR="00E01E74" w:rsidRPr="000936BA">
        <w:t>discipline</w:t>
      </w:r>
      <w:r w:rsidR="00AD5751" w:rsidRPr="000936BA">
        <w:t>s (</w:t>
      </w:r>
      <w:r w:rsidR="00D7596C" w:rsidRPr="000936BA">
        <w:t>Newton &amp; Tonelli, 2020</w:t>
      </w:r>
      <w:r w:rsidR="00AD5751" w:rsidRPr="000936BA">
        <w:t>)</w:t>
      </w:r>
      <w:r w:rsidR="00F62F91" w:rsidRPr="000936BA">
        <w:t>, provide within-school STEM leadership</w:t>
      </w:r>
      <w:r w:rsidR="00E76FDA" w:rsidRPr="000936BA">
        <w:t>/c</w:t>
      </w:r>
      <w:r w:rsidR="00F62F91" w:rsidRPr="000936BA">
        <w:t xml:space="preserve">areers support for students or help teachers to overcome conflicts between current STEM responsibilities and traditional promotion processes. Integrated STEM experience was most </w:t>
      </w:r>
      <w:r w:rsidR="00942B75" w:rsidRPr="000936BA">
        <w:t xml:space="preserve">frequently </w:t>
      </w:r>
      <w:r w:rsidR="00F62F91" w:rsidRPr="000936BA">
        <w:t>promoted within extracurricular activities (</w:t>
      </w:r>
      <w:proofErr w:type="spellStart"/>
      <w:r w:rsidR="00D7596C" w:rsidRPr="000936BA">
        <w:t>Vanteigh</w:t>
      </w:r>
      <w:r w:rsidR="00E50739">
        <w:t>e</w:t>
      </w:r>
      <w:r w:rsidR="00D7596C" w:rsidRPr="000936BA">
        <w:t>n</w:t>
      </w:r>
      <w:proofErr w:type="spellEnd"/>
      <w:r w:rsidR="00D7596C" w:rsidRPr="000936BA">
        <w:t xml:space="preserve"> et al., 2020</w:t>
      </w:r>
      <w:r w:rsidR="00F62F91" w:rsidRPr="000936BA">
        <w:t xml:space="preserve">) which was unlikely to offer inclusive opportunities for </w:t>
      </w:r>
      <w:r w:rsidR="00242CC5">
        <w:t xml:space="preserve">all </w:t>
      </w:r>
      <w:r w:rsidR="00F62F91" w:rsidRPr="000936BA">
        <w:t>students.</w:t>
      </w:r>
      <w:r w:rsidR="00CA63FE">
        <w:t xml:space="preserve"> </w:t>
      </w:r>
      <w:r w:rsidR="00EE4E09" w:rsidRPr="000936BA">
        <w:t>T</w:t>
      </w:r>
      <w:r w:rsidR="00FF14BD" w:rsidRPr="000936BA">
        <w:t xml:space="preserve">he qualitative </w:t>
      </w:r>
      <w:r w:rsidR="00E76FDA" w:rsidRPr="000936BA">
        <w:t>findings</w:t>
      </w:r>
      <w:r w:rsidR="00FF14BD" w:rsidRPr="000936BA">
        <w:t xml:space="preserve"> identified a range of involvements and concerns that might </w:t>
      </w:r>
      <w:r w:rsidR="00942B75" w:rsidRPr="000936BA">
        <w:t xml:space="preserve">have </w:t>
      </w:r>
      <w:r w:rsidR="00FF14BD" w:rsidRPr="000936BA">
        <w:t>affect</w:t>
      </w:r>
      <w:r w:rsidR="00942B75" w:rsidRPr="000936BA">
        <w:t>ed</w:t>
      </w:r>
      <w:r w:rsidR="00FF14BD" w:rsidRPr="000936BA">
        <w:t xml:space="preserve"> the realisation/fulfilment of ABC</w:t>
      </w:r>
      <w:r w:rsidR="00942B75" w:rsidRPr="000936BA">
        <w:t>’s</w:t>
      </w:r>
      <w:r w:rsidR="00FF14BD" w:rsidRPr="000936BA">
        <w:t xml:space="preserve"> intentions</w:t>
      </w:r>
      <w:r w:rsidR="00EE4E09" w:rsidRPr="000936BA">
        <w:t>.</w:t>
      </w:r>
    </w:p>
    <w:p w14:paraId="73DD1F4F" w14:textId="77777777" w:rsidR="00CA63FE" w:rsidRDefault="00CA63FE" w:rsidP="00B6268A">
      <w:pPr>
        <w:spacing w:line="480" w:lineRule="auto"/>
      </w:pPr>
    </w:p>
    <w:p w14:paraId="24C3CC6B" w14:textId="117CC669" w:rsidR="00E03672" w:rsidRPr="000936BA" w:rsidRDefault="00EE4E09" w:rsidP="00B6268A">
      <w:pPr>
        <w:spacing w:line="480" w:lineRule="auto"/>
      </w:pPr>
      <w:r w:rsidRPr="000936BA">
        <w:t>T</w:t>
      </w:r>
      <w:r w:rsidR="00FF14BD" w:rsidRPr="000936BA">
        <w:t xml:space="preserve">he quantitative </w:t>
      </w:r>
      <w:r w:rsidR="0041797F" w:rsidRPr="000936BA">
        <w:t>data</w:t>
      </w:r>
      <w:r w:rsidR="00FF14BD" w:rsidRPr="000936BA">
        <w:t xml:space="preserve"> </w:t>
      </w:r>
      <w:r w:rsidR="00D74C51">
        <w:t xml:space="preserve">also </w:t>
      </w:r>
      <w:r w:rsidR="00FF14BD" w:rsidRPr="000936BA">
        <w:t>provide</w:t>
      </w:r>
      <w:r w:rsidR="0057174A">
        <w:t>d</w:t>
      </w:r>
      <w:r w:rsidR="00FF14BD" w:rsidRPr="000936BA">
        <w:t xml:space="preserve"> comparative information on </w:t>
      </w:r>
      <w:r w:rsidR="00942B75" w:rsidRPr="000936BA">
        <w:t xml:space="preserve">complex issues of: </w:t>
      </w:r>
      <w:r w:rsidR="00FF14BD" w:rsidRPr="000936BA">
        <w:t>TC</w:t>
      </w:r>
      <w:r w:rsidR="0041797F" w:rsidRPr="000936BA">
        <w:t>/</w:t>
      </w:r>
      <w:r w:rsidR="00FF14BD" w:rsidRPr="000936BA">
        <w:t>teacher involvements, differences between types of participants and more focused information concerning reasons for</w:t>
      </w:r>
      <w:r w:rsidR="0041797F" w:rsidRPr="000936BA">
        <w:t>:</w:t>
      </w:r>
      <w:r w:rsidR="00FF14BD" w:rsidRPr="000936BA">
        <w:t xml:space="preserve"> joining the programme, </w:t>
      </w:r>
      <w:r w:rsidR="00E76FDA" w:rsidRPr="000936BA">
        <w:t xml:space="preserve">experience </w:t>
      </w:r>
      <w:r w:rsidR="00942B75" w:rsidRPr="000936BA">
        <w:t>o</w:t>
      </w:r>
      <w:r w:rsidR="00E76FDA" w:rsidRPr="000936BA">
        <w:t>f</w:t>
      </w:r>
      <w:r w:rsidR="00FF14BD" w:rsidRPr="000936BA">
        <w:t xml:space="preserve"> STEM and </w:t>
      </w:r>
      <w:r w:rsidR="0041797F" w:rsidRPr="000936BA">
        <w:t>ABC</w:t>
      </w:r>
      <w:r w:rsidR="00FF14BD" w:rsidRPr="000936BA">
        <w:t xml:space="preserve">, depth of programme </w:t>
      </w:r>
      <w:r w:rsidR="00E76FDA" w:rsidRPr="000936BA">
        <w:t>participation</w:t>
      </w:r>
      <w:r w:rsidR="00FF14BD" w:rsidRPr="000936BA">
        <w:t>, types of STEM and teaching efficacy and perceptions of programme impact on students</w:t>
      </w:r>
      <w:r w:rsidR="00CA63FE">
        <w:rPr>
          <w:vertAlign w:val="superscript"/>
        </w:rPr>
        <w:t>6</w:t>
      </w:r>
      <w:r w:rsidR="00FF14BD" w:rsidRPr="000936BA">
        <w:t>.</w:t>
      </w:r>
    </w:p>
    <w:p w14:paraId="5C55E241" w14:textId="77777777" w:rsidR="00E76FDA" w:rsidRPr="000936BA" w:rsidRDefault="00E76FDA" w:rsidP="00B6268A">
      <w:pPr>
        <w:spacing w:line="480" w:lineRule="auto"/>
      </w:pPr>
    </w:p>
    <w:p w14:paraId="6FAB95DA" w14:textId="472BC7CF" w:rsidR="00942B75" w:rsidRPr="000936BA" w:rsidRDefault="00D91A14" w:rsidP="00B6268A">
      <w:pPr>
        <w:spacing w:line="480" w:lineRule="auto"/>
        <w:rPr>
          <w:b/>
        </w:rPr>
      </w:pPr>
      <w:r w:rsidRPr="000936BA">
        <w:t xml:space="preserve">Given the high proportion of TC </w:t>
      </w:r>
      <w:r w:rsidR="00E76FDA" w:rsidRPr="000936BA">
        <w:t xml:space="preserve">questionnaire </w:t>
      </w:r>
      <w:r w:rsidRPr="000936BA">
        <w:t>response</w:t>
      </w:r>
      <w:r w:rsidR="00942B75" w:rsidRPr="000936BA">
        <w:t>s</w:t>
      </w:r>
      <w:r w:rsidRPr="000936BA">
        <w:t xml:space="preserve"> in both cohorts, we are reasonably certain of the trustworthiness of their responses. Throughout the two cycles of questionnaires, TCs showed endur</w:t>
      </w:r>
      <w:r w:rsidR="00D74C51">
        <w:t>ance</w:t>
      </w:r>
      <w:r w:rsidRPr="000936BA">
        <w:t xml:space="preserve"> in their general involvement. </w:t>
      </w:r>
      <w:r w:rsidR="007846BE" w:rsidRPr="000936BA">
        <w:t>Within their reasons for ABC involvement, TCs expressed positive intentions to bring STEM</w:t>
      </w:r>
      <w:r w:rsidR="00FB4178">
        <w:t xml:space="preserve"> education</w:t>
      </w:r>
      <w:r w:rsidR="007846BE" w:rsidRPr="000936BA">
        <w:t xml:space="preserve"> into the ‘real</w:t>
      </w:r>
      <w:r w:rsidR="0041797F" w:rsidRPr="000936BA">
        <w:t>-</w:t>
      </w:r>
      <w:r w:rsidR="007846BE" w:rsidRPr="000936BA">
        <w:t xml:space="preserve">world’ and </w:t>
      </w:r>
      <w:r w:rsidR="00942B75" w:rsidRPr="000936BA">
        <w:t xml:space="preserve">to </w:t>
      </w:r>
      <w:r w:rsidR="007846BE" w:rsidRPr="000936BA">
        <w:t xml:space="preserve">provide pedagogic support for network teachers. Here we see </w:t>
      </w:r>
      <w:r w:rsidR="0041797F" w:rsidRPr="000936BA">
        <w:t xml:space="preserve">a </w:t>
      </w:r>
      <w:r w:rsidR="007846BE" w:rsidRPr="000936BA">
        <w:t xml:space="preserve">distinction </w:t>
      </w:r>
      <w:r w:rsidR="007846BE" w:rsidRPr="000936BA">
        <w:lastRenderedPageBreak/>
        <w:t>between positive intention and actual experiences that TCs were able to provide</w:t>
      </w:r>
      <w:r w:rsidR="00B42105" w:rsidRPr="000936BA">
        <w:t>.</w:t>
      </w:r>
      <w:r w:rsidR="00C7439D" w:rsidRPr="000936BA">
        <w:t xml:space="preserve"> </w:t>
      </w:r>
      <w:r w:rsidR="00AD700F" w:rsidRPr="000936BA">
        <w:t>TCs saw</w:t>
      </w:r>
      <w:r w:rsidR="00C7439D" w:rsidRPr="000936BA">
        <w:t xml:space="preserve"> the</w:t>
      </w:r>
      <w:r w:rsidR="00AD700F" w:rsidRPr="000936BA">
        <w:t>ir</w:t>
      </w:r>
      <w:r w:rsidR="00C7439D" w:rsidRPr="000936BA">
        <w:t xml:space="preserve"> role </w:t>
      </w:r>
      <w:r w:rsidR="00AD700F" w:rsidRPr="000936BA">
        <w:t>as</w:t>
      </w:r>
      <w:r w:rsidR="00C7439D" w:rsidRPr="000936BA">
        <w:t xml:space="preserve"> ‘support</w:t>
      </w:r>
      <w:r w:rsidR="00AD700F" w:rsidRPr="000936BA">
        <w:t>ing</w:t>
      </w:r>
      <w:r w:rsidR="00C7439D" w:rsidRPr="000936BA">
        <w:t xml:space="preserve">’ </w:t>
      </w:r>
      <w:r w:rsidR="00AD700F" w:rsidRPr="000936BA">
        <w:t>(</w:t>
      </w:r>
      <w:proofErr w:type="spellStart"/>
      <w:r w:rsidR="005D0CF8" w:rsidRPr="000936BA">
        <w:t>Kudenko</w:t>
      </w:r>
      <w:proofErr w:type="spellEnd"/>
      <w:r w:rsidR="005D0CF8" w:rsidRPr="000936BA">
        <w:t xml:space="preserve"> &amp; Hoyle, 2014</w:t>
      </w:r>
      <w:r w:rsidR="00AD700F" w:rsidRPr="000936BA">
        <w:t xml:space="preserve">) </w:t>
      </w:r>
      <w:r w:rsidR="00C7439D" w:rsidRPr="000936BA">
        <w:t>teachers</w:t>
      </w:r>
      <w:r w:rsidR="00AD700F" w:rsidRPr="000936BA">
        <w:t xml:space="preserve"> (providing a forum to reflect on STEM, establishing a community of learners, increasing STEM classroom confidence) but </w:t>
      </w:r>
      <w:r w:rsidR="00C81A4B" w:rsidRPr="000936BA">
        <w:t>were</w:t>
      </w:r>
      <w:r w:rsidR="00AD700F" w:rsidRPr="000936BA">
        <w:t xml:space="preserve"> not</w:t>
      </w:r>
      <w:r w:rsidR="00C81A4B" w:rsidRPr="000936BA">
        <w:t xml:space="preserve"> position</w:t>
      </w:r>
      <w:r w:rsidR="000E550F" w:rsidRPr="000936BA">
        <w:t>ed</w:t>
      </w:r>
      <w:r w:rsidR="00C81A4B" w:rsidRPr="000936BA">
        <w:t xml:space="preserve"> to</w:t>
      </w:r>
      <w:r w:rsidR="00AD700F" w:rsidRPr="000936BA">
        <w:t xml:space="preserve"> facilitate th</w:t>
      </w:r>
      <w:r w:rsidR="00C81A4B" w:rsidRPr="000936BA">
        <w:t>is</w:t>
      </w:r>
      <w:r w:rsidR="00AD700F" w:rsidRPr="000936BA">
        <w:t xml:space="preserve"> support – especially </w:t>
      </w:r>
      <w:r w:rsidR="00E91E91" w:rsidRPr="000936BA">
        <w:t>regarding</w:t>
      </w:r>
      <w:r w:rsidR="00AD700F" w:rsidRPr="000936BA">
        <w:t xml:space="preserve"> integrating/mentoring inexperienced teachers </w:t>
      </w:r>
      <w:r w:rsidR="0041797F" w:rsidRPr="000936BA">
        <w:t>with</w:t>
      </w:r>
      <w:r w:rsidR="00AD700F" w:rsidRPr="000936BA">
        <w:t>in their networks</w:t>
      </w:r>
      <w:r w:rsidR="00E277B2" w:rsidRPr="000936BA">
        <w:t>. While networks were the predominant tool used to enhance teachers’ understanding/application of STEM, the variation between networks identifies a need for further exploration into network effectiveness.</w:t>
      </w:r>
    </w:p>
    <w:p w14:paraId="758069CF" w14:textId="2787E3BA" w:rsidR="00942B75" w:rsidRPr="000936BA" w:rsidRDefault="00942B75" w:rsidP="00B6268A">
      <w:pPr>
        <w:spacing w:line="480" w:lineRule="auto"/>
        <w:rPr>
          <w:b/>
        </w:rPr>
      </w:pPr>
    </w:p>
    <w:p w14:paraId="27682D76" w14:textId="0054D031" w:rsidR="00A07829" w:rsidRPr="000936BA" w:rsidRDefault="00AD700F" w:rsidP="00B6268A">
      <w:pPr>
        <w:spacing w:line="480" w:lineRule="auto"/>
      </w:pPr>
      <w:r w:rsidRPr="000936BA">
        <w:t xml:space="preserve">This distinction </w:t>
      </w:r>
      <w:r w:rsidR="00942B75" w:rsidRPr="000936BA">
        <w:t xml:space="preserve">between a ‘supporting’ role and the opportunity and position to facilitate this support </w:t>
      </w:r>
      <w:r w:rsidRPr="000936BA">
        <w:t>is further identified in TCs’ low/non-frequency of school</w:t>
      </w:r>
      <w:r w:rsidR="002D012B" w:rsidRPr="000936BA">
        <w:t>/</w:t>
      </w:r>
      <w:r w:rsidRPr="000936BA">
        <w:t xml:space="preserve">classroom visits and teachers’ expressed lack of time for reflection and within-class support. </w:t>
      </w:r>
      <w:r w:rsidR="0010389C" w:rsidRPr="000936BA">
        <w:t>TCs</w:t>
      </w:r>
      <w:r w:rsidR="0041797F" w:rsidRPr="000936BA">
        <w:t xml:space="preserve"> </w:t>
      </w:r>
      <w:r w:rsidR="0010389C" w:rsidRPr="000936BA">
        <w:t>lik</w:t>
      </w:r>
      <w:r w:rsidR="0041797F" w:rsidRPr="000936BA">
        <w:t>ed</w:t>
      </w:r>
      <w:r w:rsidR="0010389C" w:rsidRPr="000936BA">
        <w:t xml:space="preserve"> working with teachers and </w:t>
      </w:r>
      <w:r w:rsidR="00942B75" w:rsidRPr="000936BA">
        <w:t>sharin</w:t>
      </w:r>
      <w:r w:rsidR="00E277B2" w:rsidRPr="00866D57">
        <w:rPr>
          <w:bCs/>
        </w:rPr>
        <w:t>g</w:t>
      </w:r>
      <w:r w:rsidR="00E277B2" w:rsidRPr="000936BA">
        <w:rPr>
          <w:b/>
        </w:rPr>
        <w:t xml:space="preserve"> </w:t>
      </w:r>
      <w:r w:rsidR="00E277B2" w:rsidRPr="000936BA">
        <w:rPr>
          <w:bCs/>
        </w:rPr>
        <w:t>p</w:t>
      </w:r>
      <w:r w:rsidR="0010389C" w:rsidRPr="000936BA">
        <w:t>ositive STEM experiences</w:t>
      </w:r>
      <w:r w:rsidR="00942B75" w:rsidRPr="000936BA">
        <w:t>,</w:t>
      </w:r>
      <w:r w:rsidR="0010389C" w:rsidRPr="000936BA">
        <w:t xml:space="preserve"> </w:t>
      </w:r>
      <w:r w:rsidR="0041797F" w:rsidRPr="000936BA">
        <w:t>although</w:t>
      </w:r>
      <w:r w:rsidR="0010389C" w:rsidRPr="000936BA">
        <w:t xml:space="preserve"> TCs were more ambivalent concerning the need to effectively plan for network meetings and </w:t>
      </w:r>
      <w:r w:rsidR="00942B75" w:rsidRPr="000936BA">
        <w:t xml:space="preserve">to </w:t>
      </w:r>
      <w:r w:rsidR="0010389C" w:rsidRPr="000936BA">
        <w:t>promote positive relationships among their teachers (</w:t>
      </w:r>
      <w:r w:rsidR="005D0CF8" w:rsidRPr="000936BA">
        <w:t>Khalil et al., 2016</w:t>
      </w:r>
      <w:r w:rsidR="0010389C" w:rsidRPr="000936BA">
        <w:t xml:space="preserve">). </w:t>
      </w:r>
      <w:r w:rsidR="00E91E91" w:rsidRPr="000936BA">
        <w:t>Regarding</w:t>
      </w:r>
      <w:r w:rsidR="0010389C" w:rsidRPr="000936BA">
        <w:t xml:space="preserve"> STEM education, TCs were strongly supportive of the ideals behind ABC</w:t>
      </w:r>
      <w:r w:rsidR="00942B75" w:rsidRPr="000936BA">
        <w:t>,</w:t>
      </w:r>
      <w:r w:rsidR="007C2D69" w:rsidRPr="000936BA">
        <w:t xml:space="preserve"> and showed strong inclusion, pedagogic and social pedagogic beliefs</w:t>
      </w:r>
      <w:r w:rsidR="0041797F" w:rsidRPr="000936BA">
        <w:t>. T</w:t>
      </w:r>
      <w:r w:rsidR="007C2D69" w:rsidRPr="000936BA">
        <w:t>heir attitudes to STEM education showed that it should be open to all types of students and that students should be actively involved in their learning. A number of these STEM education attitudes would place both TCs and their teachers in conflict with the current organisation of schools</w:t>
      </w:r>
      <w:r w:rsidR="00942B75" w:rsidRPr="000936BA">
        <w:t>,</w:t>
      </w:r>
      <w:r w:rsidR="007C2D69" w:rsidRPr="000936BA">
        <w:t xml:space="preserve"> wherein STEM w</w:t>
      </w:r>
      <w:r w:rsidR="009E17AB">
        <w:t>as</w:t>
      </w:r>
      <w:r w:rsidR="007C2D69" w:rsidRPr="000936BA">
        <w:t xml:space="preserve"> likely to be taught</w:t>
      </w:r>
      <w:r w:rsidR="0041797F" w:rsidRPr="000936BA">
        <w:t xml:space="preserve"> </w:t>
      </w:r>
      <w:r w:rsidR="009E17AB">
        <w:t>in</w:t>
      </w:r>
      <w:r w:rsidR="0041797F" w:rsidRPr="000936BA">
        <w:t xml:space="preserve"> </w:t>
      </w:r>
      <w:r w:rsidR="007C2D69" w:rsidRPr="000936BA">
        <w:t xml:space="preserve">separate disciplines, students were differentiated by prior attainment, schools </w:t>
      </w:r>
      <w:r w:rsidR="002D012B" w:rsidRPr="000936BA">
        <w:t>wer</w:t>
      </w:r>
      <w:r w:rsidR="007C2D69" w:rsidRPr="000936BA">
        <w:t>e ‘exam-oriented’</w:t>
      </w:r>
      <w:r w:rsidR="00942B75" w:rsidRPr="000936BA">
        <w:t>,</w:t>
      </w:r>
      <w:r w:rsidR="006F3A42" w:rsidRPr="000936BA">
        <w:t xml:space="preserve"> and STEM had an over-reliance on </w:t>
      </w:r>
      <w:r w:rsidR="007355FA" w:rsidRPr="000936BA">
        <w:t>extracurricular</w:t>
      </w:r>
      <w:r w:rsidR="006F3A42" w:rsidRPr="000936BA">
        <w:t xml:space="preserve"> activities.</w:t>
      </w:r>
      <w:r w:rsidR="00856181" w:rsidRPr="000936BA">
        <w:t xml:space="preserve"> And, while schools did not appear to support STEM education and inclusion ideals, many TCs</w:t>
      </w:r>
      <w:r w:rsidR="00C81A4B" w:rsidRPr="000936BA">
        <w:t xml:space="preserve"> were not positioned to</w:t>
      </w:r>
      <w:r w:rsidR="00856181" w:rsidRPr="000936BA">
        <w:t xml:space="preserve"> help in overcoming these problems. </w:t>
      </w:r>
      <w:r w:rsidR="00A07829" w:rsidRPr="000936BA">
        <w:t xml:space="preserve"> Over </w:t>
      </w:r>
      <w:r w:rsidR="00856181" w:rsidRPr="000936BA">
        <w:t xml:space="preserve">20% of TCs did not contact other TCs to work through common problems, did not visit or enter their network classrooms or contact teachers to enhance network support. </w:t>
      </w:r>
    </w:p>
    <w:p w14:paraId="6C15A506" w14:textId="77777777" w:rsidR="00A07829" w:rsidRPr="000936BA" w:rsidRDefault="00A07829" w:rsidP="00B6268A">
      <w:pPr>
        <w:spacing w:line="480" w:lineRule="auto"/>
      </w:pPr>
    </w:p>
    <w:p w14:paraId="6403E055" w14:textId="5F70030B" w:rsidR="00FF14BD" w:rsidRPr="000936BA" w:rsidRDefault="00856181" w:rsidP="00B6268A">
      <w:pPr>
        <w:spacing w:line="480" w:lineRule="auto"/>
      </w:pPr>
      <w:r w:rsidRPr="000936BA">
        <w:t>TC support via engagement in ABC activities was strongly related to years of experience on the programme</w:t>
      </w:r>
      <w:r w:rsidR="00C81A4B" w:rsidRPr="000936BA">
        <w:t xml:space="preserve"> and</w:t>
      </w:r>
      <w:r w:rsidRPr="000936BA">
        <w:t xml:space="preserve"> indicate</w:t>
      </w:r>
      <w:r w:rsidR="002D012B" w:rsidRPr="000936BA">
        <w:t>d</w:t>
      </w:r>
      <w:r w:rsidRPr="000936BA">
        <w:t xml:space="preserve"> that </w:t>
      </w:r>
      <w:r w:rsidR="00C81A4B" w:rsidRPr="000936BA">
        <w:t>many</w:t>
      </w:r>
      <w:r w:rsidRPr="000936BA">
        <w:t xml:space="preserve"> TCs were committed to </w:t>
      </w:r>
      <w:r w:rsidR="00C81A4B" w:rsidRPr="000936BA">
        <w:t>sharing</w:t>
      </w:r>
      <w:r w:rsidRPr="000936BA">
        <w:t xml:space="preserve"> knowledge </w:t>
      </w:r>
      <w:r w:rsidR="00C81A4B" w:rsidRPr="000936BA">
        <w:t xml:space="preserve">rather </w:t>
      </w:r>
      <w:r w:rsidRPr="000936BA">
        <w:t>than facilitating a learning community (</w:t>
      </w:r>
      <w:r w:rsidR="00532387" w:rsidRPr="000936BA">
        <w:t>Monk, 2008</w:t>
      </w:r>
      <w:r w:rsidRPr="000936BA">
        <w:t xml:space="preserve">). </w:t>
      </w:r>
      <w:r w:rsidR="00AF7646" w:rsidRPr="000936BA">
        <w:t>On the other hand, engage</w:t>
      </w:r>
      <w:r w:rsidR="009153B1" w:rsidRPr="000936BA">
        <w:t>d</w:t>
      </w:r>
      <w:r w:rsidR="00AF7646" w:rsidRPr="000936BA">
        <w:t xml:space="preserve"> TC</w:t>
      </w:r>
      <w:r w:rsidR="009153B1" w:rsidRPr="000936BA">
        <w:t>s</w:t>
      </w:r>
      <w:r w:rsidR="00AF7646" w:rsidRPr="000936BA">
        <w:t xml:space="preserve"> </w:t>
      </w:r>
      <w:r w:rsidR="009153B1" w:rsidRPr="000936BA">
        <w:t>had</w:t>
      </w:r>
      <w:r w:rsidR="00AF7646" w:rsidRPr="000936BA">
        <w:t xml:space="preserve"> consistently high level</w:t>
      </w:r>
      <w:r w:rsidR="009153B1" w:rsidRPr="000936BA">
        <w:t>s</w:t>
      </w:r>
      <w:r w:rsidR="00AF7646" w:rsidRPr="000936BA">
        <w:t xml:space="preserve"> of confidence/efficacy</w:t>
      </w:r>
      <w:r w:rsidR="009153B1" w:rsidRPr="000936BA">
        <w:t xml:space="preserve"> (from Bandura, 1997)</w:t>
      </w:r>
      <w:r w:rsidR="00AF7646" w:rsidRPr="000936BA">
        <w:t xml:space="preserve"> in pursuit of ABC goals; and confidence</w:t>
      </w:r>
      <w:r w:rsidR="002D012B" w:rsidRPr="000936BA">
        <w:t xml:space="preserve"> levels</w:t>
      </w:r>
      <w:r w:rsidR="00AF7646" w:rsidRPr="000936BA">
        <w:t xml:space="preserve"> increased between the 1</w:t>
      </w:r>
      <w:r w:rsidR="00AF7646" w:rsidRPr="000936BA">
        <w:rPr>
          <w:vertAlign w:val="superscript"/>
        </w:rPr>
        <w:t>st</w:t>
      </w:r>
      <w:r w:rsidR="00AF7646" w:rsidRPr="000936BA">
        <w:t xml:space="preserve"> and 2</w:t>
      </w:r>
      <w:r w:rsidR="00AF7646" w:rsidRPr="000936BA">
        <w:rPr>
          <w:vertAlign w:val="superscript"/>
        </w:rPr>
        <w:t>nd</w:t>
      </w:r>
      <w:r w:rsidR="00AF7646" w:rsidRPr="000936BA">
        <w:t xml:space="preserve"> cohorts. </w:t>
      </w:r>
      <w:r w:rsidR="00AA1AF3" w:rsidRPr="000936BA">
        <w:t>Finally, in considering perceived impact on students (</w:t>
      </w:r>
      <w:r w:rsidR="00532387" w:rsidRPr="000936BA">
        <w:t>NCTM, 2018</w:t>
      </w:r>
      <w:r w:rsidR="00AA1AF3" w:rsidRPr="000936BA">
        <w:t xml:space="preserve">) all TCs were very positive about </w:t>
      </w:r>
      <w:r w:rsidR="009153B1" w:rsidRPr="000936BA">
        <w:t>perceived</w:t>
      </w:r>
      <w:r w:rsidR="00AA1AF3" w:rsidRPr="000936BA">
        <w:t xml:space="preserve"> programme</w:t>
      </w:r>
      <w:r w:rsidR="002D012B" w:rsidRPr="000936BA">
        <w:t xml:space="preserve"> impact</w:t>
      </w:r>
      <w:r w:rsidR="00F446E5" w:rsidRPr="000936BA">
        <w:t xml:space="preserve">, </w:t>
      </w:r>
      <w:r w:rsidR="00AA1AF3" w:rsidRPr="000936BA">
        <w:t>although we note that this perception was likely to be based on knowledge/information sharing aspects of ABC rather than dedicated/reflective discussions with network teachers or school visits.</w:t>
      </w:r>
    </w:p>
    <w:p w14:paraId="2E2AEC25" w14:textId="77777777" w:rsidR="00877C82" w:rsidRPr="000936BA" w:rsidRDefault="00877C82" w:rsidP="00B6268A">
      <w:pPr>
        <w:spacing w:line="480" w:lineRule="auto"/>
      </w:pPr>
    </w:p>
    <w:p w14:paraId="13A26E29" w14:textId="43CC86CA" w:rsidR="00F446E5" w:rsidRPr="000936BA" w:rsidRDefault="00051A9F" w:rsidP="00B6268A">
      <w:pPr>
        <w:spacing w:line="480" w:lineRule="auto"/>
      </w:pPr>
      <w:r w:rsidRPr="000936BA">
        <w:t xml:space="preserve">The </w:t>
      </w:r>
      <w:r w:rsidR="00BA0836" w:rsidRPr="000936BA">
        <w:t xml:space="preserve">response rate for the </w:t>
      </w:r>
      <w:r w:rsidRPr="000936BA">
        <w:t xml:space="preserve">two teacher questionnaires </w:t>
      </w:r>
      <w:r w:rsidR="00402D86" w:rsidRPr="000936BA">
        <w:t xml:space="preserve">limited their </w:t>
      </w:r>
      <w:r w:rsidRPr="000936BA">
        <w:t>representative</w:t>
      </w:r>
      <w:r w:rsidR="00402D86" w:rsidRPr="000936BA">
        <w:t>ness</w:t>
      </w:r>
      <w:r w:rsidRPr="000936BA">
        <w:t xml:space="preserve">. </w:t>
      </w:r>
      <w:r w:rsidR="00BA0836" w:rsidRPr="000936BA">
        <w:t xml:space="preserve">Nevertheless, teachers from all TC networks responded, showing a range of STEM disciplinary backgrounds and a mix of sex and age. Perhaps the firmest of conclusions that we can draw </w:t>
      </w:r>
      <w:r w:rsidR="00402D86" w:rsidRPr="000936BA">
        <w:t>is</w:t>
      </w:r>
      <w:r w:rsidR="00BA0836" w:rsidRPr="000936BA">
        <w:t xml:space="preserve"> that teachers within experienced TC networks provided the most positive responses to ABC.</w:t>
      </w:r>
      <w:r w:rsidR="00402D86" w:rsidRPr="000936BA">
        <w:t xml:space="preserve"> </w:t>
      </w:r>
      <w:r w:rsidR="00F446E5" w:rsidRPr="000936BA">
        <w:t xml:space="preserve">This is an important finding. </w:t>
      </w:r>
      <w:r w:rsidR="00402D86" w:rsidRPr="000936BA">
        <w:t>Most</w:t>
      </w:r>
      <w:r w:rsidR="00BA0836" w:rsidRPr="000936BA">
        <w:t xml:space="preserve"> teachers in both cohorts </w:t>
      </w:r>
      <w:r w:rsidR="00AE2CEF" w:rsidRPr="000936BA">
        <w:t>taught their disciplin</w:t>
      </w:r>
      <w:r w:rsidR="00BB1555" w:rsidRPr="000936BA">
        <w:t>e</w:t>
      </w:r>
      <w:r w:rsidR="00AE2CEF" w:rsidRPr="000936BA">
        <w:t>s in the upper years of secondary schools</w:t>
      </w:r>
      <w:r w:rsidR="00F446E5" w:rsidRPr="000936BA">
        <w:t xml:space="preserve">, i.e., </w:t>
      </w:r>
      <w:r w:rsidR="00AE2CEF" w:rsidRPr="000936BA">
        <w:t>where one would expect to find stronger disciplinary</w:t>
      </w:r>
      <w:r w:rsidR="00402D86" w:rsidRPr="000936BA">
        <w:t xml:space="preserve"> pressures</w:t>
      </w:r>
      <w:r w:rsidR="00AE2CEF" w:rsidRPr="000936BA">
        <w:t xml:space="preserve"> (</w:t>
      </w:r>
      <w:proofErr w:type="spellStart"/>
      <w:r w:rsidR="00275A9F" w:rsidRPr="000936BA">
        <w:t>Shernoff</w:t>
      </w:r>
      <w:proofErr w:type="spellEnd"/>
      <w:r w:rsidR="00532387" w:rsidRPr="000936BA">
        <w:t xml:space="preserve"> et al., 2017</w:t>
      </w:r>
      <w:r w:rsidR="00AE2CEF" w:rsidRPr="000936BA">
        <w:t xml:space="preserve">). Teachers in both cohorts joined ABC to improve STEM education and </w:t>
      </w:r>
      <w:r w:rsidR="00F446E5" w:rsidRPr="000936BA">
        <w:t xml:space="preserve">to </w:t>
      </w:r>
      <w:r w:rsidR="00AE2CEF" w:rsidRPr="000936BA">
        <w:t>provide ‘real</w:t>
      </w:r>
      <w:r w:rsidR="00402D86" w:rsidRPr="000936BA">
        <w:t>-</w:t>
      </w:r>
      <w:r w:rsidR="00AE2CEF" w:rsidRPr="000936BA">
        <w:t>world’ STEM applications/pedagogic approaches in their classrooms</w:t>
      </w:r>
      <w:r w:rsidR="00402D86" w:rsidRPr="000936BA">
        <w:t>.</w:t>
      </w:r>
      <w:r w:rsidR="00AE2CEF" w:rsidRPr="000936BA">
        <w:t xml:space="preserve"> </w:t>
      </w:r>
      <w:r w:rsidR="009A7B9A" w:rsidRPr="000936BA">
        <w:t xml:space="preserve">Teachers showed the highest levels of agreement to programme aspects that provided information/knowledge/resources and </w:t>
      </w:r>
      <w:r w:rsidR="007355FA" w:rsidRPr="000936BA">
        <w:t>extracurricular</w:t>
      </w:r>
      <w:r w:rsidR="009A7B9A" w:rsidRPr="000936BA">
        <w:t xml:space="preserve"> activities rather than </w:t>
      </w:r>
      <w:r w:rsidR="00402D86" w:rsidRPr="000936BA">
        <w:t>developing</w:t>
      </w:r>
      <w:r w:rsidR="009A7B9A" w:rsidRPr="000936BA">
        <w:t xml:space="preserve"> the inclusive classroom (</w:t>
      </w:r>
      <w:proofErr w:type="spellStart"/>
      <w:r w:rsidR="00532387" w:rsidRPr="000936BA">
        <w:t>Vanteighen</w:t>
      </w:r>
      <w:proofErr w:type="spellEnd"/>
      <w:r w:rsidR="00532387" w:rsidRPr="000936BA">
        <w:t xml:space="preserve"> et al., 2020</w:t>
      </w:r>
      <w:r w:rsidR="009A7B9A" w:rsidRPr="000936BA">
        <w:t>). Teachers did not show a propensity to network with other members</w:t>
      </w:r>
      <w:r w:rsidR="00F446E5" w:rsidRPr="000936BA">
        <w:t>,</w:t>
      </w:r>
      <w:r w:rsidR="009A7B9A" w:rsidRPr="000936BA">
        <w:t xml:space="preserve"> </w:t>
      </w:r>
      <w:r w:rsidR="00402D86" w:rsidRPr="000936BA">
        <w:t>although</w:t>
      </w:r>
      <w:r w:rsidR="009E17AB">
        <w:t xml:space="preserve"> </w:t>
      </w:r>
      <w:r w:rsidR="00EB4BE1">
        <w:t xml:space="preserve">teachers with more experience of ABC </w:t>
      </w:r>
      <w:r w:rsidR="00EB4BE1" w:rsidRPr="000936BA">
        <w:t xml:space="preserve"> </w:t>
      </w:r>
      <w:r w:rsidR="009A7B9A" w:rsidRPr="000936BA">
        <w:t>were likely to make greater use of their networks</w:t>
      </w:r>
      <w:r w:rsidR="00912F02" w:rsidRPr="000936BA">
        <w:t xml:space="preserve">. </w:t>
      </w:r>
    </w:p>
    <w:p w14:paraId="04A8CA56" w14:textId="77777777" w:rsidR="00F446E5" w:rsidRPr="000936BA" w:rsidRDefault="00F446E5" w:rsidP="00B6268A">
      <w:pPr>
        <w:spacing w:line="480" w:lineRule="auto"/>
      </w:pPr>
    </w:p>
    <w:p w14:paraId="5B3AD207" w14:textId="3118979E" w:rsidR="00F446E5" w:rsidRPr="000936BA" w:rsidRDefault="00DC23F4" w:rsidP="00B6268A">
      <w:pPr>
        <w:spacing w:line="480" w:lineRule="auto"/>
      </w:pPr>
      <w:r w:rsidRPr="000936BA">
        <w:lastRenderedPageBreak/>
        <w:t xml:space="preserve">Teachers in both cohorts </w:t>
      </w:r>
      <w:r w:rsidR="00402D86" w:rsidRPr="000936BA">
        <w:t>were concerned about</w:t>
      </w:r>
      <w:r w:rsidRPr="000936BA">
        <w:t xml:space="preserve"> social inclusion (</w:t>
      </w:r>
      <w:proofErr w:type="spellStart"/>
      <w:r w:rsidR="00532387" w:rsidRPr="000936BA">
        <w:t>Vanteighen</w:t>
      </w:r>
      <w:proofErr w:type="spellEnd"/>
      <w:r w:rsidR="00532387" w:rsidRPr="000936BA">
        <w:t xml:space="preserve"> et al., 2020</w:t>
      </w:r>
      <w:r w:rsidRPr="000936BA">
        <w:t>) and active, collegial and real-world learning (</w:t>
      </w:r>
      <w:r w:rsidR="00532387" w:rsidRPr="000936BA">
        <w:t>Monk, 2008</w:t>
      </w:r>
      <w:r w:rsidRPr="000936BA">
        <w:t>)</w:t>
      </w:r>
      <w:r w:rsidR="00F446E5" w:rsidRPr="000936BA">
        <w:t>,</w:t>
      </w:r>
      <w:r w:rsidR="007B1541" w:rsidRPr="000936BA">
        <w:t xml:space="preserve"> but were not position</w:t>
      </w:r>
      <w:r w:rsidR="001437B2" w:rsidRPr="000936BA">
        <w:t>ed</w:t>
      </w:r>
      <w:r w:rsidR="007B1541" w:rsidRPr="000936BA">
        <w:t xml:space="preserve"> </w:t>
      </w:r>
      <w:r w:rsidRPr="000936BA">
        <w:t xml:space="preserve">to consider how </w:t>
      </w:r>
      <w:r w:rsidR="007B1541" w:rsidRPr="000936BA">
        <w:t>various</w:t>
      </w:r>
      <w:r w:rsidRPr="000936BA">
        <w:t xml:space="preserve"> social pedagogic approaches may be implemented in their classrooms.</w:t>
      </w:r>
      <w:r w:rsidR="00437144" w:rsidRPr="000936BA">
        <w:t xml:space="preserve"> </w:t>
      </w:r>
      <w:r w:rsidR="00402D86" w:rsidRPr="000936BA">
        <w:t>T</w:t>
      </w:r>
      <w:r w:rsidR="001C41DC" w:rsidRPr="000936BA">
        <w:t xml:space="preserve">eacher engagement in </w:t>
      </w:r>
      <w:r w:rsidR="00993AC9" w:rsidRPr="000936BA">
        <w:t>ABC activities</w:t>
      </w:r>
      <w:r w:rsidR="001C41DC" w:rsidRPr="000936BA">
        <w:t xml:space="preserve"> was most frequently found among</w:t>
      </w:r>
      <w:r w:rsidR="00993AC9" w:rsidRPr="000936BA">
        <w:t xml:space="preserve"> </w:t>
      </w:r>
      <w:r w:rsidR="000064AE">
        <w:t>teachers with more experience of ABC</w:t>
      </w:r>
      <w:r w:rsidR="001C41DC" w:rsidRPr="000936BA">
        <w:t>; yet teachers showed little collegial engagement in schools</w:t>
      </w:r>
      <w:r w:rsidR="00993AC9" w:rsidRPr="000936BA">
        <w:t xml:space="preserve"> or networks</w:t>
      </w:r>
      <w:r w:rsidR="001C41DC" w:rsidRPr="000936BA">
        <w:t xml:space="preserve"> and provided very limited reflective feedback regarding </w:t>
      </w:r>
      <w:r w:rsidR="00993AC9" w:rsidRPr="000936BA">
        <w:t xml:space="preserve">ABC </w:t>
      </w:r>
      <w:r w:rsidR="001C41DC" w:rsidRPr="000936BA">
        <w:t>information/resources. Teachers were most likely to use resource boxes in</w:t>
      </w:r>
      <w:r w:rsidR="00993AC9" w:rsidRPr="000936BA">
        <w:t xml:space="preserve"> </w:t>
      </w:r>
      <w:r w:rsidR="001C41DC" w:rsidRPr="000936BA">
        <w:t>schools</w:t>
      </w:r>
      <w:r w:rsidR="009E17AB">
        <w:t xml:space="preserve"> </w:t>
      </w:r>
      <w:r w:rsidR="009E17AB" w:rsidRPr="000936BA">
        <w:t>(one-to-three times in the year)</w:t>
      </w:r>
      <w:r w:rsidR="0052690B" w:rsidRPr="000936BA">
        <w:t xml:space="preserve">, although </w:t>
      </w:r>
      <w:r w:rsidR="00993AC9" w:rsidRPr="000936BA">
        <w:t>m</w:t>
      </w:r>
      <w:r w:rsidR="0052690B" w:rsidRPr="000936BA">
        <w:t xml:space="preserve">athematics and </w:t>
      </w:r>
      <w:r w:rsidR="00993AC9" w:rsidRPr="000936BA">
        <w:t>p</w:t>
      </w:r>
      <w:r w:rsidR="0052690B" w:rsidRPr="000936BA">
        <w:t>hysics teachers were least likely to use these resources</w:t>
      </w:r>
      <w:r w:rsidR="001C41DC" w:rsidRPr="000936BA">
        <w:t>.</w:t>
      </w:r>
      <w:r w:rsidR="00902E70" w:rsidRPr="000936BA">
        <w:t xml:space="preserve"> </w:t>
      </w:r>
    </w:p>
    <w:p w14:paraId="414CBF1F" w14:textId="77777777" w:rsidR="00F446E5" w:rsidRPr="000936BA" w:rsidRDefault="00F446E5" w:rsidP="00B6268A">
      <w:pPr>
        <w:spacing w:line="480" w:lineRule="auto"/>
      </w:pPr>
    </w:p>
    <w:p w14:paraId="1D487A1F" w14:textId="0A749CEB" w:rsidR="00857ABC" w:rsidRPr="000936BA" w:rsidRDefault="00902E70" w:rsidP="00B6268A">
      <w:pPr>
        <w:spacing w:line="480" w:lineRule="auto"/>
      </w:pPr>
      <w:r w:rsidRPr="000936BA">
        <w:t xml:space="preserve">Confidence/efficacy questions identified that teachers </w:t>
      </w:r>
      <w:r w:rsidR="00993AC9" w:rsidRPr="000936BA">
        <w:t>were</w:t>
      </w:r>
      <w:r w:rsidRPr="000936BA">
        <w:t xml:space="preserve"> confident in </w:t>
      </w:r>
      <w:r w:rsidR="00BE2CFA">
        <w:t xml:space="preserve">their </w:t>
      </w:r>
      <w:r w:rsidRPr="000936BA">
        <w:t>social pedagogic, teaching and engineering skills although this confidence was only at 50% levels for designing activities for weaker students and converting students’ intuitive understanding into scientific understanding. The relatively high level of confidence is important as Ajzen (</w:t>
      </w:r>
      <w:r w:rsidR="00532387" w:rsidRPr="000936BA">
        <w:t>2002</w:t>
      </w:r>
      <w:r w:rsidRPr="000936BA">
        <w:t xml:space="preserve">) identifies </w:t>
      </w:r>
      <w:r w:rsidR="00BE2CFA">
        <w:t xml:space="preserve">that </w:t>
      </w:r>
      <w:r w:rsidRPr="000936BA">
        <w:t>this behavioural control aspec</w:t>
      </w:r>
      <w:r w:rsidR="00993AC9" w:rsidRPr="000936BA">
        <w:t>t</w:t>
      </w:r>
      <w:r w:rsidRPr="000936BA">
        <w:t xml:space="preserve"> </w:t>
      </w:r>
      <w:r w:rsidR="00BE2CFA">
        <w:t>is</w:t>
      </w:r>
      <w:r w:rsidRPr="000936BA">
        <w:t xml:space="preserve"> strongly related to bringing positive intentions to actual fruition.</w:t>
      </w:r>
      <w:r w:rsidR="0052690B" w:rsidRPr="000936BA">
        <w:t xml:space="preserve"> </w:t>
      </w:r>
      <w:r w:rsidR="00993AC9" w:rsidRPr="000936BA">
        <w:t>B</w:t>
      </w:r>
      <w:r w:rsidR="00D26B2C" w:rsidRPr="000936BA">
        <w:t xml:space="preserve">ehavioural control is </w:t>
      </w:r>
      <w:r w:rsidR="00993AC9" w:rsidRPr="000936BA">
        <w:t xml:space="preserve">also different from </w:t>
      </w:r>
      <w:r w:rsidR="00437144" w:rsidRPr="000936BA">
        <w:t xml:space="preserve">the </w:t>
      </w:r>
      <w:r w:rsidR="00993AC9" w:rsidRPr="000936BA">
        <w:t>expect</w:t>
      </w:r>
      <w:r w:rsidR="00437144" w:rsidRPr="000936BA">
        <w:t>ation</w:t>
      </w:r>
      <w:r w:rsidR="00993AC9" w:rsidRPr="000936BA">
        <w:t xml:space="preserve"> </w:t>
      </w:r>
      <w:r w:rsidR="00D26B2C" w:rsidRPr="000936BA">
        <w:t xml:space="preserve">that simply undertaking STEM </w:t>
      </w:r>
      <w:r w:rsidR="00993AC9" w:rsidRPr="000936BA">
        <w:t xml:space="preserve">classroom </w:t>
      </w:r>
      <w:r w:rsidR="00D26B2C" w:rsidRPr="000936BA">
        <w:t>activities</w:t>
      </w:r>
      <w:r w:rsidR="00993AC9" w:rsidRPr="000936BA">
        <w:t xml:space="preserve"> (behaviours)</w:t>
      </w:r>
      <w:r w:rsidR="00D26B2C" w:rsidRPr="000936BA">
        <w:t xml:space="preserve"> in teams and groups</w:t>
      </w:r>
      <w:r w:rsidR="00993AC9" w:rsidRPr="000936BA">
        <w:t xml:space="preserve"> is likely to be effective</w:t>
      </w:r>
      <w:r w:rsidR="00F446E5" w:rsidRPr="000936BA">
        <w:t xml:space="preserve">, </w:t>
      </w:r>
      <w:r w:rsidR="00993AC9" w:rsidRPr="000936BA">
        <w:t>as opposed to</w:t>
      </w:r>
      <w:r w:rsidR="00D26B2C" w:rsidRPr="000936BA">
        <w:t xml:space="preserve"> training for socially inclusive learning </w:t>
      </w:r>
      <w:r w:rsidR="00993AC9" w:rsidRPr="000936BA">
        <w:t>(</w:t>
      </w:r>
      <w:r w:rsidR="00D26B2C" w:rsidRPr="000936BA">
        <w:t xml:space="preserve">Kutnick &amp; Blatchford, 2014). </w:t>
      </w:r>
      <w:r w:rsidR="0052690B" w:rsidRPr="000936BA">
        <w:t>F</w:t>
      </w:r>
      <w:r w:rsidR="00993AC9" w:rsidRPr="000936BA">
        <w:t>inally,</w:t>
      </w:r>
      <w:r w:rsidR="0052690B" w:rsidRPr="000936BA">
        <w:t xml:space="preserve"> the longer teacher</w:t>
      </w:r>
      <w:r w:rsidR="00A54F89" w:rsidRPr="000936BA">
        <w:t>s</w:t>
      </w:r>
      <w:r w:rsidR="0052690B" w:rsidRPr="000936BA">
        <w:t xml:space="preserve"> had been part of ABC, the more they were committed</w:t>
      </w:r>
      <w:r w:rsidR="00A54F89" w:rsidRPr="000936BA">
        <w:t>,</w:t>
      </w:r>
      <w:r w:rsidR="0052690B" w:rsidRPr="000936BA">
        <w:t xml:space="preserve"> confident, </w:t>
      </w:r>
      <w:r w:rsidR="00A54F89" w:rsidRPr="000936BA">
        <w:t>and</w:t>
      </w:r>
      <w:r w:rsidR="0052690B" w:rsidRPr="000936BA">
        <w:t xml:space="preserve"> perc</w:t>
      </w:r>
      <w:r w:rsidR="00A54F89" w:rsidRPr="000936BA">
        <w:t>eived positive student</w:t>
      </w:r>
      <w:r w:rsidR="0052690B" w:rsidRPr="000936BA">
        <w:t xml:space="preserve"> impacts.</w:t>
      </w:r>
    </w:p>
    <w:p w14:paraId="45315277" w14:textId="10AC3E8E" w:rsidR="00F446E5" w:rsidRPr="000936BA" w:rsidRDefault="00F446E5" w:rsidP="00B6268A">
      <w:pPr>
        <w:spacing w:line="480" w:lineRule="auto"/>
      </w:pPr>
    </w:p>
    <w:p w14:paraId="3AE88CC0" w14:textId="39827D7E" w:rsidR="00F446E5" w:rsidRPr="000936BA" w:rsidRDefault="00F446E5" w:rsidP="00B6268A">
      <w:pPr>
        <w:spacing w:line="480" w:lineRule="auto"/>
      </w:pPr>
      <w:r w:rsidRPr="000936BA">
        <w:t>What emerges from the findings is that the agency and control over decision-making in promoting STEM subjects very frequently resided in matters that were outside the control of the participant</w:t>
      </w:r>
      <w:r w:rsidR="002F6C85">
        <w:t>s. S</w:t>
      </w:r>
      <w:r w:rsidRPr="000936BA">
        <w:t>tructural matters, school priorities and organi</w:t>
      </w:r>
      <w:r w:rsidR="00994BB2" w:rsidRPr="000936BA">
        <w:t>s</w:t>
      </w:r>
      <w:r w:rsidRPr="000936BA">
        <w:t xml:space="preserve">ation that, again, were outside the control of the participants, exerted a highly constraining effect on the development and operations of effective STEM and STEM-CPD in the ABC project.  Given </w:t>
      </w:r>
      <w:r w:rsidRPr="000936BA">
        <w:lastRenderedPageBreak/>
        <w:t>the nature of the issues identified here, the sizeable scope of the project, and the spread of the sample, the suggestion here is this has implications that can be generali</w:t>
      </w:r>
      <w:r w:rsidR="009E17AB">
        <w:t>s</w:t>
      </w:r>
      <w:r w:rsidRPr="000936BA">
        <w:t>ed to schools and education much more widely. The very considerable promise of networked solutions is undermined by obstacles outside their control.</w:t>
      </w:r>
    </w:p>
    <w:p w14:paraId="2ECFE136" w14:textId="77777777" w:rsidR="00F446E5" w:rsidRPr="000936BA" w:rsidRDefault="00F446E5" w:rsidP="00B6268A">
      <w:pPr>
        <w:spacing w:line="480" w:lineRule="auto"/>
      </w:pPr>
    </w:p>
    <w:p w14:paraId="0E6DCD90" w14:textId="34EF6D39" w:rsidR="00857ABC" w:rsidRPr="000936BA" w:rsidRDefault="00F4257C" w:rsidP="00B6268A">
      <w:pPr>
        <w:spacing w:line="480" w:lineRule="auto"/>
        <w:rPr>
          <w:b/>
        </w:rPr>
      </w:pPr>
      <w:r w:rsidRPr="000936BA">
        <w:rPr>
          <w:b/>
        </w:rPr>
        <w:t>Concluding remarks</w:t>
      </w:r>
    </w:p>
    <w:p w14:paraId="2E3D6FB3" w14:textId="53CF7FE8" w:rsidR="00857ABC" w:rsidRPr="000936BA" w:rsidRDefault="009309F8" w:rsidP="00B6268A">
      <w:pPr>
        <w:spacing w:line="480" w:lineRule="auto"/>
        <w:rPr>
          <w:b/>
        </w:rPr>
      </w:pPr>
      <w:r w:rsidRPr="000936BA">
        <w:t xml:space="preserve">Referring to our </w:t>
      </w:r>
      <w:r w:rsidR="002F6C85">
        <w:t>research questions</w:t>
      </w:r>
      <w:r w:rsidRPr="000936BA">
        <w:t xml:space="preserve">, the authors make three types of comment related to: the design of ABC, the evaluation and concerns about the effects of this inclusive </w:t>
      </w:r>
      <w:r w:rsidR="00EF3AF2" w:rsidRPr="000936BA">
        <w:t>STEM-CPD</w:t>
      </w:r>
      <w:r w:rsidRPr="000936BA">
        <w:t xml:space="preserve"> programme. Initially, ABC was designed to enhance teacher and student understand</w:t>
      </w:r>
      <w:r w:rsidR="00D26B2C" w:rsidRPr="000936BA">
        <w:t>ing</w:t>
      </w:r>
      <w:r w:rsidRPr="000936BA">
        <w:t xml:space="preserve"> and future engagement with STEM topics in a ‘real</w:t>
      </w:r>
      <w:r w:rsidR="005C5B86" w:rsidRPr="000936BA">
        <w:t>-</w:t>
      </w:r>
      <w:r w:rsidRPr="000936BA">
        <w:t>world’ orientation. Inclusion</w:t>
      </w:r>
      <w:r w:rsidR="007B1541" w:rsidRPr="000936BA">
        <w:t>/pedagogy</w:t>
      </w:r>
      <w:r w:rsidRPr="000936BA">
        <w:t xml:space="preserve"> was not specifically ‘planned’ into the programme although </w:t>
      </w:r>
      <w:r w:rsidR="00E91E91" w:rsidRPr="000936BA">
        <w:t>most</w:t>
      </w:r>
      <w:r w:rsidRPr="000936BA">
        <w:t xml:space="preserve"> teachers </w:t>
      </w:r>
      <w:r w:rsidR="00B01D8E" w:rsidRPr="000936BA">
        <w:t xml:space="preserve">(over 95%) </w:t>
      </w:r>
      <w:r w:rsidRPr="000936BA">
        <w:t>engaged in the programme were from inclusive secondary schools</w:t>
      </w:r>
      <w:r w:rsidR="00B01D8E" w:rsidRPr="000936BA">
        <w:t xml:space="preserve">. Knowledge dissemination was planned to take place via a </w:t>
      </w:r>
      <w:r w:rsidR="005C5B86" w:rsidRPr="000936BA">
        <w:t xml:space="preserve">TC-led </w:t>
      </w:r>
      <w:r w:rsidR="00B01D8E" w:rsidRPr="000936BA">
        <w:t>cascade syste</w:t>
      </w:r>
      <w:r w:rsidR="00943444">
        <w:t>m,</w:t>
      </w:r>
      <w:r w:rsidR="002A0E90" w:rsidRPr="000936BA">
        <w:t xml:space="preserve"> promot</w:t>
      </w:r>
      <w:r w:rsidR="00943444">
        <w:t>ing</w:t>
      </w:r>
      <w:r w:rsidR="00B01D8E" w:rsidRPr="000936BA">
        <w:t xml:space="preserve"> teachers’ knowledge and attitudes towards STEM education and provid</w:t>
      </w:r>
      <w:r w:rsidR="00943444">
        <w:t>ing</w:t>
      </w:r>
      <w:r w:rsidR="00B01D8E" w:rsidRPr="000936BA">
        <w:t xml:space="preserve"> real-world problems upon which teachers could develop practical STEM understanding, reflective practices and efficacy. </w:t>
      </w:r>
      <w:r w:rsidR="002A0E90" w:rsidRPr="000936BA">
        <w:t>S</w:t>
      </w:r>
      <w:r w:rsidR="00B01D8E" w:rsidRPr="000936BA">
        <w:t>upport</w:t>
      </w:r>
      <w:r w:rsidR="002A0E90" w:rsidRPr="000936BA">
        <w:t xml:space="preserve"> for</w:t>
      </w:r>
      <w:r w:rsidR="00B01D8E" w:rsidRPr="000936BA">
        <w:t xml:space="preserve"> teachers </w:t>
      </w:r>
      <w:r w:rsidR="002A0E90" w:rsidRPr="000936BA">
        <w:t xml:space="preserve">was planned </w:t>
      </w:r>
      <w:r w:rsidR="00B01D8E" w:rsidRPr="000936BA">
        <w:t xml:space="preserve">within collective networks that would last over </w:t>
      </w:r>
      <w:r w:rsidR="00E91E91" w:rsidRPr="000936BA">
        <w:t>several</w:t>
      </w:r>
      <w:r w:rsidR="00B01D8E" w:rsidRPr="000936BA">
        <w:t xml:space="preserve"> years</w:t>
      </w:r>
      <w:r w:rsidR="002A0E90" w:rsidRPr="000936BA">
        <w:t>. T</w:t>
      </w:r>
      <w:r w:rsidR="00B01D8E" w:rsidRPr="000936BA">
        <w:t>his was not a short-term or one-off</w:t>
      </w:r>
      <w:r w:rsidR="00B61BFC" w:rsidRPr="000936BA">
        <w:t>/stand-alone</w:t>
      </w:r>
      <w:r w:rsidR="00B01D8E" w:rsidRPr="000936BA">
        <w:t xml:space="preserve"> dissemination of knowledge programme that had been previously criticised (</w:t>
      </w:r>
      <w:r w:rsidR="00006388" w:rsidRPr="000936BA">
        <w:t>Monk, 2008</w:t>
      </w:r>
      <w:r w:rsidR="00B01D8E" w:rsidRPr="000936BA">
        <w:t>).</w:t>
      </w:r>
      <w:r w:rsidR="00B61BFC" w:rsidRPr="000936BA">
        <w:t xml:space="preserve"> </w:t>
      </w:r>
      <w:r w:rsidR="002A0E90" w:rsidRPr="000936BA">
        <w:t>T</w:t>
      </w:r>
      <w:r w:rsidR="00B61BFC" w:rsidRPr="000936BA">
        <w:t>he</w:t>
      </w:r>
      <w:r w:rsidR="002A0E90" w:rsidRPr="000936BA">
        <w:t xml:space="preserve"> </w:t>
      </w:r>
      <w:r w:rsidR="00B61BFC" w:rsidRPr="000936BA">
        <w:t>programme expect</w:t>
      </w:r>
      <w:r w:rsidR="00914DEA" w:rsidRPr="000936BA">
        <w:t>ed to</w:t>
      </w:r>
      <w:r w:rsidR="00B61BFC" w:rsidRPr="000936BA">
        <w:t xml:space="preserve"> impact upon students’ STEM awareness, attitudes, attainment and course/career choice</w:t>
      </w:r>
      <w:r w:rsidR="00CE5851" w:rsidRPr="000936BA">
        <w:t>.</w:t>
      </w:r>
    </w:p>
    <w:p w14:paraId="219B20E0" w14:textId="77777777" w:rsidR="00877C82" w:rsidRPr="000936BA" w:rsidRDefault="00877C82" w:rsidP="00B6268A">
      <w:pPr>
        <w:spacing w:line="480" w:lineRule="auto"/>
      </w:pPr>
    </w:p>
    <w:p w14:paraId="666C4F70" w14:textId="090791F5" w:rsidR="001B3144" w:rsidRPr="000936BA" w:rsidRDefault="00E91E91" w:rsidP="00B6268A">
      <w:pPr>
        <w:spacing w:line="480" w:lineRule="auto"/>
      </w:pPr>
      <w:r w:rsidRPr="000936BA">
        <w:t>Considering</w:t>
      </w:r>
      <w:r w:rsidR="00B61BFC" w:rsidRPr="000936BA">
        <w:t xml:space="preserve"> criticisms </w:t>
      </w:r>
      <w:r w:rsidR="00857ABC" w:rsidRPr="000936BA">
        <w:t>in the literature</w:t>
      </w:r>
      <w:r w:rsidR="00B33F8F" w:rsidRPr="000936BA">
        <w:t>,</w:t>
      </w:r>
      <w:r w:rsidR="00857ABC" w:rsidRPr="000936BA">
        <w:t xml:space="preserve"> th</w:t>
      </w:r>
      <w:r w:rsidR="00BE764F" w:rsidRPr="000936BA">
        <w:t>is</w:t>
      </w:r>
      <w:r w:rsidR="00857ABC" w:rsidRPr="000936BA">
        <w:t xml:space="preserve"> evaluation was planned on </w:t>
      </w:r>
      <w:r w:rsidR="00B33F8F" w:rsidRPr="000936BA">
        <w:t xml:space="preserve">the </w:t>
      </w:r>
      <w:r w:rsidR="00857ABC" w:rsidRPr="000936BA">
        <w:t xml:space="preserve">bases of theory (Ajzen, </w:t>
      </w:r>
      <w:r w:rsidR="00006388" w:rsidRPr="000936BA">
        <w:t>2002</w:t>
      </w:r>
      <w:r w:rsidR="00857ABC" w:rsidRPr="000936BA">
        <w:t xml:space="preserve">), domain specific and pedagogic efficacy (Bandura, </w:t>
      </w:r>
      <w:r w:rsidR="00006388" w:rsidRPr="000936BA">
        <w:t>1997</w:t>
      </w:r>
      <w:r w:rsidR="00857ABC" w:rsidRPr="000936BA">
        <w:t xml:space="preserve">), and learning community (Wenger, </w:t>
      </w:r>
      <w:r w:rsidR="00ED0D2E">
        <w:t>1998</w:t>
      </w:r>
      <w:r w:rsidR="00857ABC" w:rsidRPr="000936BA">
        <w:t>)</w:t>
      </w:r>
      <w:r w:rsidR="00914DEA" w:rsidRPr="000936BA">
        <w:t>)</w:t>
      </w:r>
      <w:r w:rsidR="00857ABC" w:rsidRPr="000936BA">
        <w:t>. Methods were bootstrapped to assess insights from programme participants that identify concerns underlying the implementation of ABC a</w:t>
      </w:r>
      <w:r w:rsidR="00BE764F" w:rsidRPr="000936BA">
        <w:t>nd</w:t>
      </w:r>
      <w:r w:rsidR="00857ABC" w:rsidRPr="000936BA">
        <w:t xml:space="preserve"> demographic aspects of participants.</w:t>
      </w:r>
    </w:p>
    <w:p w14:paraId="206F254D" w14:textId="77777777" w:rsidR="00B33F8F" w:rsidRPr="000936BA" w:rsidRDefault="00B33F8F" w:rsidP="00B6268A">
      <w:pPr>
        <w:spacing w:line="480" w:lineRule="auto"/>
      </w:pPr>
    </w:p>
    <w:p w14:paraId="7CA1F458" w14:textId="5A6AD619" w:rsidR="00343BFA" w:rsidRPr="000936BA" w:rsidRDefault="00E91E91" w:rsidP="00B6268A">
      <w:pPr>
        <w:spacing w:line="480" w:lineRule="auto"/>
      </w:pPr>
      <w:r w:rsidRPr="000936BA">
        <w:t>Regarding</w:t>
      </w:r>
      <w:r w:rsidR="004223ED" w:rsidRPr="000936BA">
        <w:t xml:space="preserve"> evaluation points in the </w:t>
      </w:r>
      <w:r w:rsidR="002F6C85">
        <w:t>research questions</w:t>
      </w:r>
      <w:r w:rsidR="004223ED" w:rsidRPr="000936BA">
        <w:t>, we summarise the following:</w:t>
      </w:r>
    </w:p>
    <w:p w14:paraId="3F993EA3" w14:textId="1CF10803" w:rsidR="00343BFA" w:rsidRPr="000936BA" w:rsidRDefault="004223ED" w:rsidP="00B6268A">
      <w:pPr>
        <w:pStyle w:val="ListParagraph"/>
        <w:numPr>
          <w:ilvl w:val="0"/>
          <w:numId w:val="10"/>
        </w:numPr>
        <w:spacing w:line="480" w:lineRule="auto"/>
        <w:rPr>
          <w:rFonts w:ascii="Times New Roman" w:hAnsi="Times New Roman"/>
          <w:sz w:val="24"/>
          <w:szCs w:val="24"/>
        </w:rPr>
      </w:pPr>
      <w:r w:rsidRPr="000936BA">
        <w:rPr>
          <w:rFonts w:ascii="Times New Roman" w:hAnsi="Times New Roman"/>
          <w:i/>
          <w:sz w:val="24"/>
          <w:szCs w:val="24"/>
        </w:rPr>
        <w:t>Programme based on real, authentic STEM experience</w:t>
      </w:r>
      <w:r w:rsidRPr="000936BA">
        <w:rPr>
          <w:rFonts w:ascii="Times New Roman" w:hAnsi="Times New Roman"/>
          <w:sz w:val="24"/>
          <w:szCs w:val="24"/>
        </w:rPr>
        <w:t>:</w:t>
      </w:r>
      <w:r w:rsidR="003E7A59" w:rsidRPr="000936BA">
        <w:rPr>
          <w:rFonts w:ascii="Times New Roman" w:hAnsi="Times New Roman"/>
          <w:sz w:val="24"/>
          <w:szCs w:val="24"/>
        </w:rPr>
        <w:t xml:space="preserve"> </w:t>
      </w:r>
      <w:r w:rsidR="00BE764F" w:rsidRPr="000936BA">
        <w:rPr>
          <w:rFonts w:ascii="Times New Roman" w:hAnsi="Times New Roman"/>
          <w:sz w:val="24"/>
          <w:szCs w:val="24"/>
        </w:rPr>
        <w:t>T</w:t>
      </w:r>
      <w:r w:rsidR="003E7A59" w:rsidRPr="000936BA">
        <w:rPr>
          <w:rFonts w:ascii="Times New Roman" w:hAnsi="Times New Roman"/>
          <w:sz w:val="24"/>
          <w:szCs w:val="24"/>
        </w:rPr>
        <w:t>eachers</w:t>
      </w:r>
      <w:r w:rsidR="00914DEA" w:rsidRPr="000936BA">
        <w:rPr>
          <w:rFonts w:ascii="Times New Roman" w:hAnsi="Times New Roman"/>
          <w:sz w:val="24"/>
          <w:szCs w:val="24"/>
        </w:rPr>
        <w:t>/</w:t>
      </w:r>
      <w:r w:rsidR="003E7A59" w:rsidRPr="000936BA">
        <w:rPr>
          <w:rFonts w:ascii="Times New Roman" w:hAnsi="Times New Roman"/>
          <w:sz w:val="24"/>
          <w:szCs w:val="24"/>
        </w:rPr>
        <w:t xml:space="preserve">TCs agreed </w:t>
      </w:r>
      <w:r w:rsidR="00B33F8F" w:rsidRPr="000936BA">
        <w:rPr>
          <w:rFonts w:ascii="Times New Roman" w:hAnsi="Times New Roman"/>
          <w:sz w:val="24"/>
          <w:szCs w:val="24"/>
        </w:rPr>
        <w:t xml:space="preserve">on </w:t>
      </w:r>
      <w:r w:rsidR="003E7A59" w:rsidRPr="000936BA">
        <w:rPr>
          <w:rFonts w:ascii="Times New Roman" w:hAnsi="Times New Roman"/>
          <w:sz w:val="24"/>
          <w:szCs w:val="24"/>
        </w:rPr>
        <w:t xml:space="preserve">the need to base STEM education on real-world problems and identified that </w:t>
      </w:r>
      <w:r w:rsidR="00BE764F" w:rsidRPr="000936BA">
        <w:rPr>
          <w:rFonts w:ascii="Times New Roman" w:hAnsi="Times New Roman"/>
          <w:sz w:val="24"/>
          <w:szCs w:val="24"/>
        </w:rPr>
        <w:t xml:space="preserve">ABC </w:t>
      </w:r>
      <w:r w:rsidR="003E7A59" w:rsidRPr="000936BA">
        <w:rPr>
          <w:rFonts w:ascii="Times New Roman" w:hAnsi="Times New Roman"/>
          <w:sz w:val="24"/>
          <w:szCs w:val="24"/>
        </w:rPr>
        <w:t xml:space="preserve">resources provided were based upon these problems. Teachers, though, were not consistent in applying these real-world resources in their inclusive classrooms – resources were most </w:t>
      </w:r>
      <w:r w:rsidR="00BE764F" w:rsidRPr="000936BA">
        <w:rPr>
          <w:rFonts w:ascii="Times New Roman" w:hAnsi="Times New Roman"/>
          <w:sz w:val="24"/>
          <w:szCs w:val="24"/>
        </w:rPr>
        <w:t>often</w:t>
      </w:r>
      <w:r w:rsidR="003E7A59" w:rsidRPr="000936BA">
        <w:rPr>
          <w:rFonts w:ascii="Times New Roman" w:hAnsi="Times New Roman"/>
          <w:sz w:val="24"/>
          <w:szCs w:val="24"/>
        </w:rPr>
        <w:t xml:space="preserve"> used in </w:t>
      </w:r>
      <w:r w:rsidR="007355FA" w:rsidRPr="000936BA">
        <w:rPr>
          <w:rFonts w:ascii="Times New Roman" w:hAnsi="Times New Roman"/>
          <w:sz w:val="24"/>
          <w:szCs w:val="24"/>
        </w:rPr>
        <w:t>extracurricular</w:t>
      </w:r>
      <w:r w:rsidR="003E7A59" w:rsidRPr="000936BA">
        <w:rPr>
          <w:rFonts w:ascii="Times New Roman" w:hAnsi="Times New Roman"/>
          <w:sz w:val="24"/>
          <w:szCs w:val="24"/>
        </w:rPr>
        <w:t xml:space="preserve"> STEM clubs</w:t>
      </w:r>
      <w:r w:rsidR="00006388" w:rsidRPr="000936BA">
        <w:rPr>
          <w:rFonts w:ascii="Times New Roman" w:hAnsi="Times New Roman"/>
          <w:sz w:val="24"/>
          <w:szCs w:val="24"/>
        </w:rPr>
        <w:t>,</w:t>
      </w:r>
      <w:r w:rsidR="00B62594" w:rsidRPr="000936BA">
        <w:rPr>
          <w:rFonts w:ascii="Times New Roman" w:hAnsi="Times New Roman"/>
          <w:sz w:val="24"/>
          <w:szCs w:val="24"/>
        </w:rPr>
        <w:t xml:space="preserve"> were least likely to be used in traditionally taught disciplines </w:t>
      </w:r>
      <w:r w:rsidR="00BE764F" w:rsidRPr="000936BA">
        <w:rPr>
          <w:rFonts w:ascii="Times New Roman" w:hAnsi="Times New Roman"/>
          <w:sz w:val="24"/>
          <w:szCs w:val="24"/>
        </w:rPr>
        <w:t>(</w:t>
      </w:r>
      <w:r w:rsidR="00B62594" w:rsidRPr="000936BA">
        <w:rPr>
          <w:rFonts w:ascii="Times New Roman" w:hAnsi="Times New Roman"/>
          <w:sz w:val="24"/>
          <w:szCs w:val="24"/>
        </w:rPr>
        <w:t>mathematics</w:t>
      </w:r>
      <w:r w:rsidR="00914DEA" w:rsidRPr="000936BA">
        <w:rPr>
          <w:rFonts w:ascii="Times New Roman" w:hAnsi="Times New Roman"/>
          <w:sz w:val="24"/>
          <w:szCs w:val="24"/>
        </w:rPr>
        <w:t>/</w:t>
      </w:r>
      <w:r w:rsidR="00B62594" w:rsidRPr="000936BA">
        <w:rPr>
          <w:rFonts w:ascii="Times New Roman" w:hAnsi="Times New Roman"/>
          <w:sz w:val="24"/>
          <w:szCs w:val="24"/>
        </w:rPr>
        <w:t>physics</w:t>
      </w:r>
      <w:r w:rsidR="00BE764F" w:rsidRPr="000936BA">
        <w:rPr>
          <w:rFonts w:ascii="Times New Roman" w:hAnsi="Times New Roman"/>
          <w:sz w:val="24"/>
          <w:szCs w:val="24"/>
        </w:rPr>
        <w:t>)</w:t>
      </w:r>
      <w:r w:rsidR="00B62594" w:rsidRPr="000936BA">
        <w:rPr>
          <w:rFonts w:ascii="Times New Roman" w:hAnsi="Times New Roman"/>
          <w:sz w:val="24"/>
          <w:szCs w:val="24"/>
        </w:rPr>
        <w:t xml:space="preserve"> and schools that did not encourage/support STEM interdisciplinary teaching </w:t>
      </w:r>
      <w:r w:rsidR="00914DEA" w:rsidRPr="000936BA">
        <w:rPr>
          <w:rFonts w:ascii="Times New Roman" w:hAnsi="Times New Roman"/>
          <w:sz w:val="24"/>
          <w:szCs w:val="24"/>
        </w:rPr>
        <w:t>or</w:t>
      </w:r>
      <w:r w:rsidR="00B62594" w:rsidRPr="000936BA">
        <w:rPr>
          <w:rFonts w:ascii="Times New Roman" w:hAnsi="Times New Roman"/>
          <w:sz w:val="24"/>
          <w:szCs w:val="24"/>
        </w:rPr>
        <w:t xml:space="preserve"> hands-on pedagogies.</w:t>
      </w:r>
    </w:p>
    <w:p w14:paraId="545D2659" w14:textId="02771A55" w:rsidR="00343BFA" w:rsidRPr="000936BA" w:rsidRDefault="004223ED" w:rsidP="00B6268A">
      <w:pPr>
        <w:pStyle w:val="ListParagraph"/>
        <w:numPr>
          <w:ilvl w:val="0"/>
          <w:numId w:val="10"/>
        </w:numPr>
        <w:spacing w:line="480" w:lineRule="auto"/>
        <w:rPr>
          <w:rFonts w:ascii="Times New Roman" w:hAnsi="Times New Roman"/>
          <w:sz w:val="24"/>
          <w:szCs w:val="24"/>
        </w:rPr>
      </w:pPr>
      <w:r w:rsidRPr="000936BA">
        <w:rPr>
          <w:rFonts w:ascii="Times New Roman" w:hAnsi="Times New Roman"/>
          <w:i/>
          <w:sz w:val="24"/>
          <w:szCs w:val="24"/>
        </w:rPr>
        <w:t>Did the cascade model work effectively for ABC</w:t>
      </w:r>
      <w:r w:rsidR="002F6C85">
        <w:rPr>
          <w:rFonts w:ascii="Times New Roman" w:hAnsi="Times New Roman"/>
          <w:i/>
          <w:sz w:val="24"/>
          <w:szCs w:val="24"/>
        </w:rPr>
        <w:t xml:space="preserve"> and support a community of </w:t>
      </w:r>
      <w:r w:rsidR="007370B7">
        <w:rPr>
          <w:rFonts w:ascii="Times New Roman" w:hAnsi="Times New Roman"/>
          <w:i/>
          <w:sz w:val="24"/>
          <w:szCs w:val="24"/>
        </w:rPr>
        <w:t>learners</w:t>
      </w:r>
      <w:r w:rsidRPr="000936BA">
        <w:rPr>
          <w:rFonts w:ascii="Times New Roman" w:hAnsi="Times New Roman"/>
          <w:sz w:val="24"/>
          <w:szCs w:val="24"/>
        </w:rPr>
        <w:t>:</w:t>
      </w:r>
      <w:r w:rsidR="00B62594" w:rsidRPr="000936BA">
        <w:rPr>
          <w:rFonts w:ascii="Times New Roman" w:hAnsi="Times New Roman"/>
          <w:sz w:val="24"/>
          <w:szCs w:val="24"/>
        </w:rPr>
        <w:t xml:space="preserve"> The </w:t>
      </w:r>
      <w:r w:rsidR="00914DEA" w:rsidRPr="000936BA">
        <w:rPr>
          <w:rFonts w:ascii="Times New Roman" w:hAnsi="Times New Roman"/>
          <w:sz w:val="24"/>
          <w:szCs w:val="24"/>
        </w:rPr>
        <w:t>evaluation</w:t>
      </w:r>
      <w:r w:rsidR="00B62594" w:rsidRPr="000936BA">
        <w:rPr>
          <w:rFonts w:ascii="Times New Roman" w:hAnsi="Times New Roman"/>
          <w:sz w:val="24"/>
          <w:szCs w:val="24"/>
        </w:rPr>
        <w:t xml:space="preserve"> identified tensions between the cascade model and grouping teachers into networks to enhance their </w:t>
      </w:r>
      <w:r w:rsidR="00EF3AF2" w:rsidRPr="000936BA">
        <w:rPr>
          <w:rFonts w:ascii="Times New Roman" w:hAnsi="Times New Roman"/>
          <w:sz w:val="24"/>
          <w:szCs w:val="24"/>
        </w:rPr>
        <w:t>STEM-CPD</w:t>
      </w:r>
      <w:r w:rsidR="00B62594" w:rsidRPr="000936BA">
        <w:rPr>
          <w:rFonts w:ascii="Times New Roman" w:hAnsi="Times New Roman"/>
          <w:sz w:val="24"/>
          <w:szCs w:val="24"/>
        </w:rPr>
        <w:t xml:space="preserve">. The most obvious tension was found in the pedagogic model of cascade – where </w:t>
      </w:r>
      <w:r w:rsidR="00914DEA" w:rsidRPr="000936BA">
        <w:rPr>
          <w:rFonts w:ascii="Times New Roman" w:hAnsi="Times New Roman"/>
          <w:sz w:val="24"/>
          <w:szCs w:val="24"/>
        </w:rPr>
        <w:t>ABC</w:t>
      </w:r>
      <w:r w:rsidR="00B62594" w:rsidRPr="000936BA">
        <w:rPr>
          <w:rFonts w:ascii="Times New Roman" w:hAnsi="Times New Roman"/>
          <w:sz w:val="24"/>
          <w:szCs w:val="24"/>
        </w:rPr>
        <w:t xml:space="preserve"> provided high quality resources and knowledge/</w:t>
      </w:r>
      <w:r w:rsidR="007B1541" w:rsidRPr="000936BA">
        <w:rPr>
          <w:rFonts w:ascii="Times New Roman" w:hAnsi="Times New Roman"/>
          <w:sz w:val="24"/>
          <w:szCs w:val="24"/>
        </w:rPr>
        <w:t>practice</w:t>
      </w:r>
      <w:r w:rsidR="00B62594" w:rsidRPr="000936BA">
        <w:rPr>
          <w:rFonts w:ascii="Times New Roman" w:hAnsi="Times New Roman"/>
          <w:sz w:val="24"/>
          <w:szCs w:val="24"/>
        </w:rPr>
        <w:t xml:space="preserve"> </w:t>
      </w:r>
      <w:r w:rsidR="007B1541" w:rsidRPr="000936BA">
        <w:rPr>
          <w:rFonts w:ascii="Times New Roman" w:hAnsi="Times New Roman"/>
          <w:sz w:val="24"/>
          <w:szCs w:val="24"/>
        </w:rPr>
        <w:t>in</w:t>
      </w:r>
      <w:r w:rsidR="00B62594" w:rsidRPr="000936BA">
        <w:rPr>
          <w:rFonts w:ascii="Times New Roman" w:hAnsi="Times New Roman"/>
          <w:sz w:val="24"/>
          <w:szCs w:val="24"/>
        </w:rPr>
        <w:t xml:space="preserve"> us</w:t>
      </w:r>
      <w:r w:rsidR="007B1541" w:rsidRPr="000936BA">
        <w:rPr>
          <w:rFonts w:ascii="Times New Roman" w:hAnsi="Times New Roman"/>
          <w:sz w:val="24"/>
          <w:szCs w:val="24"/>
        </w:rPr>
        <w:t>ing</w:t>
      </w:r>
      <w:r w:rsidR="00B62594" w:rsidRPr="000936BA">
        <w:rPr>
          <w:rFonts w:ascii="Times New Roman" w:hAnsi="Times New Roman"/>
          <w:sz w:val="24"/>
          <w:szCs w:val="24"/>
        </w:rPr>
        <w:t xml:space="preserve"> the resources but did not follow-up on teachers’ reflections/feedback </w:t>
      </w:r>
      <w:r w:rsidR="00945F39">
        <w:rPr>
          <w:rFonts w:ascii="Times New Roman" w:hAnsi="Times New Roman"/>
          <w:sz w:val="24"/>
          <w:szCs w:val="24"/>
        </w:rPr>
        <w:t>c</w:t>
      </w:r>
      <w:r w:rsidR="00B62594" w:rsidRPr="000936BA">
        <w:rPr>
          <w:rFonts w:ascii="Times New Roman" w:hAnsi="Times New Roman"/>
          <w:sz w:val="24"/>
          <w:szCs w:val="24"/>
        </w:rPr>
        <w:t>on</w:t>
      </w:r>
      <w:r w:rsidR="00945F39">
        <w:rPr>
          <w:rFonts w:ascii="Times New Roman" w:hAnsi="Times New Roman"/>
          <w:sz w:val="24"/>
          <w:szCs w:val="24"/>
        </w:rPr>
        <w:t>cerning</w:t>
      </w:r>
      <w:r w:rsidR="00B62594" w:rsidRPr="000936BA">
        <w:rPr>
          <w:rFonts w:ascii="Times New Roman" w:hAnsi="Times New Roman"/>
          <w:sz w:val="24"/>
          <w:szCs w:val="24"/>
        </w:rPr>
        <w:t xml:space="preserve"> resource</w:t>
      </w:r>
      <w:r w:rsidR="007B1541" w:rsidRPr="000936BA">
        <w:rPr>
          <w:rFonts w:ascii="Times New Roman" w:hAnsi="Times New Roman"/>
          <w:sz w:val="24"/>
          <w:szCs w:val="24"/>
        </w:rPr>
        <w:t xml:space="preserve"> use</w:t>
      </w:r>
      <w:r w:rsidR="00B62594" w:rsidRPr="000936BA">
        <w:rPr>
          <w:rFonts w:ascii="Times New Roman" w:hAnsi="Times New Roman"/>
          <w:sz w:val="24"/>
          <w:szCs w:val="24"/>
        </w:rPr>
        <w:t xml:space="preserve"> or social pedagogic models of application </w:t>
      </w:r>
      <w:r w:rsidR="00BE764F" w:rsidRPr="000936BA">
        <w:rPr>
          <w:rFonts w:ascii="Times New Roman" w:hAnsi="Times New Roman"/>
          <w:sz w:val="24"/>
          <w:szCs w:val="24"/>
        </w:rPr>
        <w:t>within</w:t>
      </w:r>
      <w:r w:rsidR="00B62594" w:rsidRPr="000936BA">
        <w:rPr>
          <w:rFonts w:ascii="Times New Roman" w:hAnsi="Times New Roman"/>
          <w:sz w:val="24"/>
          <w:szCs w:val="24"/>
        </w:rPr>
        <w:t xml:space="preserve"> classroom</w:t>
      </w:r>
      <w:r w:rsidR="00BE764F" w:rsidRPr="000936BA">
        <w:rPr>
          <w:rFonts w:ascii="Times New Roman" w:hAnsi="Times New Roman"/>
          <w:sz w:val="24"/>
          <w:szCs w:val="24"/>
        </w:rPr>
        <w:t>s</w:t>
      </w:r>
      <w:r w:rsidR="005A5AD1">
        <w:rPr>
          <w:rFonts w:ascii="Times New Roman" w:hAnsi="Times New Roman"/>
          <w:sz w:val="24"/>
          <w:szCs w:val="24"/>
        </w:rPr>
        <w:t>,</w:t>
      </w:r>
      <w:r w:rsidR="007370B7">
        <w:rPr>
          <w:rFonts w:ascii="Times New Roman" w:hAnsi="Times New Roman"/>
          <w:sz w:val="24"/>
          <w:szCs w:val="24"/>
        </w:rPr>
        <w:t xml:space="preserve"> nor </w:t>
      </w:r>
      <w:r w:rsidR="00AC353C">
        <w:rPr>
          <w:rFonts w:ascii="Times New Roman" w:hAnsi="Times New Roman"/>
          <w:sz w:val="24"/>
          <w:szCs w:val="24"/>
        </w:rPr>
        <w:t xml:space="preserve">was it </w:t>
      </w:r>
      <w:r w:rsidR="007370B7">
        <w:rPr>
          <w:rFonts w:ascii="Times New Roman" w:hAnsi="Times New Roman"/>
          <w:sz w:val="24"/>
          <w:szCs w:val="24"/>
        </w:rPr>
        <w:t>supportive of a community of learners</w:t>
      </w:r>
      <w:r w:rsidR="00B62594" w:rsidRPr="000936BA">
        <w:rPr>
          <w:rFonts w:ascii="Times New Roman" w:hAnsi="Times New Roman"/>
          <w:sz w:val="24"/>
          <w:szCs w:val="24"/>
        </w:rPr>
        <w:t xml:space="preserve">. </w:t>
      </w:r>
      <w:r w:rsidR="00BE764F" w:rsidRPr="000936BA">
        <w:rPr>
          <w:rFonts w:ascii="Times New Roman" w:hAnsi="Times New Roman"/>
          <w:sz w:val="24"/>
          <w:szCs w:val="24"/>
        </w:rPr>
        <w:t>W</w:t>
      </w:r>
      <w:r w:rsidR="00B62594" w:rsidRPr="000936BA">
        <w:rPr>
          <w:rFonts w:ascii="Times New Roman" w:hAnsi="Times New Roman"/>
          <w:sz w:val="24"/>
          <w:szCs w:val="24"/>
        </w:rPr>
        <w:t>hile teachers identified that STEM students should be able to work independently from the teacher, in small</w:t>
      </w:r>
      <w:r w:rsidR="00BE764F" w:rsidRPr="000936BA">
        <w:rPr>
          <w:rFonts w:ascii="Times New Roman" w:hAnsi="Times New Roman"/>
          <w:sz w:val="24"/>
          <w:szCs w:val="24"/>
        </w:rPr>
        <w:t>/</w:t>
      </w:r>
      <w:r w:rsidR="00B62594" w:rsidRPr="000936BA">
        <w:rPr>
          <w:rFonts w:ascii="Times New Roman" w:hAnsi="Times New Roman"/>
          <w:sz w:val="24"/>
          <w:szCs w:val="24"/>
        </w:rPr>
        <w:t>supportive groups, integrate boys and girls from across the attainment range in an active and engaging manner</w:t>
      </w:r>
      <w:r w:rsidR="00DD7815" w:rsidRPr="000936BA">
        <w:rPr>
          <w:rFonts w:ascii="Times New Roman" w:hAnsi="Times New Roman"/>
          <w:sz w:val="24"/>
          <w:szCs w:val="24"/>
        </w:rPr>
        <w:t>,</w:t>
      </w:r>
      <w:r w:rsidR="00B62594" w:rsidRPr="000936BA">
        <w:rPr>
          <w:rFonts w:ascii="Times New Roman" w:hAnsi="Times New Roman"/>
          <w:sz w:val="24"/>
          <w:szCs w:val="24"/>
        </w:rPr>
        <w:t xml:space="preserve"> they were not provided</w:t>
      </w:r>
      <w:r w:rsidR="00DD7815" w:rsidRPr="000936BA">
        <w:rPr>
          <w:rFonts w:ascii="Times New Roman" w:hAnsi="Times New Roman"/>
          <w:sz w:val="24"/>
          <w:szCs w:val="24"/>
        </w:rPr>
        <w:t xml:space="preserve"> </w:t>
      </w:r>
      <w:r w:rsidR="00461E76" w:rsidRPr="000936BA">
        <w:rPr>
          <w:rFonts w:ascii="Times New Roman" w:hAnsi="Times New Roman"/>
          <w:sz w:val="24"/>
          <w:szCs w:val="24"/>
        </w:rPr>
        <w:t xml:space="preserve">with </w:t>
      </w:r>
      <w:r w:rsidR="007B1541" w:rsidRPr="000936BA">
        <w:rPr>
          <w:rFonts w:ascii="Times New Roman" w:hAnsi="Times New Roman"/>
          <w:sz w:val="24"/>
          <w:szCs w:val="24"/>
        </w:rPr>
        <w:t>opportunities</w:t>
      </w:r>
      <w:r w:rsidR="00DD7815" w:rsidRPr="000936BA">
        <w:rPr>
          <w:rFonts w:ascii="Times New Roman" w:hAnsi="Times New Roman"/>
          <w:sz w:val="24"/>
          <w:szCs w:val="24"/>
        </w:rPr>
        <w:t xml:space="preserve"> </w:t>
      </w:r>
      <w:r w:rsidR="007B1541" w:rsidRPr="000936BA">
        <w:rPr>
          <w:rFonts w:ascii="Times New Roman" w:hAnsi="Times New Roman"/>
          <w:sz w:val="24"/>
          <w:szCs w:val="24"/>
        </w:rPr>
        <w:t>n</w:t>
      </w:r>
      <w:r w:rsidR="00DD7815" w:rsidRPr="000936BA">
        <w:rPr>
          <w:rFonts w:ascii="Times New Roman" w:hAnsi="Times New Roman"/>
          <w:sz w:val="24"/>
          <w:szCs w:val="24"/>
        </w:rPr>
        <w:t xml:space="preserve">or TC classroom support to implement these social pedagogic strategies. </w:t>
      </w:r>
      <w:r w:rsidR="00BE764F" w:rsidRPr="000936BA">
        <w:rPr>
          <w:rFonts w:ascii="Times New Roman" w:hAnsi="Times New Roman"/>
          <w:sz w:val="24"/>
          <w:szCs w:val="24"/>
        </w:rPr>
        <w:t>T</w:t>
      </w:r>
      <w:r w:rsidR="00DD7815" w:rsidRPr="000936BA">
        <w:rPr>
          <w:rFonts w:ascii="Times New Roman" w:hAnsi="Times New Roman"/>
          <w:sz w:val="24"/>
          <w:szCs w:val="24"/>
        </w:rPr>
        <w:t xml:space="preserve">he cascade model appeared constrained by the limited time available for network meetings and TC visits, leaving </w:t>
      </w:r>
      <w:r w:rsidR="00914DEA" w:rsidRPr="000936BA">
        <w:rPr>
          <w:rFonts w:ascii="Times New Roman" w:hAnsi="Times New Roman"/>
          <w:sz w:val="24"/>
          <w:szCs w:val="24"/>
        </w:rPr>
        <w:t>ABC</w:t>
      </w:r>
      <w:r w:rsidR="00DD7815" w:rsidRPr="000936BA">
        <w:rPr>
          <w:rFonts w:ascii="Times New Roman" w:hAnsi="Times New Roman"/>
          <w:sz w:val="24"/>
          <w:szCs w:val="24"/>
        </w:rPr>
        <w:t xml:space="preserve"> dependent </w:t>
      </w:r>
      <w:r w:rsidR="007B1541" w:rsidRPr="000936BA">
        <w:rPr>
          <w:rFonts w:ascii="Times New Roman" w:hAnsi="Times New Roman"/>
          <w:sz w:val="24"/>
          <w:szCs w:val="24"/>
        </w:rPr>
        <w:t>on knowledge/practice</w:t>
      </w:r>
      <w:r w:rsidR="00DD7815" w:rsidRPr="000936BA">
        <w:rPr>
          <w:rFonts w:ascii="Times New Roman" w:hAnsi="Times New Roman"/>
          <w:sz w:val="24"/>
          <w:szCs w:val="24"/>
        </w:rPr>
        <w:t xml:space="preserve"> rather than promoting</w:t>
      </w:r>
      <w:r w:rsidR="007B1541" w:rsidRPr="000936BA">
        <w:rPr>
          <w:rFonts w:ascii="Times New Roman" w:hAnsi="Times New Roman"/>
          <w:sz w:val="24"/>
          <w:szCs w:val="24"/>
        </w:rPr>
        <w:t xml:space="preserve"> deeper</w:t>
      </w:r>
      <w:r w:rsidR="00DD7815" w:rsidRPr="000936BA">
        <w:rPr>
          <w:rFonts w:ascii="Times New Roman" w:hAnsi="Times New Roman"/>
          <w:sz w:val="24"/>
          <w:szCs w:val="24"/>
        </w:rPr>
        <w:t xml:space="preserve"> understanding and implementation (</w:t>
      </w:r>
      <w:r w:rsidR="00006388" w:rsidRPr="000936BA">
        <w:rPr>
          <w:rFonts w:ascii="Times New Roman" w:hAnsi="Times New Roman"/>
          <w:sz w:val="24"/>
          <w:szCs w:val="24"/>
        </w:rPr>
        <w:t>Monk, 2008</w:t>
      </w:r>
      <w:r w:rsidR="00DD7815" w:rsidRPr="000936BA">
        <w:rPr>
          <w:rFonts w:ascii="Times New Roman" w:hAnsi="Times New Roman"/>
          <w:sz w:val="24"/>
          <w:szCs w:val="24"/>
        </w:rPr>
        <w:t>). This constraint o</w:t>
      </w:r>
      <w:r w:rsidR="00006388" w:rsidRPr="000936BA">
        <w:rPr>
          <w:rFonts w:ascii="Times New Roman" w:hAnsi="Times New Roman"/>
          <w:sz w:val="24"/>
          <w:szCs w:val="24"/>
        </w:rPr>
        <w:t>n</w:t>
      </w:r>
      <w:r w:rsidR="00DD7815" w:rsidRPr="000936BA">
        <w:rPr>
          <w:rFonts w:ascii="Times New Roman" w:hAnsi="Times New Roman"/>
          <w:sz w:val="24"/>
          <w:szCs w:val="24"/>
        </w:rPr>
        <w:t xml:space="preserve"> the cascade model was particularly evident for teachers that were new to the network</w:t>
      </w:r>
      <w:r w:rsidR="00461E76" w:rsidRPr="000936BA">
        <w:rPr>
          <w:rFonts w:ascii="Times New Roman" w:hAnsi="Times New Roman"/>
          <w:sz w:val="24"/>
          <w:szCs w:val="24"/>
        </w:rPr>
        <w:t xml:space="preserve">, </w:t>
      </w:r>
      <w:r w:rsidR="00DD7815" w:rsidRPr="000936BA">
        <w:rPr>
          <w:rFonts w:ascii="Times New Roman" w:hAnsi="Times New Roman"/>
          <w:sz w:val="24"/>
          <w:szCs w:val="24"/>
        </w:rPr>
        <w:t xml:space="preserve">where actualisation of the model did not appear to consider how ‘new’ </w:t>
      </w:r>
      <w:r w:rsidR="00DD7815" w:rsidRPr="000936BA">
        <w:rPr>
          <w:rFonts w:ascii="Times New Roman" w:hAnsi="Times New Roman"/>
          <w:sz w:val="24"/>
          <w:szCs w:val="24"/>
        </w:rPr>
        <w:lastRenderedPageBreak/>
        <w:t>teachers could be better integrated into the existing ‘community’ of their network</w:t>
      </w:r>
      <w:r w:rsidR="00CE5851" w:rsidRPr="000936BA">
        <w:rPr>
          <w:rFonts w:ascii="Times New Roman" w:hAnsi="Times New Roman"/>
          <w:sz w:val="24"/>
          <w:szCs w:val="24"/>
        </w:rPr>
        <w:t xml:space="preserve"> nor how teachers may have adapted their resources/approaches to their own/existing practice</w:t>
      </w:r>
      <w:r w:rsidR="00DD7815" w:rsidRPr="000936BA">
        <w:rPr>
          <w:rFonts w:ascii="Times New Roman" w:hAnsi="Times New Roman"/>
          <w:sz w:val="24"/>
          <w:szCs w:val="24"/>
        </w:rPr>
        <w:t xml:space="preserve"> (</w:t>
      </w:r>
      <w:r w:rsidR="00006388" w:rsidRPr="000936BA">
        <w:rPr>
          <w:rFonts w:ascii="Times New Roman" w:hAnsi="Times New Roman"/>
          <w:sz w:val="24"/>
          <w:szCs w:val="24"/>
        </w:rPr>
        <w:t xml:space="preserve">Khalil et al., 2016; Wenger, </w:t>
      </w:r>
      <w:r w:rsidR="00ED0D2E">
        <w:rPr>
          <w:rFonts w:ascii="Times New Roman" w:hAnsi="Times New Roman"/>
          <w:sz w:val="24"/>
          <w:szCs w:val="24"/>
        </w:rPr>
        <w:t>1998</w:t>
      </w:r>
      <w:r w:rsidR="00DD7815" w:rsidRPr="000936BA">
        <w:rPr>
          <w:rFonts w:ascii="Times New Roman" w:hAnsi="Times New Roman"/>
          <w:sz w:val="24"/>
          <w:szCs w:val="24"/>
        </w:rPr>
        <w:t>).</w:t>
      </w:r>
    </w:p>
    <w:p w14:paraId="4E3C5EE4" w14:textId="55EFB86B" w:rsidR="00343BFA" w:rsidRPr="000936BA" w:rsidRDefault="004223ED" w:rsidP="00B6268A">
      <w:pPr>
        <w:pStyle w:val="ListParagraph"/>
        <w:numPr>
          <w:ilvl w:val="0"/>
          <w:numId w:val="10"/>
        </w:numPr>
        <w:spacing w:line="480" w:lineRule="auto"/>
        <w:rPr>
          <w:rFonts w:ascii="Times New Roman" w:hAnsi="Times New Roman"/>
          <w:sz w:val="24"/>
          <w:szCs w:val="24"/>
        </w:rPr>
      </w:pPr>
      <w:r w:rsidRPr="000936BA">
        <w:rPr>
          <w:rFonts w:ascii="Times New Roman" w:hAnsi="Times New Roman"/>
          <w:i/>
          <w:sz w:val="24"/>
          <w:szCs w:val="24"/>
        </w:rPr>
        <w:t>Did ABC provide curriculum-appropriate content and pedagogic approaches to network teachers</w:t>
      </w:r>
      <w:r w:rsidRPr="000936BA">
        <w:rPr>
          <w:rFonts w:ascii="Times New Roman" w:hAnsi="Times New Roman"/>
          <w:sz w:val="24"/>
          <w:szCs w:val="24"/>
        </w:rPr>
        <w:t>:</w:t>
      </w:r>
      <w:r w:rsidR="00DD7815" w:rsidRPr="000936BA">
        <w:rPr>
          <w:rFonts w:ascii="Times New Roman" w:hAnsi="Times New Roman"/>
          <w:sz w:val="24"/>
          <w:szCs w:val="24"/>
        </w:rPr>
        <w:t xml:space="preserve"> </w:t>
      </w:r>
      <w:r w:rsidR="00C65BEE" w:rsidRPr="000936BA">
        <w:rPr>
          <w:rFonts w:ascii="Times New Roman" w:hAnsi="Times New Roman"/>
          <w:sz w:val="24"/>
          <w:szCs w:val="24"/>
        </w:rPr>
        <w:t>R</w:t>
      </w:r>
      <w:r w:rsidR="000B43A3" w:rsidRPr="000936BA">
        <w:rPr>
          <w:rFonts w:ascii="Times New Roman" w:hAnsi="Times New Roman"/>
          <w:sz w:val="24"/>
          <w:szCs w:val="24"/>
        </w:rPr>
        <w:t>esources provided added to real-world STEM learning</w:t>
      </w:r>
      <w:r w:rsidR="00066DE0" w:rsidRPr="000936BA">
        <w:rPr>
          <w:rFonts w:ascii="Times New Roman" w:hAnsi="Times New Roman"/>
          <w:sz w:val="24"/>
          <w:szCs w:val="24"/>
        </w:rPr>
        <w:t xml:space="preserve"> for classroom</w:t>
      </w:r>
      <w:r w:rsidR="003D3795">
        <w:rPr>
          <w:rFonts w:ascii="Times New Roman" w:hAnsi="Times New Roman"/>
          <w:sz w:val="24"/>
          <w:szCs w:val="24"/>
        </w:rPr>
        <w:t xml:space="preserve"> curriculum</w:t>
      </w:r>
      <w:r w:rsidR="00066DE0" w:rsidRPr="000936BA">
        <w:rPr>
          <w:rFonts w:ascii="Times New Roman" w:hAnsi="Times New Roman"/>
          <w:sz w:val="24"/>
          <w:szCs w:val="24"/>
        </w:rPr>
        <w:t xml:space="preserve"> and </w:t>
      </w:r>
      <w:r w:rsidR="007355FA" w:rsidRPr="000936BA">
        <w:rPr>
          <w:rFonts w:ascii="Times New Roman" w:hAnsi="Times New Roman"/>
          <w:sz w:val="24"/>
          <w:szCs w:val="24"/>
        </w:rPr>
        <w:t>extracurricular</w:t>
      </w:r>
      <w:r w:rsidR="00066DE0" w:rsidRPr="000936BA">
        <w:rPr>
          <w:rFonts w:ascii="Times New Roman" w:hAnsi="Times New Roman"/>
          <w:sz w:val="24"/>
          <w:szCs w:val="24"/>
        </w:rPr>
        <w:t xml:space="preserve"> activities.</w:t>
      </w:r>
      <w:r w:rsidR="00072538" w:rsidRPr="000936BA">
        <w:rPr>
          <w:rFonts w:ascii="Times New Roman" w:hAnsi="Times New Roman"/>
          <w:sz w:val="24"/>
          <w:szCs w:val="24"/>
        </w:rPr>
        <w:t xml:space="preserve"> </w:t>
      </w:r>
      <w:r w:rsidR="006957B7" w:rsidRPr="000936BA">
        <w:rPr>
          <w:rFonts w:ascii="Times New Roman" w:hAnsi="Times New Roman"/>
          <w:sz w:val="24"/>
          <w:szCs w:val="24"/>
        </w:rPr>
        <w:t xml:space="preserve">At the same time, </w:t>
      </w:r>
      <w:r w:rsidR="00914DEA" w:rsidRPr="000936BA">
        <w:rPr>
          <w:rFonts w:ascii="Times New Roman" w:hAnsi="Times New Roman"/>
          <w:sz w:val="24"/>
          <w:szCs w:val="24"/>
        </w:rPr>
        <w:t>ABC</w:t>
      </w:r>
      <w:r w:rsidR="006957B7" w:rsidRPr="000936BA">
        <w:rPr>
          <w:rFonts w:ascii="Times New Roman" w:hAnsi="Times New Roman"/>
          <w:sz w:val="24"/>
          <w:szCs w:val="24"/>
        </w:rPr>
        <w:t>’s interdisciplinary orientation appeared to be at odds with the continuing discipline-based teaching of most teachers/schools (</w:t>
      </w:r>
      <w:proofErr w:type="spellStart"/>
      <w:r w:rsidR="006957B7" w:rsidRPr="000936BA">
        <w:rPr>
          <w:rFonts w:ascii="Times New Roman" w:hAnsi="Times New Roman"/>
          <w:sz w:val="24"/>
          <w:szCs w:val="24"/>
        </w:rPr>
        <w:t>Shernoff</w:t>
      </w:r>
      <w:proofErr w:type="spellEnd"/>
      <w:r w:rsidR="006957B7" w:rsidRPr="000936BA">
        <w:rPr>
          <w:rFonts w:ascii="Times New Roman" w:hAnsi="Times New Roman"/>
          <w:sz w:val="24"/>
          <w:szCs w:val="24"/>
        </w:rPr>
        <w:t xml:space="preserve"> et al., 2017). </w:t>
      </w:r>
      <w:r w:rsidR="00C65BEE" w:rsidRPr="000936BA">
        <w:rPr>
          <w:rFonts w:ascii="Times New Roman" w:hAnsi="Times New Roman"/>
          <w:sz w:val="24"/>
          <w:szCs w:val="24"/>
        </w:rPr>
        <w:t>T</w:t>
      </w:r>
      <w:r w:rsidR="00072538" w:rsidRPr="000936BA">
        <w:rPr>
          <w:rFonts w:ascii="Times New Roman" w:hAnsi="Times New Roman"/>
          <w:sz w:val="24"/>
          <w:szCs w:val="24"/>
        </w:rPr>
        <w:t>eachers ha</w:t>
      </w:r>
      <w:r w:rsidR="00006388" w:rsidRPr="000936BA">
        <w:rPr>
          <w:rFonts w:ascii="Times New Roman" w:hAnsi="Times New Roman"/>
          <w:sz w:val="24"/>
          <w:szCs w:val="24"/>
        </w:rPr>
        <w:t>d</w:t>
      </w:r>
      <w:r w:rsidR="00072538" w:rsidRPr="000936BA">
        <w:rPr>
          <w:rFonts w:ascii="Times New Roman" w:hAnsi="Times New Roman"/>
          <w:sz w:val="24"/>
          <w:szCs w:val="24"/>
        </w:rPr>
        <w:t xml:space="preserve"> a strong desire for a socially-inclusive STEM pedagogy but there appeared to be little network time/support to allow for reflections, feedback and sharing of pedagogic practices among the teachers. Hence, a strong outcome of this evaluation is </w:t>
      </w:r>
      <w:r w:rsidR="003D3795">
        <w:rPr>
          <w:rFonts w:ascii="Times New Roman" w:hAnsi="Times New Roman"/>
          <w:sz w:val="24"/>
          <w:szCs w:val="24"/>
        </w:rPr>
        <w:t xml:space="preserve">the suggestion </w:t>
      </w:r>
      <w:r w:rsidR="00072538" w:rsidRPr="000936BA">
        <w:rPr>
          <w:rFonts w:ascii="Times New Roman" w:hAnsi="Times New Roman"/>
          <w:sz w:val="24"/>
          <w:szCs w:val="24"/>
        </w:rPr>
        <w:t>to move beyond CPD criticisms of an over-reliance on knowledge</w:t>
      </w:r>
      <w:r w:rsidR="007B1541" w:rsidRPr="000936BA">
        <w:rPr>
          <w:rFonts w:ascii="Times New Roman" w:hAnsi="Times New Roman"/>
          <w:sz w:val="24"/>
          <w:szCs w:val="24"/>
        </w:rPr>
        <w:t>/practice</w:t>
      </w:r>
      <w:r w:rsidR="00072538" w:rsidRPr="000936BA">
        <w:rPr>
          <w:rFonts w:ascii="Times New Roman" w:hAnsi="Times New Roman"/>
          <w:sz w:val="24"/>
          <w:szCs w:val="24"/>
        </w:rPr>
        <w:t xml:space="preserve"> and</w:t>
      </w:r>
      <w:r w:rsidR="007B1541" w:rsidRPr="000936BA">
        <w:rPr>
          <w:rFonts w:ascii="Times New Roman" w:hAnsi="Times New Roman"/>
          <w:sz w:val="24"/>
          <w:szCs w:val="24"/>
        </w:rPr>
        <w:t xml:space="preserve"> inclu</w:t>
      </w:r>
      <w:r w:rsidR="00024FA7">
        <w:rPr>
          <w:rFonts w:ascii="Times New Roman" w:hAnsi="Times New Roman"/>
          <w:sz w:val="24"/>
          <w:szCs w:val="24"/>
        </w:rPr>
        <w:t>d</w:t>
      </w:r>
      <w:r w:rsidR="003D3795">
        <w:rPr>
          <w:rFonts w:ascii="Times New Roman" w:hAnsi="Times New Roman"/>
          <w:sz w:val="24"/>
          <w:szCs w:val="24"/>
        </w:rPr>
        <w:t>e</w:t>
      </w:r>
      <w:r w:rsidR="007B1541" w:rsidRPr="000936BA">
        <w:rPr>
          <w:rFonts w:ascii="Times New Roman" w:hAnsi="Times New Roman"/>
          <w:sz w:val="24"/>
          <w:szCs w:val="24"/>
        </w:rPr>
        <w:t xml:space="preserve"> a deepening of</w:t>
      </w:r>
      <w:r w:rsidR="00072538" w:rsidRPr="000936BA">
        <w:rPr>
          <w:rFonts w:ascii="Times New Roman" w:hAnsi="Times New Roman"/>
          <w:sz w:val="24"/>
          <w:szCs w:val="24"/>
        </w:rPr>
        <w:t xml:space="preserve"> pedagogic and social pedagogic considerations</w:t>
      </w:r>
      <w:r w:rsidR="00461E76" w:rsidRPr="000936BA">
        <w:rPr>
          <w:rFonts w:ascii="Times New Roman" w:hAnsi="Times New Roman"/>
          <w:sz w:val="24"/>
          <w:szCs w:val="24"/>
        </w:rPr>
        <w:t xml:space="preserve"> and enabling networks to make a </w:t>
      </w:r>
      <w:r w:rsidR="00024FA7">
        <w:rPr>
          <w:rFonts w:ascii="Times New Roman" w:hAnsi="Times New Roman"/>
          <w:sz w:val="24"/>
          <w:szCs w:val="24"/>
        </w:rPr>
        <w:t xml:space="preserve">real </w:t>
      </w:r>
      <w:r w:rsidR="00461E76" w:rsidRPr="000936BA">
        <w:rPr>
          <w:rFonts w:ascii="Times New Roman" w:hAnsi="Times New Roman"/>
          <w:sz w:val="24"/>
          <w:szCs w:val="24"/>
        </w:rPr>
        <w:t>difference, i.e.</w:t>
      </w:r>
      <w:r w:rsidR="00EF5F7D">
        <w:rPr>
          <w:rFonts w:ascii="Times New Roman" w:hAnsi="Times New Roman"/>
          <w:sz w:val="24"/>
          <w:szCs w:val="24"/>
        </w:rPr>
        <w:t>,</w:t>
      </w:r>
      <w:r w:rsidR="00461E76" w:rsidRPr="000936BA">
        <w:rPr>
          <w:rFonts w:ascii="Times New Roman" w:hAnsi="Times New Roman"/>
          <w:sz w:val="24"/>
          <w:szCs w:val="24"/>
        </w:rPr>
        <w:t xml:space="preserve"> ensuring a commitment by the institutions themselves to support the intervention</w:t>
      </w:r>
      <w:r w:rsidR="004959E8" w:rsidRPr="000936BA">
        <w:rPr>
          <w:rFonts w:ascii="Times New Roman" w:hAnsi="Times New Roman"/>
          <w:sz w:val="24"/>
          <w:szCs w:val="24"/>
        </w:rPr>
        <w:t xml:space="preserve"> as well as developing more effective network/support practices</w:t>
      </w:r>
      <w:r w:rsidR="007B1541" w:rsidRPr="000936BA">
        <w:rPr>
          <w:rFonts w:ascii="Times New Roman" w:hAnsi="Times New Roman"/>
          <w:sz w:val="24"/>
          <w:szCs w:val="24"/>
        </w:rPr>
        <w:t>.</w:t>
      </w:r>
    </w:p>
    <w:p w14:paraId="5C25E37C" w14:textId="5A67F71B" w:rsidR="00461E76" w:rsidRPr="000936BA" w:rsidRDefault="004223ED" w:rsidP="00B6268A">
      <w:pPr>
        <w:pStyle w:val="ListParagraph"/>
        <w:numPr>
          <w:ilvl w:val="0"/>
          <w:numId w:val="10"/>
        </w:numPr>
        <w:spacing w:line="480" w:lineRule="auto"/>
        <w:rPr>
          <w:rFonts w:ascii="Times New Roman" w:hAnsi="Times New Roman"/>
          <w:sz w:val="24"/>
          <w:szCs w:val="24"/>
        </w:rPr>
      </w:pPr>
      <w:r w:rsidRPr="000936BA">
        <w:rPr>
          <w:rFonts w:ascii="Times New Roman" w:hAnsi="Times New Roman"/>
          <w:i/>
          <w:sz w:val="24"/>
          <w:szCs w:val="24"/>
        </w:rPr>
        <w:t>Did ABC affect STEM and engineering efficacy of network teachers</w:t>
      </w:r>
      <w:r w:rsidRPr="000936BA">
        <w:rPr>
          <w:rFonts w:ascii="Times New Roman" w:hAnsi="Times New Roman"/>
          <w:sz w:val="24"/>
          <w:szCs w:val="24"/>
        </w:rPr>
        <w:t>:</w:t>
      </w:r>
      <w:r w:rsidR="00343BFA" w:rsidRPr="000936BA">
        <w:rPr>
          <w:rFonts w:ascii="Times New Roman" w:hAnsi="Times New Roman"/>
          <w:sz w:val="24"/>
          <w:szCs w:val="24"/>
        </w:rPr>
        <w:t xml:space="preserve"> While a simple answer to this problem is ‘yes’, there is a more complicated explanation. Both TCs and teachers held consistently high levels of STEM and engineering efficacy. At the same time, teachers with </w:t>
      </w:r>
      <w:r w:rsidR="007370B7">
        <w:rPr>
          <w:rFonts w:ascii="Times New Roman" w:hAnsi="Times New Roman"/>
          <w:sz w:val="24"/>
          <w:szCs w:val="24"/>
        </w:rPr>
        <w:t xml:space="preserve">more </w:t>
      </w:r>
      <w:r w:rsidR="00343BFA" w:rsidRPr="000936BA">
        <w:rPr>
          <w:rFonts w:ascii="Times New Roman" w:hAnsi="Times New Roman"/>
          <w:sz w:val="24"/>
          <w:szCs w:val="24"/>
        </w:rPr>
        <w:t xml:space="preserve">years </w:t>
      </w:r>
      <w:r w:rsidR="007370B7">
        <w:rPr>
          <w:rFonts w:ascii="Times New Roman" w:hAnsi="Times New Roman"/>
          <w:sz w:val="24"/>
          <w:szCs w:val="24"/>
        </w:rPr>
        <w:t xml:space="preserve">of </w:t>
      </w:r>
      <w:r w:rsidR="00343BFA" w:rsidRPr="000936BA">
        <w:rPr>
          <w:rFonts w:ascii="Times New Roman" w:hAnsi="Times New Roman"/>
          <w:sz w:val="24"/>
          <w:szCs w:val="24"/>
        </w:rPr>
        <w:t>engage</w:t>
      </w:r>
      <w:r w:rsidR="007370B7">
        <w:rPr>
          <w:rFonts w:ascii="Times New Roman" w:hAnsi="Times New Roman"/>
          <w:sz w:val="24"/>
          <w:szCs w:val="24"/>
        </w:rPr>
        <w:t>ment</w:t>
      </w:r>
      <w:r w:rsidR="00343BFA" w:rsidRPr="000936BA">
        <w:rPr>
          <w:rFonts w:ascii="Times New Roman" w:hAnsi="Times New Roman"/>
          <w:sz w:val="24"/>
          <w:szCs w:val="24"/>
        </w:rPr>
        <w:t xml:space="preserve"> in </w:t>
      </w:r>
      <w:r w:rsidR="00C65BEE" w:rsidRPr="000936BA">
        <w:rPr>
          <w:rFonts w:ascii="Times New Roman" w:hAnsi="Times New Roman"/>
          <w:sz w:val="24"/>
          <w:szCs w:val="24"/>
        </w:rPr>
        <w:t>ABC</w:t>
      </w:r>
      <w:r w:rsidR="00343BFA" w:rsidRPr="000936BA">
        <w:rPr>
          <w:rFonts w:ascii="Times New Roman" w:hAnsi="Times New Roman"/>
          <w:sz w:val="24"/>
          <w:szCs w:val="24"/>
        </w:rPr>
        <w:t xml:space="preserve"> had </w:t>
      </w:r>
      <w:r w:rsidR="00914DEA" w:rsidRPr="000936BA">
        <w:rPr>
          <w:rFonts w:ascii="Times New Roman" w:hAnsi="Times New Roman"/>
          <w:sz w:val="24"/>
          <w:szCs w:val="24"/>
        </w:rPr>
        <w:t xml:space="preserve">the </w:t>
      </w:r>
      <w:r w:rsidR="00343BFA" w:rsidRPr="000936BA">
        <w:rPr>
          <w:rFonts w:ascii="Times New Roman" w:hAnsi="Times New Roman"/>
          <w:sz w:val="24"/>
          <w:szCs w:val="24"/>
        </w:rPr>
        <w:t>high</w:t>
      </w:r>
      <w:r w:rsidR="00914DEA" w:rsidRPr="000936BA">
        <w:rPr>
          <w:rFonts w:ascii="Times New Roman" w:hAnsi="Times New Roman"/>
          <w:sz w:val="24"/>
          <w:szCs w:val="24"/>
        </w:rPr>
        <w:t>est</w:t>
      </w:r>
      <w:r w:rsidR="00343BFA" w:rsidRPr="000936BA">
        <w:rPr>
          <w:rFonts w:ascii="Times New Roman" w:hAnsi="Times New Roman"/>
          <w:sz w:val="24"/>
          <w:szCs w:val="24"/>
        </w:rPr>
        <w:t xml:space="preserve"> levels of efficacy/competence and </w:t>
      </w:r>
      <w:r w:rsidR="00C65BEE" w:rsidRPr="000936BA">
        <w:rPr>
          <w:rFonts w:ascii="Times New Roman" w:hAnsi="Times New Roman"/>
          <w:sz w:val="24"/>
          <w:szCs w:val="24"/>
        </w:rPr>
        <w:t xml:space="preserve">we </w:t>
      </w:r>
      <w:r w:rsidR="00343BFA" w:rsidRPr="000936BA">
        <w:rPr>
          <w:rFonts w:ascii="Times New Roman" w:hAnsi="Times New Roman"/>
          <w:sz w:val="24"/>
          <w:szCs w:val="24"/>
        </w:rPr>
        <w:t xml:space="preserve">note that this aspect of ‘behavioural control’ </w:t>
      </w:r>
      <w:r w:rsidR="00006388" w:rsidRPr="000936BA">
        <w:rPr>
          <w:rFonts w:ascii="Times New Roman" w:hAnsi="Times New Roman"/>
          <w:sz w:val="24"/>
          <w:szCs w:val="24"/>
        </w:rPr>
        <w:t>(</w:t>
      </w:r>
      <w:r w:rsidR="00343BFA" w:rsidRPr="000936BA">
        <w:rPr>
          <w:rFonts w:ascii="Times New Roman" w:hAnsi="Times New Roman"/>
          <w:sz w:val="24"/>
          <w:szCs w:val="24"/>
        </w:rPr>
        <w:t>Ajzen</w:t>
      </w:r>
      <w:r w:rsidR="00461E76" w:rsidRPr="000936BA">
        <w:rPr>
          <w:rFonts w:ascii="Times New Roman" w:hAnsi="Times New Roman"/>
          <w:sz w:val="24"/>
          <w:szCs w:val="24"/>
        </w:rPr>
        <w:t>,</w:t>
      </w:r>
      <w:r w:rsidR="00343BFA" w:rsidRPr="000936BA">
        <w:rPr>
          <w:rFonts w:ascii="Times New Roman" w:hAnsi="Times New Roman"/>
          <w:sz w:val="24"/>
          <w:szCs w:val="24"/>
        </w:rPr>
        <w:t xml:space="preserve"> </w:t>
      </w:r>
      <w:r w:rsidR="00006388" w:rsidRPr="000936BA">
        <w:rPr>
          <w:rFonts w:ascii="Times New Roman" w:hAnsi="Times New Roman"/>
          <w:sz w:val="24"/>
          <w:szCs w:val="24"/>
        </w:rPr>
        <w:t>2002</w:t>
      </w:r>
      <w:r w:rsidR="00343BFA" w:rsidRPr="000936BA">
        <w:rPr>
          <w:rFonts w:ascii="Times New Roman" w:hAnsi="Times New Roman"/>
          <w:sz w:val="24"/>
          <w:szCs w:val="24"/>
        </w:rPr>
        <w:t>) is most highly associated with the intention to change and develop. Certain insecurities were also identified by some teachers</w:t>
      </w:r>
      <w:r w:rsidR="00006388" w:rsidRPr="000936BA">
        <w:rPr>
          <w:rFonts w:ascii="Times New Roman" w:hAnsi="Times New Roman"/>
          <w:sz w:val="24"/>
          <w:szCs w:val="24"/>
        </w:rPr>
        <w:t>;</w:t>
      </w:r>
      <w:r w:rsidR="00343BFA" w:rsidRPr="000936BA">
        <w:rPr>
          <w:rFonts w:ascii="Times New Roman" w:hAnsi="Times New Roman"/>
          <w:sz w:val="24"/>
          <w:szCs w:val="24"/>
        </w:rPr>
        <w:t xml:space="preserve"> these had to do with the inclusive practice of planning for/integrating low attaining students in their STEM classrooms a</w:t>
      </w:r>
      <w:r w:rsidR="00C65BEE" w:rsidRPr="000936BA">
        <w:rPr>
          <w:rFonts w:ascii="Times New Roman" w:hAnsi="Times New Roman"/>
          <w:sz w:val="24"/>
          <w:szCs w:val="24"/>
        </w:rPr>
        <w:t>nd</w:t>
      </w:r>
      <w:r w:rsidR="00343BFA" w:rsidRPr="000936BA">
        <w:rPr>
          <w:rFonts w:ascii="Times New Roman" w:hAnsi="Times New Roman"/>
          <w:sz w:val="24"/>
          <w:szCs w:val="24"/>
        </w:rPr>
        <w:t xml:space="preserve"> </w:t>
      </w:r>
      <w:r w:rsidR="00114C6A" w:rsidRPr="000936BA">
        <w:rPr>
          <w:rFonts w:ascii="Times New Roman" w:hAnsi="Times New Roman"/>
          <w:sz w:val="24"/>
          <w:szCs w:val="24"/>
        </w:rPr>
        <w:t xml:space="preserve">understanding certain </w:t>
      </w:r>
      <w:r w:rsidR="003D3795">
        <w:rPr>
          <w:rFonts w:ascii="Times New Roman" w:hAnsi="Times New Roman"/>
          <w:sz w:val="24"/>
          <w:szCs w:val="24"/>
        </w:rPr>
        <w:t>‘</w:t>
      </w:r>
      <w:r w:rsidR="00114C6A" w:rsidRPr="000936BA">
        <w:rPr>
          <w:rFonts w:ascii="Times New Roman" w:hAnsi="Times New Roman"/>
          <w:sz w:val="24"/>
          <w:szCs w:val="24"/>
        </w:rPr>
        <w:t>building/taking apart</w:t>
      </w:r>
      <w:r w:rsidR="003D3795">
        <w:rPr>
          <w:rFonts w:ascii="Times New Roman" w:hAnsi="Times New Roman"/>
          <w:sz w:val="24"/>
          <w:szCs w:val="24"/>
        </w:rPr>
        <w:t>’</w:t>
      </w:r>
      <w:r w:rsidR="00114C6A" w:rsidRPr="000936BA">
        <w:rPr>
          <w:rFonts w:ascii="Times New Roman" w:hAnsi="Times New Roman"/>
          <w:sz w:val="24"/>
          <w:szCs w:val="24"/>
        </w:rPr>
        <w:t xml:space="preserve"> engineering skills. </w:t>
      </w:r>
      <w:r w:rsidR="00006388" w:rsidRPr="000936BA">
        <w:rPr>
          <w:rFonts w:ascii="Times New Roman" w:hAnsi="Times New Roman"/>
          <w:sz w:val="24"/>
          <w:szCs w:val="24"/>
        </w:rPr>
        <w:t>I</w:t>
      </w:r>
      <w:r w:rsidR="00114C6A" w:rsidRPr="000936BA">
        <w:rPr>
          <w:rFonts w:ascii="Times New Roman" w:hAnsi="Times New Roman"/>
          <w:sz w:val="24"/>
          <w:szCs w:val="24"/>
        </w:rPr>
        <w:t xml:space="preserve">ntegrating low </w:t>
      </w:r>
      <w:r w:rsidR="00114C6A" w:rsidRPr="000936BA">
        <w:rPr>
          <w:rFonts w:ascii="Times New Roman" w:hAnsi="Times New Roman"/>
          <w:sz w:val="24"/>
          <w:szCs w:val="24"/>
        </w:rPr>
        <w:lastRenderedPageBreak/>
        <w:t>attaining students into inclusive classrooms is a continuing problem exacerbated by</w:t>
      </w:r>
      <w:r w:rsidR="00343BFA" w:rsidRPr="000936BA">
        <w:rPr>
          <w:rFonts w:ascii="Times New Roman" w:hAnsi="Times New Roman"/>
          <w:sz w:val="24"/>
          <w:szCs w:val="24"/>
        </w:rPr>
        <w:t xml:space="preserve"> </w:t>
      </w:r>
      <w:r w:rsidR="00114C6A" w:rsidRPr="000936BA">
        <w:rPr>
          <w:rFonts w:ascii="Times New Roman" w:hAnsi="Times New Roman"/>
          <w:sz w:val="24"/>
          <w:szCs w:val="24"/>
        </w:rPr>
        <w:t xml:space="preserve">government recommendations for ‘differentiated’ classes and teaching. </w:t>
      </w:r>
      <w:r w:rsidR="004959E8" w:rsidRPr="000936BA">
        <w:rPr>
          <w:rFonts w:ascii="Times New Roman" w:hAnsi="Times New Roman"/>
          <w:sz w:val="24"/>
          <w:szCs w:val="24"/>
        </w:rPr>
        <w:t xml:space="preserve">And, again, these pedagogic insecurities may have been exacerbated by limited developments within networks (such as better integration of new teachers, more time for reflection and greater consideration of pedagogic/social pedagogic practices). </w:t>
      </w:r>
      <w:r w:rsidR="00114C6A" w:rsidRPr="000936BA">
        <w:rPr>
          <w:rFonts w:ascii="Times New Roman" w:hAnsi="Times New Roman"/>
          <w:sz w:val="24"/>
          <w:szCs w:val="24"/>
        </w:rPr>
        <w:t xml:space="preserve">The engineering design insecurity may be explained by the limited amount of engineering study found within the secondary school curriculum (Holman, </w:t>
      </w:r>
      <w:r w:rsidR="00340615" w:rsidRPr="000936BA">
        <w:rPr>
          <w:rFonts w:ascii="Times New Roman" w:hAnsi="Times New Roman"/>
          <w:sz w:val="24"/>
          <w:szCs w:val="24"/>
        </w:rPr>
        <w:t>2007</w:t>
      </w:r>
      <w:r w:rsidR="00114C6A" w:rsidRPr="000936BA">
        <w:rPr>
          <w:rFonts w:ascii="Times New Roman" w:hAnsi="Times New Roman"/>
          <w:sz w:val="24"/>
          <w:szCs w:val="24"/>
        </w:rPr>
        <w:t xml:space="preserve">; </w:t>
      </w:r>
      <w:proofErr w:type="spellStart"/>
      <w:r w:rsidR="00114C6A" w:rsidRPr="000936BA">
        <w:rPr>
          <w:rFonts w:ascii="Times New Roman" w:hAnsi="Times New Roman"/>
          <w:sz w:val="24"/>
          <w:szCs w:val="24"/>
        </w:rPr>
        <w:t>Kathei</w:t>
      </w:r>
      <w:proofErr w:type="spellEnd"/>
      <w:r w:rsidR="00340615" w:rsidRPr="000936BA">
        <w:rPr>
          <w:rFonts w:ascii="Times New Roman" w:hAnsi="Times New Roman"/>
          <w:sz w:val="24"/>
          <w:szCs w:val="24"/>
        </w:rPr>
        <w:t xml:space="preserve"> et al., 2009</w:t>
      </w:r>
      <w:r w:rsidR="00114C6A" w:rsidRPr="000936BA">
        <w:rPr>
          <w:rFonts w:ascii="Times New Roman" w:hAnsi="Times New Roman"/>
          <w:sz w:val="24"/>
          <w:szCs w:val="24"/>
        </w:rPr>
        <w:t>), and is unlikely to be overcome until engineering is allocated the same curriculum status of science, technology and mathematics.</w:t>
      </w:r>
    </w:p>
    <w:p w14:paraId="032728B3" w14:textId="29CC3AE2" w:rsidR="00F4257C" w:rsidRPr="000936BA" w:rsidRDefault="00F4257C" w:rsidP="00B6268A">
      <w:pPr>
        <w:spacing w:line="480" w:lineRule="auto"/>
      </w:pPr>
      <w:r w:rsidRPr="000936BA">
        <w:t>In a</w:t>
      </w:r>
      <w:r w:rsidR="00B52BC2" w:rsidRPr="000936BA">
        <w:t xml:space="preserve"> final</w:t>
      </w:r>
      <w:r w:rsidRPr="000936BA">
        <w:t xml:space="preserve">, reflective comment, we </w:t>
      </w:r>
      <w:r w:rsidR="00B52BC2" w:rsidRPr="000936BA">
        <w:t>note that</w:t>
      </w:r>
      <w:r w:rsidRPr="000936BA">
        <w:t xml:space="preserve"> ABC has moved beyond ‘stand-alone’</w:t>
      </w:r>
      <w:r w:rsidR="00B52BC2" w:rsidRPr="000936BA">
        <w:t>,</w:t>
      </w:r>
      <w:r w:rsidRPr="000936BA">
        <w:t xml:space="preserve"> ‘external provider’ </w:t>
      </w:r>
      <w:r w:rsidR="00B52BC2" w:rsidRPr="000936BA">
        <w:t>due to its longevity and ability to produce innovative resources. The programme</w:t>
      </w:r>
      <w:r w:rsidR="00340615" w:rsidRPr="000936BA">
        <w:t>’</w:t>
      </w:r>
      <w:r w:rsidR="00B52BC2" w:rsidRPr="000936BA">
        <w:t>s initial</w:t>
      </w:r>
      <w:r w:rsidR="00C65BEE" w:rsidRPr="000936BA">
        <w:t xml:space="preserve"> </w:t>
      </w:r>
      <w:r w:rsidRPr="000936BA">
        <w:t xml:space="preserve">objectives and expectation of </w:t>
      </w:r>
      <w:r w:rsidR="00B52BC2" w:rsidRPr="000936BA">
        <w:t xml:space="preserve">outcomes will need to be expanded within its inclusive school/classroom application. Hence, more consideration of beneficial aspects of pedagogic and social pedagogic approaches to STEM education can usefully be integrated into ABC’s further development. </w:t>
      </w:r>
      <w:r w:rsidR="00E91E91" w:rsidRPr="000936BA">
        <w:t>Most</w:t>
      </w:r>
      <w:r w:rsidR="00B52BC2" w:rsidRPr="000936BA">
        <w:t xml:space="preserve"> teachers and TCs have shown their commitment to the programme through their multiple years of programme experience, although their networks need to consider how inexperienced teachers may be </w:t>
      </w:r>
      <w:r w:rsidR="001437B2" w:rsidRPr="000936BA">
        <w:t>better</w:t>
      </w:r>
      <w:r w:rsidR="00B52BC2" w:rsidRPr="000936BA">
        <w:t xml:space="preserve"> integrated. A final concern</w:t>
      </w:r>
      <w:r w:rsidR="00461E76" w:rsidRPr="000936BA">
        <w:t>,</w:t>
      </w:r>
      <w:r w:rsidR="00B52BC2" w:rsidRPr="000936BA">
        <w:t xml:space="preserve"> not previ</w:t>
      </w:r>
      <w:r w:rsidR="00AA7597" w:rsidRPr="000936BA">
        <w:t>ously considered here</w:t>
      </w:r>
      <w:r w:rsidR="00461E76" w:rsidRPr="000936BA">
        <w:t>,</w:t>
      </w:r>
      <w:r w:rsidR="00AA7597" w:rsidRPr="000936BA">
        <w:t xml:space="preserve"> is why the quantitative evaluations ha</w:t>
      </w:r>
      <w:r w:rsidR="00461E76" w:rsidRPr="000936BA">
        <w:t>d</w:t>
      </w:r>
      <w:r w:rsidR="00AA7597" w:rsidRPr="000936BA">
        <w:t xml:space="preserve"> such a low response rate from teachers. </w:t>
      </w:r>
      <w:r w:rsidR="00C65BEE" w:rsidRPr="000936BA">
        <w:t>T</w:t>
      </w:r>
      <w:r w:rsidR="00AA7597" w:rsidRPr="000936BA">
        <w:t>his response rate represented teachers from all networks – and we have found that response rate increased in networks with more experienced TCs and teachers. Perhaps, this concern relates to the need to establish a more coherent ‘learning community’ ethos among network members – especially</w:t>
      </w:r>
      <w:r w:rsidR="00C65BEE" w:rsidRPr="000936BA">
        <w:t xml:space="preserve"> enhanced</w:t>
      </w:r>
      <w:r w:rsidR="00AA7597" w:rsidRPr="000936BA">
        <w:t xml:space="preserve"> integrat</w:t>
      </w:r>
      <w:r w:rsidR="00C65BEE" w:rsidRPr="000936BA">
        <w:t>ion of</w:t>
      </w:r>
      <w:r w:rsidR="00AA7597" w:rsidRPr="000936BA">
        <w:t xml:space="preserve"> new teachers</w:t>
      </w:r>
      <w:r w:rsidR="00C65BEE" w:rsidRPr="000936BA">
        <w:t>.</w:t>
      </w:r>
    </w:p>
    <w:p w14:paraId="16048E84" w14:textId="10D8AB85" w:rsidR="003A4D0B" w:rsidRPr="000936BA" w:rsidRDefault="003A4D0B" w:rsidP="00B6268A">
      <w:pPr>
        <w:spacing w:line="480" w:lineRule="auto"/>
      </w:pPr>
    </w:p>
    <w:p w14:paraId="11B0CFC9" w14:textId="77777777" w:rsidR="003A4D0B" w:rsidRPr="000936BA" w:rsidRDefault="003A4D0B" w:rsidP="00B6268A">
      <w:pPr>
        <w:spacing w:line="480" w:lineRule="auto"/>
      </w:pPr>
      <w:r w:rsidRPr="000936BA">
        <w:t xml:space="preserve">There is clear advice from this evaluation for the designers of this intervention. The desire to engage with an evaluation is to be applauded. The limitations which resulted will be obvious, </w:t>
      </w:r>
      <w:r w:rsidRPr="000936BA">
        <w:lastRenderedPageBreak/>
        <w:t>but rather than dwell on those we wish to offer three recommendations which may be of value for future interventions and their evaluation.</w:t>
      </w:r>
    </w:p>
    <w:p w14:paraId="47200EC9" w14:textId="77777777" w:rsidR="003A4D0B" w:rsidRPr="000936BA" w:rsidRDefault="003A4D0B" w:rsidP="00B6268A">
      <w:pPr>
        <w:pStyle w:val="ListParagraph"/>
        <w:numPr>
          <w:ilvl w:val="0"/>
          <w:numId w:val="11"/>
        </w:numPr>
        <w:spacing w:after="0" w:line="480" w:lineRule="auto"/>
        <w:rPr>
          <w:rFonts w:ascii="Times New Roman" w:hAnsi="Times New Roman"/>
          <w:sz w:val="24"/>
          <w:szCs w:val="24"/>
        </w:rPr>
      </w:pPr>
      <w:r w:rsidRPr="000936BA">
        <w:rPr>
          <w:rFonts w:ascii="Times New Roman" w:hAnsi="Times New Roman"/>
          <w:sz w:val="24"/>
          <w:szCs w:val="24"/>
        </w:rPr>
        <w:t>In developing the evaluation, we drew upon various theoretical bases to help focus the evaluation. As we noted above, approaches to evaluation of STEM-CPD programmes lack consistency and fail to build on existing findings and theories. Much is to be gained from building into the design of an intervention a suitably grounded evaluation framework. This would guide the design and deliver greater understanding of its value allowing the relevant communities to build a body of useful knowledge.</w:t>
      </w:r>
    </w:p>
    <w:p w14:paraId="33E41AC6" w14:textId="77777777" w:rsidR="003A4D0B" w:rsidRPr="000936BA" w:rsidRDefault="003A4D0B" w:rsidP="00B6268A">
      <w:pPr>
        <w:pStyle w:val="ListParagraph"/>
        <w:numPr>
          <w:ilvl w:val="0"/>
          <w:numId w:val="11"/>
        </w:numPr>
        <w:spacing w:after="0" w:line="480" w:lineRule="auto"/>
        <w:rPr>
          <w:rFonts w:ascii="Times New Roman" w:hAnsi="Times New Roman"/>
          <w:sz w:val="24"/>
          <w:szCs w:val="24"/>
        </w:rPr>
      </w:pPr>
      <w:r w:rsidRPr="000936BA">
        <w:rPr>
          <w:rFonts w:ascii="Times New Roman" w:hAnsi="Times New Roman"/>
          <w:sz w:val="24"/>
          <w:szCs w:val="24"/>
        </w:rPr>
        <w:t>A cascade model which operates via intermediaries to teachers and then ultimately to students is the only feasible approach if any agency wishes to target a large population of school students in an inclusive fashion. However, the creation and longevity of the social networks and social capital upon which they are based cannot be left to chance.</w:t>
      </w:r>
    </w:p>
    <w:p w14:paraId="11FEC9AA" w14:textId="6436EF0F" w:rsidR="00461E76" w:rsidRPr="000936BA" w:rsidRDefault="003A4D0B" w:rsidP="00B6268A">
      <w:pPr>
        <w:pStyle w:val="ListParagraph"/>
        <w:numPr>
          <w:ilvl w:val="0"/>
          <w:numId w:val="11"/>
        </w:numPr>
        <w:spacing w:after="0" w:line="480" w:lineRule="auto"/>
        <w:rPr>
          <w:rFonts w:ascii="Times New Roman" w:hAnsi="Times New Roman"/>
          <w:sz w:val="24"/>
          <w:szCs w:val="24"/>
        </w:rPr>
      </w:pPr>
      <w:r w:rsidRPr="000936BA">
        <w:rPr>
          <w:rFonts w:ascii="Times New Roman" w:hAnsi="Times New Roman"/>
          <w:sz w:val="24"/>
          <w:szCs w:val="24"/>
        </w:rPr>
        <w:t xml:space="preserve">Interventions which operate independently of organisational, curricular, social and resource contexts in which teachers and their students operate will always face the difficulties which follow from this </w:t>
      </w:r>
      <w:r w:rsidR="000936BA" w:rsidRPr="000936BA">
        <w:rPr>
          <w:rFonts w:ascii="Times New Roman" w:hAnsi="Times New Roman"/>
          <w:sz w:val="24"/>
          <w:szCs w:val="24"/>
        </w:rPr>
        <w:t>seclusion and</w:t>
      </w:r>
      <w:r w:rsidRPr="000936BA">
        <w:rPr>
          <w:rFonts w:ascii="Times New Roman" w:hAnsi="Times New Roman"/>
          <w:sz w:val="24"/>
          <w:szCs w:val="24"/>
        </w:rPr>
        <w:t xml:space="preserve"> miss the opportunities which appropriate contextualisation can provide.</w:t>
      </w:r>
    </w:p>
    <w:p w14:paraId="4224CA10" w14:textId="77777777" w:rsidR="004959E8" w:rsidRPr="000936BA" w:rsidRDefault="004959E8" w:rsidP="00DE0144">
      <w:pPr>
        <w:spacing w:line="360" w:lineRule="auto"/>
        <w:rPr>
          <w:b/>
        </w:rPr>
      </w:pPr>
    </w:p>
    <w:p w14:paraId="42044839" w14:textId="599768CC" w:rsidR="00461E76" w:rsidRPr="000936BA" w:rsidRDefault="00F00B79" w:rsidP="00B6268A">
      <w:pPr>
        <w:rPr>
          <w:b/>
        </w:rPr>
      </w:pPr>
      <w:r>
        <w:rPr>
          <w:b/>
        </w:rPr>
        <w:t>End n</w:t>
      </w:r>
      <w:r w:rsidR="00461E76" w:rsidRPr="000936BA">
        <w:rPr>
          <w:b/>
        </w:rPr>
        <w:t>otes</w:t>
      </w:r>
    </w:p>
    <w:p w14:paraId="61344DE4" w14:textId="031218E0" w:rsidR="00461E76" w:rsidRPr="000936BA" w:rsidRDefault="00461E76" w:rsidP="00F00B79">
      <w:pPr>
        <w:rPr>
          <w:color w:val="000000" w:themeColor="text1"/>
        </w:rPr>
      </w:pPr>
      <w:r w:rsidRPr="000936BA">
        <w:rPr>
          <w:color w:val="000000" w:themeColor="text1"/>
        </w:rPr>
        <w:t>1. According to the UK National STEM Directory there were 248 current STEM initiatives in schools and higher education as of February 2018 (STEM Directory, 2018); most of these were single disciplinary.</w:t>
      </w:r>
    </w:p>
    <w:p w14:paraId="3454C669" w14:textId="203DD1F8" w:rsidR="00534BFF" w:rsidRDefault="004204D9" w:rsidP="00B6268A">
      <w:pPr>
        <w:rPr>
          <w:color w:val="000000" w:themeColor="text1"/>
        </w:rPr>
      </w:pPr>
      <w:r w:rsidRPr="000936BA">
        <w:rPr>
          <w:color w:val="000000" w:themeColor="text1"/>
        </w:rPr>
        <w:t xml:space="preserve">2. </w:t>
      </w:r>
      <w:r w:rsidR="00534BFF">
        <w:rPr>
          <w:color w:val="000000" w:themeColor="text1"/>
        </w:rPr>
        <w:t>We note that STEM is composed of four disciplines</w:t>
      </w:r>
      <w:r w:rsidR="00AF6D39">
        <w:rPr>
          <w:color w:val="000000" w:themeColor="text1"/>
        </w:rPr>
        <w:t>, although there is</w:t>
      </w:r>
      <w:r w:rsidR="00AF6D39" w:rsidRPr="000936BA">
        <w:t xml:space="preserve"> little formal teaching of engineering in schools (Holman, 2007; Katehi, Pearson &amp; Feder, 2009)</w:t>
      </w:r>
      <w:r w:rsidR="00AF6D39">
        <w:t xml:space="preserve"> and low take-up of engineering courses is especially evident among</w:t>
      </w:r>
      <w:r w:rsidR="00AF6D39" w:rsidRPr="00AF6D39">
        <w:t xml:space="preserve"> </w:t>
      </w:r>
      <w:r w:rsidR="00AF6D39" w:rsidRPr="000936BA">
        <w:t>girls and various minorities</w:t>
      </w:r>
      <w:r w:rsidR="00AF6D39">
        <w:t xml:space="preserve"> </w:t>
      </w:r>
      <w:r w:rsidR="00AF6D39" w:rsidRPr="000936BA">
        <w:t xml:space="preserve">(National Academy of Engineering, 2009). </w:t>
      </w:r>
      <w:r w:rsidR="007D1049">
        <w:t>The few a</w:t>
      </w:r>
      <w:r w:rsidR="00AF6D39" w:rsidRPr="000936BA">
        <w:t>spects of engineering found in STEM tend to be associated with ‘engineering design’ and are identified as an aspect of ‘design and technology (D&amp;T)’ courses (</w:t>
      </w:r>
      <w:proofErr w:type="spellStart"/>
      <w:r w:rsidR="00AF6D39" w:rsidRPr="000936BA">
        <w:t>Shernoff</w:t>
      </w:r>
      <w:proofErr w:type="spellEnd"/>
      <w:r w:rsidR="00AF6D39" w:rsidRPr="000936BA">
        <w:t xml:space="preserve"> et al., 2017; </w:t>
      </w:r>
      <w:proofErr w:type="spellStart"/>
      <w:r w:rsidR="00AF6D39" w:rsidRPr="000936BA">
        <w:t>Guzey</w:t>
      </w:r>
      <w:proofErr w:type="spellEnd"/>
      <w:r w:rsidR="00AF6D39" w:rsidRPr="000936BA">
        <w:t xml:space="preserve"> et al., 2016). It appears contradictory that engineering design and inquiry approaches to real-world learning have been championed in the UK (Lucas et al., 2017) while actual ‘engineering’</w:t>
      </w:r>
      <w:r w:rsidR="007D1049">
        <w:t xml:space="preserve"> is not identified</w:t>
      </w:r>
      <w:r w:rsidR="00AF6D39" w:rsidRPr="000936BA">
        <w:t xml:space="preserve"> (OECD, 2009).</w:t>
      </w:r>
    </w:p>
    <w:p w14:paraId="351CE9C1" w14:textId="7C86B938" w:rsidR="00460649" w:rsidRDefault="00534BFF" w:rsidP="00B6268A">
      <w:pPr>
        <w:rPr>
          <w:color w:val="000000" w:themeColor="text1"/>
        </w:rPr>
      </w:pPr>
      <w:r>
        <w:rPr>
          <w:color w:val="000000" w:themeColor="text1"/>
        </w:rPr>
        <w:lastRenderedPageBreak/>
        <w:t xml:space="preserve">3. </w:t>
      </w:r>
      <w:r w:rsidR="001D6F5F">
        <w:rPr>
          <w:color w:val="000000" w:themeColor="text1"/>
        </w:rPr>
        <w:t>‘Inclusive’ education calls for ‘all children in the same classrooms in the same schools’ (http//:www.unicef.org/education/inclusive-education, accessed 2 February 2022). Learners of a similar age are unlikely to be differentiated by gender, attainment or disability.</w:t>
      </w:r>
    </w:p>
    <w:p w14:paraId="1084D36B" w14:textId="3D5F2956" w:rsidR="000936BA" w:rsidRPr="000936BA" w:rsidRDefault="001D6F5F" w:rsidP="00B6268A">
      <w:pPr>
        <w:rPr>
          <w:color w:val="000000" w:themeColor="text1"/>
        </w:rPr>
      </w:pPr>
      <w:r>
        <w:rPr>
          <w:color w:val="000000" w:themeColor="text1"/>
        </w:rPr>
        <w:t xml:space="preserve">4. </w:t>
      </w:r>
      <w:r w:rsidR="00CA3FAF" w:rsidRPr="000936BA">
        <w:rPr>
          <w:color w:val="000000" w:themeColor="text1"/>
        </w:rPr>
        <w:t>In the preparation of this manuscript, the evaluators</w:t>
      </w:r>
      <w:r w:rsidR="00C427D0" w:rsidRPr="000936BA">
        <w:rPr>
          <w:color w:val="000000" w:themeColor="text1"/>
        </w:rPr>
        <w:t xml:space="preserve"> and</w:t>
      </w:r>
      <w:r w:rsidR="00CA3FAF" w:rsidRPr="000936BA">
        <w:rPr>
          <w:color w:val="000000" w:themeColor="text1"/>
        </w:rPr>
        <w:t xml:space="preserve"> those running</w:t>
      </w:r>
      <w:r w:rsidR="00C427D0" w:rsidRPr="000936BA">
        <w:rPr>
          <w:color w:val="000000" w:themeColor="text1"/>
        </w:rPr>
        <w:t>, funding and organising</w:t>
      </w:r>
      <w:r w:rsidR="00CA3FAF" w:rsidRPr="000936BA">
        <w:rPr>
          <w:color w:val="000000" w:themeColor="text1"/>
        </w:rPr>
        <w:t xml:space="preserve"> the programme (the Host) agreed to anonymise name of programme</w:t>
      </w:r>
      <w:r w:rsidR="00C427D0" w:rsidRPr="000936BA">
        <w:rPr>
          <w:color w:val="000000" w:themeColor="text1"/>
        </w:rPr>
        <w:t>, funders</w:t>
      </w:r>
      <w:r w:rsidR="00CA3FAF" w:rsidRPr="000936BA">
        <w:rPr>
          <w:color w:val="000000" w:themeColor="text1"/>
        </w:rPr>
        <w:t xml:space="preserve"> and</w:t>
      </w:r>
      <w:r w:rsidR="00C427D0" w:rsidRPr="000936BA">
        <w:rPr>
          <w:color w:val="000000" w:themeColor="text1"/>
        </w:rPr>
        <w:t xml:space="preserve"> </w:t>
      </w:r>
      <w:r w:rsidR="00CA3FAF" w:rsidRPr="000936BA">
        <w:rPr>
          <w:color w:val="000000" w:themeColor="text1"/>
        </w:rPr>
        <w:t>the Host.</w:t>
      </w:r>
    </w:p>
    <w:p w14:paraId="46072DA2" w14:textId="6882B84F" w:rsidR="00FF70E2" w:rsidRPr="007A1EED" w:rsidRDefault="00F34DFC" w:rsidP="00F00B79">
      <w:r>
        <w:t>5</w:t>
      </w:r>
      <w:r w:rsidR="000936BA" w:rsidRPr="000936BA">
        <w:t>.</w:t>
      </w:r>
      <w:r w:rsidR="00FF70E2">
        <w:t xml:space="preserve"> </w:t>
      </w:r>
      <w:r w:rsidR="008348A7" w:rsidRPr="007A1EED">
        <w:t xml:space="preserve">A typical </w:t>
      </w:r>
      <w:r w:rsidR="007A1EED">
        <w:t>network</w:t>
      </w:r>
      <w:r w:rsidR="008348A7" w:rsidRPr="007A1EED">
        <w:t xml:space="preserve"> meeting </w:t>
      </w:r>
      <w:r w:rsidR="006A57AF">
        <w:t xml:space="preserve">would </w:t>
      </w:r>
      <w:r w:rsidR="008348A7" w:rsidRPr="007A1EED">
        <w:t>start with i</w:t>
      </w:r>
      <w:r w:rsidR="008348A7" w:rsidRPr="00ED0D2E">
        <w:rPr>
          <w:color w:val="000000"/>
        </w:rPr>
        <w:t xml:space="preserve">nformal networking over refreshments followed by a welcome to attendees and any new members. This </w:t>
      </w:r>
      <w:r w:rsidR="006A57AF">
        <w:rPr>
          <w:color w:val="000000"/>
        </w:rPr>
        <w:t>was</w:t>
      </w:r>
      <w:r w:rsidR="008348A7" w:rsidRPr="00ED0D2E">
        <w:rPr>
          <w:color w:val="000000"/>
        </w:rPr>
        <w:t xml:space="preserve"> followed by a brief discussion about the resource box introduced in the previous meeting</w:t>
      </w:r>
      <w:r w:rsidR="006A57AF">
        <w:rPr>
          <w:color w:val="000000"/>
        </w:rPr>
        <w:t xml:space="preserve"> and a</w:t>
      </w:r>
      <w:r w:rsidR="008348A7" w:rsidRPr="00ED0D2E">
        <w:rPr>
          <w:color w:val="000000"/>
        </w:rPr>
        <w:t xml:space="preserve"> new resource box introduced with suggestions for </w:t>
      </w:r>
      <w:r w:rsidR="006A57AF">
        <w:rPr>
          <w:color w:val="000000"/>
        </w:rPr>
        <w:t>curricular</w:t>
      </w:r>
      <w:r w:rsidR="009D2FED">
        <w:rPr>
          <w:color w:val="000000"/>
        </w:rPr>
        <w:t xml:space="preserve"> </w:t>
      </w:r>
      <w:r w:rsidR="008348A7" w:rsidRPr="00ED0D2E">
        <w:rPr>
          <w:color w:val="000000"/>
        </w:rPr>
        <w:t>use. Attendees, working in groups, undertake the resources</w:t>
      </w:r>
      <w:r w:rsidR="00747C7A">
        <w:rPr>
          <w:color w:val="000000"/>
        </w:rPr>
        <w:t xml:space="preserve"> activity</w:t>
      </w:r>
      <w:r w:rsidR="008348A7" w:rsidRPr="00ED0D2E">
        <w:rPr>
          <w:color w:val="000000"/>
        </w:rPr>
        <w:t xml:space="preserve">. </w:t>
      </w:r>
      <w:r w:rsidR="0083625F">
        <w:rPr>
          <w:color w:val="000000"/>
        </w:rPr>
        <w:t>A</w:t>
      </w:r>
      <w:r w:rsidR="008348A7" w:rsidRPr="00ED0D2E">
        <w:rPr>
          <w:color w:val="000000"/>
        </w:rPr>
        <w:t xml:space="preserve"> brief feedback session</w:t>
      </w:r>
      <w:r w:rsidR="0083625F">
        <w:rPr>
          <w:color w:val="000000"/>
        </w:rPr>
        <w:t xml:space="preserve"> follows</w:t>
      </w:r>
      <w:r w:rsidR="008348A7" w:rsidRPr="00ED0D2E">
        <w:rPr>
          <w:color w:val="000000"/>
        </w:rPr>
        <w:t xml:space="preserve"> and then attendees are informed about various national and regional STEM events. Attendees frequently remain after the end of the meeting to continue conversations over tea and coffee.</w:t>
      </w:r>
    </w:p>
    <w:p w14:paraId="2E9D0948" w14:textId="79E5ADED" w:rsidR="00461E76" w:rsidRDefault="00FF70E2" w:rsidP="00F00B79">
      <w:pPr>
        <w:rPr>
          <w:lang w:val="en-US"/>
        </w:rPr>
      </w:pPr>
      <w:r>
        <w:t xml:space="preserve">6. </w:t>
      </w:r>
      <w:r w:rsidR="00461E76" w:rsidRPr="000936BA">
        <w:t>As evaluators we note that the Host has received our comments over the years and has moved to further develop the ABC programme as it expand</w:t>
      </w:r>
      <w:r w:rsidR="00EF5F7D">
        <w:t>ed</w:t>
      </w:r>
      <w:r w:rsidR="00461E76" w:rsidRPr="000936BA">
        <w:t xml:space="preserve"> in number of teachers and TCs. </w:t>
      </w:r>
      <w:r w:rsidR="00461E76" w:rsidRPr="000936BA">
        <w:rPr>
          <w:lang w:val="en-US"/>
        </w:rPr>
        <w:t>ABC now trains TCs in leading CPD, inclusive pedagogies and STEM pedagogies.</w:t>
      </w:r>
    </w:p>
    <w:p w14:paraId="18BE5E90" w14:textId="5A3E7CEC" w:rsidR="00B6268A" w:rsidRDefault="00B6268A" w:rsidP="00B6268A">
      <w:pPr>
        <w:rPr>
          <w:lang w:val="en-US"/>
        </w:rPr>
      </w:pPr>
    </w:p>
    <w:p w14:paraId="61A77893" w14:textId="209C39B8" w:rsidR="00B6268A" w:rsidRPr="00B6268A" w:rsidRDefault="00B6268A" w:rsidP="00B6268A">
      <w:pPr>
        <w:rPr>
          <w:b/>
          <w:bCs/>
          <w:lang w:val="en-US"/>
        </w:rPr>
      </w:pPr>
      <w:r w:rsidRPr="00B6268A">
        <w:rPr>
          <w:b/>
          <w:bCs/>
          <w:lang w:val="en-US"/>
        </w:rPr>
        <w:t>Disclosure Statement:</w:t>
      </w:r>
    </w:p>
    <w:p w14:paraId="198727AB" w14:textId="30A7F745" w:rsidR="00B6268A" w:rsidRPr="000936BA" w:rsidRDefault="00B6268A" w:rsidP="00B6268A">
      <w:r>
        <w:rPr>
          <w:lang w:val="en-US"/>
        </w:rPr>
        <w:t>No potential conflict of interest was reported by the authors.</w:t>
      </w:r>
    </w:p>
    <w:p w14:paraId="47A460A4" w14:textId="081C4D45" w:rsidR="00B7522D" w:rsidRPr="000936BA" w:rsidRDefault="00B7522D" w:rsidP="000936BA">
      <w:pPr>
        <w:spacing w:line="360" w:lineRule="auto"/>
      </w:pPr>
    </w:p>
    <w:p w14:paraId="167D811B" w14:textId="6BCD171A" w:rsidR="00B7522D" w:rsidRPr="000936BA" w:rsidRDefault="00B7522D" w:rsidP="00252849">
      <w:pPr>
        <w:contextualSpacing/>
        <w:rPr>
          <w:b/>
        </w:rPr>
      </w:pPr>
      <w:r w:rsidRPr="000936BA">
        <w:rPr>
          <w:b/>
        </w:rPr>
        <w:t>References</w:t>
      </w:r>
    </w:p>
    <w:p w14:paraId="35FC2167" w14:textId="77777777" w:rsidR="00461E76" w:rsidRPr="000936BA" w:rsidRDefault="00461E76" w:rsidP="00252849">
      <w:pPr>
        <w:contextualSpacing/>
      </w:pPr>
    </w:p>
    <w:p w14:paraId="67CEB648" w14:textId="77777777" w:rsidR="00B7522D" w:rsidRPr="000936BA" w:rsidRDefault="00B7522D" w:rsidP="00B7522D">
      <w:pPr>
        <w:ind w:left="567" w:hanging="567"/>
        <w:contextualSpacing/>
      </w:pPr>
      <w:r w:rsidRPr="000936BA">
        <w:t xml:space="preserve"> Ajzen, I. (2002). Perceived </w:t>
      </w:r>
      <w:proofErr w:type="spellStart"/>
      <w:r w:rsidRPr="000936BA">
        <w:t>behavioral</w:t>
      </w:r>
      <w:proofErr w:type="spellEnd"/>
      <w:r w:rsidRPr="000936BA">
        <w:t xml:space="preserve"> control, self-efficacy, locus of control and the theory of planned </w:t>
      </w:r>
      <w:proofErr w:type="spellStart"/>
      <w:r w:rsidRPr="000936BA">
        <w:t>behavior</w:t>
      </w:r>
      <w:proofErr w:type="spellEnd"/>
      <w:r w:rsidRPr="000936BA">
        <w:t xml:space="preserve">. </w:t>
      </w:r>
      <w:r w:rsidRPr="000936BA">
        <w:rPr>
          <w:i/>
          <w:iCs/>
        </w:rPr>
        <w:t>Journal of Applied Social Psychology</w:t>
      </w:r>
      <w:r w:rsidRPr="000936BA">
        <w:t>, 32(4), 665-683.</w:t>
      </w:r>
    </w:p>
    <w:p w14:paraId="0033E152" w14:textId="77777777" w:rsidR="00B7522D" w:rsidRPr="000936BA" w:rsidRDefault="00B7522D" w:rsidP="00B7522D">
      <w:pPr>
        <w:ind w:left="567" w:hanging="567"/>
        <w:contextualSpacing/>
      </w:pPr>
      <w:r w:rsidRPr="000936BA">
        <w:t xml:space="preserve">ASPIRES. (2013). </w:t>
      </w:r>
      <w:r w:rsidRPr="000936BA">
        <w:rPr>
          <w:i/>
          <w:iCs/>
        </w:rPr>
        <w:t>Young people’s science &amp; career aspiration, age 10-14.</w:t>
      </w:r>
      <w:r w:rsidRPr="000936BA">
        <w:t xml:space="preserve"> Department of Education and Professional Studies: King’s College, London.</w:t>
      </w:r>
    </w:p>
    <w:p w14:paraId="6157AF40" w14:textId="0A6A30DB" w:rsidR="00B7522D" w:rsidRPr="000936BA" w:rsidRDefault="00B7522D" w:rsidP="00B7522D">
      <w:pPr>
        <w:ind w:left="567" w:hanging="567"/>
        <w:contextualSpacing/>
      </w:pPr>
      <w:r w:rsidRPr="000936BA">
        <w:t>Atkinson, P, Coffey</w:t>
      </w:r>
      <w:r w:rsidR="00B71683" w:rsidRPr="000936BA">
        <w:t>, A.</w:t>
      </w:r>
      <w:r w:rsidRPr="000936BA">
        <w:t>,</w:t>
      </w:r>
      <w:r w:rsidR="00B71683" w:rsidRPr="000936BA">
        <w:t xml:space="preserve"> </w:t>
      </w:r>
      <w:r w:rsidRPr="000936BA">
        <w:t>Delamont</w:t>
      </w:r>
      <w:r w:rsidR="00B71683" w:rsidRPr="000936BA">
        <w:t>, S.</w:t>
      </w:r>
      <w:r w:rsidRPr="000936BA">
        <w:t xml:space="preserve">, </w:t>
      </w:r>
      <w:proofErr w:type="spellStart"/>
      <w:r w:rsidRPr="000936BA">
        <w:t>Lofland</w:t>
      </w:r>
      <w:proofErr w:type="spellEnd"/>
      <w:r w:rsidR="00B71683" w:rsidRPr="000936BA">
        <w:t>, J.</w:t>
      </w:r>
      <w:r w:rsidR="008200AB" w:rsidRPr="000936BA">
        <w:t>,</w:t>
      </w:r>
      <w:r w:rsidRPr="000936BA">
        <w:t xml:space="preserve"> &amp; </w:t>
      </w:r>
      <w:proofErr w:type="spellStart"/>
      <w:r w:rsidRPr="000936BA">
        <w:t>Lofland</w:t>
      </w:r>
      <w:proofErr w:type="spellEnd"/>
      <w:r w:rsidR="00B71683" w:rsidRPr="000936BA">
        <w:t>, L.</w:t>
      </w:r>
      <w:r w:rsidRPr="000936BA">
        <w:t xml:space="preserve"> (2001) </w:t>
      </w:r>
      <w:r w:rsidRPr="000936BA">
        <w:rPr>
          <w:i/>
        </w:rPr>
        <w:t>Handbook of Ethnography.</w:t>
      </w:r>
      <w:r w:rsidRPr="000936BA">
        <w:t xml:space="preserve"> London: Sage</w:t>
      </w:r>
    </w:p>
    <w:p w14:paraId="7BEB0762" w14:textId="1431F6BD" w:rsidR="00B7522D" w:rsidRDefault="00B7522D" w:rsidP="00B7522D">
      <w:pPr>
        <w:ind w:left="567" w:hanging="567"/>
        <w:contextualSpacing/>
      </w:pPr>
      <w:r w:rsidRPr="000936BA">
        <w:t xml:space="preserve">Avery, Z.K., &amp; Reeve, E.M. (2013). Developing effective STEM professional development programs. </w:t>
      </w:r>
      <w:r w:rsidRPr="000936BA">
        <w:rPr>
          <w:i/>
          <w:iCs/>
        </w:rPr>
        <w:t>Journal of Technology Education</w:t>
      </w:r>
      <w:r w:rsidR="00125C2A" w:rsidRPr="000936BA">
        <w:t>.</w:t>
      </w:r>
      <w:r w:rsidRPr="000936BA">
        <w:t xml:space="preserve"> 25(1), 55-69.</w:t>
      </w:r>
    </w:p>
    <w:p w14:paraId="5BD362A3" w14:textId="591F209D" w:rsidR="00FD35B3" w:rsidRPr="000936BA" w:rsidRDefault="00FD35B3" w:rsidP="00B7522D">
      <w:pPr>
        <w:ind w:left="567" w:hanging="567"/>
        <w:contextualSpacing/>
      </w:pPr>
      <w:r>
        <w:t>Baker, D., Krouse, S., Yasar, S., Roberts, C. and Robinson-</w:t>
      </w:r>
      <w:proofErr w:type="spellStart"/>
      <w:r>
        <w:t>Kurpius</w:t>
      </w:r>
      <w:proofErr w:type="spellEnd"/>
      <w:r>
        <w:t xml:space="preserve">, S. (2007). An intervention to address gender issues on a course of design, engineering and technology for science educators. </w:t>
      </w:r>
      <w:r>
        <w:rPr>
          <w:i/>
          <w:iCs/>
        </w:rPr>
        <w:t>Journal of Engineering Education</w:t>
      </w:r>
      <w:r>
        <w:t>, 96(3), 213–26.</w:t>
      </w:r>
    </w:p>
    <w:p w14:paraId="028740BA" w14:textId="448FD686" w:rsidR="00B7522D" w:rsidRPr="000936BA" w:rsidRDefault="00B7522D" w:rsidP="00B7522D">
      <w:pPr>
        <w:ind w:left="567" w:hanging="567"/>
        <w:contextualSpacing/>
      </w:pPr>
      <w:r w:rsidRPr="000936BA">
        <w:t xml:space="preserve">Baker‐Doyle, K.J., &amp; Yoon, S.A. (2011). In search of practitioner‐based social capital: a social network analysis tool for understanding and facilitating teacher collaboration in a US‐based STEM professional development program. </w:t>
      </w:r>
      <w:r w:rsidRPr="000936BA">
        <w:rPr>
          <w:i/>
          <w:iCs/>
        </w:rPr>
        <w:t>Professional Development in Education</w:t>
      </w:r>
      <w:r w:rsidR="00125C2A" w:rsidRPr="000936BA">
        <w:t>.</w:t>
      </w:r>
      <w:r w:rsidRPr="000936BA">
        <w:t xml:space="preserve"> 37(1), 75-93.</w:t>
      </w:r>
    </w:p>
    <w:p w14:paraId="19CAD872" w14:textId="77777777" w:rsidR="00B7522D" w:rsidRPr="000936BA" w:rsidRDefault="00B7522D" w:rsidP="00B7522D">
      <w:pPr>
        <w:ind w:left="567" w:hanging="567"/>
        <w:contextualSpacing/>
      </w:pPr>
      <w:r w:rsidRPr="000936BA">
        <w:t xml:space="preserve">Bandura, A. (1997). </w:t>
      </w:r>
      <w:r w:rsidRPr="000936BA">
        <w:rPr>
          <w:i/>
          <w:iCs/>
        </w:rPr>
        <w:t>Self-efficacy: The exercise of control</w:t>
      </w:r>
      <w:r w:rsidRPr="000936BA">
        <w:t xml:space="preserve">. New York: </w:t>
      </w:r>
      <w:proofErr w:type="spellStart"/>
      <w:r w:rsidRPr="000936BA">
        <w:t>W.H.Freeman</w:t>
      </w:r>
      <w:proofErr w:type="spellEnd"/>
      <w:r w:rsidRPr="000936BA">
        <w:t xml:space="preserve"> and Company.</w:t>
      </w:r>
    </w:p>
    <w:p w14:paraId="15DE3BBA" w14:textId="13416348" w:rsidR="00B7522D" w:rsidRPr="000936BA" w:rsidRDefault="00B7522D" w:rsidP="00B7522D">
      <w:pPr>
        <w:ind w:left="567" w:hanging="567"/>
        <w:contextualSpacing/>
      </w:pPr>
      <w:r w:rsidRPr="000936BA">
        <w:t xml:space="preserve">Bell, M., </w:t>
      </w:r>
      <w:proofErr w:type="spellStart"/>
      <w:r w:rsidRPr="000936BA">
        <w:t>Cordingley</w:t>
      </w:r>
      <w:proofErr w:type="spellEnd"/>
      <w:r w:rsidRPr="000936BA">
        <w:t xml:space="preserve">, P., &amp; Mitchell, H. (2006). </w:t>
      </w:r>
      <w:r w:rsidRPr="000936BA">
        <w:rPr>
          <w:i/>
          <w:iCs/>
        </w:rPr>
        <w:t>The impact of networks on pupils, practitioners, organisations and the communities they serve. A summary of the systematic review of literature</w:t>
      </w:r>
      <w:r w:rsidRPr="000936BA">
        <w:t>. London: NCSL.</w:t>
      </w:r>
    </w:p>
    <w:p w14:paraId="3FD1C1BB" w14:textId="0B24274D" w:rsidR="00B7522D" w:rsidRPr="000936BA" w:rsidRDefault="00B7522D" w:rsidP="00B7522D">
      <w:pPr>
        <w:ind w:left="567" w:hanging="567"/>
        <w:contextualSpacing/>
      </w:pPr>
      <w:proofErr w:type="spellStart"/>
      <w:r w:rsidRPr="000936BA">
        <w:t>Borko</w:t>
      </w:r>
      <w:proofErr w:type="spellEnd"/>
      <w:r w:rsidRPr="000936BA">
        <w:t xml:space="preserve">, H. (2004). Professional development and teacher learning: Mapping the terrain. </w:t>
      </w:r>
      <w:r w:rsidRPr="000936BA">
        <w:rPr>
          <w:i/>
          <w:iCs/>
        </w:rPr>
        <w:t>Educational Researcher</w:t>
      </w:r>
      <w:r w:rsidR="00DE0144" w:rsidRPr="000936BA">
        <w:t>.</w:t>
      </w:r>
      <w:r w:rsidRPr="000936BA">
        <w:t xml:space="preserve"> 33(8), 3-15.</w:t>
      </w:r>
    </w:p>
    <w:p w14:paraId="57A713A9" w14:textId="32BFE517" w:rsidR="0080449D" w:rsidRPr="000936BA" w:rsidRDefault="0080449D" w:rsidP="00B7522D">
      <w:pPr>
        <w:ind w:left="567" w:hanging="567"/>
        <w:contextualSpacing/>
      </w:pPr>
      <w:r w:rsidRPr="000936BA">
        <w:t>British Educational Research Association [BERA](201</w:t>
      </w:r>
      <w:r w:rsidR="00F06F46" w:rsidRPr="000936BA">
        <w:t>1</w:t>
      </w:r>
      <w:r w:rsidRPr="000936BA">
        <w:t xml:space="preserve">). </w:t>
      </w:r>
      <w:r w:rsidRPr="000936BA">
        <w:rPr>
          <w:i/>
          <w:iCs/>
        </w:rPr>
        <w:t>Ethical guidelines for Educational Research</w:t>
      </w:r>
      <w:r w:rsidRPr="000936BA">
        <w:t>. London: BERA.</w:t>
      </w:r>
    </w:p>
    <w:p w14:paraId="6D01FE7E" w14:textId="3D248D86" w:rsidR="00B7522D" w:rsidRPr="000936BA" w:rsidRDefault="00B7522D" w:rsidP="00B7522D">
      <w:pPr>
        <w:ind w:left="567" w:hanging="567"/>
        <w:contextualSpacing/>
      </w:pPr>
      <w:r w:rsidRPr="000936BA">
        <w:t xml:space="preserve">Bronfenbrenner, U. (1979). </w:t>
      </w:r>
      <w:r w:rsidRPr="000936BA">
        <w:rPr>
          <w:i/>
          <w:iCs/>
        </w:rPr>
        <w:t>The ecology of human development</w:t>
      </w:r>
      <w:r w:rsidRPr="000936BA">
        <w:t>. Cambridge: Harvard University Press.</w:t>
      </w:r>
    </w:p>
    <w:p w14:paraId="3E561BD5" w14:textId="28DA0991" w:rsidR="00854C01" w:rsidRPr="000936BA" w:rsidRDefault="00854C01" w:rsidP="00B7522D">
      <w:pPr>
        <w:ind w:left="567" w:hanging="567"/>
        <w:contextualSpacing/>
      </w:pPr>
      <w:r w:rsidRPr="000936BA">
        <w:lastRenderedPageBreak/>
        <w:t>Brown, C., &amp; Flood, J. (2020). The three roles of school leaders in maximizing the impact of Professional Learning Networks: A case study from England. </w:t>
      </w:r>
      <w:r w:rsidRPr="000936BA">
        <w:rPr>
          <w:i/>
          <w:iCs/>
        </w:rPr>
        <w:t>International Journal of Educational Research</w:t>
      </w:r>
      <w:r w:rsidRPr="000936BA">
        <w:t>. </w:t>
      </w:r>
      <w:r w:rsidRPr="000936BA">
        <w:rPr>
          <w:i/>
          <w:iCs/>
        </w:rPr>
        <w:t>99</w:t>
      </w:r>
      <w:r w:rsidRPr="000936BA">
        <w:t>, 101516.</w:t>
      </w:r>
    </w:p>
    <w:p w14:paraId="008D26A2" w14:textId="050460CF" w:rsidR="00B7522D" w:rsidRPr="000936BA" w:rsidRDefault="00B7522D" w:rsidP="00B7522D">
      <w:pPr>
        <w:ind w:left="567" w:hanging="567"/>
        <w:contextualSpacing/>
      </w:pPr>
      <w:r w:rsidRPr="000936BA">
        <w:t xml:space="preserve">Bruce, C.D., </w:t>
      </w:r>
      <w:proofErr w:type="spellStart"/>
      <w:r w:rsidRPr="000936BA">
        <w:t>Esmonde</w:t>
      </w:r>
      <w:proofErr w:type="spellEnd"/>
      <w:r w:rsidRPr="000936BA">
        <w:t xml:space="preserve">, I., Ross, J., Dookie, L., &amp; Beatty, R. (2010). The effects of sustained classroom-embedded teacher professional learning on teacher efficacy and related student achievement. </w:t>
      </w:r>
      <w:r w:rsidRPr="000936BA">
        <w:rPr>
          <w:i/>
          <w:iCs/>
        </w:rPr>
        <w:t>Teaching and Teacher Education</w:t>
      </w:r>
      <w:r w:rsidR="00DE0144" w:rsidRPr="000936BA">
        <w:t>.</w:t>
      </w:r>
      <w:r w:rsidRPr="000936BA">
        <w:t xml:space="preserve"> 26(8), 1598-1608.</w:t>
      </w:r>
    </w:p>
    <w:p w14:paraId="420FB5E5" w14:textId="69763DAE" w:rsidR="00B7522D" w:rsidRPr="000936BA" w:rsidRDefault="00B7522D" w:rsidP="00B7522D">
      <w:pPr>
        <w:ind w:left="567" w:hanging="567"/>
        <w:contextualSpacing/>
      </w:pPr>
      <w:r w:rsidRPr="000936BA">
        <w:t xml:space="preserve">Burrows, A., &amp; Slater, T. (2015). A proposed integrated STEM framework for contemporary teacher preparation. </w:t>
      </w:r>
      <w:r w:rsidRPr="000936BA">
        <w:rPr>
          <w:i/>
          <w:iCs/>
        </w:rPr>
        <w:t>Teacher Education and Practice</w:t>
      </w:r>
      <w:r w:rsidR="008200AB" w:rsidRPr="000936BA">
        <w:t>.</w:t>
      </w:r>
      <w:r w:rsidRPr="000936BA">
        <w:t xml:space="preserve"> 28(2/3), 318-330.</w:t>
      </w:r>
    </w:p>
    <w:p w14:paraId="6FC1F000" w14:textId="5750E4E6" w:rsidR="00B7522D" w:rsidRPr="000936BA" w:rsidRDefault="00B7522D" w:rsidP="00B7522D">
      <w:pPr>
        <w:ind w:left="567" w:hanging="567"/>
        <w:contextualSpacing/>
      </w:pPr>
      <w:r w:rsidRPr="000936BA">
        <w:t xml:space="preserve">Capps, D.K., Crawford, B.A., &amp; </w:t>
      </w:r>
      <w:proofErr w:type="spellStart"/>
      <w:r w:rsidRPr="000936BA">
        <w:t>Constas</w:t>
      </w:r>
      <w:proofErr w:type="spellEnd"/>
      <w:r w:rsidRPr="000936BA">
        <w:t xml:space="preserve">, M.A. (2012). A review of empirical literature on inquiry professional development: Alignment with best practices and a critique of the findings. </w:t>
      </w:r>
      <w:r w:rsidRPr="000936BA">
        <w:rPr>
          <w:i/>
          <w:iCs/>
        </w:rPr>
        <w:t>Journal of Science Teacher Education</w:t>
      </w:r>
      <w:r w:rsidR="008200AB" w:rsidRPr="000936BA">
        <w:t>.</w:t>
      </w:r>
      <w:r w:rsidRPr="000936BA">
        <w:t xml:space="preserve"> 23(3), 291-318.</w:t>
      </w:r>
    </w:p>
    <w:p w14:paraId="7E21252F" w14:textId="1402A2A5" w:rsidR="00B7522D" w:rsidRPr="000936BA" w:rsidRDefault="00B7522D" w:rsidP="00B7522D">
      <w:pPr>
        <w:ind w:left="567" w:hanging="567"/>
        <w:contextualSpacing/>
      </w:pPr>
      <w:r w:rsidRPr="000936BA">
        <w:t>Carlton-Hug, A., &amp; Hug</w:t>
      </w:r>
      <w:r w:rsidR="008200AB" w:rsidRPr="000936BA">
        <w:t>, J.W.</w:t>
      </w:r>
      <w:r w:rsidRPr="000936BA">
        <w:t xml:space="preserve"> (2010). Challenges and opportunities for evaluation environmental education programs. </w:t>
      </w:r>
      <w:r w:rsidRPr="000936BA">
        <w:rPr>
          <w:i/>
          <w:iCs/>
        </w:rPr>
        <w:t>Evaluation and Program Planning</w:t>
      </w:r>
      <w:r w:rsidR="00DE0144" w:rsidRPr="000936BA">
        <w:t>.</w:t>
      </w:r>
      <w:r w:rsidRPr="000936BA">
        <w:t xml:space="preserve"> 33(2)</w:t>
      </w:r>
      <w:r w:rsidR="008200AB" w:rsidRPr="000936BA">
        <w:t>,</w:t>
      </w:r>
      <w:r w:rsidRPr="000936BA">
        <w:t xml:space="preserve"> 159-164.</w:t>
      </w:r>
    </w:p>
    <w:p w14:paraId="589C7F92" w14:textId="26AB6FB4" w:rsidR="00B7522D" w:rsidRPr="000936BA" w:rsidRDefault="00B7522D" w:rsidP="00B7522D">
      <w:pPr>
        <w:ind w:left="567" w:hanging="567"/>
        <w:contextualSpacing/>
      </w:pPr>
      <w:r w:rsidRPr="000936BA">
        <w:t>Charmaz</w:t>
      </w:r>
      <w:r w:rsidR="008200AB" w:rsidRPr="000936BA">
        <w:t>, K.</w:t>
      </w:r>
      <w:r w:rsidRPr="000936BA">
        <w:t xml:space="preserve"> (2014) </w:t>
      </w:r>
      <w:r w:rsidRPr="000936BA">
        <w:rPr>
          <w:i/>
        </w:rPr>
        <w:t>Constructing Grounded Theory</w:t>
      </w:r>
      <w:r w:rsidRPr="000936BA">
        <w:t xml:space="preserve"> (2nd Edition). London: Sage.</w:t>
      </w:r>
    </w:p>
    <w:p w14:paraId="06D6FBDA" w14:textId="7E2516D1" w:rsidR="00B7522D" w:rsidRPr="000936BA" w:rsidRDefault="00B7522D" w:rsidP="00B7522D">
      <w:pPr>
        <w:ind w:left="567" w:hanging="567"/>
        <w:contextualSpacing/>
      </w:pPr>
      <w:r w:rsidRPr="000936BA">
        <w:t xml:space="preserve">Chester, M.D., &amp; </w:t>
      </w:r>
      <w:proofErr w:type="spellStart"/>
      <w:r w:rsidRPr="000936BA">
        <w:t>Beaudin</w:t>
      </w:r>
      <w:proofErr w:type="spellEnd"/>
      <w:r w:rsidRPr="000936BA">
        <w:t xml:space="preserve">, B.Q. (1996). Efficacy beliefs of newly hired teachers in urban schools. </w:t>
      </w:r>
      <w:r w:rsidRPr="000936BA">
        <w:rPr>
          <w:i/>
          <w:iCs/>
        </w:rPr>
        <w:t>American Educational Research Journal</w:t>
      </w:r>
      <w:r w:rsidR="008200AB" w:rsidRPr="000936BA">
        <w:t>.</w:t>
      </w:r>
      <w:r w:rsidRPr="000936BA">
        <w:t xml:space="preserve"> 33(1), 233-257.</w:t>
      </w:r>
    </w:p>
    <w:p w14:paraId="00889EAF" w14:textId="77777777" w:rsidR="00B7522D" w:rsidRPr="000936BA" w:rsidRDefault="00B7522D" w:rsidP="00B7522D">
      <w:pPr>
        <w:ind w:left="567" w:hanging="567"/>
        <w:contextualSpacing/>
      </w:pPr>
      <w:r w:rsidRPr="000936BA">
        <w:t xml:space="preserve">Cohen, L., Mannion, L., &amp; Morrison, K. (2018). </w:t>
      </w:r>
      <w:r w:rsidRPr="000936BA">
        <w:rPr>
          <w:i/>
          <w:iCs/>
        </w:rPr>
        <w:t>Research methods in education</w:t>
      </w:r>
      <w:r w:rsidRPr="000936BA">
        <w:t>. London: Routledge.</w:t>
      </w:r>
    </w:p>
    <w:p w14:paraId="6967AA1A" w14:textId="61D3F4D7" w:rsidR="00B7522D" w:rsidRPr="000936BA" w:rsidRDefault="00B7522D" w:rsidP="00B7522D">
      <w:pPr>
        <w:ind w:left="567" w:hanging="567"/>
        <w:contextualSpacing/>
      </w:pPr>
      <w:r w:rsidRPr="000936BA">
        <w:t xml:space="preserve">de Lima, J.A. (2010). Thinking more deeply about networks in education. </w:t>
      </w:r>
      <w:r w:rsidRPr="000936BA">
        <w:rPr>
          <w:i/>
          <w:iCs/>
        </w:rPr>
        <w:t>Journal of Educational Change</w:t>
      </w:r>
      <w:r w:rsidR="008200AB" w:rsidRPr="000936BA">
        <w:t>.</w:t>
      </w:r>
      <w:r w:rsidRPr="000936BA">
        <w:t xml:space="preserve"> 11(1), 1-21.</w:t>
      </w:r>
    </w:p>
    <w:p w14:paraId="48F5897D" w14:textId="0581AA1A" w:rsidR="00B7522D" w:rsidRPr="000936BA" w:rsidRDefault="00B7522D" w:rsidP="00B7522D">
      <w:pPr>
        <w:ind w:left="567" w:hanging="567"/>
        <w:contextualSpacing/>
      </w:pPr>
      <w:r w:rsidRPr="000936BA">
        <w:t xml:space="preserve">Desimone, L.M. (2009). Improving impact studies of teachers’ professional development: Toward better conceptualizations and measures. </w:t>
      </w:r>
      <w:r w:rsidRPr="000936BA">
        <w:rPr>
          <w:i/>
          <w:iCs/>
        </w:rPr>
        <w:t>Educational Researcher</w:t>
      </w:r>
      <w:r w:rsidR="008200AB" w:rsidRPr="000936BA">
        <w:t>.</w:t>
      </w:r>
      <w:r w:rsidRPr="000936BA">
        <w:t xml:space="preserve"> 38(3), 181-199.</w:t>
      </w:r>
    </w:p>
    <w:p w14:paraId="0EA86112" w14:textId="3B4551DD" w:rsidR="00B7522D" w:rsidRPr="000936BA" w:rsidRDefault="00B7522D" w:rsidP="00B7522D">
      <w:pPr>
        <w:ind w:left="567" w:hanging="567"/>
        <w:contextualSpacing/>
      </w:pPr>
      <w:r w:rsidRPr="000936BA">
        <w:t xml:space="preserve">Dogan, S., Pringle, R., &amp; Mesa, J. (2016). The impacts of professional learning communities on science teachers’ knowledge, practice and student learning: A review. </w:t>
      </w:r>
      <w:r w:rsidRPr="000936BA">
        <w:rPr>
          <w:i/>
          <w:iCs/>
        </w:rPr>
        <w:t>Professional Development in Education</w:t>
      </w:r>
      <w:r w:rsidR="00DE0144" w:rsidRPr="000936BA">
        <w:rPr>
          <w:i/>
          <w:iCs/>
        </w:rPr>
        <w:t>.</w:t>
      </w:r>
      <w:r w:rsidRPr="000936BA">
        <w:t xml:space="preserve"> 42(4), 569-588.</w:t>
      </w:r>
    </w:p>
    <w:p w14:paraId="6CA0AF27" w14:textId="4A4B9F14" w:rsidR="00B7522D" w:rsidRPr="000936BA" w:rsidRDefault="00B7522D" w:rsidP="00B7522D">
      <w:pPr>
        <w:ind w:left="567" w:hanging="567"/>
        <w:contextualSpacing/>
      </w:pPr>
      <w:r w:rsidRPr="000936BA">
        <w:t xml:space="preserve">Dunn. R., Hattie, J., &amp; Bowles, T. (2018). Using the Theory of Planned </w:t>
      </w:r>
      <w:proofErr w:type="spellStart"/>
      <w:r w:rsidRPr="000936BA">
        <w:t>Behavior</w:t>
      </w:r>
      <w:proofErr w:type="spellEnd"/>
      <w:r w:rsidRPr="000936BA">
        <w:t xml:space="preserve"> to explore teachers’ intentions to engage in ongoing teacher professional learning. </w:t>
      </w:r>
      <w:r w:rsidRPr="000936BA">
        <w:rPr>
          <w:i/>
          <w:iCs/>
        </w:rPr>
        <w:t>Studies in Educational Evaluation</w:t>
      </w:r>
      <w:r w:rsidR="008200AB" w:rsidRPr="000936BA">
        <w:t>.</w:t>
      </w:r>
      <w:r w:rsidRPr="000936BA">
        <w:t xml:space="preserve"> 59, 1-7.</w:t>
      </w:r>
    </w:p>
    <w:p w14:paraId="6B6C4D2C" w14:textId="6F19A202" w:rsidR="00B7522D" w:rsidRPr="000936BA" w:rsidRDefault="00B7522D" w:rsidP="00B7522D">
      <w:pPr>
        <w:ind w:left="567" w:hanging="567"/>
        <w:contextualSpacing/>
      </w:pPr>
      <w:proofErr w:type="spellStart"/>
      <w:r w:rsidRPr="000936BA">
        <w:t>Eisenhart</w:t>
      </w:r>
      <w:proofErr w:type="spellEnd"/>
      <w:r w:rsidRPr="000936BA">
        <w:t>, M., Weis, L.,</w:t>
      </w:r>
      <w:r w:rsidRPr="000936BA">
        <w:rPr>
          <w:position w:val="10"/>
        </w:rPr>
        <w:t xml:space="preserve"> </w:t>
      </w:r>
      <w:r w:rsidRPr="000936BA">
        <w:t xml:space="preserve">Allen, C.D., </w:t>
      </w:r>
      <w:proofErr w:type="spellStart"/>
      <w:r w:rsidRPr="000936BA">
        <w:t>Cipollone</w:t>
      </w:r>
      <w:proofErr w:type="spellEnd"/>
      <w:r w:rsidRPr="000936BA">
        <w:t>, K., Stich, A.</w:t>
      </w:r>
      <w:r w:rsidR="008200AB" w:rsidRPr="000936BA">
        <w:t>,</w:t>
      </w:r>
      <w:r w:rsidRPr="000936BA">
        <w:t xml:space="preserve"> &amp; Dominguez, R. (2015). High School Opportunities for STEM: Comparing Inclusive STEM-Focused and Comprehensive High Schools in Two US Cities</w:t>
      </w:r>
      <w:r w:rsidR="008200AB" w:rsidRPr="000936BA">
        <w:t>.</w:t>
      </w:r>
      <w:r w:rsidRPr="000936BA">
        <w:t xml:space="preserve"> </w:t>
      </w:r>
      <w:r w:rsidRPr="000936BA">
        <w:rPr>
          <w:i/>
          <w:iCs/>
        </w:rPr>
        <w:t>Journal of Research in Science Teaching</w:t>
      </w:r>
      <w:r w:rsidR="008200AB" w:rsidRPr="000936BA">
        <w:t>.</w:t>
      </w:r>
      <w:r w:rsidRPr="000936BA">
        <w:t xml:space="preserve"> 52(6), 763-789.</w:t>
      </w:r>
    </w:p>
    <w:p w14:paraId="34D9814E" w14:textId="77777777" w:rsidR="00B7522D" w:rsidRPr="000936BA" w:rsidRDefault="00B7522D" w:rsidP="00B7522D">
      <w:pPr>
        <w:ind w:left="567" w:hanging="567"/>
        <w:contextualSpacing/>
      </w:pPr>
      <w:r w:rsidRPr="000936BA">
        <w:t xml:space="preserve">Fulton, K., &amp; Britton, T. (2011). </w:t>
      </w:r>
      <w:r w:rsidRPr="000936BA">
        <w:rPr>
          <w:i/>
          <w:iCs/>
        </w:rPr>
        <w:t>STEM Teachers in Professional Learning Communities: From Good Teachers to Great Teaching</w:t>
      </w:r>
      <w:r w:rsidRPr="000936BA">
        <w:t>. Washington D.C.: National Commission on Teaching and America's Future.</w:t>
      </w:r>
    </w:p>
    <w:p w14:paraId="17424B9B" w14:textId="77777777" w:rsidR="00B7522D" w:rsidRPr="000936BA" w:rsidRDefault="00B7522D" w:rsidP="00B7522D">
      <w:pPr>
        <w:ind w:left="567" w:hanging="567"/>
        <w:contextualSpacing/>
      </w:pPr>
      <w:r w:rsidRPr="000936BA">
        <w:t xml:space="preserve"> Goodall, J., Day, C., Lindsay, G., </w:t>
      </w:r>
      <w:proofErr w:type="spellStart"/>
      <w:r w:rsidRPr="000936BA">
        <w:t>Muijis</w:t>
      </w:r>
      <w:proofErr w:type="spellEnd"/>
      <w:r w:rsidRPr="000936BA">
        <w:t xml:space="preserve">, D., &amp; Harris, A. (2005). </w:t>
      </w:r>
      <w:r w:rsidRPr="000936BA">
        <w:rPr>
          <w:i/>
          <w:iCs/>
        </w:rPr>
        <w:t>Evaluating the impact of CPD</w:t>
      </w:r>
      <w:r w:rsidRPr="000936BA">
        <w:t>. https://warwick.ac.uk/fac/soc/cedar/projects/completed05/contprofdev/cpdfinalreport05.pdf</w:t>
      </w:r>
    </w:p>
    <w:p w14:paraId="655B2A9C" w14:textId="77777777" w:rsidR="00B7522D" w:rsidRPr="000936BA" w:rsidRDefault="00B7522D" w:rsidP="00B7522D">
      <w:pPr>
        <w:ind w:left="567" w:hanging="567"/>
        <w:contextualSpacing/>
      </w:pPr>
      <w:proofErr w:type="spellStart"/>
      <w:r w:rsidRPr="000936BA">
        <w:t>Gorard</w:t>
      </w:r>
      <w:proofErr w:type="spellEnd"/>
      <w:r w:rsidRPr="000936BA">
        <w:t xml:space="preserve">, S., &amp; Taylor, C. (2004). </w:t>
      </w:r>
      <w:r w:rsidRPr="000936BA">
        <w:rPr>
          <w:i/>
          <w:iCs/>
        </w:rPr>
        <w:t>Combining research methods in educational and social research</w:t>
      </w:r>
      <w:r w:rsidRPr="000936BA">
        <w:t>. London: McGraw-Hill.</w:t>
      </w:r>
      <w:r w:rsidRPr="000936BA" w:rsidDel="002F7608">
        <w:t xml:space="preserve"> </w:t>
      </w:r>
    </w:p>
    <w:p w14:paraId="757E9070" w14:textId="77777777" w:rsidR="00B7522D" w:rsidRPr="000936BA" w:rsidRDefault="00B7522D" w:rsidP="00B7522D">
      <w:pPr>
        <w:ind w:left="567" w:hanging="567"/>
        <w:contextualSpacing/>
      </w:pPr>
      <w:proofErr w:type="spellStart"/>
      <w:r w:rsidRPr="000936BA">
        <w:t>Guskey</w:t>
      </w:r>
      <w:proofErr w:type="spellEnd"/>
      <w:r w:rsidRPr="000936BA">
        <w:t xml:space="preserve">, T. R. (2000). </w:t>
      </w:r>
      <w:r w:rsidRPr="000936BA">
        <w:rPr>
          <w:i/>
          <w:iCs/>
        </w:rPr>
        <w:t>Evaluating professional development</w:t>
      </w:r>
      <w:r w:rsidRPr="000936BA">
        <w:t>. Thousand Oaks, CA: Corwin.</w:t>
      </w:r>
    </w:p>
    <w:p w14:paraId="13781CDD" w14:textId="456925CE" w:rsidR="00B7522D" w:rsidRPr="000936BA" w:rsidRDefault="00B7522D" w:rsidP="00B7522D">
      <w:pPr>
        <w:ind w:left="567" w:hanging="567"/>
        <w:contextualSpacing/>
      </w:pPr>
      <w:proofErr w:type="spellStart"/>
      <w:r w:rsidRPr="000936BA">
        <w:t>Guzey</w:t>
      </w:r>
      <w:proofErr w:type="spellEnd"/>
      <w:r w:rsidRPr="000936BA">
        <w:t xml:space="preserve">, S.S., Moore, T.J., Harwell, N., &amp; Moreno, M. (2016). STEM integration into middle school life science: student learning and attitudes. </w:t>
      </w:r>
      <w:r w:rsidRPr="000936BA">
        <w:rPr>
          <w:i/>
          <w:iCs/>
        </w:rPr>
        <w:t>Journal of Science Education and Technology</w:t>
      </w:r>
      <w:r w:rsidR="008200AB" w:rsidRPr="000936BA">
        <w:t>.</w:t>
      </w:r>
      <w:r w:rsidRPr="000936BA">
        <w:t xml:space="preserve"> 25, 550-560.</w:t>
      </w:r>
    </w:p>
    <w:p w14:paraId="01F80DA6" w14:textId="14C09394" w:rsidR="00B7522D" w:rsidRPr="000936BA" w:rsidRDefault="00B7522D" w:rsidP="00B7522D">
      <w:pPr>
        <w:ind w:left="567" w:hanging="567"/>
        <w:contextualSpacing/>
      </w:pPr>
      <w:proofErr w:type="spellStart"/>
      <w:r w:rsidRPr="000936BA">
        <w:t>Hardré</w:t>
      </w:r>
      <w:proofErr w:type="spellEnd"/>
      <w:r w:rsidRPr="000936BA">
        <w:t xml:space="preserve">, P.L., Ling, C., Shehab, R.L., Nanny, M.A., </w:t>
      </w:r>
      <w:proofErr w:type="spellStart"/>
      <w:r w:rsidRPr="000936BA">
        <w:t>Nollert</w:t>
      </w:r>
      <w:proofErr w:type="spellEnd"/>
      <w:r w:rsidRPr="000936BA">
        <w:t xml:space="preserve">, M.U., </w:t>
      </w:r>
      <w:proofErr w:type="spellStart"/>
      <w:r w:rsidRPr="000936BA">
        <w:t>Refai</w:t>
      </w:r>
      <w:proofErr w:type="spellEnd"/>
      <w:r w:rsidRPr="000936BA">
        <w:t>, H., Ramseyer, C., Herron, J.</w:t>
      </w:r>
      <w:r w:rsidR="00E22F10" w:rsidRPr="000936BA">
        <w:t>,</w:t>
      </w:r>
      <w:r w:rsidRPr="000936BA">
        <w:t xml:space="preserve"> &amp; </w:t>
      </w:r>
      <w:proofErr w:type="spellStart"/>
      <w:r w:rsidRPr="000936BA">
        <w:t>Wollega</w:t>
      </w:r>
      <w:proofErr w:type="spellEnd"/>
      <w:r w:rsidRPr="000936BA">
        <w:t xml:space="preserve">, E.D. (2013). Teachers in an interdisciplinary learning community: Engaging, integrating, and strengthening K-12 education. </w:t>
      </w:r>
      <w:r w:rsidRPr="000936BA">
        <w:rPr>
          <w:i/>
          <w:iCs/>
        </w:rPr>
        <w:t>Journal of Teacher Education</w:t>
      </w:r>
      <w:r w:rsidR="00E22F10" w:rsidRPr="000936BA">
        <w:t>.</w:t>
      </w:r>
      <w:r w:rsidRPr="000936BA">
        <w:t xml:space="preserve"> 64(5), 409-425.</w:t>
      </w:r>
    </w:p>
    <w:p w14:paraId="25310A66" w14:textId="7BD873F0" w:rsidR="00B7522D" w:rsidRPr="000936BA" w:rsidRDefault="00B7522D" w:rsidP="00B7522D">
      <w:pPr>
        <w:ind w:left="567" w:hanging="567"/>
        <w:contextualSpacing/>
        <w:rPr>
          <w:iCs/>
        </w:rPr>
      </w:pPr>
      <w:proofErr w:type="spellStart"/>
      <w:r w:rsidRPr="000936BA">
        <w:lastRenderedPageBreak/>
        <w:t>Hollway</w:t>
      </w:r>
      <w:proofErr w:type="spellEnd"/>
      <w:r w:rsidRPr="000936BA">
        <w:t>, W.</w:t>
      </w:r>
      <w:r w:rsidR="00A839D0" w:rsidRPr="000936BA">
        <w:t>,</w:t>
      </w:r>
      <w:r w:rsidR="00E22F10" w:rsidRPr="000936BA">
        <w:t xml:space="preserve"> &amp;</w:t>
      </w:r>
      <w:r w:rsidRPr="000936BA">
        <w:t xml:space="preserve"> Jefferson, T. (2012). </w:t>
      </w:r>
      <w:r w:rsidRPr="000936BA">
        <w:rPr>
          <w:i/>
        </w:rPr>
        <w:t>Doing qualitative research differently: A psychosocial approach.</w:t>
      </w:r>
      <w:r w:rsidR="00E22F10" w:rsidRPr="000936BA">
        <w:rPr>
          <w:i/>
        </w:rPr>
        <w:t xml:space="preserve"> </w:t>
      </w:r>
      <w:r w:rsidR="00E22F10" w:rsidRPr="000936BA">
        <w:rPr>
          <w:iCs/>
        </w:rPr>
        <w:t>London: Sage.</w:t>
      </w:r>
    </w:p>
    <w:p w14:paraId="6568C27E" w14:textId="77777777" w:rsidR="00B7522D" w:rsidRPr="000936BA" w:rsidRDefault="00B7522D" w:rsidP="00B7522D">
      <w:pPr>
        <w:ind w:left="567" w:hanging="567"/>
        <w:contextualSpacing/>
      </w:pPr>
      <w:r w:rsidRPr="000936BA">
        <w:t xml:space="preserve">Holman, J. (2007). </w:t>
      </w:r>
      <w:r w:rsidRPr="000936BA">
        <w:rPr>
          <w:i/>
          <w:iCs/>
        </w:rPr>
        <w:t>Improving Guidance on STEM Subject Choice and Careers</w:t>
      </w:r>
      <w:r w:rsidRPr="000936BA">
        <w:t>. York: DFES School Science Board.</w:t>
      </w:r>
    </w:p>
    <w:p w14:paraId="7EFA5B00" w14:textId="77777777" w:rsidR="00B7522D" w:rsidRPr="000936BA" w:rsidRDefault="00B7522D" w:rsidP="00B7522D">
      <w:pPr>
        <w:ind w:left="567" w:hanging="567"/>
        <w:contextualSpacing/>
      </w:pPr>
      <w:r w:rsidRPr="000936BA">
        <w:t xml:space="preserve">Hoyle, P. (2016). </w:t>
      </w:r>
      <w:r w:rsidRPr="000936BA">
        <w:rPr>
          <w:i/>
          <w:iCs/>
        </w:rPr>
        <w:t>Must try harder</w:t>
      </w:r>
      <w:r w:rsidRPr="000936BA">
        <w:t xml:space="preserve">. </w:t>
      </w:r>
      <w:hyperlink r:id="rId9" w:history="1">
        <w:r w:rsidRPr="000936BA">
          <w:rPr>
            <w:rStyle w:val="Hyperlink"/>
          </w:rPr>
          <w:t>https://research.acer.edu.au/cgi/viewcontent.cgi?article=1280&amp;context=research_conference</w:t>
        </w:r>
      </w:hyperlink>
      <w:r w:rsidRPr="000936BA">
        <w:t>, accessed April 2021.</w:t>
      </w:r>
    </w:p>
    <w:p w14:paraId="6581F92C" w14:textId="18D5E3BA" w:rsidR="00B7522D" w:rsidRPr="000936BA" w:rsidRDefault="00B7522D" w:rsidP="00B7522D">
      <w:pPr>
        <w:ind w:left="567" w:hanging="567"/>
        <w:contextualSpacing/>
      </w:pPr>
      <w:r w:rsidRPr="0090080C">
        <w:rPr>
          <w:lang w:val="de-DE"/>
        </w:rPr>
        <w:t xml:space="preserve">Huang, L., Zhang, T., &amp; Huang, Y. (2020). </w:t>
      </w:r>
      <w:r w:rsidRPr="000936BA">
        <w:t xml:space="preserve">Effects of school organizational conditions on teacher professional learning in China: The mediating role of teacher self-efficacy. </w:t>
      </w:r>
      <w:r w:rsidRPr="000936BA">
        <w:rPr>
          <w:i/>
          <w:iCs/>
        </w:rPr>
        <w:t>Studies in Educational Evaluation</w:t>
      </w:r>
      <w:r w:rsidR="00E22F10" w:rsidRPr="000936BA">
        <w:t>.</w:t>
      </w:r>
      <w:r w:rsidRPr="000936BA">
        <w:t xml:space="preserve"> 66, 1-9</w:t>
      </w:r>
      <w:r w:rsidR="00E22F10" w:rsidRPr="000936BA">
        <w:t>.</w:t>
      </w:r>
    </w:p>
    <w:p w14:paraId="4640F5A9" w14:textId="77777777" w:rsidR="00B7522D" w:rsidRPr="000936BA" w:rsidRDefault="00B7522D" w:rsidP="00B7522D">
      <w:pPr>
        <w:ind w:left="567" w:hanging="567"/>
        <w:contextualSpacing/>
      </w:pPr>
      <w:r w:rsidRPr="000936BA">
        <w:t xml:space="preserve">Jackson, D., &amp; </w:t>
      </w:r>
      <w:proofErr w:type="spellStart"/>
      <w:r w:rsidRPr="000936BA">
        <w:t>Temperley</w:t>
      </w:r>
      <w:proofErr w:type="spellEnd"/>
      <w:r w:rsidRPr="000936BA">
        <w:t xml:space="preserve">, J. (2007). From professional learning community to networked learning community. In L. Stoll &amp; K.S. Louis, </w:t>
      </w:r>
      <w:r w:rsidRPr="000936BA">
        <w:rPr>
          <w:i/>
          <w:iCs/>
        </w:rPr>
        <w:t>Professional learning communities: Divergence, depth and dilemmas</w:t>
      </w:r>
      <w:r w:rsidRPr="000936BA">
        <w:t xml:space="preserve"> (pp45-62). Milton Keynes: Open University Press.</w:t>
      </w:r>
    </w:p>
    <w:p w14:paraId="451D24B8" w14:textId="608E253E" w:rsidR="00B7522D" w:rsidRPr="000936BA" w:rsidRDefault="00B7522D" w:rsidP="00B7522D">
      <w:pPr>
        <w:ind w:left="567" w:hanging="567"/>
        <w:contextualSpacing/>
      </w:pPr>
      <w:r w:rsidRPr="000936BA">
        <w:t>Katehi, L., Pearson, G.,</w:t>
      </w:r>
      <w:r w:rsidR="00E22F10" w:rsidRPr="000936BA">
        <w:t xml:space="preserve"> &amp;</w:t>
      </w:r>
      <w:r w:rsidRPr="000936BA">
        <w:t xml:space="preserve"> Feder, M. (2009). </w:t>
      </w:r>
      <w:r w:rsidRPr="000936BA">
        <w:rPr>
          <w:i/>
          <w:iCs/>
        </w:rPr>
        <w:t>Engineering in K-12 Education: Understanding the Status and Improving the Prospects</w:t>
      </w:r>
      <w:r w:rsidRPr="000936BA">
        <w:t>. Washington D.C.: The National Academies Press.</w:t>
      </w:r>
    </w:p>
    <w:p w14:paraId="0A1675E6" w14:textId="75AD5C0A" w:rsidR="00B7522D" w:rsidRPr="000936BA" w:rsidRDefault="00B7522D" w:rsidP="00B7522D">
      <w:pPr>
        <w:ind w:left="567" w:hanging="567"/>
        <w:contextualSpacing/>
      </w:pPr>
      <w:proofErr w:type="spellStart"/>
      <w:r w:rsidRPr="000936BA">
        <w:t>Katzenmeyer</w:t>
      </w:r>
      <w:proofErr w:type="spellEnd"/>
      <w:r w:rsidRPr="000936BA">
        <w:t>, C</w:t>
      </w:r>
      <w:r w:rsidR="0090080C">
        <w:t>.</w:t>
      </w:r>
      <w:r w:rsidRPr="000936BA">
        <w:t xml:space="preserve">, &amp; </w:t>
      </w:r>
      <w:proofErr w:type="spellStart"/>
      <w:r w:rsidRPr="000936BA">
        <w:t>Lawrenz</w:t>
      </w:r>
      <w:proofErr w:type="spellEnd"/>
      <w:r w:rsidRPr="000936BA">
        <w:t xml:space="preserve">, F. (2006).  National Science Foundation Perspectives on the Nature of STEM Program Evaluation. </w:t>
      </w:r>
      <w:r w:rsidRPr="000936BA">
        <w:rPr>
          <w:i/>
          <w:iCs/>
        </w:rPr>
        <w:t>New Directions for Evaluation</w:t>
      </w:r>
      <w:r w:rsidR="00E22F10" w:rsidRPr="000936BA">
        <w:t>.</w:t>
      </w:r>
      <w:r w:rsidRPr="000936BA">
        <w:t xml:space="preserve"> 109, 7-18. </w:t>
      </w:r>
    </w:p>
    <w:p w14:paraId="1AB59DDF" w14:textId="35E68771" w:rsidR="00B7522D" w:rsidRPr="000936BA" w:rsidRDefault="00B7522D" w:rsidP="00B7522D">
      <w:pPr>
        <w:ind w:left="567" w:hanging="567"/>
        <w:contextualSpacing/>
      </w:pPr>
      <w:r w:rsidRPr="000936BA">
        <w:t xml:space="preserve">Khalil, K.A., </w:t>
      </w:r>
      <w:proofErr w:type="spellStart"/>
      <w:r w:rsidRPr="000936BA">
        <w:t>Ardoin</w:t>
      </w:r>
      <w:proofErr w:type="spellEnd"/>
      <w:r w:rsidRPr="000936BA">
        <w:t xml:space="preserve">, N.M., &amp; Wojcik, D.J.  (2016). </w:t>
      </w:r>
      <w:r w:rsidRPr="000936BA" w:rsidDel="00BC6D48">
        <w:t xml:space="preserve"> </w:t>
      </w:r>
      <w:r w:rsidRPr="000936BA">
        <w:t xml:space="preserve">The company you keep: Networks in a community of informal education evaluators, </w:t>
      </w:r>
      <w:r w:rsidRPr="000936BA">
        <w:rPr>
          <w:i/>
          <w:iCs/>
        </w:rPr>
        <w:t>Studies in Educational Evaluation</w:t>
      </w:r>
      <w:r w:rsidR="00E22F10" w:rsidRPr="000936BA">
        <w:t>.</w:t>
      </w:r>
      <w:r w:rsidRPr="000936BA">
        <w:t xml:space="preserve"> 51, 7-16.</w:t>
      </w:r>
    </w:p>
    <w:p w14:paraId="44763905" w14:textId="77777777" w:rsidR="00B7522D" w:rsidRPr="000936BA" w:rsidRDefault="00B7522D" w:rsidP="00B7522D">
      <w:pPr>
        <w:ind w:left="567" w:hanging="567"/>
        <w:contextualSpacing/>
      </w:pPr>
      <w:proofErr w:type="spellStart"/>
      <w:r w:rsidRPr="000936BA">
        <w:t>Kudenko</w:t>
      </w:r>
      <w:proofErr w:type="spellEnd"/>
      <w:r w:rsidRPr="000936BA">
        <w:t xml:space="preserve">, I., &amp; Hoyle, P. (2014). </w:t>
      </w:r>
      <w:r w:rsidRPr="000936BA">
        <w:rPr>
          <w:i/>
          <w:iCs/>
        </w:rPr>
        <w:t>How to enhance CPD to maximise the measurable impact on students’ achievement in science</w:t>
      </w:r>
      <w:r w:rsidRPr="000936BA">
        <w:t xml:space="preserve">? </w:t>
      </w:r>
      <w:hyperlink r:id="rId10" w:history="1">
        <w:r w:rsidRPr="000936BA">
          <w:rPr>
            <w:rStyle w:val="Hyperlink"/>
          </w:rPr>
          <w:t>https://www.stem.org.uk/sites/default/files/pages/downloads/HOW%20TO%20%ENHANCE%20CPD%20TO%20%MAXIMISE%20THE.pdf</w:t>
        </w:r>
      </w:hyperlink>
      <w:r w:rsidRPr="000936BA">
        <w:t>.</w:t>
      </w:r>
    </w:p>
    <w:p w14:paraId="067659D3" w14:textId="77777777" w:rsidR="00B7522D" w:rsidRPr="000936BA" w:rsidRDefault="00B7522D" w:rsidP="00B7522D">
      <w:pPr>
        <w:ind w:left="567" w:hanging="567"/>
        <w:contextualSpacing/>
      </w:pPr>
      <w:r w:rsidRPr="000936BA">
        <w:t xml:space="preserve">Kutnick, P., &amp; Blatchford, P. (2014). </w:t>
      </w:r>
      <w:r w:rsidRPr="000936BA">
        <w:rPr>
          <w:i/>
          <w:iCs/>
        </w:rPr>
        <w:t>Effective group work in primary school classrooms</w:t>
      </w:r>
      <w:r w:rsidRPr="000936BA">
        <w:t>. London: Springer.</w:t>
      </w:r>
    </w:p>
    <w:p w14:paraId="671DF87D" w14:textId="77777777" w:rsidR="00B7522D" w:rsidRPr="000936BA" w:rsidRDefault="00B7522D" w:rsidP="00B7522D">
      <w:pPr>
        <w:ind w:left="567" w:hanging="567"/>
        <w:contextualSpacing/>
      </w:pPr>
      <w:r w:rsidRPr="000936BA">
        <w:t xml:space="preserve">Kutnick, P., Good, D., &amp; Hossain, S. (2012). </w:t>
      </w:r>
      <w:r w:rsidRPr="000936BA">
        <w:rPr>
          <w:i/>
          <w:iCs/>
        </w:rPr>
        <w:t>A Systematic Review of Education for Engineering and Interventions for Engineering Education within STEM-Related Developments in the UK</w:t>
      </w:r>
      <w:r w:rsidRPr="000936BA">
        <w:t xml:space="preserve">. London: Royal Academy of Engineering. </w:t>
      </w:r>
    </w:p>
    <w:p w14:paraId="03D2B319" w14:textId="3134CA50" w:rsidR="00B7522D" w:rsidRPr="000936BA" w:rsidRDefault="00B7522D" w:rsidP="00B7522D">
      <w:pPr>
        <w:ind w:left="567" w:hanging="567"/>
        <w:contextualSpacing/>
      </w:pPr>
      <w:r w:rsidRPr="000936BA">
        <w:t xml:space="preserve">LaFrance, M., </w:t>
      </w:r>
      <w:proofErr w:type="spellStart"/>
      <w:r w:rsidRPr="000936BA">
        <w:t>Zuo</w:t>
      </w:r>
      <w:proofErr w:type="spellEnd"/>
      <w:r w:rsidRPr="000936BA">
        <w:t xml:space="preserve">, H., Ferris, K., &amp; Noble. E. (2019). Revisiting Race and Gender Differences in STEM: Can Inclusive STEM High Schools Reduce Gaps? </w:t>
      </w:r>
      <w:r w:rsidRPr="000936BA">
        <w:rPr>
          <w:i/>
          <w:iCs/>
        </w:rPr>
        <w:t>European Journal of STEM Education</w:t>
      </w:r>
      <w:r w:rsidR="00AB0E59" w:rsidRPr="000936BA">
        <w:t>.</w:t>
      </w:r>
      <w:r w:rsidRPr="000936BA">
        <w:t xml:space="preserve"> 4(1), 1-15. </w:t>
      </w:r>
    </w:p>
    <w:p w14:paraId="452D77D6" w14:textId="704978BB" w:rsidR="00B7522D" w:rsidRPr="000936BA" w:rsidRDefault="00B7522D" w:rsidP="00B7522D">
      <w:pPr>
        <w:ind w:left="567" w:hanging="567"/>
        <w:contextualSpacing/>
      </w:pPr>
      <w:r w:rsidRPr="000936BA">
        <w:t xml:space="preserve">Lakshmanan, A., Heath, B.P., Perlmutter, A., &amp; Elder, M. (2011). The impact of science content and professional learning communities on science teaching efficacy and standards‐based instruction. </w:t>
      </w:r>
      <w:r w:rsidRPr="000936BA">
        <w:rPr>
          <w:i/>
          <w:iCs/>
        </w:rPr>
        <w:t>Journal of Research in Science Teaching</w:t>
      </w:r>
      <w:r w:rsidR="00AB0E59" w:rsidRPr="000936BA">
        <w:t>.</w:t>
      </w:r>
      <w:r w:rsidRPr="000936BA">
        <w:t xml:space="preserve"> 48(5), 534-551.</w:t>
      </w:r>
    </w:p>
    <w:p w14:paraId="7C5B1798" w14:textId="77777777" w:rsidR="00B7522D" w:rsidRPr="000936BA" w:rsidRDefault="00B7522D" w:rsidP="00B7522D">
      <w:pPr>
        <w:ind w:left="567" w:hanging="567"/>
        <w:contextualSpacing/>
      </w:pPr>
      <w:r w:rsidRPr="000936BA">
        <w:t xml:space="preserve">Lave, J., &amp; Wenger, E. (1991). </w:t>
      </w:r>
      <w:r w:rsidRPr="000936BA">
        <w:rPr>
          <w:i/>
          <w:iCs/>
        </w:rPr>
        <w:t>Situated learning; legitimate peripheral participation</w:t>
      </w:r>
      <w:r w:rsidRPr="000936BA">
        <w:t>. Cambridge: Cambridge University Press.</w:t>
      </w:r>
    </w:p>
    <w:p w14:paraId="4DA50DAA" w14:textId="7E0AC322" w:rsidR="00B7522D" w:rsidRPr="000936BA" w:rsidRDefault="00B7522D" w:rsidP="00B7522D">
      <w:pPr>
        <w:ind w:left="567" w:hanging="567"/>
        <w:contextualSpacing/>
      </w:pPr>
      <w:r w:rsidRPr="000936BA">
        <w:t xml:space="preserve">Loucks-Horsley, S., Hewson, P.W., Love, N., &amp; Stiles, K.E. (1998). </w:t>
      </w:r>
      <w:r w:rsidRPr="000936BA">
        <w:rPr>
          <w:i/>
          <w:iCs/>
        </w:rPr>
        <w:t>Designing professional development for teachers of science and mathematics</w:t>
      </w:r>
      <w:r w:rsidRPr="000936BA">
        <w:t>. Thousand Oaks, CA: Corwin Press</w:t>
      </w:r>
    </w:p>
    <w:p w14:paraId="500A1EE1" w14:textId="7DECE3F0" w:rsidR="00B7522D" w:rsidRPr="000936BA" w:rsidRDefault="00B7522D" w:rsidP="00B7522D">
      <w:pPr>
        <w:ind w:left="567" w:hanging="567"/>
        <w:contextualSpacing/>
      </w:pPr>
      <w:r w:rsidRPr="000936BA">
        <w:t xml:space="preserve">Lucas, B., Hanson, J., Bianchi, L. &amp; </w:t>
      </w:r>
      <w:proofErr w:type="spellStart"/>
      <w:r w:rsidRPr="000936BA">
        <w:t>Chippindall</w:t>
      </w:r>
      <w:proofErr w:type="spellEnd"/>
      <w:r w:rsidR="00AB0E59" w:rsidRPr="000936BA">
        <w:t>, J.</w:t>
      </w:r>
      <w:r w:rsidRPr="000936BA">
        <w:t xml:space="preserve"> (2017). </w:t>
      </w:r>
      <w:r w:rsidRPr="000936BA">
        <w:rPr>
          <w:i/>
          <w:iCs/>
        </w:rPr>
        <w:t>Learning to be an Engineer: Implications for the education system</w:t>
      </w:r>
      <w:r w:rsidRPr="000936BA">
        <w:t xml:space="preserve">. London: Royal Academy of Engineering. </w:t>
      </w:r>
      <w:hyperlink r:id="rId11" w:history="1">
        <w:r w:rsidRPr="000936BA">
          <w:rPr>
            <w:rStyle w:val="Hyperlink"/>
          </w:rPr>
          <w:t>http://www.raeng.org.uk/publications/reports/learning-to-be-an-engineer</w:t>
        </w:r>
      </w:hyperlink>
      <w:r w:rsidRPr="000936BA">
        <w:t>.</w:t>
      </w:r>
    </w:p>
    <w:p w14:paraId="6CC19025" w14:textId="0AC170D1" w:rsidR="008D48FC" w:rsidRPr="000936BA" w:rsidRDefault="00B7522D" w:rsidP="004033C1">
      <w:pPr>
        <w:ind w:left="567" w:hanging="567"/>
        <w:contextualSpacing/>
      </w:pPr>
      <w:r w:rsidRPr="000936BA">
        <w:t>Lynch, S.J., Behrend, T., Burton, E.P., &amp; Means, B. (2013). Inclusive STEM-focused High Schools: STEM Education Policy and Opportunity Structures. Paper prepared for the NARST 2013 Annual International Conference in Puerto Rico, April 6-9, 2013.</w:t>
      </w:r>
    </w:p>
    <w:p w14:paraId="1E5A08F0" w14:textId="4B1BA8CF" w:rsidR="00602AF4" w:rsidRPr="000936BA" w:rsidRDefault="00F06F46" w:rsidP="00F06F46">
      <w:pPr>
        <w:ind w:left="567" w:hanging="567"/>
        <w:contextualSpacing/>
      </w:pPr>
      <w:r w:rsidRPr="000936BA">
        <w:t xml:space="preserve">Lynch, S.J., Burton, E.P., Behrend, T., House, A., Ford, N., Spillane, M., </w:t>
      </w:r>
      <w:proofErr w:type="spellStart"/>
      <w:r w:rsidRPr="000936BA">
        <w:t>Matray</w:t>
      </w:r>
      <w:proofErr w:type="spellEnd"/>
      <w:r w:rsidRPr="000936BA">
        <w:t xml:space="preserve">, S., Han, E., &amp; Means, B. (2018). Understanding STEM inclusive high schools as opportunity </w:t>
      </w:r>
      <w:r w:rsidRPr="000936BA">
        <w:lastRenderedPageBreak/>
        <w:t>structures for underrepresented students: Critical components. Journal of Research in Science Teaching, 55(5), 712-748.</w:t>
      </w:r>
    </w:p>
    <w:p w14:paraId="17495354" w14:textId="03F1604F" w:rsidR="00B7522D" w:rsidRPr="000936BA" w:rsidRDefault="00B7522D" w:rsidP="00B7522D">
      <w:pPr>
        <w:ind w:left="567" w:hanging="567"/>
        <w:contextualSpacing/>
      </w:pPr>
      <w:r w:rsidRPr="000936BA">
        <w:rPr>
          <w:noProof/>
        </w:rPr>
        <w:t xml:space="preserve">Lyons, T., (2006). Different countries, same science classes: Students’ experience of school science classes. </w:t>
      </w:r>
      <w:r w:rsidRPr="000936BA">
        <w:rPr>
          <w:i/>
          <w:noProof/>
        </w:rPr>
        <w:t>International Journal of Science Education</w:t>
      </w:r>
      <w:r w:rsidR="00AB0E59" w:rsidRPr="000936BA">
        <w:rPr>
          <w:i/>
          <w:noProof/>
        </w:rPr>
        <w:t>.</w:t>
      </w:r>
      <w:r w:rsidRPr="000936BA">
        <w:rPr>
          <w:i/>
          <w:noProof/>
        </w:rPr>
        <w:t xml:space="preserve"> </w:t>
      </w:r>
      <w:r w:rsidRPr="000936BA">
        <w:rPr>
          <w:noProof/>
        </w:rPr>
        <w:t>28(6), 591-613.</w:t>
      </w:r>
    </w:p>
    <w:p w14:paraId="0C876CA5" w14:textId="7F87D12B" w:rsidR="00B7522D" w:rsidRPr="000936BA" w:rsidRDefault="00B7522D" w:rsidP="00B7522D">
      <w:pPr>
        <w:ind w:left="567" w:hanging="567"/>
        <w:contextualSpacing/>
      </w:pPr>
      <w:r w:rsidRPr="000936BA">
        <w:t xml:space="preserve">Marshall, J.C., Horton, R., </w:t>
      </w:r>
      <w:proofErr w:type="spellStart"/>
      <w:r w:rsidRPr="000936BA">
        <w:t>Igo</w:t>
      </w:r>
      <w:proofErr w:type="spellEnd"/>
      <w:r w:rsidRPr="000936BA">
        <w:t xml:space="preserve">, B.L., &amp; Switzer, D.M. (2009). K-12 science and mathematics teachers’ beliefs about and use of inquiry in the classroom. </w:t>
      </w:r>
      <w:r w:rsidRPr="000936BA">
        <w:rPr>
          <w:i/>
          <w:iCs/>
        </w:rPr>
        <w:t>International Journal of Science and Mathematics Education</w:t>
      </w:r>
      <w:r w:rsidR="00AB0E59" w:rsidRPr="000936BA">
        <w:t>.</w:t>
      </w:r>
      <w:r w:rsidRPr="000936BA">
        <w:t xml:space="preserve"> 7(3), 575-596.</w:t>
      </w:r>
    </w:p>
    <w:p w14:paraId="425FBFE5" w14:textId="1870638C" w:rsidR="00B7522D" w:rsidRPr="000936BA" w:rsidRDefault="00B7522D" w:rsidP="00B7522D">
      <w:pPr>
        <w:ind w:left="567" w:hanging="567"/>
        <w:contextualSpacing/>
      </w:pPr>
      <w:r w:rsidRPr="000936BA">
        <w:t xml:space="preserve">McCormick, R. (2010). The state of the nation in CPD: a literature review. </w:t>
      </w:r>
      <w:r w:rsidRPr="000936BA">
        <w:rPr>
          <w:i/>
          <w:iCs/>
        </w:rPr>
        <w:t>The Curriculum Journal</w:t>
      </w:r>
      <w:r w:rsidR="00AB0E59" w:rsidRPr="000936BA">
        <w:t>.</w:t>
      </w:r>
      <w:r w:rsidRPr="000936BA">
        <w:t xml:space="preserve"> 21(4), 395-412.</w:t>
      </w:r>
    </w:p>
    <w:p w14:paraId="6E5198BE" w14:textId="2AA7AE54" w:rsidR="00B7522D" w:rsidRPr="000936BA" w:rsidRDefault="00B7522D" w:rsidP="00B7522D">
      <w:pPr>
        <w:ind w:left="567" w:hanging="567"/>
        <w:contextualSpacing/>
      </w:pPr>
      <w:r w:rsidRPr="000936BA">
        <w:t xml:space="preserve">Monk, M. (2008). It’s not what you know, it’s where you know it: Lessons from CPD in STEM education. </w:t>
      </w:r>
      <w:r w:rsidRPr="000936BA">
        <w:rPr>
          <w:i/>
          <w:iCs/>
        </w:rPr>
        <w:t>Journal of In-Service Education</w:t>
      </w:r>
      <w:r w:rsidR="00AB0E59" w:rsidRPr="000936BA">
        <w:t>.</w:t>
      </w:r>
      <w:r w:rsidRPr="000936BA">
        <w:t xml:space="preserve"> 34(1), 115-118.</w:t>
      </w:r>
    </w:p>
    <w:p w14:paraId="4B5DA816" w14:textId="7DD79664" w:rsidR="00B7522D" w:rsidRPr="000936BA" w:rsidRDefault="00B7522D" w:rsidP="00B7522D">
      <w:pPr>
        <w:ind w:left="567" w:hanging="567"/>
        <w:contextualSpacing/>
      </w:pPr>
      <w:r w:rsidRPr="000936BA">
        <w:t>Morgan, R., Kirby, C.</w:t>
      </w:r>
      <w:r w:rsidR="00AB0E59" w:rsidRPr="000936BA">
        <w:t>, &amp;</w:t>
      </w:r>
      <w:r w:rsidRPr="000936BA">
        <w:t xml:space="preserve"> </w:t>
      </w:r>
      <w:proofErr w:type="spellStart"/>
      <w:r w:rsidRPr="000936BA">
        <w:t>Stamenkovic</w:t>
      </w:r>
      <w:proofErr w:type="spellEnd"/>
      <w:r w:rsidRPr="000936BA">
        <w:t xml:space="preserve">, A. (2016) </w:t>
      </w:r>
      <w:r w:rsidRPr="000936BA">
        <w:rPr>
          <w:i/>
          <w:iCs/>
        </w:rPr>
        <w:t>The UK STEM education landscape</w:t>
      </w:r>
      <w:r w:rsidRPr="000936BA">
        <w:t>. London: Royal Academy of Engineering. http://www.raeng.org.uk/stemlandscape</w:t>
      </w:r>
    </w:p>
    <w:p w14:paraId="162C6D62" w14:textId="2A72F326" w:rsidR="00FD35B3" w:rsidRDefault="00FD35B3" w:rsidP="00B7522D">
      <w:pPr>
        <w:ind w:left="567" w:hanging="567"/>
        <w:contextualSpacing/>
      </w:pPr>
      <w:r>
        <w:t>Morley, L. (2012)</w:t>
      </w:r>
      <w:r w:rsidR="00A444EB">
        <w:t>.</w:t>
      </w:r>
      <w:r>
        <w:t xml:space="preserve"> Researching absences and silences in higher education: Data for democratisation. </w:t>
      </w:r>
      <w:r>
        <w:rPr>
          <w:i/>
          <w:iCs/>
        </w:rPr>
        <w:t>Higher Education Research and Development</w:t>
      </w:r>
      <w:r>
        <w:t>, 31(3), 353–68.</w:t>
      </w:r>
    </w:p>
    <w:p w14:paraId="63061F98" w14:textId="5B9B0E70" w:rsidR="00B7522D" w:rsidRPr="000936BA" w:rsidRDefault="00FD35B3" w:rsidP="00B7522D">
      <w:pPr>
        <w:ind w:left="567" w:hanging="567"/>
        <w:contextualSpacing/>
      </w:pPr>
      <w:proofErr w:type="spellStart"/>
      <w:r w:rsidRPr="000936BA">
        <w:t>Nadelson</w:t>
      </w:r>
      <w:proofErr w:type="spellEnd"/>
      <w:r w:rsidR="00B7522D" w:rsidRPr="000936BA">
        <w:t xml:space="preserve">, L.S., Callahan, J., Pyke, P., Hay, A., Dance, M., &amp; </w:t>
      </w:r>
      <w:proofErr w:type="spellStart"/>
      <w:r w:rsidR="00B7522D" w:rsidRPr="000936BA">
        <w:t>Pfiester</w:t>
      </w:r>
      <w:proofErr w:type="spellEnd"/>
      <w:r w:rsidR="00B7522D" w:rsidRPr="000936BA">
        <w:t xml:space="preserve">, J. (2013). Teacher STEM perception and preparation: Inquiry-based STEM professional development for elementary teachers. </w:t>
      </w:r>
      <w:r w:rsidR="00B7522D" w:rsidRPr="000936BA">
        <w:rPr>
          <w:i/>
          <w:iCs/>
        </w:rPr>
        <w:t>The Journal of Educational Research</w:t>
      </w:r>
      <w:r w:rsidR="00AB0E59" w:rsidRPr="000936BA">
        <w:t>.</w:t>
      </w:r>
      <w:r w:rsidR="00B7522D" w:rsidRPr="000936BA">
        <w:t xml:space="preserve"> 106(2), 157-168.</w:t>
      </w:r>
    </w:p>
    <w:p w14:paraId="7CF6EE9F" w14:textId="77777777" w:rsidR="00B7522D" w:rsidRPr="000936BA" w:rsidRDefault="00B7522D" w:rsidP="00B7522D">
      <w:pPr>
        <w:ind w:left="567" w:hanging="567"/>
        <w:contextualSpacing/>
      </w:pPr>
      <w:r w:rsidRPr="000936BA">
        <w:t xml:space="preserve">National Academy of Engineering [NAE] (2009) </w:t>
      </w:r>
      <w:r w:rsidRPr="000936BA">
        <w:rPr>
          <w:i/>
          <w:iCs/>
        </w:rPr>
        <w:t>Changing the Conversation: Messages for Improving Public Understanding of Engineering</w:t>
      </w:r>
      <w:r w:rsidRPr="000936BA">
        <w:t xml:space="preserve">. Washington, D.C.: National Academies Press. </w:t>
      </w:r>
      <w:hyperlink r:id="rId12" w:history="1">
        <w:r w:rsidRPr="000936BA">
          <w:rPr>
            <w:rStyle w:val="Hyperlink"/>
          </w:rPr>
          <w:t>https://www.nap.edu/catalog/12187/changing-the-conversation-messages-for-improving-public-understanding-of-engineering</w:t>
        </w:r>
      </w:hyperlink>
    </w:p>
    <w:p w14:paraId="282D32E3" w14:textId="77777777" w:rsidR="00B7522D" w:rsidRPr="000936BA" w:rsidRDefault="00B7522D" w:rsidP="00B7522D">
      <w:pPr>
        <w:ind w:left="567" w:hanging="567"/>
        <w:contextualSpacing/>
      </w:pPr>
      <w:r w:rsidRPr="000936BA">
        <w:t xml:space="preserve">National STEM Learning Centre [NCTM] (2018). </w:t>
      </w:r>
      <w:hyperlink r:id="rId13" w:history="1">
        <w:r w:rsidRPr="000936BA">
          <w:rPr>
            <w:rStyle w:val="Hyperlink"/>
          </w:rPr>
          <w:t>http://www.ncetm.org.uk/cpd/organisation/72800. Accessed 23 January 2018</w:t>
        </w:r>
      </w:hyperlink>
      <w:r w:rsidRPr="000936BA">
        <w:t>.</w:t>
      </w:r>
    </w:p>
    <w:p w14:paraId="6906024F" w14:textId="0CA4F44A" w:rsidR="00B7522D" w:rsidRPr="000936BA" w:rsidRDefault="00B7522D" w:rsidP="00B7522D">
      <w:pPr>
        <w:ind w:left="567" w:hanging="567"/>
        <w:contextualSpacing/>
      </w:pPr>
      <w:r w:rsidRPr="000936BA">
        <w:t xml:space="preserve">Newton, X.A., &amp; Tonelli Jr, E.P. (2020).  Building undergraduate STEM majors’ capacity for delivering inquiry-based mathematics and science lessons: An exploratory evaluation study. </w:t>
      </w:r>
      <w:r w:rsidRPr="000936BA">
        <w:rPr>
          <w:i/>
          <w:iCs/>
        </w:rPr>
        <w:t>Studies in Educational Evaluation</w:t>
      </w:r>
      <w:r w:rsidR="00AB0E59" w:rsidRPr="000936BA">
        <w:t>.</w:t>
      </w:r>
      <w:r w:rsidRPr="000936BA">
        <w:t xml:space="preserve"> 64, 1-12</w:t>
      </w:r>
      <w:r w:rsidR="00AB0E59" w:rsidRPr="000936BA">
        <w:t>.</w:t>
      </w:r>
      <w:r w:rsidRPr="000936BA">
        <w:t xml:space="preserve"> </w:t>
      </w:r>
    </w:p>
    <w:p w14:paraId="123944E8" w14:textId="7AAABEA6" w:rsidR="00B7522D" w:rsidRPr="000936BA" w:rsidRDefault="00B7522D" w:rsidP="00A839D0">
      <w:pPr>
        <w:ind w:left="567" w:hanging="567"/>
        <w:contextualSpacing/>
      </w:pPr>
      <w:r w:rsidRPr="000936BA">
        <w:t xml:space="preserve">OECD (2009). </w:t>
      </w:r>
      <w:r w:rsidRPr="000936BA">
        <w:rPr>
          <w:i/>
          <w:iCs/>
        </w:rPr>
        <w:t>Creating effective teaching and learning environments: First results from TALIS</w:t>
      </w:r>
      <w:r w:rsidRPr="000936BA">
        <w:t>. Paris: Organisation for Economic Co-operation and Development.</w:t>
      </w:r>
    </w:p>
    <w:p w14:paraId="3A152ADC" w14:textId="77777777" w:rsidR="00B7522D" w:rsidRPr="000936BA" w:rsidRDefault="00B7522D" w:rsidP="00B7522D">
      <w:pPr>
        <w:ind w:left="567" w:hanging="567"/>
        <w:contextualSpacing/>
      </w:pPr>
      <w:r w:rsidRPr="000936BA">
        <w:t xml:space="preserve">Osborne, J., &amp; Archer. L. (2007). </w:t>
      </w:r>
      <w:r w:rsidRPr="000936BA">
        <w:rPr>
          <w:i/>
          <w:iCs/>
        </w:rPr>
        <w:t>Science Careers and Aspirations: Age 10-14</w:t>
      </w:r>
      <w:r w:rsidRPr="000936BA">
        <w:t xml:space="preserve">. Economic and Social Research Council (ESRC) Funded Research Project. </w:t>
      </w:r>
    </w:p>
    <w:p w14:paraId="591A1BB4" w14:textId="79580BAA" w:rsidR="00B7522D" w:rsidRPr="000936BA" w:rsidRDefault="00B7522D" w:rsidP="00B7522D">
      <w:pPr>
        <w:ind w:left="567" w:hanging="567"/>
        <w:contextualSpacing/>
      </w:pPr>
      <w:r w:rsidRPr="000936BA">
        <w:t>Powell-</w:t>
      </w:r>
      <w:proofErr w:type="spellStart"/>
      <w:r w:rsidRPr="000936BA">
        <w:t>Moman</w:t>
      </w:r>
      <w:proofErr w:type="spellEnd"/>
      <w:r w:rsidRPr="000936BA">
        <w:t>, A.D., &amp; Brown-</w:t>
      </w:r>
      <w:proofErr w:type="spellStart"/>
      <w:r w:rsidRPr="000936BA">
        <w:t>Schild</w:t>
      </w:r>
      <w:proofErr w:type="spellEnd"/>
      <w:r w:rsidRPr="000936BA">
        <w:t xml:space="preserve">, V.B. (2011). The influence of a two-year professional development institute on teacher self-efficacy and use of inquiry-based instruction. </w:t>
      </w:r>
      <w:r w:rsidRPr="000936BA">
        <w:rPr>
          <w:i/>
          <w:iCs/>
        </w:rPr>
        <w:t>Science Educator</w:t>
      </w:r>
      <w:r w:rsidR="00AB0E59" w:rsidRPr="000936BA">
        <w:t>.</w:t>
      </w:r>
      <w:r w:rsidRPr="000936BA">
        <w:t xml:space="preserve"> 20(2), 47.</w:t>
      </w:r>
    </w:p>
    <w:p w14:paraId="41C4797C" w14:textId="29756649" w:rsidR="00854C01" w:rsidRPr="000936BA" w:rsidRDefault="00854C01" w:rsidP="00B7522D">
      <w:pPr>
        <w:ind w:left="567" w:hanging="567"/>
        <w:contextualSpacing/>
      </w:pPr>
      <w:r w:rsidRPr="000936BA">
        <w:t xml:space="preserve">Ralls. D., Bianchi, L., &amp; </w:t>
      </w:r>
      <w:proofErr w:type="spellStart"/>
      <w:r w:rsidRPr="000936BA">
        <w:t>Choudry</w:t>
      </w:r>
      <w:proofErr w:type="spellEnd"/>
      <w:r w:rsidRPr="000936BA">
        <w:t xml:space="preserve">, S. (2020). Across the divide: developing professional learning ecosystems in STEM education. </w:t>
      </w:r>
      <w:r w:rsidRPr="000936BA">
        <w:rPr>
          <w:i/>
          <w:iCs/>
        </w:rPr>
        <w:t>Research in Science Education</w:t>
      </w:r>
      <w:r w:rsidRPr="000936BA">
        <w:t>, 50, 2463-2481.</w:t>
      </w:r>
    </w:p>
    <w:p w14:paraId="59A5A3CD" w14:textId="37D82E37" w:rsidR="00B7522D" w:rsidRPr="000936BA" w:rsidRDefault="00B7522D" w:rsidP="00B7522D">
      <w:pPr>
        <w:ind w:left="567" w:hanging="567"/>
        <w:contextualSpacing/>
      </w:pPr>
      <w:r w:rsidRPr="000936BA">
        <w:t xml:space="preserve">Riggs, I.M., &amp; </w:t>
      </w:r>
      <w:proofErr w:type="spellStart"/>
      <w:r w:rsidRPr="000936BA">
        <w:t>Enochs</w:t>
      </w:r>
      <w:proofErr w:type="spellEnd"/>
      <w:r w:rsidRPr="000936BA">
        <w:t xml:space="preserve">, L.G. (1990). Toward the development of an elementary teacher's science teaching efficacy belief instrument. </w:t>
      </w:r>
      <w:r w:rsidRPr="000936BA">
        <w:rPr>
          <w:i/>
          <w:iCs/>
        </w:rPr>
        <w:t>Science Education</w:t>
      </w:r>
      <w:r w:rsidR="00AB0E59" w:rsidRPr="000936BA">
        <w:t>.</w:t>
      </w:r>
      <w:r w:rsidRPr="000936BA">
        <w:t xml:space="preserve"> 74(6), 625-637.</w:t>
      </w:r>
    </w:p>
    <w:p w14:paraId="4289E064" w14:textId="5667F4AD" w:rsidR="00B7522D" w:rsidRPr="000936BA" w:rsidRDefault="00B7522D" w:rsidP="00B7522D">
      <w:pPr>
        <w:ind w:left="567" w:hanging="567"/>
        <w:contextualSpacing/>
      </w:pPr>
      <w:proofErr w:type="spellStart"/>
      <w:r w:rsidRPr="000936BA">
        <w:t>Roeken</w:t>
      </w:r>
      <w:proofErr w:type="spellEnd"/>
      <w:r w:rsidRPr="000936BA">
        <w:t xml:space="preserve">-Winter, B.,  </w:t>
      </w:r>
      <w:proofErr w:type="spellStart"/>
      <w:r w:rsidRPr="000936BA">
        <w:t>Hoyles</w:t>
      </w:r>
      <w:proofErr w:type="spellEnd"/>
      <w:r w:rsidRPr="000936BA">
        <w:t xml:space="preserve">, C, &amp; </w:t>
      </w:r>
      <w:proofErr w:type="spellStart"/>
      <w:r w:rsidRPr="000936BA">
        <w:t>Blömeke</w:t>
      </w:r>
      <w:proofErr w:type="spellEnd"/>
      <w:r w:rsidRPr="000936BA">
        <w:t>, S. (2015) Evidence-based CPD: Scaling up sustainable interventions</w:t>
      </w:r>
      <w:r w:rsidR="00AB0E59" w:rsidRPr="000936BA">
        <w:t>.</w:t>
      </w:r>
      <w:r w:rsidRPr="000936BA">
        <w:t xml:space="preserve"> </w:t>
      </w:r>
      <w:r w:rsidRPr="000936BA">
        <w:rPr>
          <w:i/>
          <w:iCs/>
        </w:rPr>
        <w:t>ZDM Mathematics Education</w:t>
      </w:r>
      <w:r w:rsidR="00AB0E59" w:rsidRPr="000936BA">
        <w:t>.</w:t>
      </w:r>
      <w:r w:rsidRPr="000936BA">
        <w:t xml:space="preserve"> 47, 1–12 </w:t>
      </w:r>
    </w:p>
    <w:p w14:paraId="3E722BE7" w14:textId="607444CB" w:rsidR="00B7522D" w:rsidRPr="000936BA" w:rsidRDefault="00B7522D" w:rsidP="00B7522D">
      <w:pPr>
        <w:ind w:left="567" w:hanging="567"/>
        <w:contextualSpacing/>
      </w:pPr>
      <w:r w:rsidRPr="000936BA">
        <w:t xml:space="preserve">Saxton, E., Burns, R., </w:t>
      </w:r>
      <w:proofErr w:type="spellStart"/>
      <w:r w:rsidRPr="000936BA">
        <w:t>Holveck</w:t>
      </w:r>
      <w:proofErr w:type="spellEnd"/>
      <w:r w:rsidRPr="000936BA">
        <w:t xml:space="preserve">, S., Kelley, S., Prince, D., </w:t>
      </w:r>
      <w:proofErr w:type="spellStart"/>
      <w:r w:rsidRPr="000936BA">
        <w:t>Rigelman</w:t>
      </w:r>
      <w:proofErr w:type="spellEnd"/>
      <w:r w:rsidRPr="000936BA">
        <w:t xml:space="preserve">, N., &amp; Skinner, E.A. (2014). A Common Measurement System for K-12 STEM education: Adopting an educational evaluation methodology that elevates theoretical foundations and systems thinking. </w:t>
      </w:r>
      <w:r w:rsidRPr="000936BA">
        <w:rPr>
          <w:i/>
          <w:iCs/>
        </w:rPr>
        <w:t>Studies in Educational Evaluation</w:t>
      </w:r>
      <w:r w:rsidR="00AB0E59" w:rsidRPr="000936BA">
        <w:t>.</w:t>
      </w:r>
      <w:r w:rsidRPr="000936BA">
        <w:t xml:space="preserve"> 40, 18-35. </w:t>
      </w:r>
    </w:p>
    <w:p w14:paraId="3D0B1303" w14:textId="77777777" w:rsidR="00B7522D" w:rsidRPr="000936BA" w:rsidRDefault="00B7522D" w:rsidP="00B7522D">
      <w:pPr>
        <w:ind w:left="567" w:hanging="567"/>
        <w:contextualSpacing/>
      </w:pPr>
      <w:r w:rsidRPr="000936BA">
        <w:t xml:space="preserve">Scott, P., </w:t>
      </w:r>
      <w:proofErr w:type="spellStart"/>
      <w:r w:rsidRPr="000936BA">
        <w:t>Amettler</w:t>
      </w:r>
      <w:proofErr w:type="spellEnd"/>
      <w:r w:rsidRPr="000936BA">
        <w:t xml:space="preserve">, J., &amp; Edwards, A. (2010). </w:t>
      </w:r>
      <w:r w:rsidRPr="000936BA">
        <w:rPr>
          <w:i/>
          <w:iCs/>
        </w:rPr>
        <w:t>Impact of focused CPD on teachers’ subject and pedagogic knowledge and students’ learning</w:t>
      </w:r>
      <w:r w:rsidRPr="000936BA">
        <w:t>. Leeds: University of Leeds. https://www.sciencelearningcentres.org.uk/research-and-impact/research-reports</w:t>
      </w:r>
    </w:p>
    <w:p w14:paraId="6CE5289D" w14:textId="677FFD7B" w:rsidR="00B7522D" w:rsidRPr="000936BA" w:rsidRDefault="00B7522D" w:rsidP="00B7522D">
      <w:pPr>
        <w:ind w:left="567" w:hanging="567"/>
        <w:contextualSpacing/>
      </w:pPr>
      <w:r w:rsidRPr="0090080C">
        <w:rPr>
          <w:lang w:val="de-DE"/>
        </w:rPr>
        <w:t xml:space="preserve">Shernoff, D.J., Sinha, S., Bressler, D.M., &amp; Ginsburg, L. (2017). </w:t>
      </w:r>
      <w:r w:rsidRPr="000936BA">
        <w:t xml:space="preserve">Assessing teacher education and professional development needs for the implementation of integrated approaches to </w:t>
      </w:r>
      <w:r w:rsidRPr="000936BA">
        <w:lastRenderedPageBreak/>
        <w:t xml:space="preserve">STEM education. </w:t>
      </w:r>
      <w:r w:rsidRPr="000936BA">
        <w:rPr>
          <w:i/>
          <w:iCs/>
        </w:rPr>
        <w:t>International Journal of STEM Education</w:t>
      </w:r>
      <w:r w:rsidR="00AB0E59" w:rsidRPr="000936BA">
        <w:t>.</w:t>
      </w:r>
      <w:r w:rsidRPr="000936BA">
        <w:t xml:space="preserve"> 4(13), 1-16. DOI 10.1186/s40594-017-0068-1</w:t>
      </w:r>
    </w:p>
    <w:p w14:paraId="2E53F6AA" w14:textId="5E9EAAEC" w:rsidR="00B7522D" w:rsidRDefault="00B7522D" w:rsidP="00B7522D">
      <w:pPr>
        <w:ind w:left="567" w:hanging="567"/>
        <w:contextualSpacing/>
      </w:pPr>
      <w:proofErr w:type="spellStart"/>
      <w:r w:rsidRPr="000936BA">
        <w:t>Sillasen</w:t>
      </w:r>
      <w:proofErr w:type="spellEnd"/>
      <w:r w:rsidRPr="000936BA">
        <w:t xml:space="preserve">, M.K., &amp; Valero, P. (2013). Municipal consultants’ participation in building networks to support science teachers’ work. </w:t>
      </w:r>
      <w:r w:rsidRPr="000936BA">
        <w:rPr>
          <w:i/>
          <w:iCs/>
        </w:rPr>
        <w:t>Cultural Studies of Science Education</w:t>
      </w:r>
      <w:r w:rsidR="00AB0E59" w:rsidRPr="000936BA">
        <w:t>.</w:t>
      </w:r>
      <w:r w:rsidRPr="000936BA">
        <w:t xml:space="preserve"> 8(3), 595-618.</w:t>
      </w:r>
    </w:p>
    <w:p w14:paraId="080FF5AE" w14:textId="71E8EF29" w:rsidR="00A444EB" w:rsidRPr="000936BA" w:rsidRDefault="00A444EB" w:rsidP="00B7522D">
      <w:pPr>
        <w:ind w:left="567" w:hanging="567"/>
        <w:contextualSpacing/>
      </w:pPr>
      <w:r>
        <w:t xml:space="preserve">Smith, E. and White, P. (2011). Who is studying science? The impact of widening participation policies on the social composition of UK undergraduate science programmes. </w:t>
      </w:r>
      <w:r>
        <w:rPr>
          <w:i/>
          <w:iCs/>
        </w:rPr>
        <w:t>Journal of Education Policy</w:t>
      </w:r>
      <w:r>
        <w:t>, 26(5), 677–99.</w:t>
      </w:r>
    </w:p>
    <w:p w14:paraId="77E5B6CC" w14:textId="2F362CC7" w:rsidR="00F128F8" w:rsidRPr="00F128F8" w:rsidRDefault="00B7522D" w:rsidP="00B7522D">
      <w:pPr>
        <w:ind w:left="567" w:hanging="567"/>
        <w:contextualSpacing/>
      </w:pPr>
      <w:r w:rsidRPr="00F128F8">
        <w:t xml:space="preserve">Smith, G. (2014). An innovative model of professional development to enhance the teaching and learning of primary science in Irish schools. </w:t>
      </w:r>
      <w:r w:rsidRPr="00F128F8">
        <w:rPr>
          <w:i/>
          <w:iCs/>
        </w:rPr>
        <w:t>Professional Development in Education</w:t>
      </w:r>
      <w:r w:rsidR="00AB0E59" w:rsidRPr="00F128F8">
        <w:t>.</w:t>
      </w:r>
      <w:r w:rsidRPr="00F128F8">
        <w:t xml:space="preserve"> 40(3), 467-487.</w:t>
      </w:r>
    </w:p>
    <w:p w14:paraId="3CCA0BD7" w14:textId="38BFCF9A" w:rsidR="003B1AAD" w:rsidRPr="00F128F8" w:rsidRDefault="003B1AAD" w:rsidP="009A331C">
      <w:pPr>
        <w:ind w:left="567" w:hanging="567"/>
        <w:contextualSpacing/>
      </w:pPr>
      <w:r w:rsidRPr="00F128F8">
        <w:t xml:space="preserve">Sohn, S. Y., and Y. H. Ju. </w:t>
      </w:r>
      <w:r w:rsidR="009A331C">
        <w:t>(</w:t>
      </w:r>
      <w:r w:rsidRPr="00F128F8">
        <w:rPr>
          <w:color w:val="000082"/>
        </w:rPr>
        <w:t>2010</w:t>
      </w:r>
      <w:r w:rsidR="009A331C">
        <w:rPr>
          <w:color w:val="000082"/>
        </w:rPr>
        <w:t>)</w:t>
      </w:r>
      <w:r w:rsidRPr="00F128F8">
        <w:t>. Perceptions of Engineering among Korean Youth.</w:t>
      </w:r>
      <w:r w:rsidRPr="009A331C">
        <w:t xml:space="preserve"> </w:t>
      </w:r>
      <w:r w:rsidRPr="009A331C">
        <w:rPr>
          <w:i/>
          <w:iCs/>
        </w:rPr>
        <w:t>International Journal of Engineering Education</w:t>
      </w:r>
      <w:r w:rsidR="009A331C">
        <w:t>,</w:t>
      </w:r>
      <w:r w:rsidRPr="009A331C">
        <w:t xml:space="preserve"> 26(1)</w:t>
      </w:r>
      <w:r w:rsidR="009A331C">
        <w:t>,</w:t>
      </w:r>
      <w:r w:rsidRPr="009A331C">
        <w:t xml:space="preserve"> 205–217.</w:t>
      </w:r>
    </w:p>
    <w:p w14:paraId="0A62C081" w14:textId="77777777" w:rsidR="00B7522D" w:rsidRPr="00F128F8" w:rsidRDefault="00B7522D" w:rsidP="009A331C">
      <w:pPr>
        <w:contextualSpacing/>
      </w:pPr>
      <w:r w:rsidRPr="00F128F8">
        <w:t>STEM Directory. (2018). https://www.stem.org.uk/enrichment/stem-directory</w:t>
      </w:r>
    </w:p>
    <w:p w14:paraId="097FD72E" w14:textId="71D3F130" w:rsidR="00B7522D" w:rsidRPr="000936BA" w:rsidRDefault="00B7522D" w:rsidP="00B7522D">
      <w:pPr>
        <w:ind w:left="567" w:hanging="567"/>
        <w:contextualSpacing/>
      </w:pPr>
      <w:r w:rsidRPr="000936BA">
        <w:t xml:space="preserve">Takahashi, S. (2011) Co-constructing efficacy: A “communities of practice” perspective on teachers’ efficacy beliefs. </w:t>
      </w:r>
      <w:r w:rsidRPr="000936BA">
        <w:rPr>
          <w:i/>
          <w:iCs/>
        </w:rPr>
        <w:t>Teaching and Teacher Education</w:t>
      </w:r>
      <w:r w:rsidR="00AB0E59" w:rsidRPr="000936BA">
        <w:rPr>
          <w:i/>
          <w:iCs/>
        </w:rPr>
        <w:t>.</w:t>
      </w:r>
      <w:r w:rsidRPr="000936BA">
        <w:t xml:space="preserve"> 27(4), 732-741.</w:t>
      </w:r>
    </w:p>
    <w:p w14:paraId="086EA9AD" w14:textId="18D9C402" w:rsidR="00B7522D" w:rsidRPr="000936BA" w:rsidRDefault="00B7522D" w:rsidP="00B7522D">
      <w:pPr>
        <w:ind w:left="567" w:hanging="567"/>
        <w:contextualSpacing/>
      </w:pPr>
      <w:proofErr w:type="spellStart"/>
      <w:r w:rsidRPr="000936BA">
        <w:t>Tschannen</w:t>
      </w:r>
      <w:proofErr w:type="spellEnd"/>
      <w:r w:rsidRPr="000936BA">
        <w:t xml:space="preserve">-Moran, M., &amp; Hoy, A.W. (2001). Teacher efficacy: Capturing an elusive construct. </w:t>
      </w:r>
      <w:r w:rsidRPr="000936BA">
        <w:rPr>
          <w:i/>
          <w:iCs/>
        </w:rPr>
        <w:t>Teaching and Teacher Education</w:t>
      </w:r>
      <w:r w:rsidR="002942A7" w:rsidRPr="000936BA">
        <w:t>.</w:t>
      </w:r>
      <w:r w:rsidRPr="000936BA">
        <w:t xml:space="preserve"> 17(7), 783-805.</w:t>
      </w:r>
    </w:p>
    <w:p w14:paraId="1AEB2573" w14:textId="75414FEC" w:rsidR="00B7522D" w:rsidRPr="000936BA" w:rsidRDefault="00B7522D" w:rsidP="00B7522D">
      <w:pPr>
        <w:ind w:left="567" w:hanging="567"/>
        <w:contextualSpacing/>
      </w:pPr>
      <w:r w:rsidRPr="000936BA">
        <w:t xml:space="preserve">van den </w:t>
      </w:r>
      <w:proofErr w:type="spellStart"/>
      <w:r w:rsidRPr="000936BA">
        <w:t>Hurk</w:t>
      </w:r>
      <w:proofErr w:type="spellEnd"/>
      <w:r w:rsidRPr="000936BA">
        <w:t xml:space="preserve">, A., </w:t>
      </w:r>
      <w:proofErr w:type="spellStart"/>
      <w:r w:rsidRPr="000936BA">
        <w:t>Meelisson</w:t>
      </w:r>
      <w:proofErr w:type="spellEnd"/>
      <w:r w:rsidRPr="000936BA">
        <w:t xml:space="preserve">, M., &amp; van </w:t>
      </w:r>
      <w:proofErr w:type="spellStart"/>
      <w:r w:rsidRPr="000936BA">
        <w:t>Langen</w:t>
      </w:r>
      <w:proofErr w:type="spellEnd"/>
      <w:r w:rsidRPr="000936BA">
        <w:t xml:space="preserve">, A. (2019). Interventions in education to precent STEM pipeline leakage. </w:t>
      </w:r>
      <w:r w:rsidRPr="000936BA">
        <w:rPr>
          <w:i/>
          <w:iCs/>
        </w:rPr>
        <w:t>International Journal of Science Education</w:t>
      </w:r>
      <w:r w:rsidR="002942A7" w:rsidRPr="000936BA">
        <w:t>.</w:t>
      </w:r>
      <w:r w:rsidRPr="000936BA">
        <w:t xml:space="preserve"> 41(2), 150-164.</w:t>
      </w:r>
    </w:p>
    <w:p w14:paraId="4A0871C9" w14:textId="6221F93F" w:rsidR="00B7522D" w:rsidRPr="000936BA" w:rsidRDefault="00B7522D" w:rsidP="00B7522D">
      <w:pPr>
        <w:ind w:left="567" w:hanging="567"/>
        <w:contextualSpacing/>
      </w:pPr>
      <w:proofErr w:type="spellStart"/>
      <w:r w:rsidRPr="000936BA">
        <w:t>Vantieghen</w:t>
      </w:r>
      <w:proofErr w:type="spellEnd"/>
      <w:r w:rsidRPr="000936BA">
        <w:t xml:space="preserve">, W., Roose, I., </w:t>
      </w:r>
      <w:proofErr w:type="spellStart"/>
      <w:r w:rsidRPr="000936BA">
        <w:t>Gheyssens</w:t>
      </w:r>
      <w:proofErr w:type="spellEnd"/>
      <w:r w:rsidRPr="000936BA">
        <w:t xml:space="preserve">, E., </w:t>
      </w:r>
      <w:proofErr w:type="spellStart"/>
      <w:r w:rsidRPr="000936BA">
        <w:t>Griful-Freixenet</w:t>
      </w:r>
      <w:proofErr w:type="spellEnd"/>
      <w:r w:rsidRPr="000936BA">
        <w:t xml:space="preserve">, J., </w:t>
      </w:r>
      <w:proofErr w:type="spellStart"/>
      <w:r w:rsidRPr="000936BA">
        <w:t>Keppens</w:t>
      </w:r>
      <w:proofErr w:type="spellEnd"/>
      <w:r w:rsidRPr="000936BA">
        <w:t xml:space="preserve">, K., </w:t>
      </w:r>
      <w:proofErr w:type="spellStart"/>
      <w:r w:rsidRPr="000936BA">
        <w:t>Vanderlinde</w:t>
      </w:r>
      <w:proofErr w:type="spellEnd"/>
      <w:r w:rsidRPr="000936BA">
        <w:t xml:space="preserve">, R., </w:t>
      </w:r>
      <w:proofErr w:type="spellStart"/>
      <w:r w:rsidRPr="000936BA">
        <w:t>Struyven</w:t>
      </w:r>
      <w:proofErr w:type="spellEnd"/>
      <w:r w:rsidRPr="000936BA">
        <w:t>, K., &amp; Van Avermaet, P. (2020).  Professional vision of inclusive classrooms: A validation of teachers’ reasoning on di</w:t>
      </w:r>
      <w:r w:rsidR="002942A7" w:rsidRPr="000936BA">
        <w:t>ff</w:t>
      </w:r>
      <w:r w:rsidRPr="000936BA">
        <w:t xml:space="preserve">erentiated instruction and teacher-student interactions. </w:t>
      </w:r>
      <w:r w:rsidRPr="000936BA">
        <w:rPr>
          <w:i/>
          <w:iCs/>
        </w:rPr>
        <w:t>Studies in Educational Evaluation</w:t>
      </w:r>
      <w:r w:rsidR="002942A7" w:rsidRPr="000936BA">
        <w:t>.</w:t>
      </w:r>
      <w:r w:rsidRPr="000936BA">
        <w:t xml:space="preserve"> 67, 1-12. </w:t>
      </w:r>
    </w:p>
    <w:p w14:paraId="41021106" w14:textId="4C63CBA4" w:rsidR="00B7522D" w:rsidRPr="000936BA" w:rsidRDefault="00B7522D" w:rsidP="00B7522D">
      <w:pPr>
        <w:ind w:left="567" w:hanging="567"/>
        <w:contextualSpacing/>
      </w:pPr>
      <w:r w:rsidRPr="000936BA">
        <w:t xml:space="preserve">Webb, R. &amp; Ashton, P.T. (1987). Teachers’ motivation and the conditions of teaching: A call for ecological reform. In S. Walker, S. and L. Barton, </w:t>
      </w:r>
      <w:r w:rsidRPr="000936BA">
        <w:rPr>
          <w:i/>
          <w:iCs/>
        </w:rPr>
        <w:t>Changing policies, changing teachers: New directions for schooling</w:t>
      </w:r>
      <w:r w:rsidRPr="000936BA">
        <w:t xml:space="preserve"> (pp. 22-40). Milton Keyes, Philadelphia, PA: Open University Press.</w:t>
      </w:r>
    </w:p>
    <w:p w14:paraId="0753E754" w14:textId="2B881FAE" w:rsidR="00B7522D" w:rsidRPr="000936BA" w:rsidRDefault="00B7522D" w:rsidP="00B7522D">
      <w:pPr>
        <w:ind w:left="567" w:hanging="567"/>
        <w:contextualSpacing/>
      </w:pPr>
      <w:r w:rsidRPr="000936BA">
        <w:t xml:space="preserve">Weis, L., </w:t>
      </w:r>
      <w:proofErr w:type="spellStart"/>
      <w:r w:rsidRPr="000936BA">
        <w:t>Cipollone</w:t>
      </w:r>
      <w:proofErr w:type="spellEnd"/>
      <w:r w:rsidRPr="000936BA">
        <w:t xml:space="preserve">, K., Stich, A.E., </w:t>
      </w:r>
      <w:proofErr w:type="spellStart"/>
      <w:r w:rsidRPr="000936BA">
        <w:t>Nikischer</w:t>
      </w:r>
      <w:proofErr w:type="spellEnd"/>
      <w:r w:rsidRPr="000936BA">
        <w:t xml:space="preserve">, A.B., Hanson, J., Leibrandt, S.O., Allen, C.D., &amp; Dominguez, R. (2015). In the Guise of STEM Education Reform: Opportunity Structures and Outcomes in Inclusive STEM-Focused High Schools. </w:t>
      </w:r>
      <w:r w:rsidRPr="000936BA">
        <w:rPr>
          <w:i/>
          <w:iCs/>
        </w:rPr>
        <w:t>American Educational Research Journal</w:t>
      </w:r>
      <w:r w:rsidR="002942A7" w:rsidRPr="000936BA">
        <w:t>.</w:t>
      </w:r>
      <w:r w:rsidRPr="000936BA">
        <w:t xml:space="preserve"> 52(6), 1024-1059.</w:t>
      </w:r>
    </w:p>
    <w:p w14:paraId="38DE3451" w14:textId="77777777" w:rsidR="00B7522D" w:rsidRPr="000936BA" w:rsidRDefault="00B7522D" w:rsidP="00B7522D">
      <w:pPr>
        <w:ind w:left="567" w:hanging="567"/>
        <w:contextualSpacing/>
      </w:pPr>
      <w:r w:rsidRPr="000936BA">
        <w:t xml:space="preserve">Wenger, E. (1998). </w:t>
      </w:r>
      <w:r w:rsidRPr="000936BA">
        <w:rPr>
          <w:i/>
          <w:iCs/>
        </w:rPr>
        <w:t>Communities of practice: Learning, meaning and identity</w:t>
      </w:r>
      <w:r w:rsidRPr="000936BA">
        <w:t>. Cambridge: Cambridge University Press.</w:t>
      </w:r>
    </w:p>
    <w:p w14:paraId="3F89E71C" w14:textId="020D6F39" w:rsidR="00B7522D" w:rsidRPr="000936BA" w:rsidRDefault="00B7522D" w:rsidP="00B7522D">
      <w:pPr>
        <w:ind w:left="567" w:hanging="567"/>
        <w:contextualSpacing/>
      </w:pPr>
      <w:r w:rsidRPr="000936BA">
        <w:t xml:space="preserve">Whitworth, B.A., &amp; Chiu, J.L. (2015). Professional development and teacher change: The missing leadership link. </w:t>
      </w:r>
      <w:r w:rsidRPr="000936BA">
        <w:rPr>
          <w:i/>
          <w:iCs/>
        </w:rPr>
        <w:t>Journal of Science Teacher Education</w:t>
      </w:r>
      <w:r w:rsidR="002942A7" w:rsidRPr="000936BA">
        <w:t xml:space="preserve">. </w:t>
      </w:r>
      <w:r w:rsidRPr="000936BA">
        <w:t>26(2), 121-137.</w:t>
      </w:r>
    </w:p>
    <w:p w14:paraId="0395E2BD" w14:textId="56EFC648" w:rsidR="00B7522D" w:rsidRPr="000936BA" w:rsidRDefault="00B7522D" w:rsidP="00A839D0">
      <w:pPr>
        <w:ind w:left="567" w:hanging="567"/>
        <w:contextualSpacing/>
      </w:pPr>
      <w:r w:rsidRPr="000936BA">
        <w:t>Worthington, R.L., &amp; Whittaker, T.A. (</w:t>
      </w:r>
      <w:r w:rsidRPr="000936BA">
        <w:rPr>
          <w:color w:val="000082"/>
        </w:rPr>
        <w:t>2006)</w:t>
      </w:r>
      <w:r w:rsidRPr="000936BA">
        <w:t xml:space="preserve">. Scale Development Research: A Content Analysis and Recommendations for Best Practices. </w:t>
      </w:r>
      <w:r w:rsidRPr="000936BA">
        <w:rPr>
          <w:i/>
          <w:iCs/>
        </w:rPr>
        <w:t>The Counselling Psychologist</w:t>
      </w:r>
      <w:r w:rsidR="00E22F10" w:rsidRPr="000936BA">
        <w:t>.</w:t>
      </w:r>
      <w:r w:rsidRPr="000936BA">
        <w:t xml:space="preserve"> 34 (6)</w:t>
      </w:r>
      <w:r w:rsidR="00E22F10" w:rsidRPr="000936BA">
        <w:t>,</w:t>
      </w:r>
      <w:r w:rsidRPr="000936BA">
        <w:t xml:space="preserve"> 806–838.</w:t>
      </w:r>
    </w:p>
    <w:p w14:paraId="282831BF" w14:textId="44264552" w:rsidR="00B7522D" w:rsidRPr="000936BA" w:rsidRDefault="00B7522D" w:rsidP="00B7522D">
      <w:pPr>
        <w:ind w:left="567" w:hanging="567"/>
        <w:contextualSpacing/>
      </w:pPr>
      <w:r w:rsidRPr="000936BA">
        <w:t xml:space="preserve">Yoon, S.A., &amp; </w:t>
      </w:r>
      <w:proofErr w:type="spellStart"/>
      <w:r w:rsidRPr="000936BA">
        <w:t>Klopfer</w:t>
      </w:r>
      <w:proofErr w:type="spellEnd"/>
      <w:r w:rsidRPr="000936BA">
        <w:t xml:space="preserve">, E. (2006). Feedback (F) </w:t>
      </w:r>
      <w:proofErr w:type="spellStart"/>
      <w:r w:rsidRPr="000936BA">
        <w:t>Fueling</w:t>
      </w:r>
      <w:proofErr w:type="spellEnd"/>
      <w:r w:rsidRPr="000936BA">
        <w:t xml:space="preserve"> Adaptation (A) Network Growth (N) and Self-Organization (S): A Complex Systems Design and Evaluation Approach to Professional Development. </w:t>
      </w:r>
      <w:r w:rsidRPr="000936BA">
        <w:rPr>
          <w:i/>
          <w:iCs/>
        </w:rPr>
        <w:t>Journal of Science Education and Technology</w:t>
      </w:r>
      <w:r w:rsidR="00E22F10" w:rsidRPr="000936BA">
        <w:t>.</w:t>
      </w:r>
      <w:r w:rsidRPr="000936BA">
        <w:t xml:space="preserve"> 15(5</w:t>
      </w:r>
      <w:r w:rsidR="00DE0144" w:rsidRPr="000936BA">
        <w:t>/</w:t>
      </w:r>
      <w:r w:rsidRPr="000936BA">
        <w:t>6), 353-366.</w:t>
      </w:r>
    </w:p>
    <w:p w14:paraId="0D51BA7F" w14:textId="63080F3F" w:rsidR="007C2A71" w:rsidRDefault="00B7522D" w:rsidP="007C2A71">
      <w:pPr>
        <w:ind w:left="567" w:hanging="567"/>
        <w:contextualSpacing/>
      </w:pPr>
      <w:r w:rsidRPr="000936BA">
        <w:t xml:space="preserve">Yoon, S.A., Dyehouse, M., </w:t>
      </w:r>
      <w:proofErr w:type="spellStart"/>
      <w:r w:rsidRPr="000936BA">
        <w:t>Lucietto</w:t>
      </w:r>
      <w:proofErr w:type="spellEnd"/>
      <w:r w:rsidRPr="000936BA">
        <w:t xml:space="preserve">, A.M., </w:t>
      </w:r>
      <w:proofErr w:type="spellStart"/>
      <w:r w:rsidRPr="000936BA">
        <w:t>Diefes</w:t>
      </w:r>
      <w:proofErr w:type="spellEnd"/>
      <w:r w:rsidRPr="000936BA">
        <w:t xml:space="preserve">-Dux, H.A., &amp; Capobianco, B.M. (2014). The effects of integrated science, technology and engineering education on elementary students’ knowledge and identity development. </w:t>
      </w:r>
      <w:r w:rsidRPr="000936BA">
        <w:rPr>
          <w:i/>
          <w:iCs/>
        </w:rPr>
        <w:t>School Science and Mathematics</w:t>
      </w:r>
      <w:r w:rsidR="00E22F10" w:rsidRPr="000936BA">
        <w:t>.</w:t>
      </w:r>
      <w:r w:rsidRPr="000936BA">
        <w:t xml:space="preserve"> 114(8), 380-391.</w:t>
      </w:r>
    </w:p>
    <w:p w14:paraId="473DC1EC" w14:textId="77777777" w:rsidR="007C2A71" w:rsidRDefault="007C2A71">
      <w:r>
        <w:br w:type="page"/>
      </w:r>
    </w:p>
    <w:p w14:paraId="33F6AFD7" w14:textId="77777777" w:rsidR="00E5582E" w:rsidRDefault="00E5582E" w:rsidP="007C2A71">
      <w:pPr>
        <w:pStyle w:val="ListParagraph"/>
        <w:ind w:left="0"/>
        <w:rPr>
          <w:rFonts w:ascii="Times New Roman" w:hAnsi="Times New Roman"/>
          <w:sz w:val="20"/>
          <w:szCs w:val="20"/>
        </w:rPr>
        <w:sectPr w:rsidR="00E5582E" w:rsidSect="00D72A0E">
          <w:footerReference w:type="even" r:id="rId14"/>
          <w:footerReference w:type="default" r:id="rId15"/>
          <w:pgSz w:w="11900" w:h="16840"/>
          <w:pgMar w:top="1440" w:right="1440" w:bottom="1440" w:left="1440" w:header="708" w:footer="708" w:gutter="0"/>
          <w:cols w:space="708"/>
          <w:docGrid w:linePitch="360"/>
        </w:sectPr>
      </w:pPr>
    </w:p>
    <w:p w14:paraId="647B57B1" w14:textId="77777777" w:rsidR="007C2A71" w:rsidRPr="00B65E5E" w:rsidRDefault="007C2A71" w:rsidP="007C2A71">
      <w:pPr>
        <w:pStyle w:val="ListParagraph"/>
        <w:ind w:left="0"/>
        <w:rPr>
          <w:rFonts w:ascii="Times New Roman" w:hAnsi="Times New Roman"/>
          <w:sz w:val="20"/>
          <w:szCs w:val="20"/>
        </w:rPr>
      </w:pPr>
      <w:r w:rsidRPr="00B65E5E">
        <w:rPr>
          <w:rFonts w:ascii="Times New Roman" w:hAnsi="Times New Roman"/>
          <w:sz w:val="20"/>
          <w:szCs w:val="20"/>
        </w:rPr>
        <w:lastRenderedPageBreak/>
        <w:t>Table 1: TC: Question groupings</w:t>
      </w:r>
      <w:r>
        <w:rPr>
          <w:rFonts w:ascii="Times New Roman" w:hAnsi="Times New Roman"/>
          <w:sz w:val="20"/>
          <w:szCs w:val="20"/>
        </w:rPr>
        <w:t xml:space="preserve"> and items</w:t>
      </w:r>
      <w:r w:rsidRPr="00B65E5E">
        <w:rPr>
          <w:rFonts w:ascii="Times New Roman" w:hAnsi="Times New Roman"/>
          <w:sz w:val="20"/>
          <w:szCs w:val="20"/>
        </w:rPr>
        <w:t xml:space="preserve">, </w:t>
      </w:r>
      <w:r>
        <w:rPr>
          <w:rFonts w:ascii="Times New Roman" w:hAnsi="Times New Roman"/>
          <w:sz w:val="20"/>
          <w:szCs w:val="20"/>
        </w:rPr>
        <w:t>items</w:t>
      </w:r>
      <w:r w:rsidRPr="00B65E5E">
        <w:rPr>
          <w:rFonts w:ascii="Times New Roman" w:hAnsi="Times New Roman"/>
          <w:sz w:val="20"/>
          <w:szCs w:val="20"/>
        </w:rPr>
        <w:t xml:space="preserve"> per </w:t>
      </w:r>
      <w:r>
        <w:rPr>
          <w:rFonts w:ascii="Times New Roman" w:hAnsi="Times New Roman"/>
          <w:sz w:val="20"/>
          <w:szCs w:val="20"/>
        </w:rPr>
        <w:t>grouping</w:t>
      </w:r>
      <w:r w:rsidRPr="00B65E5E">
        <w:rPr>
          <w:rFonts w:ascii="Times New Roman" w:hAnsi="Times New Roman"/>
          <w:sz w:val="20"/>
          <w:szCs w:val="20"/>
        </w:rPr>
        <w:t>, response type and factors</w:t>
      </w:r>
      <w:r>
        <w:rPr>
          <w:rFonts w:ascii="Times New Roman" w:hAnsi="Times New Roman"/>
          <w:sz w:val="20"/>
          <w:szCs w:val="20"/>
        </w:rPr>
        <w:t xml:space="preserve"> for Cohorts 1 and 2</w:t>
      </w:r>
    </w:p>
    <w:p w14:paraId="6AE02027" w14:textId="77777777" w:rsidR="007C2A71" w:rsidRPr="00B65E5E" w:rsidRDefault="007C2A71" w:rsidP="007C2A71">
      <w:pPr>
        <w:pStyle w:val="ListParagraph"/>
        <w:ind w:left="0"/>
        <w:rPr>
          <w:rFonts w:ascii="Times New Roman" w:hAnsi="Times New Roman"/>
          <w:sz w:val="20"/>
          <w:szCs w:val="20"/>
        </w:rPr>
      </w:pPr>
    </w:p>
    <w:tbl>
      <w:tblPr>
        <w:tblStyle w:val="TableGrid"/>
        <w:tblW w:w="15027" w:type="dxa"/>
        <w:tblInd w:w="-431" w:type="dxa"/>
        <w:tblLook w:val="04A0" w:firstRow="1" w:lastRow="0" w:firstColumn="1" w:lastColumn="0" w:noHBand="0" w:noVBand="1"/>
      </w:tblPr>
      <w:tblGrid>
        <w:gridCol w:w="2269"/>
        <w:gridCol w:w="1559"/>
        <w:gridCol w:w="1985"/>
        <w:gridCol w:w="1221"/>
        <w:gridCol w:w="1756"/>
        <w:gridCol w:w="1559"/>
        <w:gridCol w:w="1984"/>
        <w:gridCol w:w="1142"/>
        <w:gridCol w:w="1552"/>
      </w:tblGrid>
      <w:tr w:rsidR="007C2A71" w:rsidRPr="00B65E5E" w14:paraId="0AE9FCDB" w14:textId="77777777" w:rsidTr="00310E2F">
        <w:tc>
          <w:tcPr>
            <w:tcW w:w="2269" w:type="dxa"/>
          </w:tcPr>
          <w:p w14:paraId="333E65D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Question group</w:t>
            </w:r>
            <w:r>
              <w:rPr>
                <w:rFonts w:ascii="Times New Roman" w:hAnsi="Times New Roman"/>
                <w:sz w:val="20"/>
                <w:szCs w:val="20"/>
              </w:rPr>
              <w:t>ings</w:t>
            </w:r>
          </w:p>
        </w:tc>
        <w:tc>
          <w:tcPr>
            <w:tcW w:w="1559" w:type="dxa"/>
          </w:tcPr>
          <w:p w14:paraId="7BD6A620"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Cohort 1</w:t>
            </w:r>
          </w:p>
        </w:tc>
        <w:tc>
          <w:tcPr>
            <w:tcW w:w="1985" w:type="dxa"/>
          </w:tcPr>
          <w:p w14:paraId="74B00778" w14:textId="77777777" w:rsidR="007C2A71" w:rsidRPr="00B65E5E" w:rsidRDefault="007C2A71" w:rsidP="00310E2F">
            <w:pPr>
              <w:pStyle w:val="ListParagraph"/>
              <w:ind w:left="0"/>
              <w:rPr>
                <w:rFonts w:ascii="Times New Roman" w:hAnsi="Times New Roman"/>
                <w:sz w:val="20"/>
                <w:szCs w:val="20"/>
              </w:rPr>
            </w:pPr>
          </w:p>
        </w:tc>
        <w:tc>
          <w:tcPr>
            <w:tcW w:w="1221" w:type="dxa"/>
          </w:tcPr>
          <w:p w14:paraId="201B6B86" w14:textId="77777777" w:rsidR="007C2A71" w:rsidRPr="00B65E5E" w:rsidRDefault="007C2A71" w:rsidP="00310E2F">
            <w:pPr>
              <w:pStyle w:val="ListParagraph"/>
              <w:ind w:left="0"/>
              <w:rPr>
                <w:rFonts w:ascii="Times New Roman" w:hAnsi="Times New Roman"/>
                <w:sz w:val="20"/>
                <w:szCs w:val="20"/>
              </w:rPr>
            </w:pPr>
          </w:p>
        </w:tc>
        <w:tc>
          <w:tcPr>
            <w:tcW w:w="1756" w:type="dxa"/>
          </w:tcPr>
          <w:p w14:paraId="56F8C0EE" w14:textId="77777777" w:rsidR="007C2A71" w:rsidRPr="00B65E5E" w:rsidRDefault="007C2A71" w:rsidP="00310E2F">
            <w:pPr>
              <w:pStyle w:val="ListParagraph"/>
              <w:ind w:left="0"/>
              <w:rPr>
                <w:rFonts w:ascii="Times New Roman" w:hAnsi="Times New Roman"/>
                <w:sz w:val="20"/>
                <w:szCs w:val="20"/>
              </w:rPr>
            </w:pPr>
          </w:p>
        </w:tc>
        <w:tc>
          <w:tcPr>
            <w:tcW w:w="1559" w:type="dxa"/>
          </w:tcPr>
          <w:p w14:paraId="200E4EB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Cohort 2</w:t>
            </w:r>
          </w:p>
        </w:tc>
        <w:tc>
          <w:tcPr>
            <w:tcW w:w="1984" w:type="dxa"/>
          </w:tcPr>
          <w:p w14:paraId="5FEE9DAB" w14:textId="77777777" w:rsidR="007C2A71" w:rsidRPr="00B65E5E" w:rsidRDefault="007C2A71" w:rsidP="00310E2F">
            <w:pPr>
              <w:pStyle w:val="ListParagraph"/>
              <w:ind w:left="0"/>
              <w:rPr>
                <w:rFonts w:ascii="Times New Roman" w:hAnsi="Times New Roman"/>
                <w:sz w:val="20"/>
                <w:szCs w:val="20"/>
              </w:rPr>
            </w:pPr>
          </w:p>
        </w:tc>
        <w:tc>
          <w:tcPr>
            <w:tcW w:w="1142" w:type="dxa"/>
          </w:tcPr>
          <w:p w14:paraId="60238522" w14:textId="77777777" w:rsidR="007C2A71" w:rsidRPr="00B65E5E" w:rsidRDefault="007C2A71" w:rsidP="00310E2F">
            <w:pPr>
              <w:pStyle w:val="ListParagraph"/>
              <w:ind w:left="0"/>
              <w:rPr>
                <w:rFonts w:ascii="Times New Roman" w:hAnsi="Times New Roman"/>
                <w:sz w:val="20"/>
                <w:szCs w:val="20"/>
              </w:rPr>
            </w:pPr>
          </w:p>
        </w:tc>
        <w:tc>
          <w:tcPr>
            <w:tcW w:w="1552" w:type="dxa"/>
          </w:tcPr>
          <w:p w14:paraId="4DB7454A" w14:textId="77777777" w:rsidR="007C2A71" w:rsidRPr="00B65E5E" w:rsidRDefault="007C2A71" w:rsidP="00310E2F">
            <w:pPr>
              <w:pStyle w:val="ListParagraph"/>
              <w:ind w:left="0"/>
              <w:rPr>
                <w:rFonts w:ascii="Times New Roman" w:hAnsi="Times New Roman"/>
                <w:sz w:val="20"/>
                <w:szCs w:val="20"/>
              </w:rPr>
            </w:pPr>
          </w:p>
        </w:tc>
      </w:tr>
      <w:tr w:rsidR="007C2A71" w:rsidRPr="00B65E5E" w14:paraId="434C004B" w14:textId="77777777" w:rsidTr="00310E2F">
        <w:tc>
          <w:tcPr>
            <w:tcW w:w="2269" w:type="dxa"/>
          </w:tcPr>
          <w:p w14:paraId="4D961049" w14:textId="77777777" w:rsidR="007C2A71" w:rsidRPr="00B65E5E" w:rsidRDefault="007C2A71" w:rsidP="00310E2F">
            <w:pPr>
              <w:pStyle w:val="ListParagraph"/>
              <w:ind w:left="0"/>
              <w:rPr>
                <w:rFonts w:ascii="Times New Roman" w:hAnsi="Times New Roman"/>
                <w:sz w:val="20"/>
                <w:szCs w:val="20"/>
              </w:rPr>
            </w:pPr>
          </w:p>
        </w:tc>
        <w:tc>
          <w:tcPr>
            <w:tcW w:w="1559" w:type="dxa"/>
          </w:tcPr>
          <w:p w14:paraId="10FB993D"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I</w:t>
            </w:r>
            <w:r w:rsidRPr="00B65E5E">
              <w:rPr>
                <w:rFonts w:ascii="Times New Roman" w:hAnsi="Times New Roman"/>
                <w:sz w:val="20"/>
                <w:szCs w:val="20"/>
              </w:rPr>
              <w:t>tem</w:t>
            </w:r>
            <w:r>
              <w:rPr>
                <w:rFonts w:ascii="Times New Roman" w:hAnsi="Times New Roman"/>
                <w:sz w:val="20"/>
                <w:szCs w:val="20"/>
              </w:rPr>
              <w:t>s per</w:t>
            </w:r>
            <w:r w:rsidRPr="00B65E5E">
              <w:rPr>
                <w:rFonts w:ascii="Times New Roman" w:hAnsi="Times New Roman"/>
                <w:sz w:val="20"/>
                <w:szCs w:val="20"/>
              </w:rPr>
              <w:t xml:space="preserve"> group</w:t>
            </w:r>
            <w:r>
              <w:rPr>
                <w:rFonts w:ascii="Times New Roman" w:hAnsi="Times New Roman"/>
                <w:sz w:val="20"/>
                <w:szCs w:val="20"/>
              </w:rPr>
              <w:t>ing</w:t>
            </w:r>
            <w:r w:rsidRPr="00B65E5E">
              <w:rPr>
                <w:rFonts w:ascii="Times New Roman" w:hAnsi="Times New Roman"/>
                <w:sz w:val="20"/>
                <w:szCs w:val="20"/>
              </w:rPr>
              <w:t>;</w:t>
            </w:r>
          </w:p>
          <w:p w14:paraId="1F326F0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Response type</w:t>
            </w:r>
          </w:p>
        </w:tc>
        <w:tc>
          <w:tcPr>
            <w:tcW w:w="1985" w:type="dxa"/>
          </w:tcPr>
          <w:p w14:paraId="6CDA76B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Factors identified per group</w:t>
            </w:r>
            <w:r>
              <w:rPr>
                <w:rFonts w:ascii="Times New Roman" w:hAnsi="Times New Roman"/>
                <w:sz w:val="20"/>
                <w:szCs w:val="20"/>
              </w:rPr>
              <w:t>ing (reliability**)</w:t>
            </w:r>
          </w:p>
        </w:tc>
        <w:tc>
          <w:tcPr>
            <w:tcW w:w="1221" w:type="dxa"/>
          </w:tcPr>
          <w:p w14:paraId="140A6C5C"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 xml:space="preserve">Factor </w:t>
            </w:r>
            <w:r>
              <w:rPr>
                <w:rFonts w:ascii="Times New Roman" w:hAnsi="Times New Roman"/>
                <w:sz w:val="20"/>
                <w:szCs w:val="20"/>
              </w:rPr>
              <w:t>(</w:t>
            </w:r>
            <w:r w:rsidRPr="00B65E5E">
              <w:rPr>
                <w:rFonts w:ascii="Times New Roman" w:hAnsi="Times New Roman"/>
                <w:sz w:val="20"/>
                <w:szCs w:val="20"/>
              </w:rPr>
              <w:t>mean</w:t>
            </w:r>
            <w:r>
              <w:rPr>
                <w:rFonts w:ascii="Times New Roman" w:hAnsi="Times New Roman"/>
                <w:sz w:val="20"/>
                <w:szCs w:val="20"/>
              </w:rPr>
              <w:t>)</w:t>
            </w:r>
          </w:p>
        </w:tc>
        <w:tc>
          <w:tcPr>
            <w:tcW w:w="1756" w:type="dxa"/>
          </w:tcPr>
          <w:p w14:paraId="6EEBB958"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D</w:t>
            </w:r>
            <w:r w:rsidRPr="00B65E5E">
              <w:rPr>
                <w:rFonts w:ascii="Times New Roman" w:hAnsi="Times New Roman"/>
                <w:sz w:val="20"/>
                <w:szCs w:val="20"/>
              </w:rPr>
              <w:t>emographic differences</w:t>
            </w:r>
          </w:p>
        </w:tc>
        <w:tc>
          <w:tcPr>
            <w:tcW w:w="1559" w:type="dxa"/>
          </w:tcPr>
          <w:p w14:paraId="64326073"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Item</w:t>
            </w:r>
            <w:r w:rsidRPr="00B65E5E">
              <w:rPr>
                <w:rFonts w:ascii="Times New Roman" w:hAnsi="Times New Roman"/>
                <w:sz w:val="20"/>
                <w:szCs w:val="20"/>
              </w:rPr>
              <w:t>s per grouping;</w:t>
            </w:r>
          </w:p>
          <w:p w14:paraId="7BAB02C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Response type</w:t>
            </w:r>
          </w:p>
        </w:tc>
        <w:tc>
          <w:tcPr>
            <w:tcW w:w="1984" w:type="dxa"/>
          </w:tcPr>
          <w:p w14:paraId="6A97694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Factors identified per group</w:t>
            </w:r>
            <w:r>
              <w:rPr>
                <w:rFonts w:ascii="Times New Roman" w:hAnsi="Times New Roman"/>
                <w:sz w:val="20"/>
                <w:szCs w:val="20"/>
              </w:rPr>
              <w:t>ing</w:t>
            </w:r>
            <w:r w:rsidRPr="00B65E5E">
              <w:rPr>
                <w:rFonts w:ascii="Times New Roman" w:hAnsi="Times New Roman"/>
                <w:sz w:val="20"/>
                <w:szCs w:val="20"/>
              </w:rPr>
              <w:t xml:space="preserve"> (reliability</w:t>
            </w:r>
            <w:r>
              <w:rPr>
                <w:rFonts w:ascii="Times New Roman" w:hAnsi="Times New Roman"/>
                <w:sz w:val="20"/>
                <w:szCs w:val="20"/>
              </w:rPr>
              <w:t>**</w:t>
            </w:r>
            <w:r w:rsidRPr="00B65E5E">
              <w:rPr>
                <w:rFonts w:ascii="Times New Roman" w:hAnsi="Times New Roman"/>
                <w:sz w:val="20"/>
                <w:szCs w:val="20"/>
              </w:rPr>
              <w:t>)</w:t>
            </w:r>
          </w:p>
        </w:tc>
        <w:tc>
          <w:tcPr>
            <w:tcW w:w="1142" w:type="dxa"/>
          </w:tcPr>
          <w:p w14:paraId="4DAFD8D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 xml:space="preserve">Factor </w:t>
            </w:r>
            <w:r>
              <w:rPr>
                <w:rFonts w:ascii="Times New Roman" w:hAnsi="Times New Roman"/>
                <w:sz w:val="20"/>
                <w:szCs w:val="20"/>
              </w:rPr>
              <w:t>(</w:t>
            </w:r>
            <w:r w:rsidRPr="00B65E5E">
              <w:rPr>
                <w:rFonts w:ascii="Times New Roman" w:hAnsi="Times New Roman"/>
                <w:sz w:val="20"/>
                <w:szCs w:val="20"/>
              </w:rPr>
              <w:t>mean</w:t>
            </w:r>
            <w:r>
              <w:rPr>
                <w:rFonts w:ascii="Times New Roman" w:hAnsi="Times New Roman"/>
                <w:sz w:val="20"/>
                <w:szCs w:val="20"/>
              </w:rPr>
              <w:t>)</w:t>
            </w:r>
          </w:p>
        </w:tc>
        <w:tc>
          <w:tcPr>
            <w:tcW w:w="1552" w:type="dxa"/>
          </w:tcPr>
          <w:p w14:paraId="6E1E5B1D"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D</w:t>
            </w:r>
            <w:r w:rsidRPr="00B65E5E">
              <w:rPr>
                <w:rFonts w:ascii="Times New Roman" w:hAnsi="Times New Roman"/>
                <w:sz w:val="20"/>
                <w:szCs w:val="20"/>
              </w:rPr>
              <w:t>emographic</w:t>
            </w:r>
          </w:p>
          <w:p w14:paraId="1D9A4B6B"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differences</w:t>
            </w:r>
          </w:p>
        </w:tc>
      </w:tr>
      <w:tr w:rsidR="007C2A71" w:rsidRPr="00B65E5E" w14:paraId="4944EFA4" w14:textId="77777777" w:rsidTr="00310E2F">
        <w:tc>
          <w:tcPr>
            <w:tcW w:w="2269" w:type="dxa"/>
          </w:tcPr>
          <w:p w14:paraId="55B40E78"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I</w:t>
            </w:r>
            <w:r w:rsidRPr="00B65E5E">
              <w:rPr>
                <w:rFonts w:ascii="Times New Roman" w:hAnsi="Times New Roman"/>
                <w:sz w:val="20"/>
                <w:szCs w:val="20"/>
              </w:rPr>
              <w:t>nvolvement in ABC</w:t>
            </w:r>
          </w:p>
        </w:tc>
        <w:tc>
          <w:tcPr>
            <w:tcW w:w="1559" w:type="dxa"/>
          </w:tcPr>
          <w:p w14:paraId="779BE789"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8 questions;</w:t>
            </w:r>
          </w:p>
          <w:p w14:paraId="330E59B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3-pt Likert</w:t>
            </w:r>
            <w:r>
              <w:rPr>
                <w:rFonts w:ascii="Times New Roman" w:hAnsi="Times New Roman"/>
                <w:sz w:val="20"/>
                <w:szCs w:val="20"/>
              </w:rPr>
              <w:t>*</w:t>
            </w:r>
          </w:p>
        </w:tc>
        <w:tc>
          <w:tcPr>
            <w:tcW w:w="1985" w:type="dxa"/>
          </w:tcPr>
          <w:p w14:paraId="4894D7D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STEM in school</w:t>
            </w:r>
            <w:r>
              <w:rPr>
                <w:rFonts w:ascii="Times New Roman" w:hAnsi="Times New Roman"/>
                <w:sz w:val="20"/>
                <w:szCs w:val="20"/>
              </w:rPr>
              <w:t xml:space="preserve"> (.557)</w:t>
            </w:r>
          </w:p>
        </w:tc>
        <w:tc>
          <w:tcPr>
            <w:tcW w:w="1221" w:type="dxa"/>
          </w:tcPr>
          <w:p w14:paraId="112A01F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1.4</w:t>
            </w:r>
            <w:r>
              <w:rPr>
                <w:rFonts w:ascii="Times New Roman" w:hAnsi="Times New Roman"/>
                <w:sz w:val="20"/>
                <w:szCs w:val="20"/>
              </w:rPr>
              <w:t>4 (.402)</w:t>
            </w:r>
          </w:p>
        </w:tc>
        <w:tc>
          <w:tcPr>
            <w:tcW w:w="1756" w:type="dxa"/>
          </w:tcPr>
          <w:p w14:paraId="139A41EA"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PreNC</w:t>
            </w:r>
            <w:proofErr w:type="spellEnd"/>
            <w:r w:rsidRPr="00B65E5E">
              <w:rPr>
                <w:rFonts w:ascii="Times New Roman" w:hAnsi="Times New Roman"/>
                <w:sz w:val="20"/>
                <w:szCs w:val="20"/>
              </w:rPr>
              <w:t>&gt;NC</w:t>
            </w:r>
          </w:p>
        </w:tc>
        <w:tc>
          <w:tcPr>
            <w:tcW w:w="1559" w:type="dxa"/>
          </w:tcPr>
          <w:p w14:paraId="1FDF780A"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6</w:t>
            </w:r>
            <w:r w:rsidRPr="00B65E5E">
              <w:rPr>
                <w:rFonts w:ascii="Times New Roman" w:hAnsi="Times New Roman"/>
                <w:sz w:val="20"/>
                <w:szCs w:val="20"/>
              </w:rPr>
              <w:t xml:space="preserve"> question</w:t>
            </w:r>
            <w:r>
              <w:rPr>
                <w:rFonts w:ascii="Times New Roman" w:hAnsi="Times New Roman"/>
                <w:sz w:val="20"/>
                <w:szCs w:val="20"/>
              </w:rPr>
              <w:t>s</w:t>
            </w:r>
            <w:r w:rsidRPr="00B65E5E">
              <w:rPr>
                <w:rFonts w:ascii="Times New Roman" w:hAnsi="Times New Roman"/>
                <w:sz w:val="20"/>
                <w:szCs w:val="20"/>
              </w:rPr>
              <w:t>;</w:t>
            </w:r>
          </w:p>
          <w:p w14:paraId="5B0CDCCA"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3-pt Likert</w:t>
            </w:r>
            <w:r>
              <w:rPr>
                <w:rFonts w:ascii="Times New Roman" w:hAnsi="Times New Roman"/>
                <w:sz w:val="20"/>
                <w:szCs w:val="20"/>
              </w:rPr>
              <w:t>*</w:t>
            </w:r>
          </w:p>
        </w:tc>
        <w:tc>
          <w:tcPr>
            <w:tcW w:w="1984" w:type="dxa"/>
          </w:tcPr>
          <w:p w14:paraId="177F2453"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STEM in school</w:t>
            </w:r>
            <w:r>
              <w:rPr>
                <w:rFonts w:ascii="Times New Roman" w:hAnsi="Times New Roman"/>
                <w:sz w:val="20"/>
                <w:szCs w:val="20"/>
              </w:rPr>
              <w:t xml:space="preserve"> (.310)</w:t>
            </w:r>
          </w:p>
        </w:tc>
        <w:tc>
          <w:tcPr>
            <w:tcW w:w="1142" w:type="dxa"/>
          </w:tcPr>
          <w:p w14:paraId="03A1500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1.35</w:t>
            </w:r>
            <w:r>
              <w:rPr>
                <w:rFonts w:ascii="Times New Roman" w:hAnsi="Times New Roman"/>
                <w:sz w:val="20"/>
                <w:szCs w:val="20"/>
              </w:rPr>
              <w:t xml:space="preserve"> (.279)</w:t>
            </w:r>
          </w:p>
        </w:tc>
        <w:tc>
          <w:tcPr>
            <w:tcW w:w="1552" w:type="dxa"/>
          </w:tcPr>
          <w:p w14:paraId="5E890300"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Biol</w:t>
            </w:r>
            <w:proofErr w:type="spellEnd"/>
            <w:r w:rsidRPr="00B65E5E">
              <w:rPr>
                <w:rFonts w:ascii="Times New Roman" w:hAnsi="Times New Roman"/>
                <w:sz w:val="20"/>
                <w:szCs w:val="20"/>
              </w:rPr>
              <w:t>&gt;others</w:t>
            </w:r>
          </w:p>
        </w:tc>
      </w:tr>
      <w:tr w:rsidR="007C2A71" w:rsidRPr="00B65E5E" w14:paraId="03F48202" w14:textId="77777777" w:rsidTr="00310E2F">
        <w:tc>
          <w:tcPr>
            <w:tcW w:w="2269" w:type="dxa"/>
          </w:tcPr>
          <w:p w14:paraId="74AA3BD8"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Roles</w:t>
            </w:r>
            <w:r>
              <w:rPr>
                <w:rFonts w:ascii="Times New Roman" w:hAnsi="Times New Roman"/>
                <w:sz w:val="20"/>
                <w:szCs w:val="20"/>
              </w:rPr>
              <w:t>/</w:t>
            </w:r>
            <w:r w:rsidRPr="00B65E5E">
              <w:rPr>
                <w:rFonts w:ascii="Times New Roman" w:hAnsi="Times New Roman"/>
                <w:sz w:val="20"/>
                <w:szCs w:val="20"/>
              </w:rPr>
              <w:t xml:space="preserve">responsibilities </w:t>
            </w:r>
          </w:p>
          <w:p w14:paraId="41C6C26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of TC</w:t>
            </w:r>
          </w:p>
        </w:tc>
        <w:tc>
          <w:tcPr>
            <w:tcW w:w="1559" w:type="dxa"/>
          </w:tcPr>
          <w:p w14:paraId="011DE4A2"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14 questions;</w:t>
            </w:r>
          </w:p>
          <w:p w14:paraId="72D8D930"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1985" w:type="dxa"/>
          </w:tcPr>
          <w:p w14:paraId="04110B7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Role Commitment</w:t>
            </w:r>
            <w:r>
              <w:rPr>
                <w:rFonts w:ascii="Times New Roman" w:hAnsi="Times New Roman"/>
                <w:sz w:val="20"/>
                <w:szCs w:val="20"/>
              </w:rPr>
              <w:t xml:space="preserve"> (.892)</w:t>
            </w:r>
          </w:p>
        </w:tc>
        <w:tc>
          <w:tcPr>
            <w:tcW w:w="1221" w:type="dxa"/>
          </w:tcPr>
          <w:p w14:paraId="1CF0969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1.76</w:t>
            </w:r>
            <w:r>
              <w:rPr>
                <w:rFonts w:ascii="Times New Roman" w:hAnsi="Times New Roman"/>
                <w:sz w:val="20"/>
                <w:szCs w:val="20"/>
              </w:rPr>
              <w:t xml:space="preserve"> (.512)</w:t>
            </w:r>
          </w:p>
        </w:tc>
        <w:tc>
          <w:tcPr>
            <w:tcW w:w="1756" w:type="dxa"/>
          </w:tcPr>
          <w:p w14:paraId="54CDDC9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c>
          <w:tcPr>
            <w:tcW w:w="1559" w:type="dxa"/>
          </w:tcPr>
          <w:p w14:paraId="7894A6D4"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w:t>
            </w:r>
            <w:r>
              <w:rPr>
                <w:rFonts w:ascii="Times New Roman" w:hAnsi="Times New Roman"/>
                <w:sz w:val="20"/>
                <w:szCs w:val="20"/>
              </w:rPr>
              <w:t>0</w:t>
            </w:r>
            <w:r w:rsidRPr="00B65E5E">
              <w:rPr>
                <w:rFonts w:ascii="Times New Roman" w:hAnsi="Times New Roman"/>
                <w:sz w:val="20"/>
                <w:szCs w:val="20"/>
              </w:rPr>
              <w:t xml:space="preserve"> questions;</w:t>
            </w:r>
          </w:p>
          <w:p w14:paraId="79D11DA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1984" w:type="dxa"/>
          </w:tcPr>
          <w:p w14:paraId="666AAB30"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STEM pedagogic coordination</w:t>
            </w:r>
            <w:r>
              <w:rPr>
                <w:rFonts w:ascii="Times New Roman" w:hAnsi="Times New Roman"/>
                <w:sz w:val="20"/>
                <w:szCs w:val="20"/>
              </w:rPr>
              <w:t xml:space="preserve"> (.702)</w:t>
            </w:r>
          </w:p>
        </w:tc>
        <w:tc>
          <w:tcPr>
            <w:tcW w:w="1142" w:type="dxa"/>
          </w:tcPr>
          <w:p w14:paraId="25363A7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1.33</w:t>
            </w:r>
            <w:r>
              <w:rPr>
                <w:rFonts w:ascii="Times New Roman" w:hAnsi="Times New Roman"/>
                <w:sz w:val="20"/>
                <w:szCs w:val="20"/>
              </w:rPr>
              <w:t xml:space="preserve"> (.373)</w:t>
            </w:r>
          </w:p>
        </w:tc>
        <w:tc>
          <w:tcPr>
            <w:tcW w:w="1552" w:type="dxa"/>
          </w:tcPr>
          <w:p w14:paraId="2C6D9B8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r>
      <w:tr w:rsidR="007C2A71" w:rsidRPr="00B65E5E" w14:paraId="714A4D73" w14:textId="77777777" w:rsidTr="00310E2F">
        <w:tc>
          <w:tcPr>
            <w:tcW w:w="2269" w:type="dxa"/>
          </w:tcPr>
          <w:p w14:paraId="562C32C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Experience of ABC</w:t>
            </w:r>
          </w:p>
        </w:tc>
        <w:tc>
          <w:tcPr>
            <w:tcW w:w="1559" w:type="dxa"/>
          </w:tcPr>
          <w:p w14:paraId="78A51B5D"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10 questions;</w:t>
            </w:r>
          </w:p>
          <w:p w14:paraId="7117B08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1985" w:type="dxa"/>
          </w:tcPr>
          <w:p w14:paraId="34DBFAB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Organisational problems</w:t>
            </w:r>
            <w:r>
              <w:rPr>
                <w:rFonts w:ascii="Times New Roman" w:hAnsi="Times New Roman"/>
                <w:sz w:val="20"/>
                <w:szCs w:val="20"/>
              </w:rPr>
              <w:t xml:space="preserve"> (.769)</w:t>
            </w:r>
          </w:p>
          <w:p w14:paraId="762D356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Role comfort</w:t>
            </w:r>
            <w:r>
              <w:rPr>
                <w:rFonts w:ascii="Times New Roman" w:hAnsi="Times New Roman"/>
                <w:sz w:val="20"/>
                <w:szCs w:val="20"/>
              </w:rPr>
              <w:t xml:space="preserve"> (.528)</w:t>
            </w:r>
          </w:p>
        </w:tc>
        <w:tc>
          <w:tcPr>
            <w:tcW w:w="1221" w:type="dxa"/>
          </w:tcPr>
          <w:p w14:paraId="3F67DB0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w:t>
            </w:r>
            <w:r>
              <w:rPr>
                <w:rFonts w:ascii="Times New Roman" w:hAnsi="Times New Roman"/>
                <w:sz w:val="20"/>
                <w:szCs w:val="20"/>
              </w:rPr>
              <w:t>08 (.890)</w:t>
            </w:r>
          </w:p>
          <w:p w14:paraId="0E4BB27B" w14:textId="77777777" w:rsidR="007C2A71" w:rsidRPr="00B65E5E" w:rsidRDefault="007C2A71" w:rsidP="00310E2F">
            <w:pPr>
              <w:pStyle w:val="ListParagraph"/>
              <w:ind w:left="0"/>
              <w:rPr>
                <w:rFonts w:ascii="Times New Roman" w:hAnsi="Times New Roman"/>
                <w:sz w:val="20"/>
                <w:szCs w:val="20"/>
              </w:rPr>
            </w:pPr>
          </w:p>
          <w:p w14:paraId="090ADEF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1.9</w:t>
            </w:r>
            <w:r>
              <w:rPr>
                <w:rFonts w:ascii="Times New Roman" w:hAnsi="Times New Roman"/>
                <w:sz w:val="20"/>
                <w:szCs w:val="20"/>
              </w:rPr>
              <w:t>6 (.593)</w:t>
            </w:r>
          </w:p>
        </w:tc>
        <w:tc>
          <w:tcPr>
            <w:tcW w:w="1756" w:type="dxa"/>
          </w:tcPr>
          <w:p w14:paraId="0118921C"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p w14:paraId="26A9F0A0" w14:textId="77777777" w:rsidR="007C2A71" w:rsidRPr="00B65E5E" w:rsidRDefault="007C2A71" w:rsidP="00310E2F">
            <w:pPr>
              <w:pStyle w:val="ListParagraph"/>
              <w:ind w:left="0"/>
              <w:rPr>
                <w:rFonts w:ascii="Times New Roman" w:hAnsi="Times New Roman"/>
                <w:sz w:val="20"/>
                <w:szCs w:val="20"/>
              </w:rPr>
            </w:pPr>
          </w:p>
          <w:p w14:paraId="6080E34B"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c>
          <w:tcPr>
            <w:tcW w:w="1559" w:type="dxa"/>
          </w:tcPr>
          <w:p w14:paraId="4B9CB04A"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7 questions;</w:t>
            </w:r>
          </w:p>
          <w:p w14:paraId="5523E89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1984" w:type="dxa"/>
          </w:tcPr>
          <w:p w14:paraId="5D9EBD4C"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Organisational problems</w:t>
            </w:r>
            <w:r>
              <w:rPr>
                <w:rFonts w:ascii="Times New Roman" w:hAnsi="Times New Roman"/>
                <w:sz w:val="20"/>
                <w:szCs w:val="20"/>
              </w:rPr>
              <w:t xml:space="preserve"> (.621)</w:t>
            </w:r>
          </w:p>
        </w:tc>
        <w:tc>
          <w:tcPr>
            <w:tcW w:w="1142" w:type="dxa"/>
          </w:tcPr>
          <w:p w14:paraId="2DD101A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3.33</w:t>
            </w:r>
            <w:r>
              <w:rPr>
                <w:rFonts w:ascii="Times New Roman" w:hAnsi="Times New Roman"/>
                <w:sz w:val="20"/>
                <w:szCs w:val="20"/>
              </w:rPr>
              <w:t xml:space="preserve"> (671)</w:t>
            </w:r>
          </w:p>
          <w:p w14:paraId="46390C81" w14:textId="77777777" w:rsidR="007C2A71" w:rsidRPr="00B65E5E" w:rsidRDefault="007C2A71" w:rsidP="00310E2F">
            <w:pPr>
              <w:pStyle w:val="ListParagraph"/>
              <w:ind w:left="0"/>
              <w:rPr>
                <w:rFonts w:ascii="Times New Roman" w:hAnsi="Times New Roman"/>
                <w:sz w:val="20"/>
                <w:szCs w:val="20"/>
              </w:rPr>
            </w:pPr>
          </w:p>
        </w:tc>
        <w:tc>
          <w:tcPr>
            <w:tcW w:w="1552" w:type="dxa"/>
          </w:tcPr>
          <w:p w14:paraId="15A18A7B"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Female&gt;male</w:t>
            </w:r>
          </w:p>
        </w:tc>
      </w:tr>
      <w:tr w:rsidR="007C2A71" w:rsidRPr="00B65E5E" w14:paraId="6A089AD2" w14:textId="77777777" w:rsidTr="00310E2F">
        <w:tc>
          <w:tcPr>
            <w:tcW w:w="2269" w:type="dxa"/>
          </w:tcPr>
          <w:p w14:paraId="4A8A1A8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Experience of STEM education</w:t>
            </w:r>
          </w:p>
        </w:tc>
        <w:tc>
          <w:tcPr>
            <w:tcW w:w="1559" w:type="dxa"/>
          </w:tcPr>
          <w:p w14:paraId="2F28A0A9"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27 questions;</w:t>
            </w:r>
          </w:p>
          <w:p w14:paraId="44A8314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1985" w:type="dxa"/>
          </w:tcPr>
          <w:p w14:paraId="037798B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Student STEM success</w:t>
            </w:r>
            <w:r>
              <w:rPr>
                <w:rFonts w:ascii="Times New Roman" w:hAnsi="Times New Roman"/>
                <w:sz w:val="20"/>
                <w:szCs w:val="20"/>
              </w:rPr>
              <w:t xml:space="preserve"> (.807)</w:t>
            </w:r>
          </w:p>
        </w:tc>
        <w:tc>
          <w:tcPr>
            <w:tcW w:w="1221" w:type="dxa"/>
          </w:tcPr>
          <w:p w14:paraId="1E2A33C5"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w:t>
            </w:r>
            <w:r>
              <w:rPr>
                <w:rFonts w:ascii="Times New Roman" w:hAnsi="Times New Roman"/>
                <w:sz w:val="20"/>
                <w:szCs w:val="20"/>
              </w:rPr>
              <w:t>38 (.620)</w:t>
            </w:r>
          </w:p>
        </w:tc>
        <w:tc>
          <w:tcPr>
            <w:tcW w:w="1756" w:type="dxa"/>
          </w:tcPr>
          <w:p w14:paraId="5410C224"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c>
          <w:tcPr>
            <w:tcW w:w="1559" w:type="dxa"/>
          </w:tcPr>
          <w:p w14:paraId="21F4B40D"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18 questions;</w:t>
            </w:r>
          </w:p>
          <w:p w14:paraId="43AC0973"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1984" w:type="dxa"/>
          </w:tcPr>
          <w:p w14:paraId="39F3597E"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Student STEM success</w:t>
            </w:r>
            <w:r>
              <w:rPr>
                <w:rFonts w:ascii="Times New Roman" w:hAnsi="Times New Roman"/>
                <w:sz w:val="20"/>
                <w:szCs w:val="20"/>
              </w:rPr>
              <w:t xml:space="preserve"> (.438)</w:t>
            </w:r>
          </w:p>
          <w:p w14:paraId="47BD1303"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Pedagogy within STEM</w:t>
            </w:r>
            <w:r>
              <w:rPr>
                <w:rFonts w:ascii="Times New Roman" w:hAnsi="Times New Roman"/>
                <w:sz w:val="20"/>
                <w:szCs w:val="20"/>
              </w:rPr>
              <w:t xml:space="preserve"> (.655)</w:t>
            </w:r>
          </w:p>
        </w:tc>
        <w:tc>
          <w:tcPr>
            <w:tcW w:w="1142" w:type="dxa"/>
          </w:tcPr>
          <w:p w14:paraId="3B8F2492"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3.55</w:t>
            </w:r>
            <w:r>
              <w:rPr>
                <w:rFonts w:ascii="Times New Roman" w:hAnsi="Times New Roman"/>
                <w:sz w:val="20"/>
                <w:szCs w:val="20"/>
              </w:rPr>
              <w:t xml:space="preserve"> (.395)</w:t>
            </w:r>
          </w:p>
          <w:p w14:paraId="7D7ABDA4" w14:textId="77777777" w:rsidR="007C2A71" w:rsidRDefault="007C2A71" w:rsidP="00310E2F">
            <w:pPr>
              <w:pStyle w:val="ListParagraph"/>
              <w:ind w:left="0"/>
              <w:rPr>
                <w:rFonts w:ascii="Times New Roman" w:hAnsi="Times New Roman"/>
                <w:sz w:val="20"/>
                <w:szCs w:val="20"/>
              </w:rPr>
            </w:pPr>
          </w:p>
          <w:p w14:paraId="68CA3D2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1.78</w:t>
            </w:r>
            <w:r>
              <w:rPr>
                <w:rFonts w:ascii="Times New Roman" w:hAnsi="Times New Roman"/>
                <w:sz w:val="20"/>
                <w:szCs w:val="20"/>
              </w:rPr>
              <w:t xml:space="preserve"> (.447)</w:t>
            </w:r>
          </w:p>
        </w:tc>
        <w:tc>
          <w:tcPr>
            <w:tcW w:w="1552" w:type="dxa"/>
          </w:tcPr>
          <w:p w14:paraId="3198F5A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p w14:paraId="5415FF5C" w14:textId="77777777" w:rsidR="007C2A71" w:rsidRDefault="007C2A71" w:rsidP="00310E2F">
            <w:pPr>
              <w:pStyle w:val="ListParagraph"/>
              <w:ind w:left="0"/>
              <w:rPr>
                <w:rFonts w:ascii="Times New Roman" w:hAnsi="Times New Roman"/>
                <w:sz w:val="20"/>
                <w:szCs w:val="20"/>
              </w:rPr>
            </w:pPr>
          </w:p>
          <w:p w14:paraId="6AF23C85"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r>
      <w:tr w:rsidR="007C2A71" w:rsidRPr="00B65E5E" w14:paraId="4243598C" w14:textId="77777777" w:rsidTr="00310E2F">
        <w:tc>
          <w:tcPr>
            <w:tcW w:w="2269" w:type="dxa"/>
          </w:tcPr>
          <w:p w14:paraId="672868B1"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P</w:t>
            </w:r>
            <w:r w:rsidRPr="00B65E5E">
              <w:rPr>
                <w:rFonts w:ascii="Times New Roman" w:hAnsi="Times New Roman"/>
                <w:sz w:val="20"/>
                <w:szCs w:val="20"/>
              </w:rPr>
              <w:t xml:space="preserve">articipation in ABC </w:t>
            </w:r>
          </w:p>
          <w:p w14:paraId="1445388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activities</w:t>
            </w:r>
          </w:p>
        </w:tc>
        <w:tc>
          <w:tcPr>
            <w:tcW w:w="1559" w:type="dxa"/>
          </w:tcPr>
          <w:p w14:paraId="3E97426E"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11 questions;</w:t>
            </w:r>
          </w:p>
          <w:p w14:paraId="4BDC3B32"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Frequency</w:t>
            </w:r>
            <w:r>
              <w:rPr>
                <w:rFonts w:ascii="Times New Roman" w:hAnsi="Times New Roman"/>
                <w:sz w:val="20"/>
                <w:szCs w:val="20"/>
              </w:rPr>
              <w:t>^</w:t>
            </w:r>
          </w:p>
        </w:tc>
        <w:tc>
          <w:tcPr>
            <w:tcW w:w="1985" w:type="dxa"/>
          </w:tcPr>
          <w:p w14:paraId="5AD7C0B5"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General ABC activity level</w:t>
            </w:r>
            <w:r>
              <w:rPr>
                <w:rFonts w:ascii="Times New Roman" w:hAnsi="Times New Roman"/>
                <w:sz w:val="20"/>
                <w:szCs w:val="20"/>
              </w:rPr>
              <w:t xml:space="preserve"> (.837)</w:t>
            </w:r>
          </w:p>
          <w:p w14:paraId="2208CDE7" w14:textId="77777777" w:rsidR="007C2A71" w:rsidRPr="00B65E5E" w:rsidRDefault="007C2A71" w:rsidP="00310E2F">
            <w:pPr>
              <w:pStyle w:val="ListParagraph"/>
              <w:ind w:left="0"/>
              <w:rPr>
                <w:rFonts w:ascii="Times New Roman" w:hAnsi="Times New Roman"/>
                <w:sz w:val="20"/>
                <w:szCs w:val="20"/>
              </w:rPr>
            </w:pPr>
          </w:p>
          <w:p w14:paraId="46CFCAD8" w14:textId="77777777" w:rsidR="007C2A71" w:rsidRPr="00B65E5E" w:rsidRDefault="007C2A71" w:rsidP="00310E2F">
            <w:pPr>
              <w:pStyle w:val="ListParagraph"/>
              <w:ind w:left="0"/>
              <w:rPr>
                <w:rFonts w:ascii="Times New Roman" w:hAnsi="Times New Roman"/>
                <w:sz w:val="20"/>
                <w:szCs w:val="20"/>
              </w:rPr>
            </w:pPr>
          </w:p>
          <w:p w14:paraId="2CA5959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External support for STEM</w:t>
            </w:r>
            <w:r>
              <w:rPr>
                <w:rFonts w:ascii="Times New Roman" w:hAnsi="Times New Roman"/>
                <w:sz w:val="20"/>
                <w:szCs w:val="20"/>
              </w:rPr>
              <w:t xml:space="preserve"> (.862)</w:t>
            </w:r>
          </w:p>
        </w:tc>
        <w:tc>
          <w:tcPr>
            <w:tcW w:w="1221" w:type="dxa"/>
          </w:tcPr>
          <w:p w14:paraId="67688284"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2.</w:t>
            </w:r>
            <w:r>
              <w:rPr>
                <w:rFonts w:ascii="Times New Roman" w:hAnsi="Times New Roman"/>
                <w:sz w:val="20"/>
                <w:szCs w:val="20"/>
              </w:rPr>
              <w:t>28 (.722)</w:t>
            </w:r>
          </w:p>
          <w:p w14:paraId="2F63F8CA" w14:textId="77777777" w:rsidR="007C2A71" w:rsidRDefault="007C2A71" w:rsidP="00310E2F">
            <w:pPr>
              <w:pStyle w:val="ListParagraph"/>
              <w:ind w:left="0"/>
              <w:rPr>
                <w:rFonts w:ascii="Times New Roman" w:hAnsi="Times New Roman"/>
                <w:sz w:val="20"/>
                <w:szCs w:val="20"/>
              </w:rPr>
            </w:pPr>
          </w:p>
          <w:p w14:paraId="294C3A5F" w14:textId="77777777" w:rsidR="007C2A71" w:rsidRDefault="007C2A71" w:rsidP="00310E2F">
            <w:pPr>
              <w:pStyle w:val="ListParagraph"/>
              <w:ind w:left="0"/>
              <w:rPr>
                <w:rFonts w:ascii="Times New Roman" w:hAnsi="Times New Roman"/>
                <w:sz w:val="20"/>
                <w:szCs w:val="20"/>
              </w:rPr>
            </w:pPr>
          </w:p>
          <w:p w14:paraId="6C6811F2" w14:textId="77777777" w:rsidR="007C2A71" w:rsidRPr="00B65E5E" w:rsidRDefault="007C2A71" w:rsidP="00310E2F">
            <w:pPr>
              <w:pStyle w:val="ListParagraph"/>
              <w:ind w:left="0"/>
              <w:rPr>
                <w:rFonts w:ascii="Times New Roman" w:hAnsi="Times New Roman"/>
                <w:sz w:val="20"/>
                <w:szCs w:val="20"/>
              </w:rPr>
            </w:pPr>
          </w:p>
          <w:p w14:paraId="6F855D08"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2.95 (1.195)</w:t>
            </w:r>
          </w:p>
        </w:tc>
        <w:tc>
          <w:tcPr>
            <w:tcW w:w="1756" w:type="dxa"/>
          </w:tcPr>
          <w:p w14:paraId="6A4F004D"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 xml:space="preserve">Males&gt;female; </w:t>
            </w:r>
          </w:p>
          <w:p w14:paraId="73CB88AC"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ExpTC</w:t>
            </w:r>
            <w:proofErr w:type="spellEnd"/>
            <w:r w:rsidRPr="00B65E5E">
              <w:rPr>
                <w:rFonts w:ascii="Times New Roman" w:hAnsi="Times New Roman"/>
                <w:sz w:val="20"/>
                <w:szCs w:val="20"/>
              </w:rPr>
              <w:t>&gt;</w:t>
            </w:r>
          </w:p>
          <w:p w14:paraId="6247349B"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NonexpTC</w:t>
            </w:r>
            <w:proofErr w:type="spellEnd"/>
            <w:r w:rsidRPr="00B65E5E">
              <w:rPr>
                <w:rFonts w:ascii="Times New Roman" w:hAnsi="Times New Roman"/>
                <w:sz w:val="20"/>
                <w:szCs w:val="20"/>
              </w:rPr>
              <w:t>;</w:t>
            </w:r>
          </w:p>
          <w:p w14:paraId="60B9FD8A"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Eng</w:t>
            </w:r>
            <w:proofErr w:type="spellEnd"/>
            <w:r w:rsidRPr="00B65E5E">
              <w:rPr>
                <w:rFonts w:ascii="Times New Roman" w:hAnsi="Times New Roman"/>
                <w:sz w:val="20"/>
                <w:szCs w:val="20"/>
              </w:rPr>
              <w:t>&gt;</w:t>
            </w:r>
            <w:proofErr w:type="spellStart"/>
            <w:r>
              <w:rPr>
                <w:rFonts w:ascii="Times New Roman" w:hAnsi="Times New Roman"/>
                <w:sz w:val="20"/>
                <w:szCs w:val="20"/>
              </w:rPr>
              <w:t>N</w:t>
            </w:r>
            <w:r w:rsidRPr="00B65E5E">
              <w:rPr>
                <w:rFonts w:ascii="Times New Roman" w:hAnsi="Times New Roman"/>
                <w:sz w:val="20"/>
                <w:szCs w:val="20"/>
              </w:rPr>
              <w:t>on</w:t>
            </w:r>
            <w:r>
              <w:rPr>
                <w:rFonts w:ascii="Times New Roman" w:hAnsi="Times New Roman"/>
                <w:sz w:val="20"/>
                <w:szCs w:val="20"/>
              </w:rPr>
              <w:t>E</w:t>
            </w:r>
            <w:r w:rsidRPr="00B65E5E">
              <w:rPr>
                <w:rFonts w:ascii="Times New Roman" w:hAnsi="Times New Roman"/>
                <w:sz w:val="20"/>
                <w:szCs w:val="20"/>
              </w:rPr>
              <w:t>ng</w:t>
            </w:r>
            <w:proofErr w:type="spellEnd"/>
          </w:p>
          <w:p w14:paraId="5A40922A"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c>
          <w:tcPr>
            <w:tcW w:w="1559" w:type="dxa"/>
          </w:tcPr>
          <w:p w14:paraId="7A3438D6"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7 questions;</w:t>
            </w:r>
          </w:p>
          <w:p w14:paraId="407552F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 xml:space="preserve">5-pt </w:t>
            </w:r>
            <w:r>
              <w:rPr>
                <w:rFonts w:ascii="Times New Roman" w:hAnsi="Times New Roman"/>
                <w:sz w:val="20"/>
                <w:szCs w:val="20"/>
              </w:rPr>
              <w:t>Frequency^</w:t>
            </w:r>
          </w:p>
        </w:tc>
        <w:tc>
          <w:tcPr>
            <w:tcW w:w="1984" w:type="dxa"/>
          </w:tcPr>
          <w:p w14:paraId="6FFBC24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General ABC activity level</w:t>
            </w:r>
            <w:r>
              <w:rPr>
                <w:rFonts w:ascii="Times New Roman" w:hAnsi="Times New Roman"/>
                <w:sz w:val="20"/>
                <w:szCs w:val="20"/>
              </w:rPr>
              <w:t xml:space="preserve"> (.723)</w:t>
            </w:r>
          </w:p>
        </w:tc>
        <w:tc>
          <w:tcPr>
            <w:tcW w:w="1142" w:type="dxa"/>
          </w:tcPr>
          <w:p w14:paraId="28596973"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2.31</w:t>
            </w:r>
            <w:r>
              <w:rPr>
                <w:rFonts w:ascii="Times New Roman" w:hAnsi="Times New Roman"/>
                <w:sz w:val="20"/>
                <w:szCs w:val="20"/>
              </w:rPr>
              <w:t xml:space="preserve"> (.735)</w:t>
            </w:r>
          </w:p>
        </w:tc>
        <w:tc>
          <w:tcPr>
            <w:tcW w:w="1552" w:type="dxa"/>
          </w:tcPr>
          <w:p w14:paraId="092F2F3B"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ExpTC</w:t>
            </w:r>
            <w:proofErr w:type="spellEnd"/>
            <w:r w:rsidRPr="00B65E5E">
              <w:rPr>
                <w:rFonts w:ascii="Times New Roman" w:hAnsi="Times New Roman"/>
                <w:sz w:val="20"/>
                <w:szCs w:val="20"/>
              </w:rPr>
              <w:t>&gt;</w:t>
            </w:r>
          </w:p>
          <w:p w14:paraId="7233A4BA" w14:textId="77777777" w:rsidR="007C2A71" w:rsidRPr="00B65E5E"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Nonexp</w:t>
            </w:r>
            <w:r w:rsidRPr="00B65E5E">
              <w:rPr>
                <w:rFonts w:ascii="Times New Roman" w:hAnsi="Times New Roman"/>
                <w:sz w:val="20"/>
                <w:szCs w:val="20"/>
              </w:rPr>
              <w:t>TC</w:t>
            </w:r>
            <w:proofErr w:type="spellEnd"/>
          </w:p>
        </w:tc>
      </w:tr>
      <w:tr w:rsidR="007C2A71" w:rsidRPr="00B65E5E" w14:paraId="6314FE06" w14:textId="77777777" w:rsidTr="00310E2F">
        <w:tc>
          <w:tcPr>
            <w:tcW w:w="2269" w:type="dxa"/>
          </w:tcPr>
          <w:p w14:paraId="2CCF31F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Confidence in promoting STEM and Engineering</w:t>
            </w:r>
          </w:p>
        </w:tc>
        <w:tc>
          <w:tcPr>
            <w:tcW w:w="1559" w:type="dxa"/>
          </w:tcPr>
          <w:p w14:paraId="23BBBB7A"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20 questions;</w:t>
            </w:r>
          </w:p>
          <w:p w14:paraId="7413F163"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11-pt Confidence</w:t>
            </w:r>
            <w:r>
              <w:rPr>
                <w:rFonts w:ascii="Times New Roman" w:hAnsi="Times New Roman"/>
                <w:sz w:val="20"/>
                <w:szCs w:val="20"/>
              </w:rPr>
              <w:t>!</w:t>
            </w:r>
          </w:p>
        </w:tc>
        <w:tc>
          <w:tcPr>
            <w:tcW w:w="1985" w:type="dxa"/>
          </w:tcPr>
          <w:p w14:paraId="3C205A6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Confidence in Engineering/STEM</w:t>
            </w:r>
            <w:r>
              <w:rPr>
                <w:rFonts w:ascii="Times New Roman" w:hAnsi="Times New Roman"/>
                <w:sz w:val="20"/>
                <w:szCs w:val="20"/>
              </w:rPr>
              <w:t xml:space="preserve"> (.908)</w:t>
            </w:r>
          </w:p>
          <w:p w14:paraId="4038E993" w14:textId="77777777" w:rsidR="007C2A71" w:rsidRPr="00B65E5E" w:rsidRDefault="007C2A71" w:rsidP="00310E2F">
            <w:pPr>
              <w:pStyle w:val="ListParagraph"/>
              <w:ind w:left="0"/>
              <w:rPr>
                <w:rFonts w:ascii="Times New Roman" w:hAnsi="Times New Roman"/>
                <w:sz w:val="20"/>
                <w:szCs w:val="20"/>
              </w:rPr>
            </w:pPr>
          </w:p>
          <w:p w14:paraId="6265832B"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Help in Sci/Maths</w:t>
            </w:r>
            <w:r>
              <w:rPr>
                <w:rFonts w:ascii="Times New Roman" w:hAnsi="Times New Roman"/>
                <w:sz w:val="20"/>
                <w:szCs w:val="20"/>
              </w:rPr>
              <w:t xml:space="preserve"> (.861)</w:t>
            </w:r>
          </w:p>
          <w:p w14:paraId="6B65EF7F" w14:textId="77777777" w:rsidR="007C2A71" w:rsidRPr="00B65E5E" w:rsidRDefault="007C2A71" w:rsidP="00310E2F">
            <w:pPr>
              <w:pStyle w:val="ListParagraph"/>
              <w:ind w:left="0"/>
              <w:rPr>
                <w:rFonts w:ascii="Times New Roman" w:hAnsi="Times New Roman"/>
                <w:sz w:val="20"/>
                <w:szCs w:val="20"/>
              </w:rPr>
            </w:pPr>
          </w:p>
          <w:p w14:paraId="40A1C409" w14:textId="77777777" w:rsidR="007C2A71" w:rsidRPr="00B65E5E" w:rsidRDefault="007C2A71" w:rsidP="00310E2F">
            <w:pPr>
              <w:pStyle w:val="ListParagraph"/>
              <w:ind w:left="0"/>
              <w:rPr>
                <w:rFonts w:ascii="Times New Roman" w:hAnsi="Times New Roman"/>
                <w:sz w:val="20"/>
                <w:szCs w:val="20"/>
              </w:rPr>
            </w:pPr>
          </w:p>
          <w:p w14:paraId="18EA7280" w14:textId="77777777" w:rsidR="007C2A71" w:rsidRPr="00B65E5E" w:rsidRDefault="007C2A71" w:rsidP="00310E2F">
            <w:pPr>
              <w:pStyle w:val="ListParagraph"/>
              <w:ind w:left="0"/>
              <w:rPr>
                <w:rFonts w:ascii="Times New Roman" w:hAnsi="Times New Roman"/>
                <w:sz w:val="20"/>
                <w:szCs w:val="20"/>
              </w:rPr>
            </w:pPr>
          </w:p>
          <w:p w14:paraId="75375B2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Help Hi/Low attainers</w:t>
            </w:r>
            <w:r>
              <w:rPr>
                <w:rFonts w:ascii="Times New Roman" w:hAnsi="Times New Roman"/>
                <w:sz w:val="20"/>
                <w:szCs w:val="20"/>
              </w:rPr>
              <w:t xml:space="preserve"> (.956)</w:t>
            </w:r>
          </w:p>
        </w:tc>
        <w:tc>
          <w:tcPr>
            <w:tcW w:w="1221" w:type="dxa"/>
          </w:tcPr>
          <w:p w14:paraId="67B20D3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8.</w:t>
            </w:r>
            <w:r>
              <w:rPr>
                <w:rFonts w:ascii="Times New Roman" w:hAnsi="Times New Roman"/>
                <w:sz w:val="20"/>
                <w:szCs w:val="20"/>
              </w:rPr>
              <w:t>09 (2.275)</w:t>
            </w:r>
          </w:p>
          <w:p w14:paraId="34B2BE0B" w14:textId="77777777" w:rsidR="007C2A71" w:rsidRPr="00B65E5E" w:rsidRDefault="007C2A71" w:rsidP="00310E2F">
            <w:pPr>
              <w:pStyle w:val="ListParagraph"/>
              <w:ind w:left="0"/>
              <w:rPr>
                <w:rFonts w:ascii="Times New Roman" w:hAnsi="Times New Roman"/>
                <w:sz w:val="20"/>
                <w:szCs w:val="20"/>
              </w:rPr>
            </w:pPr>
          </w:p>
          <w:p w14:paraId="48318084" w14:textId="77777777" w:rsidR="007C2A71" w:rsidRPr="00B65E5E" w:rsidRDefault="007C2A71" w:rsidP="00310E2F">
            <w:pPr>
              <w:pStyle w:val="ListParagraph"/>
              <w:ind w:left="0"/>
              <w:rPr>
                <w:rFonts w:ascii="Times New Roman" w:hAnsi="Times New Roman"/>
                <w:sz w:val="20"/>
                <w:szCs w:val="20"/>
              </w:rPr>
            </w:pPr>
          </w:p>
          <w:p w14:paraId="2E1C1D99" w14:textId="77777777" w:rsidR="007C2A71" w:rsidRPr="00B65E5E" w:rsidRDefault="007C2A71" w:rsidP="00310E2F">
            <w:pPr>
              <w:pStyle w:val="ListParagraph"/>
              <w:ind w:left="0"/>
              <w:rPr>
                <w:rFonts w:ascii="Times New Roman" w:hAnsi="Times New Roman"/>
                <w:sz w:val="20"/>
                <w:szCs w:val="20"/>
              </w:rPr>
            </w:pPr>
          </w:p>
          <w:p w14:paraId="07A841AA"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8.</w:t>
            </w:r>
            <w:r>
              <w:rPr>
                <w:rFonts w:ascii="Times New Roman" w:hAnsi="Times New Roman"/>
                <w:sz w:val="20"/>
                <w:szCs w:val="20"/>
              </w:rPr>
              <w:t>50 (1.794)</w:t>
            </w:r>
          </w:p>
          <w:p w14:paraId="5CEBCA62" w14:textId="77777777" w:rsidR="007C2A71" w:rsidRPr="00B65E5E" w:rsidRDefault="007C2A71" w:rsidP="00310E2F">
            <w:pPr>
              <w:pStyle w:val="ListParagraph"/>
              <w:ind w:left="0"/>
              <w:rPr>
                <w:rFonts w:ascii="Times New Roman" w:hAnsi="Times New Roman"/>
                <w:sz w:val="20"/>
                <w:szCs w:val="20"/>
              </w:rPr>
            </w:pPr>
          </w:p>
          <w:p w14:paraId="5CBFF135" w14:textId="77777777" w:rsidR="007C2A71" w:rsidRPr="00B65E5E" w:rsidRDefault="007C2A71" w:rsidP="00310E2F">
            <w:pPr>
              <w:pStyle w:val="ListParagraph"/>
              <w:ind w:left="0"/>
              <w:rPr>
                <w:rFonts w:ascii="Times New Roman" w:hAnsi="Times New Roman"/>
                <w:sz w:val="20"/>
                <w:szCs w:val="20"/>
              </w:rPr>
            </w:pPr>
          </w:p>
          <w:p w14:paraId="4A9575C4" w14:textId="77777777" w:rsidR="007C2A71" w:rsidRPr="00B65E5E" w:rsidRDefault="007C2A71" w:rsidP="00310E2F">
            <w:pPr>
              <w:pStyle w:val="ListParagraph"/>
              <w:ind w:left="0"/>
              <w:rPr>
                <w:rFonts w:ascii="Times New Roman" w:hAnsi="Times New Roman"/>
                <w:sz w:val="20"/>
                <w:szCs w:val="20"/>
              </w:rPr>
            </w:pPr>
          </w:p>
          <w:p w14:paraId="62D3AF2D" w14:textId="77777777" w:rsidR="007C2A71" w:rsidRPr="00B65E5E" w:rsidRDefault="007C2A71" w:rsidP="00310E2F">
            <w:pPr>
              <w:pStyle w:val="ListParagraph"/>
              <w:ind w:left="0"/>
              <w:rPr>
                <w:rFonts w:ascii="Times New Roman" w:hAnsi="Times New Roman"/>
                <w:sz w:val="20"/>
                <w:szCs w:val="20"/>
              </w:rPr>
            </w:pPr>
          </w:p>
          <w:p w14:paraId="6DF43C6B"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9.56 (2.083)</w:t>
            </w:r>
          </w:p>
        </w:tc>
        <w:tc>
          <w:tcPr>
            <w:tcW w:w="1756" w:type="dxa"/>
          </w:tcPr>
          <w:p w14:paraId="4DBEC45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 xml:space="preserve">D&amp;T&gt;other subjects; </w:t>
            </w:r>
            <w:proofErr w:type="spellStart"/>
            <w:r w:rsidRPr="00B65E5E">
              <w:rPr>
                <w:rFonts w:ascii="Times New Roman" w:hAnsi="Times New Roman"/>
                <w:sz w:val="20"/>
                <w:szCs w:val="20"/>
              </w:rPr>
              <w:t>ExpTC</w:t>
            </w:r>
            <w:proofErr w:type="spellEnd"/>
            <w:r w:rsidRPr="00B65E5E">
              <w:rPr>
                <w:rFonts w:ascii="Times New Roman" w:hAnsi="Times New Roman"/>
                <w:sz w:val="20"/>
                <w:szCs w:val="20"/>
              </w:rPr>
              <w:t>&gt;</w:t>
            </w:r>
          </w:p>
          <w:p w14:paraId="2A80086A" w14:textId="77777777" w:rsidR="007C2A71" w:rsidRPr="00B65E5E"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N</w:t>
            </w:r>
            <w:r w:rsidRPr="00B65E5E">
              <w:rPr>
                <w:rFonts w:ascii="Times New Roman" w:hAnsi="Times New Roman"/>
                <w:sz w:val="20"/>
                <w:szCs w:val="20"/>
              </w:rPr>
              <w:t>onexpTC</w:t>
            </w:r>
            <w:proofErr w:type="spellEnd"/>
            <w:r w:rsidRPr="00B65E5E">
              <w:rPr>
                <w:rFonts w:ascii="Times New Roman" w:hAnsi="Times New Roman"/>
                <w:sz w:val="20"/>
                <w:szCs w:val="20"/>
              </w:rPr>
              <w:t xml:space="preserve">; </w:t>
            </w:r>
            <w:proofErr w:type="spellStart"/>
            <w:r w:rsidRPr="00B65E5E">
              <w:rPr>
                <w:rFonts w:ascii="Times New Roman" w:hAnsi="Times New Roman"/>
                <w:sz w:val="20"/>
                <w:szCs w:val="20"/>
              </w:rPr>
              <w:t>Eng</w:t>
            </w:r>
            <w:proofErr w:type="spellEnd"/>
            <w:r w:rsidRPr="00B65E5E">
              <w:rPr>
                <w:rFonts w:ascii="Times New Roman" w:hAnsi="Times New Roman"/>
                <w:sz w:val="20"/>
                <w:szCs w:val="20"/>
              </w:rPr>
              <w:t>&gt;</w:t>
            </w:r>
            <w:proofErr w:type="spellStart"/>
            <w:r>
              <w:rPr>
                <w:rFonts w:ascii="Times New Roman" w:hAnsi="Times New Roman"/>
                <w:sz w:val="20"/>
                <w:szCs w:val="20"/>
              </w:rPr>
              <w:t>N</w:t>
            </w:r>
            <w:r w:rsidRPr="00B65E5E">
              <w:rPr>
                <w:rFonts w:ascii="Times New Roman" w:hAnsi="Times New Roman"/>
                <w:sz w:val="20"/>
                <w:szCs w:val="20"/>
              </w:rPr>
              <w:t>on</w:t>
            </w:r>
            <w:r>
              <w:rPr>
                <w:rFonts w:ascii="Times New Roman" w:hAnsi="Times New Roman"/>
                <w:sz w:val="20"/>
                <w:szCs w:val="20"/>
              </w:rPr>
              <w:t>E</w:t>
            </w:r>
            <w:r w:rsidRPr="00B65E5E">
              <w:rPr>
                <w:rFonts w:ascii="Times New Roman" w:hAnsi="Times New Roman"/>
                <w:sz w:val="20"/>
                <w:szCs w:val="20"/>
              </w:rPr>
              <w:t>n</w:t>
            </w:r>
            <w:r>
              <w:rPr>
                <w:rFonts w:ascii="Times New Roman" w:hAnsi="Times New Roman"/>
                <w:sz w:val="20"/>
                <w:szCs w:val="20"/>
              </w:rPr>
              <w:t>g</w:t>
            </w:r>
            <w:proofErr w:type="spellEnd"/>
          </w:p>
          <w:p w14:paraId="0CCFA22D"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ExpTC</w:t>
            </w:r>
            <w:proofErr w:type="spellEnd"/>
            <w:r w:rsidRPr="00B65E5E">
              <w:rPr>
                <w:rFonts w:ascii="Times New Roman" w:hAnsi="Times New Roman"/>
                <w:sz w:val="20"/>
                <w:szCs w:val="20"/>
              </w:rPr>
              <w:t>&gt;</w:t>
            </w:r>
          </w:p>
          <w:p w14:paraId="148D5FC2" w14:textId="77777777" w:rsidR="007C2A71"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N</w:t>
            </w:r>
            <w:r w:rsidRPr="00B65E5E">
              <w:rPr>
                <w:rFonts w:ascii="Times New Roman" w:hAnsi="Times New Roman"/>
                <w:sz w:val="20"/>
                <w:szCs w:val="20"/>
              </w:rPr>
              <w:t>onexpTC</w:t>
            </w:r>
            <w:proofErr w:type="spellEnd"/>
            <w:r w:rsidRPr="00B65E5E">
              <w:rPr>
                <w:rFonts w:ascii="Times New Roman" w:hAnsi="Times New Roman"/>
                <w:sz w:val="20"/>
                <w:szCs w:val="20"/>
              </w:rPr>
              <w:t xml:space="preserve">; Sci/Maths&gt;other subjects; </w:t>
            </w:r>
          </w:p>
          <w:p w14:paraId="0E9F4CED"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Eng</w:t>
            </w:r>
            <w:proofErr w:type="spellEnd"/>
            <w:r w:rsidRPr="00B65E5E">
              <w:rPr>
                <w:rFonts w:ascii="Times New Roman" w:hAnsi="Times New Roman"/>
                <w:sz w:val="20"/>
                <w:szCs w:val="20"/>
              </w:rPr>
              <w:t>&gt;</w:t>
            </w:r>
            <w:proofErr w:type="spellStart"/>
            <w:r>
              <w:rPr>
                <w:rFonts w:ascii="Times New Roman" w:hAnsi="Times New Roman"/>
                <w:sz w:val="20"/>
                <w:szCs w:val="20"/>
              </w:rPr>
              <w:t>N</w:t>
            </w:r>
            <w:r w:rsidRPr="00B65E5E">
              <w:rPr>
                <w:rFonts w:ascii="Times New Roman" w:hAnsi="Times New Roman"/>
                <w:sz w:val="20"/>
                <w:szCs w:val="20"/>
              </w:rPr>
              <w:t>on</w:t>
            </w:r>
            <w:r>
              <w:rPr>
                <w:rFonts w:ascii="Times New Roman" w:hAnsi="Times New Roman"/>
                <w:sz w:val="20"/>
                <w:szCs w:val="20"/>
              </w:rPr>
              <w:t>E</w:t>
            </w:r>
            <w:r w:rsidRPr="00B65E5E">
              <w:rPr>
                <w:rFonts w:ascii="Times New Roman" w:hAnsi="Times New Roman"/>
                <w:sz w:val="20"/>
                <w:szCs w:val="20"/>
              </w:rPr>
              <w:t>n</w:t>
            </w:r>
            <w:r>
              <w:rPr>
                <w:rFonts w:ascii="Times New Roman" w:hAnsi="Times New Roman"/>
                <w:sz w:val="20"/>
                <w:szCs w:val="20"/>
              </w:rPr>
              <w:t>g</w:t>
            </w:r>
            <w:proofErr w:type="spellEnd"/>
          </w:p>
          <w:p w14:paraId="1056E37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c>
          <w:tcPr>
            <w:tcW w:w="1559" w:type="dxa"/>
          </w:tcPr>
          <w:p w14:paraId="7060E4A8"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11 questions;</w:t>
            </w:r>
          </w:p>
          <w:p w14:paraId="5030E31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w:t>
            </w:r>
            <w:r>
              <w:rPr>
                <w:rFonts w:ascii="Times New Roman" w:hAnsi="Times New Roman"/>
                <w:sz w:val="20"/>
                <w:szCs w:val="20"/>
              </w:rPr>
              <w:t xml:space="preserve"> Confidence!</w:t>
            </w:r>
          </w:p>
        </w:tc>
        <w:tc>
          <w:tcPr>
            <w:tcW w:w="1984" w:type="dxa"/>
          </w:tcPr>
          <w:p w14:paraId="7E85A08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Enhance ABC practice</w:t>
            </w:r>
            <w:r>
              <w:rPr>
                <w:rFonts w:ascii="Times New Roman" w:hAnsi="Times New Roman"/>
                <w:sz w:val="20"/>
                <w:szCs w:val="20"/>
              </w:rPr>
              <w:t xml:space="preserve"> (.803)</w:t>
            </w:r>
          </w:p>
          <w:p w14:paraId="676C68CE" w14:textId="77777777" w:rsidR="007C2A71" w:rsidRPr="00B65E5E" w:rsidRDefault="007C2A71" w:rsidP="00310E2F">
            <w:pPr>
              <w:pStyle w:val="ListParagraph"/>
              <w:ind w:left="0"/>
              <w:rPr>
                <w:rFonts w:ascii="Times New Roman" w:hAnsi="Times New Roman"/>
                <w:sz w:val="20"/>
                <w:szCs w:val="20"/>
              </w:rPr>
            </w:pPr>
          </w:p>
          <w:p w14:paraId="44FD9A2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Engineering confidence</w:t>
            </w:r>
            <w:r>
              <w:rPr>
                <w:rFonts w:ascii="Times New Roman" w:hAnsi="Times New Roman"/>
                <w:sz w:val="20"/>
                <w:szCs w:val="20"/>
              </w:rPr>
              <w:t xml:space="preserve"> (.645)</w:t>
            </w:r>
          </w:p>
        </w:tc>
        <w:tc>
          <w:tcPr>
            <w:tcW w:w="1142" w:type="dxa"/>
          </w:tcPr>
          <w:p w14:paraId="500F928C"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4.32</w:t>
            </w:r>
            <w:r>
              <w:rPr>
                <w:rFonts w:ascii="Times New Roman" w:hAnsi="Times New Roman"/>
                <w:sz w:val="20"/>
                <w:szCs w:val="20"/>
              </w:rPr>
              <w:t xml:space="preserve"> (.504)</w:t>
            </w:r>
          </w:p>
          <w:p w14:paraId="0075F089" w14:textId="77777777" w:rsidR="007C2A71" w:rsidRPr="00B65E5E" w:rsidRDefault="007C2A71" w:rsidP="00310E2F">
            <w:pPr>
              <w:pStyle w:val="ListParagraph"/>
              <w:ind w:left="0"/>
              <w:rPr>
                <w:rFonts w:ascii="Times New Roman" w:hAnsi="Times New Roman"/>
                <w:sz w:val="20"/>
                <w:szCs w:val="20"/>
              </w:rPr>
            </w:pPr>
          </w:p>
          <w:p w14:paraId="47996BEB" w14:textId="77777777" w:rsidR="007C2A71" w:rsidRPr="00B65E5E" w:rsidRDefault="007C2A71" w:rsidP="00310E2F">
            <w:pPr>
              <w:pStyle w:val="ListParagraph"/>
              <w:ind w:left="0"/>
              <w:rPr>
                <w:rFonts w:ascii="Times New Roman" w:hAnsi="Times New Roman"/>
                <w:sz w:val="20"/>
                <w:szCs w:val="20"/>
              </w:rPr>
            </w:pPr>
          </w:p>
          <w:p w14:paraId="63CE0065"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4.20</w:t>
            </w:r>
            <w:r>
              <w:rPr>
                <w:rFonts w:ascii="Times New Roman" w:hAnsi="Times New Roman"/>
                <w:sz w:val="20"/>
                <w:szCs w:val="20"/>
              </w:rPr>
              <w:t xml:space="preserve"> (.572)</w:t>
            </w:r>
          </w:p>
        </w:tc>
        <w:tc>
          <w:tcPr>
            <w:tcW w:w="1552" w:type="dxa"/>
          </w:tcPr>
          <w:p w14:paraId="70F208D1"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Non-</w:t>
            </w:r>
            <w:proofErr w:type="spellStart"/>
            <w:r w:rsidRPr="00B65E5E">
              <w:rPr>
                <w:rFonts w:ascii="Times New Roman" w:hAnsi="Times New Roman"/>
                <w:sz w:val="20"/>
                <w:szCs w:val="20"/>
              </w:rPr>
              <w:t>teachTC</w:t>
            </w:r>
            <w:proofErr w:type="spellEnd"/>
            <w:r w:rsidRPr="00B65E5E">
              <w:rPr>
                <w:rFonts w:ascii="Times New Roman" w:hAnsi="Times New Roman"/>
                <w:sz w:val="20"/>
                <w:szCs w:val="20"/>
              </w:rPr>
              <w:t>&gt;</w:t>
            </w:r>
          </w:p>
          <w:p w14:paraId="104929DF" w14:textId="77777777" w:rsidR="007C2A71"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TeachingTC</w:t>
            </w:r>
            <w:proofErr w:type="spellEnd"/>
            <w:r w:rsidRPr="00B65E5E">
              <w:rPr>
                <w:rFonts w:ascii="Times New Roman" w:hAnsi="Times New Roman"/>
                <w:sz w:val="20"/>
                <w:szCs w:val="20"/>
              </w:rPr>
              <w:t>;</w:t>
            </w:r>
          </w:p>
          <w:p w14:paraId="61D811DF" w14:textId="77777777" w:rsidR="007C2A71" w:rsidRPr="00B65E5E"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E</w:t>
            </w:r>
            <w:r w:rsidRPr="00B65E5E">
              <w:rPr>
                <w:rFonts w:ascii="Times New Roman" w:hAnsi="Times New Roman"/>
                <w:sz w:val="20"/>
                <w:szCs w:val="20"/>
              </w:rPr>
              <w:t>ng</w:t>
            </w:r>
            <w:proofErr w:type="spellEnd"/>
            <w:r w:rsidRPr="00B65E5E">
              <w:rPr>
                <w:rFonts w:ascii="Times New Roman" w:hAnsi="Times New Roman"/>
                <w:sz w:val="20"/>
                <w:szCs w:val="20"/>
              </w:rPr>
              <w:t>&gt;</w:t>
            </w:r>
            <w:proofErr w:type="spellStart"/>
            <w:r>
              <w:rPr>
                <w:rFonts w:ascii="Times New Roman" w:hAnsi="Times New Roman"/>
                <w:sz w:val="20"/>
                <w:szCs w:val="20"/>
              </w:rPr>
              <w:t>N</w:t>
            </w:r>
            <w:r w:rsidRPr="00B65E5E">
              <w:rPr>
                <w:rFonts w:ascii="Times New Roman" w:hAnsi="Times New Roman"/>
                <w:sz w:val="20"/>
                <w:szCs w:val="20"/>
              </w:rPr>
              <w:t>on</w:t>
            </w:r>
            <w:r>
              <w:rPr>
                <w:rFonts w:ascii="Times New Roman" w:hAnsi="Times New Roman"/>
                <w:sz w:val="20"/>
                <w:szCs w:val="20"/>
              </w:rPr>
              <w:t>E</w:t>
            </w:r>
            <w:r w:rsidRPr="00B65E5E">
              <w:rPr>
                <w:rFonts w:ascii="Times New Roman" w:hAnsi="Times New Roman"/>
                <w:sz w:val="20"/>
                <w:szCs w:val="20"/>
              </w:rPr>
              <w:t>n</w:t>
            </w:r>
            <w:r>
              <w:rPr>
                <w:rFonts w:ascii="Times New Roman" w:hAnsi="Times New Roman"/>
                <w:sz w:val="20"/>
                <w:szCs w:val="20"/>
              </w:rPr>
              <w:t>g</w:t>
            </w:r>
            <w:proofErr w:type="spellEnd"/>
          </w:p>
          <w:p w14:paraId="39328B4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Male&gt;female</w:t>
            </w:r>
          </w:p>
        </w:tc>
      </w:tr>
      <w:tr w:rsidR="007C2A71" w:rsidRPr="00B65E5E" w14:paraId="66C663BF" w14:textId="77777777" w:rsidTr="00310E2F">
        <w:tc>
          <w:tcPr>
            <w:tcW w:w="2269" w:type="dxa"/>
          </w:tcPr>
          <w:p w14:paraId="37621BF9"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I</w:t>
            </w:r>
            <w:r w:rsidRPr="00B65E5E">
              <w:rPr>
                <w:rFonts w:ascii="Times New Roman" w:hAnsi="Times New Roman"/>
                <w:sz w:val="20"/>
                <w:szCs w:val="20"/>
              </w:rPr>
              <w:t>mpact of ABC</w:t>
            </w:r>
          </w:p>
        </w:tc>
        <w:tc>
          <w:tcPr>
            <w:tcW w:w="1559" w:type="dxa"/>
          </w:tcPr>
          <w:p w14:paraId="49D7F99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9 questions; 7-pt Likert</w:t>
            </w:r>
            <w:r>
              <w:rPr>
                <w:rFonts w:ascii="Times New Roman" w:hAnsi="Times New Roman"/>
                <w:sz w:val="20"/>
                <w:szCs w:val="20"/>
              </w:rPr>
              <w:t>*</w:t>
            </w:r>
          </w:p>
        </w:tc>
        <w:tc>
          <w:tcPr>
            <w:tcW w:w="1985" w:type="dxa"/>
          </w:tcPr>
          <w:p w14:paraId="7D8F29C3"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I</w:t>
            </w:r>
            <w:r w:rsidRPr="00B65E5E">
              <w:rPr>
                <w:rFonts w:ascii="Times New Roman" w:hAnsi="Times New Roman"/>
                <w:sz w:val="20"/>
                <w:szCs w:val="20"/>
              </w:rPr>
              <w:t>mpact of ABC</w:t>
            </w:r>
            <w:r>
              <w:rPr>
                <w:rFonts w:ascii="Times New Roman" w:hAnsi="Times New Roman"/>
                <w:sz w:val="20"/>
                <w:szCs w:val="20"/>
              </w:rPr>
              <w:t xml:space="preserve"> (.863)</w:t>
            </w:r>
          </w:p>
        </w:tc>
        <w:tc>
          <w:tcPr>
            <w:tcW w:w="1221" w:type="dxa"/>
          </w:tcPr>
          <w:p w14:paraId="78420D1B"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2.44</w:t>
            </w:r>
            <w:r>
              <w:rPr>
                <w:rFonts w:ascii="Times New Roman" w:hAnsi="Times New Roman"/>
                <w:sz w:val="20"/>
                <w:szCs w:val="20"/>
              </w:rPr>
              <w:t xml:space="preserve"> (.689)</w:t>
            </w:r>
          </w:p>
        </w:tc>
        <w:tc>
          <w:tcPr>
            <w:tcW w:w="1756" w:type="dxa"/>
          </w:tcPr>
          <w:p w14:paraId="18FDBAF9"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PreNC</w:t>
            </w:r>
            <w:proofErr w:type="spellEnd"/>
            <w:r w:rsidRPr="00B65E5E">
              <w:rPr>
                <w:rFonts w:ascii="Times New Roman" w:hAnsi="Times New Roman"/>
                <w:sz w:val="20"/>
                <w:szCs w:val="20"/>
              </w:rPr>
              <w:t>&gt;NC</w:t>
            </w:r>
          </w:p>
        </w:tc>
        <w:tc>
          <w:tcPr>
            <w:tcW w:w="1559" w:type="dxa"/>
          </w:tcPr>
          <w:p w14:paraId="58FAA72A"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7 questions;</w:t>
            </w:r>
          </w:p>
          <w:p w14:paraId="22EBE5C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1984" w:type="dxa"/>
          </w:tcPr>
          <w:p w14:paraId="4ED9DB6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Impact</w:t>
            </w:r>
            <w:r>
              <w:rPr>
                <w:rFonts w:ascii="Times New Roman" w:hAnsi="Times New Roman"/>
                <w:sz w:val="20"/>
                <w:szCs w:val="20"/>
              </w:rPr>
              <w:t xml:space="preserve"> (.707)</w:t>
            </w:r>
          </w:p>
        </w:tc>
        <w:tc>
          <w:tcPr>
            <w:tcW w:w="1142" w:type="dxa"/>
          </w:tcPr>
          <w:p w14:paraId="16C1EFE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1.99</w:t>
            </w:r>
            <w:r>
              <w:rPr>
                <w:rFonts w:ascii="Times New Roman" w:hAnsi="Times New Roman"/>
                <w:sz w:val="20"/>
                <w:szCs w:val="20"/>
              </w:rPr>
              <w:t xml:space="preserve"> (.514)</w:t>
            </w:r>
          </w:p>
        </w:tc>
        <w:tc>
          <w:tcPr>
            <w:tcW w:w="1552" w:type="dxa"/>
          </w:tcPr>
          <w:p w14:paraId="291D5EB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Chem&gt;</w:t>
            </w:r>
            <w:r>
              <w:rPr>
                <w:rFonts w:ascii="Times New Roman" w:hAnsi="Times New Roman"/>
                <w:sz w:val="20"/>
                <w:szCs w:val="20"/>
              </w:rPr>
              <w:t>O</w:t>
            </w:r>
            <w:r w:rsidRPr="00B65E5E">
              <w:rPr>
                <w:rFonts w:ascii="Times New Roman" w:hAnsi="Times New Roman"/>
                <w:sz w:val="20"/>
                <w:szCs w:val="20"/>
              </w:rPr>
              <w:t>thers</w:t>
            </w:r>
          </w:p>
        </w:tc>
      </w:tr>
    </w:tbl>
    <w:p w14:paraId="63ED801C" w14:textId="77777777" w:rsidR="007C2A71" w:rsidRDefault="007C2A71" w:rsidP="007C2A71">
      <w:pPr>
        <w:pStyle w:val="ListParagraph"/>
        <w:ind w:left="0"/>
        <w:rPr>
          <w:rFonts w:ascii="Times New Roman" w:hAnsi="Times New Roman"/>
          <w:sz w:val="20"/>
          <w:szCs w:val="20"/>
        </w:rPr>
      </w:pPr>
      <w:r>
        <w:rPr>
          <w:rFonts w:ascii="Times New Roman" w:hAnsi="Times New Roman"/>
          <w:sz w:val="20"/>
          <w:szCs w:val="20"/>
        </w:rPr>
        <w:t>*All Likert scaled as: 1 = strongest agreement; high score = strongest disagreement</w:t>
      </w:r>
    </w:p>
    <w:p w14:paraId="29589754" w14:textId="77777777" w:rsidR="007C2A71" w:rsidRDefault="007C2A71" w:rsidP="007C2A71">
      <w:pPr>
        <w:pStyle w:val="ListParagraph"/>
        <w:ind w:left="0"/>
        <w:rPr>
          <w:rFonts w:ascii="Times New Roman" w:hAnsi="Times New Roman"/>
          <w:sz w:val="20"/>
          <w:szCs w:val="20"/>
        </w:rPr>
      </w:pPr>
      <w:r>
        <w:rPr>
          <w:rFonts w:ascii="Times New Roman" w:hAnsi="Times New Roman"/>
          <w:sz w:val="20"/>
          <w:szCs w:val="20"/>
        </w:rPr>
        <w:t>**Some of the alpha reliabilities reported are lower than normally included, these factors are included as they may be of interest to readers</w:t>
      </w:r>
    </w:p>
    <w:p w14:paraId="46B22D3C" w14:textId="77777777" w:rsidR="007C2A71" w:rsidRDefault="007C2A71" w:rsidP="007C2A71">
      <w:pPr>
        <w:pStyle w:val="ListParagraph"/>
        <w:ind w:left="0"/>
        <w:rPr>
          <w:rFonts w:ascii="Times New Roman" w:hAnsi="Times New Roman"/>
          <w:sz w:val="20"/>
          <w:szCs w:val="20"/>
        </w:rPr>
      </w:pPr>
      <w:r>
        <w:rPr>
          <w:rFonts w:ascii="Times New Roman" w:hAnsi="Times New Roman"/>
          <w:sz w:val="20"/>
          <w:szCs w:val="20"/>
        </w:rPr>
        <w:lastRenderedPageBreak/>
        <w:t xml:space="preserve">^Frequency of activity scaled as: 1 = never participated in this activity; 5 = participated more than 10 times </w:t>
      </w:r>
    </w:p>
    <w:p w14:paraId="3C7E27B8" w14:textId="77777777" w:rsidR="007C2A71" w:rsidRDefault="007C2A71" w:rsidP="007C2A71">
      <w:pPr>
        <w:pStyle w:val="ListParagraph"/>
        <w:ind w:left="0"/>
        <w:rPr>
          <w:rFonts w:ascii="Times New Roman" w:hAnsi="Times New Roman"/>
          <w:sz w:val="20"/>
          <w:szCs w:val="20"/>
        </w:rPr>
      </w:pPr>
      <w:r>
        <w:rPr>
          <w:rFonts w:ascii="Times New Roman" w:hAnsi="Times New Roman"/>
          <w:sz w:val="20"/>
          <w:szCs w:val="20"/>
        </w:rPr>
        <w:t>!Confidence scaled as: 1 = not confident at all; 11 = extremely confident</w:t>
      </w:r>
    </w:p>
    <w:p w14:paraId="4EC69E47" w14:textId="77777777" w:rsidR="007C2A71" w:rsidRPr="00B65E5E" w:rsidRDefault="007C2A71" w:rsidP="007C2A71">
      <w:pPr>
        <w:pStyle w:val="ListParagraph"/>
        <w:ind w:left="0"/>
        <w:rPr>
          <w:rFonts w:ascii="Times New Roman" w:hAnsi="Times New Roman"/>
          <w:sz w:val="20"/>
          <w:szCs w:val="20"/>
        </w:rPr>
      </w:pPr>
      <w:r>
        <w:rPr>
          <w:rFonts w:ascii="Times New Roman" w:hAnsi="Times New Roman"/>
          <w:sz w:val="20"/>
          <w:szCs w:val="20"/>
        </w:rPr>
        <w:t xml:space="preserve">Abbreviations: </w:t>
      </w:r>
      <w:proofErr w:type="spellStart"/>
      <w:r>
        <w:rPr>
          <w:rFonts w:ascii="Times New Roman" w:hAnsi="Times New Roman"/>
          <w:sz w:val="20"/>
          <w:szCs w:val="20"/>
        </w:rPr>
        <w:t>PreNC</w:t>
      </w:r>
      <w:proofErr w:type="spellEnd"/>
      <w:r>
        <w:rPr>
          <w:rFonts w:ascii="Times New Roman" w:hAnsi="Times New Roman"/>
          <w:sz w:val="20"/>
          <w:szCs w:val="20"/>
        </w:rPr>
        <w:t xml:space="preserve"> (</w:t>
      </w:r>
      <w:proofErr w:type="spellStart"/>
      <w:r>
        <w:rPr>
          <w:rFonts w:ascii="Times New Roman" w:hAnsi="Times New Roman"/>
          <w:sz w:val="20"/>
          <w:szCs w:val="20"/>
        </w:rPr>
        <w:t>PreNational</w:t>
      </w:r>
      <w:proofErr w:type="spellEnd"/>
      <w:r>
        <w:rPr>
          <w:rFonts w:ascii="Times New Roman" w:hAnsi="Times New Roman"/>
          <w:sz w:val="20"/>
          <w:szCs w:val="20"/>
        </w:rPr>
        <w:t xml:space="preserve"> Curriculum), NC (National Curriculum), Exp (Experienced), </w:t>
      </w:r>
      <w:proofErr w:type="spellStart"/>
      <w:r>
        <w:rPr>
          <w:rFonts w:ascii="Times New Roman" w:hAnsi="Times New Roman"/>
          <w:sz w:val="20"/>
          <w:szCs w:val="20"/>
        </w:rPr>
        <w:t>Nonexp</w:t>
      </w:r>
      <w:proofErr w:type="spellEnd"/>
      <w:r>
        <w:rPr>
          <w:rFonts w:ascii="Times New Roman" w:hAnsi="Times New Roman"/>
          <w:sz w:val="20"/>
          <w:szCs w:val="20"/>
        </w:rPr>
        <w:t xml:space="preserve"> (</w:t>
      </w:r>
      <w:proofErr w:type="spellStart"/>
      <w:r>
        <w:rPr>
          <w:rFonts w:ascii="Times New Roman" w:hAnsi="Times New Roman"/>
          <w:sz w:val="20"/>
          <w:szCs w:val="20"/>
        </w:rPr>
        <w:t>Nonexperienced</w:t>
      </w:r>
      <w:proofErr w:type="spellEnd"/>
      <w:r>
        <w:rPr>
          <w:rFonts w:ascii="Times New Roman" w:hAnsi="Times New Roman"/>
          <w:sz w:val="20"/>
          <w:szCs w:val="20"/>
        </w:rPr>
        <w:t xml:space="preserve">), </w:t>
      </w:r>
      <w:proofErr w:type="spellStart"/>
      <w:r>
        <w:rPr>
          <w:rFonts w:ascii="Times New Roman" w:hAnsi="Times New Roman"/>
          <w:sz w:val="20"/>
          <w:szCs w:val="20"/>
        </w:rPr>
        <w:t>Eng</w:t>
      </w:r>
      <w:proofErr w:type="spellEnd"/>
      <w:r>
        <w:rPr>
          <w:rFonts w:ascii="Times New Roman" w:hAnsi="Times New Roman"/>
          <w:sz w:val="20"/>
          <w:szCs w:val="20"/>
        </w:rPr>
        <w:t xml:space="preserve"> (Engineer), </w:t>
      </w:r>
      <w:proofErr w:type="spellStart"/>
      <w:r>
        <w:rPr>
          <w:rFonts w:ascii="Times New Roman" w:hAnsi="Times New Roman"/>
          <w:sz w:val="20"/>
          <w:szCs w:val="20"/>
        </w:rPr>
        <w:t>NonEng</w:t>
      </w:r>
      <w:proofErr w:type="spellEnd"/>
      <w:r>
        <w:rPr>
          <w:rFonts w:ascii="Times New Roman" w:hAnsi="Times New Roman"/>
          <w:sz w:val="20"/>
          <w:szCs w:val="20"/>
        </w:rPr>
        <w:t xml:space="preserve"> (Non-Engineer), </w:t>
      </w:r>
      <w:proofErr w:type="spellStart"/>
      <w:r>
        <w:rPr>
          <w:rFonts w:ascii="Times New Roman" w:hAnsi="Times New Roman"/>
          <w:sz w:val="20"/>
          <w:szCs w:val="20"/>
        </w:rPr>
        <w:t>Biol</w:t>
      </w:r>
      <w:proofErr w:type="spellEnd"/>
      <w:r>
        <w:rPr>
          <w:rFonts w:ascii="Times New Roman" w:hAnsi="Times New Roman"/>
          <w:sz w:val="20"/>
          <w:szCs w:val="20"/>
        </w:rPr>
        <w:t xml:space="preserve"> (Biology), Chem (Chemistry), Others (other curriculum subjects)</w:t>
      </w:r>
    </w:p>
    <w:p w14:paraId="34B2DADE" w14:textId="77777777" w:rsidR="007C2A71" w:rsidRPr="00B65E5E" w:rsidRDefault="007C2A71" w:rsidP="007C2A71">
      <w:pPr>
        <w:rPr>
          <w:sz w:val="20"/>
          <w:szCs w:val="20"/>
        </w:rPr>
      </w:pPr>
    </w:p>
    <w:p w14:paraId="4C833EA7" w14:textId="77777777" w:rsidR="007C2A71" w:rsidRDefault="007C2A71" w:rsidP="007C2A71">
      <w:pPr>
        <w:rPr>
          <w:sz w:val="20"/>
          <w:szCs w:val="20"/>
        </w:rPr>
      </w:pPr>
      <w:r>
        <w:rPr>
          <w:sz w:val="20"/>
          <w:szCs w:val="20"/>
        </w:rPr>
        <w:br w:type="page"/>
      </w:r>
    </w:p>
    <w:p w14:paraId="62077BDC" w14:textId="77777777" w:rsidR="007C2A71" w:rsidRPr="00B65E5E" w:rsidRDefault="007C2A71" w:rsidP="007C2A71">
      <w:pPr>
        <w:rPr>
          <w:sz w:val="20"/>
          <w:szCs w:val="20"/>
        </w:rPr>
      </w:pPr>
      <w:r w:rsidRPr="00B65E5E">
        <w:rPr>
          <w:sz w:val="20"/>
          <w:szCs w:val="20"/>
        </w:rPr>
        <w:lastRenderedPageBreak/>
        <w:t>Table 2: Teachers: Question groupings</w:t>
      </w:r>
      <w:r>
        <w:rPr>
          <w:sz w:val="20"/>
          <w:szCs w:val="20"/>
        </w:rPr>
        <w:t xml:space="preserve"> and items</w:t>
      </w:r>
      <w:r w:rsidRPr="00B65E5E">
        <w:rPr>
          <w:sz w:val="20"/>
          <w:szCs w:val="20"/>
        </w:rPr>
        <w:t xml:space="preserve">, </w:t>
      </w:r>
      <w:r>
        <w:rPr>
          <w:sz w:val="20"/>
          <w:szCs w:val="20"/>
        </w:rPr>
        <w:t>items</w:t>
      </w:r>
      <w:r w:rsidRPr="00B65E5E">
        <w:rPr>
          <w:sz w:val="20"/>
          <w:szCs w:val="20"/>
        </w:rPr>
        <w:t xml:space="preserve"> per </w:t>
      </w:r>
      <w:r>
        <w:rPr>
          <w:sz w:val="20"/>
          <w:szCs w:val="20"/>
        </w:rPr>
        <w:t>grouping</w:t>
      </w:r>
      <w:r w:rsidRPr="00B65E5E">
        <w:rPr>
          <w:sz w:val="20"/>
          <w:szCs w:val="20"/>
        </w:rPr>
        <w:t>, response type and factors</w:t>
      </w:r>
      <w:r>
        <w:rPr>
          <w:sz w:val="20"/>
          <w:szCs w:val="20"/>
        </w:rPr>
        <w:t xml:space="preserve"> for Cohorts 1 and 2</w:t>
      </w:r>
    </w:p>
    <w:p w14:paraId="5427960A" w14:textId="77777777" w:rsidR="007C2A71" w:rsidRPr="00B65E5E" w:rsidRDefault="007C2A71" w:rsidP="007C2A71">
      <w:pPr>
        <w:pStyle w:val="ListParagraph"/>
        <w:ind w:left="0"/>
        <w:rPr>
          <w:rFonts w:ascii="Times New Roman" w:hAnsi="Times New Roman"/>
          <w:sz w:val="20"/>
          <w:szCs w:val="20"/>
        </w:rPr>
      </w:pPr>
    </w:p>
    <w:tbl>
      <w:tblPr>
        <w:tblStyle w:val="TableGrid"/>
        <w:tblW w:w="15027" w:type="dxa"/>
        <w:tblInd w:w="-431" w:type="dxa"/>
        <w:tblLook w:val="04A0" w:firstRow="1" w:lastRow="0" w:firstColumn="1" w:lastColumn="0" w:noHBand="0" w:noVBand="1"/>
      </w:tblPr>
      <w:tblGrid>
        <w:gridCol w:w="2267"/>
        <w:gridCol w:w="1546"/>
        <w:gridCol w:w="1961"/>
        <w:gridCol w:w="1222"/>
        <w:gridCol w:w="1571"/>
        <w:gridCol w:w="1545"/>
        <w:gridCol w:w="2096"/>
        <w:gridCol w:w="1121"/>
        <w:gridCol w:w="1698"/>
      </w:tblGrid>
      <w:tr w:rsidR="007C2A71" w:rsidRPr="00B65E5E" w14:paraId="35CEF190" w14:textId="77777777" w:rsidTr="00310E2F">
        <w:tc>
          <w:tcPr>
            <w:tcW w:w="2269" w:type="dxa"/>
          </w:tcPr>
          <w:p w14:paraId="0DB3E5C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Question group</w:t>
            </w:r>
            <w:r>
              <w:rPr>
                <w:rFonts w:ascii="Times New Roman" w:hAnsi="Times New Roman"/>
                <w:sz w:val="20"/>
                <w:szCs w:val="20"/>
              </w:rPr>
              <w:t>ings</w:t>
            </w:r>
          </w:p>
        </w:tc>
        <w:tc>
          <w:tcPr>
            <w:tcW w:w="1559" w:type="dxa"/>
          </w:tcPr>
          <w:p w14:paraId="498315E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Cohort 1</w:t>
            </w:r>
          </w:p>
        </w:tc>
        <w:tc>
          <w:tcPr>
            <w:tcW w:w="1985" w:type="dxa"/>
          </w:tcPr>
          <w:p w14:paraId="44ED10FF" w14:textId="77777777" w:rsidR="007C2A71" w:rsidRPr="00B65E5E" w:rsidRDefault="007C2A71" w:rsidP="00310E2F">
            <w:pPr>
              <w:pStyle w:val="ListParagraph"/>
              <w:ind w:left="0"/>
              <w:rPr>
                <w:rFonts w:ascii="Times New Roman" w:hAnsi="Times New Roman"/>
                <w:sz w:val="20"/>
                <w:szCs w:val="20"/>
              </w:rPr>
            </w:pPr>
          </w:p>
        </w:tc>
        <w:tc>
          <w:tcPr>
            <w:tcW w:w="1239" w:type="dxa"/>
          </w:tcPr>
          <w:p w14:paraId="55B1CFB1" w14:textId="77777777" w:rsidR="007C2A71" w:rsidRPr="00B65E5E" w:rsidRDefault="007C2A71" w:rsidP="00310E2F">
            <w:pPr>
              <w:pStyle w:val="ListParagraph"/>
              <w:ind w:left="0"/>
              <w:rPr>
                <w:rFonts w:ascii="Times New Roman" w:hAnsi="Times New Roman"/>
                <w:sz w:val="20"/>
                <w:szCs w:val="20"/>
              </w:rPr>
            </w:pPr>
          </w:p>
        </w:tc>
        <w:tc>
          <w:tcPr>
            <w:tcW w:w="1454" w:type="dxa"/>
          </w:tcPr>
          <w:p w14:paraId="217996F7" w14:textId="77777777" w:rsidR="007C2A71" w:rsidRPr="00B65E5E" w:rsidRDefault="007C2A71" w:rsidP="00310E2F">
            <w:pPr>
              <w:pStyle w:val="ListParagraph"/>
              <w:ind w:left="0"/>
              <w:rPr>
                <w:rFonts w:ascii="Times New Roman" w:hAnsi="Times New Roman"/>
                <w:sz w:val="20"/>
                <w:szCs w:val="20"/>
              </w:rPr>
            </w:pPr>
          </w:p>
        </w:tc>
        <w:tc>
          <w:tcPr>
            <w:tcW w:w="1559" w:type="dxa"/>
          </w:tcPr>
          <w:p w14:paraId="50A1372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Cohort 2</w:t>
            </w:r>
          </w:p>
        </w:tc>
        <w:tc>
          <w:tcPr>
            <w:tcW w:w="2127" w:type="dxa"/>
          </w:tcPr>
          <w:p w14:paraId="53CDC090" w14:textId="77777777" w:rsidR="007C2A71" w:rsidRPr="00B65E5E" w:rsidRDefault="007C2A71" w:rsidP="00310E2F">
            <w:pPr>
              <w:pStyle w:val="ListParagraph"/>
              <w:ind w:left="0"/>
              <w:rPr>
                <w:rFonts w:ascii="Times New Roman" w:hAnsi="Times New Roman"/>
                <w:sz w:val="20"/>
                <w:szCs w:val="20"/>
              </w:rPr>
            </w:pPr>
          </w:p>
        </w:tc>
        <w:tc>
          <w:tcPr>
            <w:tcW w:w="1134" w:type="dxa"/>
          </w:tcPr>
          <w:p w14:paraId="176135A6" w14:textId="77777777" w:rsidR="007C2A71" w:rsidRPr="00B65E5E" w:rsidRDefault="007C2A71" w:rsidP="00310E2F">
            <w:pPr>
              <w:pStyle w:val="ListParagraph"/>
              <w:ind w:left="0"/>
              <w:rPr>
                <w:rFonts w:ascii="Times New Roman" w:hAnsi="Times New Roman"/>
                <w:sz w:val="20"/>
                <w:szCs w:val="20"/>
              </w:rPr>
            </w:pPr>
          </w:p>
        </w:tc>
        <w:tc>
          <w:tcPr>
            <w:tcW w:w="1701" w:type="dxa"/>
          </w:tcPr>
          <w:p w14:paraId="0753D2E9" w14:textId="77777777" w:rsidR="007C2A71" w:rsidRPr="00B65E5E" w:rsidRDefault="007C2A71" w:rsidP="00310E2F">
            <w:pPr>
              <w:pStyle w:val="ListParagraph"/>
              <w:ind w:left="0"/>
              <w:rPr>
                <w:rFonts w:ascii="Times New Roman" w:hAnsi="Times New Roman"/>
                <w:sz w:val="20"/>
                <w:szCs w:val="20"/>
              </w:rPr>
            </w:pPr>
          </w:p>
        </w:tc>
      </w:tr>
      <w:tr w:rsidR="007C2A71" w:rsidRPr="00B65E5E" w14:paraId="16BF0E38" w14:textId="77777777" w:rsidTr="00310E2F">
        <w:tc>
          <w:tcPr>
            <w:tcW w:w="2269" w:type="dxa"/>
          </w:tcPr>
          <w:p w14:paraId="5F15EEA3" w14:textId="77777777" w:rsidR="007C2A71" w:rsidRPr="00B65E5E" w:rsidRDefault="007C2A71" w:rsidP="00310E2F">
            <w:pPr>
              <w:pStyle w:val="ListParagraph"/>
              <w:ind w:left="0"/>
              <w:rPr>
                <w:rFonts w:ascii="Times New Roman" w:hAnsi="Times New Roman"/>
                <w:sz w:val="20"/>
                <w:szCs w:val="20"/>
              </w:rPr>
            </w:pPr>
          </w:p>
        </w:tc>
        <w:tc>
          <w:tcPr>
            <w:tcW w:w="1559" w:type="dxa"/>
          </w:tcPr>
          <w:p w14:paraId="6770CE6F"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Item</w:t>
            </w:r>
            <w:r w:rsidRPr="00B65E5E">
              <w:rPr>
                <w:rFonts w:ascii="Times New Roman" w:hAnsi="Times New Roman"/>
                <w:sz w:val="20"/>
                <w:szCs w:val="20"/>
              </w:rPr>
              <w:t>s per</w:t>
            </w:r>
          </w:p>
          <w:p w14:paraId="6DAC75C0"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group</w:t>
            </w:r>
            <w:r>
              <w:rPr>
                <w:rFonts w:ascii="Times New Roman" w:hAnsi="Times New Roman"/>
                <w:sz w:val="20"/>
                <w:szCs w:val="20"/>
              </w:rPr>
              <w:t>ing</w:t>
            </w:r>
            <w:r w:rsidRPr="00B65E5E">
              <w:rPr>
                <w:rFonts w:ascii="Times New Roman" w:hAnsi="Times New Roman"/>
                <w:sz w:val="20"/>
                <w:szCs w:val="20"/>
              </w:rPr>
              <w:t>;</w:t>
            </w:r>
          </w:p>
          <w:p w14:paraId="0C2E498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Response type</w:t>
            </w:r>
          </w:p>
        </w:tc>
        <w:tc>
          <w:tcPr>
            <w:tcW w:w="1985" w:type="dxa"/>
          </w:tcPr>
          <w:p w14:paraId="66C68BF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Factors identified per group</w:t>
            </w:r>
            <w:r>
              <w:rPr>
                <w:rFonts w:ascii="Times New Roman" w:hAnsi="Times New Roman"/>
                <w:sz w:val="20"/>
                <w:szCs w:val="20"/>
              </w:rPr>
              <w:t>ing (reliability**)</w:t>
            </w:r>
          </w:p>
        </w:tc>
        <w:tc>
          <w:tcPr>
            <w:tcW w:w="1239" w:type="dxa"/>
          </w:tcPr>
          <w:p w14:paraId="69F5569A"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Factor</w:t>
            </w:r>
            <w:r>
              <w:rPr>
                <w:rFonts w:ascii="Times New Roman" w:hAnsi="Times New Roman"/>
                <w:sz w:val="20"/>
                <w:szCs w:val="20"/>
              </w:rPr>
              <w:t xml:space="preserve"> (mean)</w:t>
            </w:r>
          </w:p>
        </w:tc>
        <w:tc>
          <w:tcPr>
            <w:tcW w:w="1454" w:type="dxa"/>
          </w:tcPr>
          <w:p w14:paraId="04084F28"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D</w:t>
            </w:r>
            <w:r w:rsidRPr="00B65E5E">
              <w:rPr>
                <w:rFonts w:ascii="Times New Roman" w:hAnsi="Times New Roman"/>
                <w:sz w:val="20"/>
                <w:szCs w:val="20"/>
              </w:rPr>
              <w:t>emographic</w:t>
            </w:r>
          </w:p>
          <w:p w14:paraId="4DD152A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differences</w:t>
            </w:r>
          </w:p>
        </w:tc>
        <w:tc>
          <w:tcPr>
            <w:tcW w:w="1559" w:type="dxa"/>
          </w:tcPr>
          <w:p w14:paraId="725C8F15"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Item</w:t>
            </w:r>
            <w:r w:rsidRPr="00B65E5E">
              <w:rPr>
                <w:rFonts w:ascii="Times New Roman" w:hAnsi="Times New Roman"/>
                <w:sz w:val="20"/>
                <w:szCs w:val="20"/>
              </w:rPr>
              <w:t>s per</w:t>
            </w:r>
          </w:p>
          <w:p w14:paraId="63E9FE3B"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group</w:t>
            </w:r>
            <w:r>
              <w:rPr>
                <w:rFonts w:ascii="Times New Roman" w:hAnsi="Times New Roman"/>
                <w:sz w:val="20"/>
                <w:szCs w:val="20"/>
              </w:rPr>
              <w:t>ing</w:t>
            </w:r>
            <w:r w:rsidRPr="00B65E5E">
              <w:rPr>
                <w:rFonts w:ascii="Times New Roman" w:hAnsi="Times New Roman"/>
                <w:sz w:val="20"/>
                <w:szCs w:val="20"/>
              </w:rPr>
              <w:t>;</w:t>
            </w:r>
          </w:p>
          <w:p w14:paraId="22CB02F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Response type</w:t>
            </w:r>
          </w:p>
        </w:tc>
        <w:tc>
          <w:tcPr>
            <w:tcW w:w="2127" w:type="dxa"/>
          </w:tcPr>
          <w:p w14:paraId="613D75E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Factors identified per group</w:t>
            </w:r>
            <w:r>
              <w:rPr>
                <w:rFonts w:ascii="Times New Roman" w:hAnsi="Times New Roman"/>
                <w:sz w:val="20"/>
                <w:szCs w:val="20"/>
              </w:rPr>
              <w:t>ing (reliability**)</w:t>
            </w:r>
          </w:p>
        </w:tc>
        <w:tc>
          <w:tcPr>
            <w:tcW w:w="1134" w:type="dxa"/>
          </w:tcPr>
          <w:p w14:paraId="0DE1E7C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 xml:space="preserve">Factor </w:t>
            </w:r>
            <w:r>
              <w:rPr>
                <w:rFonts w:ascii="Times New Roman" w:hAnsi="Times New Roman"/>
                <w:sz w:val="20"/>
                <w:szCs w:val="20"/>
              </w:rPr>
              <w:t>(</w:t>
            </w:r>
            <w:r w:rsidRPr="00B65E5E">
              <w:rPr>
                <w:rFonts w:ascii="Times New Roman" w:hAnsi="Times New Roman"/>
                <w:sz w:val="20"/>
                <w:szCs w:val="20"/>
              </w:rPr>
              <w:t>mean</w:t>
            </w:r>
            <w:r>
              <w:rPr>
                <w:rFonts w:ascii="Times New Roman" w:hAnsi="Times New Roman"/>
                <w:sz w:val="20"/>
                <w:szCs w:val="20"/>
              </w:rPr>
              <w:t>)</w:t>
            </w:r>
          </w:p>
        </w:tc>
        <w:tc>
          <w:tcPr>
            <w:tcW w:w="1701" w:type="dxa"/>
          </w:tcPr>
          <w:p w14:paraId="2E859F9A"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D</w:t>
            </w:r>
            <w:r w:rsidRPr="00B65E5E">
              <w:rPr>
                <w:rFonts w:ascii="Times New Roman" w:hAnsi="Times New Roman"/>
                <w:sz w:val="20"/>
                <w:szCs w:val="20"/>
              </w:rPr>
              <w:t>emographic</w:t>
            </w:r>
          </w:p>
          <w:p w14:paraId="5748966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differences</w:t>
            </w:r>
          </w:p>
        </w:tc>
      </w:tr>
      <w:tr w:rsidR="007C2A71" w:rsidRPr="00B65E5E" w14:paraId="4AE56020" w14:textId="77777777" w:rsidTr="00310E2F">
        <w:tc>
          <w:tcPr>
            <w:tcW w:w="2269" w:type="dxa"/>
          </w:tcPr>
          <w:p w14:paraId="3A91262D"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Joining</w:t>
            </w:r>
            <w:r w:rsidRPr="00B65E5E">
              <w:rPr>
                <w:rFonts w:ascii="Times New Roman" w:hAnsi="Times New Roman"/>
                <w:sz w:val="20"/>
                <w:szCs w:val="20"/>
              </w:rPr>
              <w:t xml:space="preserve"> ABC</w:t>
            </w:r>
          </w:p>
        </w:tc>
        <w:tc>
          <w:tcPr>
            <w:tcW w:w="1559" w:type="dxa"/>
          </w:tcPr>
          <w:p w14:paraId="6D727026"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8 questions;</w:t>
            </w:r>
          </w:p>
          <w:p w14:paraId="5A455FE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3-pt Likert</w:t>
            </w:r>
            <w:r>
              <w:rPr>
                <w:rFonts w:ascii="Times New Roman" w:hAnsi="Times New Roman"/>
                <w:sz w:val="20"/>
                <w:szCs w:val="20"/>
              </w:rPr>
              <w:t>*</w:t>
            </w:r>
          </w:p>
        </w:tc>
        <w:tc>
          <w:tcPr>
            <w:tcW w:w="1985" w:type="dxa"/>
          </w:tcPr>
          <w:p w14:paraId="327D3C18"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C</w:t>
            </w:r>
            <w:r w:rsidRPr="00B65E5E">
              <w:rPr>
                <w:rFonts w:ascii="Times New Roman" w:hAnsi="Times New Roman"/>
                <w:sz w:val="20"/>
                <w:szCs w:val="20"/>
              </w:rPr>
              <w:t>ommitment to STEM</w:t>
            </w:r>
            <w:r>
              <w:rPr>
                <w:rFonts w:ascii="Times New Roman" w:hAnsi="Times New Roman"/>
                <w:sz w:val="20"/>
                <w:szCs w:val="20"/>
              </w:rPr>
              <w:t xml:space="preserve"> (.733)</w:t>
            </w:r>
          </w:p>
          <w:p w14:paraId="0977456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Engineering &amp; Industry</w:t>
            </w:r>
            <w:r>
              <w:rPr>
                <w:rFonts w:ascii="Times New Roman" w:hAnsi="Times New Roman"/>
                <w:sz w:val="20"/>
                <w:szCs w:val="20"/>
              </w:rPr>
              <w:t xml:space="preserve"> (.496)</w:t>
            </w:r>
          </w:p>
        </w:tc>
        <w:tc>
          <w:tcPr>
            <w:tcW w:w="1239" w:type="dxa"/>
          </w:tcPr>
          <w:p w14:paraId="3FAD59DA"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1.76 (.413)</w:t>
            </w:r>
          </w:p>
          <w:p w14:paraId="785CE233" w14:textId="77777777" w:rsidR="007C2A71" w:rsidRPr="00B65E5E" w:rsidRDefault="007C2A71" w:rsidP="00310E2F">
            <w:pPr>
              <w:pStyle w:val="ListParagraph"/>
              <w:ind w:left="0"/>
              <w:rPr>
                <w:rFonts w:ascii="Times New Roman" w:hAnsi="Times New Roman"/>
                <w:sz w:val="20"/>
                <w:szCs w:val="20"/>
              </w:rPr>
            </w:pPr>
          </w:p>
          <w:p w14:paraId="1E5EAED9"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2.23 (.598)</w:t>
            </w:r>
          </w:p>
        </w:tc>
        <w:tc>
          <w:tcPr>
            <w:tcW w:w="1454" w:type="dxa"/>
          </w:tcPr>
          <w:p w14:paraId="3166791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p w14:paraId="43408BC0" w14:textId="77777777" w:rsidR="007C2A71" w:rsidRPr="00B65E5E" w:rsidRDefault="007C2A71" w:rsidP="00310E2F">
            <w:pPr>
              <w:pStyle w:val="ListParagraph"/>
              <w:ind w:left="0"/>
              <w:rPr>
                <w:rFonts w:ascii="Times New Roman" w:hAnsi="Times New Roman"/>
                <w:sz w:val="20"/>
                <w:szCs w:val="20"/>
              </w:rPr>
            </w:pPr>
          </w:p>
          <w:p w14:paraId="1E3E0C29"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Eng</w:t>
            </w:r>
            <w:proofErr w:type="spellEnd"/>
            <w:r w:rsidRPr="00B65E5E">
              <w:rPr>
                <w:rFonts w:ascii="Times New Roman" w:hAnsi="Times New Roman"/>
                <w:sz w:val="20"/>
                <w:szCs w:val="20"/>
              </w:rPr>
              <w:t>&gt;</w:t>
            </w:r>
            <w:proofErr w:type="spellStart"/>
            <w:r>
              <w:rPr>
                <w:rFonts w:ascii="Times New Roman" w:hAnsi="Times New Roman"/>
                <w:sz w:val="20"/>
                <w:szCs w:val="20"/>
              </w:rPr>
              <w:t>N</w:t>
            </w:r>
            <w:r w:rsidRPr="00B65E5E">
              <w:rPr>
                <w:rFonts w:ascii="Times New Roman" w:hAnsi="Times New Roman"/>
                <w:sz w:val="20"/>
                <w:szCs w:val="20"/>
              </w:rPr>
              <w:t>on</w:t>
            </w:r>
            <w:r>
              <w:rPr>
                <w:rFonts w:ascii="Times New Roman" w:hAnsi="Times New Roman"/>
                <w:sz w:val="20"/>
                <w:szCs w:val="20"/>
              </w:rPr>
              <w:t>E</w:t>
            </w:r>
            <w:r w:rsidRPr="00B65E5E">
              <w:rPr>
                <w:rFonts w:ascii="Times New Roman" w:hAnsi="Times New Roman"/>
                <w:sz w:val="20"/>
                <w:szCs w:val="20"/>
              </w:rPr>
              <w:t>ng</w:t>
            </w:r>
            <w:proofErr w:type="spellEnd"/>
          </w:p>
        </w:tc>
        <w:tc>
          <w:tcPr>
            <w:tcW w:w="1559" w:type="dxa"/>
          </w:tcPr>
          <w:p w14:paraId="4D653857" w14:textId="7B4E4745"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 xml:space="preserve">7 </w:t>
            </w:r>
            <w:r w:rsidR="00A32783" w:rsidRPr="00B65E5E">
              <w:rPr>
                <w:rFonts w:ascii="Times New Roman" w:hAnsi="Times New Roman"/>
                <w:sz w:val="20"/>
                <w:szCs w:val="20"/>
              </w:rPr>
              <w:t>questions</w:t>
            </w:r>
            <w:r w:rsidRPr="00B65E5E">
              <w:rPr>
                <w:rFonts w:ascii="Times New Roman" w:hAnsi="Times New Roman"/>
                <w:sz w:val="20"/>
                <w:szCs w:val="20"/>
              </w:rPr>
              <w:t>;</w:t>
            </w:r>
          </w:p>
          <w:p w14:paraId="3F2F4B54"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3-pt Likert</w:t>
            </w:r>
            <w:r>
              <w:rPr>
                <w:rFonts w:ascii="Times New Roman" w:hAnsi="Times New Roman"/>
                <w:sz w:val="20"/>
                <w:szCs w:val="20"/>
              </w:rPr>
              <w:t>*</w:t>
            </w:r>
          </w:p>
        </w:tc>
        <w:tc>
          <w:tcPr>
            <w:tcW w:w="2127" w:type="dxa"/>
          </w:tcPr>
          <w:p w14:paraId="1469BAAC"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General STEM experience</w:t>
            </w:r>
            <w:r>
              <w:rPr>
                <w:rFonts w:ascii="Times New Roman" w:hAnsi="Times New Roman"/>
                <w:sz w:val="20"/>
                <w:szCs w:val="20"/>
              </w:rPr>
              <w:t xml:space="preserve"> (.681)</w:t>
            </w:r>
          </w:p>
          <w:p w14:paraId="372B1434"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STEM pedagogy</w:t>
            </w:r>
            <w:r>
              <w:rPr>
                <w:rFonts w:ascii="Times New Roman" w:hAnsi="Times New Roman"/>
                <w:sz w:val="20"/>
                <w:szCs w:val="20"/>
              </w:rPr>
              <w:t xml:space="preserve"> (.660)</w:t>
            </w:r>
          </w:p>
        </w:tc>
        <w:tc>
          <w:tcPr>
            <w:tcW w:w="1134" w:type="dxa"/>
          </w:tcPr>
          <w:p w14:paraId="0AB2DFD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1.59</w:t>
            </w:r>
            <w:r>
              <w:rPr>
                <w:rFonts w:ascii="Times New Roman" w:hAnsi="Times New Roman"/>
                <w:sz w:val="20"/>
                <w:szCs w:val="20"/>
              </w:rPr>
              <w:t xml:space="preserve"> (.420)</w:t>
            </w:r>
          </w:p>
          <w:p w14:paraId="0B410F00" w14:textId="77777777" w:rsidR="007C2A71" w:rsidRPr="00B65E5E" w:rsidRDefault="007C2A71" w:rsidP="00310E2F">
            <w:pPr>
              <w:pStyle w:val="ListParagraph"/>
              <w:ind w:left="0"/>
              <w:rPr>
                <w:rFonts w:ascii="Times New Roman" w:hAnsi="Times New Roman"/>
                <w:sz w:val="20"/>
                <w:szCs w:val="20"/>
              </w:rPr>
            </w:pPr>
          </w:p>
          <w:p w14:paraId="59E91DB5"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1.52</w:t>
            </w:r>
            <w:r>
              <w:rPr>
                <w:rFonts w:ascii="Times New Roman" w:hAnsi="Times New Roman"/>
                <w:sz w:val="20"/>
                <w:szCs w:val="20"/>
              </w:rPr>
              <w:t xml:space="preserve"> (.494)</w:t>
            </w:r>
          </w:p>
        </w:tc>
        <w:tc>
          <w:tcPr>
            <w:tcW w:w="1701" w:type="dxa"/>
          </w:tcPr>
          <w:p w14:paraId="5F25971F"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Hi</w:t>
            </w:r>
            <w:r>
              <w:rPr>
                <w:rFonts w:ascii="Times New Roman" w:hAnsi="Times New Roman"/>
                <w:sz w:val="20"/>
                <w:szCs w:val="20"/>
              </w:rPr>
              <w:t>Net</w:t>
            </w:r>
            <w:proofErr w:type="spellEnd"/>
            <w:r w:rsidRPr="00B65E5E">
              <w:rPr>
                <w:rFonts w:ascii="Times New Roman" w:hAnsi="Times New Roman"/>
                <w:sz w:val="20"/>
                <w:szCs w:val="20"/>
              </w:rPr>
              <w:t xml:space="preserve">&gt; </w:t>
            </w:r>
            <w:proofErr w:type="spellStart"/>
            <w:r>
              <w:rPr>
                <w:rFonts w:ascii="Times New Roman" w:hAnsi="Times New Roman"/>
                <w:sz w:val="20"/>
                <w:szCs w:val="20"/>
              </w:rPr>
              <w:t>L</w:t>
            </w:r>
            <w:r w:rsidRPr="00B65E5E">
              <w:rPr>
                <w:rFonts w:ascii="Times New Roman" w:hAnsi="Times New Roman"/>
                <w:sz w:val="20"/>
                <w:szCs w:val="20"/>
              </w:rPr>
              <w:t>ow</w:t>
            </w:r>
            <w:r>
              <w:rPr>
                <w:rFonts w:ascii="Times New Roman" w:hAnsi="Times New Roman"/>
                <w:sz w:val="20"/>
                <w:szCs w:val="20"/>
              </w:rPr>
              <w:t>Net</w:t>
            </w:r>
            <w:proofErr w:type="spellEnd"/>
          </w:p>
          <w:p w14:paraId="40236F75" w14:textId="77777777" w:rsidR="007C2A71" w:rsidRDefault="007C2A71" w:rsidP="00310E2F">
            <w:pPr>
              <w:pStyle w:val="ListParagraph"/>
              <w:ind w:left="0"/>
              <w:rPr>
                <w:rFonts w:ascii="Times New Roman" w:hAnsi="Times New Roman"/>
                <w:sz w:val="20"/>
                <w:szCs w:val="20"/>
              </w:rPr>
            </w:pPr>
          </w:p>
          <w:p w14:paraId="2A77A443"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w:t>
            </w:r>
          </w:p>
        </w:tc>
      </w:tr>
      <w:tr w:rsidR="007C2A71" w:rsidRPr="00B65E5E" w14:paraId="5E8D57C0" w14:textId="77777777" w:rsidTr="00310E2F">
        <w:tc>
          <w:tcPr>
            <w:tcW w:w="2269" w:type="dxa"/>
          </w:tcPr>
          <w:p w14:paraId="5CA597E5"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Experience of ABC</w:t>
            </w:r>
          </w:p>
        </w:tc>
        <w:tc>
          <w:tcPr>
            <w:tcW w:w="1559" w:type="dxa"/>
          </w:tcPr>
          <w:p w14:paraId="57C11816"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9</w:t>
            </w:r>
            <w:r w:rsidRPr="00B65E5E">
              <w:rPr>
                <w:rFonts w:ascii="Times New Roman" w:hAnsi="Times New Roman"/>
                <w:sz w:val="20"/>
                <w:szCs w:val="20"/>
              </w:rPr>
              <w:t xml:space="preserve"> questions;</w:t>
            </w:r>
          </w:p>
          <w:p w14:paraId="25C5F36A"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1985" w:type="dxa"/>
          </w:tcPr>
          <w:p w14:paraId="3617E0CE"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Pedagogic confidence</w:t>
            </w:r>
            <w:r>
              <w:rPr>
                <w:rFonts w:ascii="Times New Roman" w:hAnsi="Times New Roman"/>
                <w:sz w:val="20"/>
                <w:szCs w:val="20"/>
              </w:rPr>
              <w:t xml:space="preserve"> (.872)</w:t>
            </w:r>
          </w:p>
        </w:tc>
        <w:tc>
          <w:tcPr>
            <w:tcW w:w="1239" w:type="dxa"/>
          </w:tcPr>
          <w:p w14:paraId="4D181A9F"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2.11 (.619)</w:t>
            </w:r>
          </w:p>
          <w:p w14:paraId="30C23329" w14:textId="77777777" w:rsidR="007C2A71" w:rsidRPr="00B65E5E" w:rsidRDefault="007C2A71" w:rsidP="00310E2F">
            <w:pPr>
              <w:pStyle w:val="ListParagraph"/>
              <w:ind w:left="0"/>
              <w:rPr>
                <w:rFonts w:ascii="Times New Roman" w:hAnsi="Times New Roman"/>
                <w:sz w:val="20"/>
                <w:szCs w:val="20"/>
              </w:rPr>
            </w:pPr>
          </w:p>
        </w:tc>
        <w:tc>
          <w:tcPr>
            <w:tcW w:w="1454" w:type="dxa"/>
          </w:tcPr>
          <w:p w14:paraId="253166DD"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Non</w:t>
            </w:r>
            <w:r>
              <w:rPr>
                <w:rFonts w:ascii="Times New Roman" w:hAnsi="Times New Roman"/>
                <w:sz w:val="20"/>
                <w:szCs w:val="20"/>
              </w:rPr>
              <w:t>E</w:t>
            </w:r>
            <w:r w:rsidRPr="00B65E5E">
              <w:rPr>
                <w:rFonts w:ascii="Times New Roman" w:hAnsi="Times New Roman"/>
                <w:sz w:val="20"/>
                <w:szCs w:val="20"/>
              </w:rPr>
              <w:t>ng</w:t>
            </w:r>
            <w:proofErr w:type="spellEnd"/>
            <w:r w:rsidRPr="00B65E5E">
              <w:rPr>
                <w:rFonts w:ascii="Times New Roman" w:hAnsi="Times New Roman"/>
                <w:sz w:val="20"/>
                <w:szCs w:val="20"/>
              </w:rPr>
              <w:t>&gt;</w:t>
            </w:r>
            <w:proofErr w:type="spellStart"/>
            <w:r w:rsidRPr="00B65E5E">
              <w:rPr>
                <w:rFonts w:ascii="Times New Roman" w:hAnsi="Times New Roman"/>
                <w:sz w:val="20"/>
                <w:szCs w:val="20"/>
              </w:rPr>
              <w:t>Eng</w:t>
            </w:r>
            <w:proofErr w:type="spellEnd"/>
          </w:p>
          <w:p w14:paraId="73440440" w14:textId="77777777" w:rsidR="007C2A71" w:rsidRPr="00B65E5E" w:rsidRDefault="007C2A71" w:rsidP="00310E2F">
            <w:pPr>
              <w:pStyle w:val="ListParagraph"/>
              <w:ind w:left="0"/>
              <w:rPr>
                <w:rFonts w:ascii="Times New Roman" w:hAnsi="Times New Roman"/>
                <w:sz w:val="20"/>
                <w:szCs w:val="20"/>
              </w:rPr>
            </w:pPr>
          </w:p>
        </w:tc>
        <w:tc>
          <w:tcPr>
            <w:tcW w:w="1559" w:type="dxa"/>
          </w:tcPr>
          <w:p w14:paraId="1363EE88"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6 questions;</w:t>
            </w:r>
          </w:p>
          <w:p w14:paraId="7BC2A4CE"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2127" w:type="dxa"/>
          </w:tcPr>
          <w:p w14:paraId="7539650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Teaching support</w:t>
            </w:r>
            <w:r>
              <w:rPr>
                <w:rFonts w:ascii="Times New Roman" w:hAnsi="Times New Roman"/>
                <w:sz w:val="20"/>
                <w:szCs w:val="20"/>
              </w:rPr>
              <w:t xml:space="preserve"> (.845)</w:t>
            </w:r>
          </w:p>
        </w:tc>
        <w:tc>
          <w:tcPr>
            <w:tcW w:w="1134" w:type="dxa"/>
          </w:tcPr>
          <w:p w14:paraId="35E5907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1.69</w:t>
            </w:r>
            <w:r>
              <w:rPr>
                <w:rFonts w:ascii="Times New Roman" w:hAnsi="Times New Roman"/>
                <w:sz w:val="20"/>
                <w:szCs w:val="20"/>
              </w:rPr>
              <w:t xml:space="preserve"> (.577)</w:t>
            </w:r>
          </w:p>
        </w:tc>
        <w:tc>
          <w:tcPr>
            <w:tcW w:w="1701" w:type="dxa"/>
          </w:tcPr>
          <w:p w14:paraId="42E4E83F"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Exp</w:t>
            </w:r>
            <w:r>
              <w:rPr>
                <w:rFonts w:ascii="Times New Roman" w:hAnsi="Times New Roman"/>
                <w:sz w:val="20"/>
                <w:szCs w:val="20"/>
              </w:rPr>
              <w:t>T</w:t>
            </w:r>
            <w:r w:rsidRPr="00B65E5E">
              <w:rPr>
                <w:rFonts w:ascii="Times New Roman" w:hAnsi="Times New Roman"/>
                <w:sz w:val="20"/>
                <w:szCs w:val="20"/>
              </w:rPr>
              <w:t>eachers</w:t>
            </w:r>
            <w:proofErr w:type="spellEnd"/>
            <w:r w:rsidRPr="00B65E5E">
              <w:rPr>
                <w:rFonts w:ascii="Times New Roman" w:hAnsi="Times New Roman"/>
                <w:sz w:val="20"/>
                <w:szCs w:val="20"/>
              </w:rPr>
              <w:t>&gt;</w:t>
            </w:r>
          </w:p>
          <w:p w14:paraId="62AE94BF" w14:textId="77777777" w:rsidR="007C2A71" w:rsidRPr="00B65E5E"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N</w:t>
            </w:r>
            <w:r w:rsidRPr="00B65E5E">
              <w:rPr>
                <w:rFonts w:ascii="Times New Roman" w:hAnsi="Times New Roman"/>
                <w:sz w:val="20"/>
                <w:szCs w:val="20"/>
              </w:rPr>
              <w:t>onexp</w:t>
            </w:r>
            <w:r>
              <w:rPr>
                <w:rFonts w:ascii="Times New Roman" w:hAnsi="Times New Roman"/>
                <w:sz w:val="20"/>
                <w:szCs w:val="20"/>
              </w:rPr>
              <w:t>T</w:t>
            </w:r>
            <w:r w:rsidRPr="00B65E5E">
              <w:rPr>
                <w:rFonts w:ascii="Times New Roman" w:hAnsi="Times New Roman"/>
                <w:sz w:val="20"/>
                <w:szCs w:val="20"/>
              </w:rPr>
              <w:t>eachers</w:t>
            </w:r>
            <w:proofErr w:type="spellEnd"/>
          </w:p>
        </w:tc>
      </w:tr>
      <w:tr w:rsidR="007C2A71" w:rsidRPr="00B65E5E" w14:paraId="263F873B" w14:textId="77777777" w:rsidTr="00310E2F">
        <w:tc>
          <w:tcPr>
            <w:tcW w:w="2269" w:type="dxa"/>
          </w:tcPr>
          <w:p w14:paraId="6F6C3DF5"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Experience of STEM education</w:t>
            </w:r>
          </w:p>
        </w:tc>
        <w:tc>
          <w:tcPr>
            <w:tcW w:w="1559" w:type="dxa"/>
          </w:tcPr>
          <w:p w14:paraId="2691DEB6"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2</w:t>
            </w:r>
            <w:r>
              <w:rPr>
                <w:rFonts w:ascii="Times New Roman" w:hAnsi="Times New Roman"/>
                <w:sz w:val="20"/>
                <w:szCs w:val="20"/>
              </w:rPr>
              <w:t>5</w:t>
            </w:r>
            <w:r w:rsidRPr="00B65E5E">
              <w:rPr>
                <w:rFonts w:ascii="Times New Roman" w:hAnsi="Times New Roman"/>
                <w:sz w:val="20"/>
                <w:szCs w:val="20"/>
              </w:rPr>
              <w:t xml:space="preserve"> questions;</w:t>
            </w:r>
          </w:p>
          <w:p w14:paraId="4519A59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1985" w:type="dxa"/>
          </w:tcPr>
          <w:p w14:paraId="03F2518C"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Inclusivity (.798)</w:t>
            </w:r>
          </w:p>
          <w:p w14:paraId="022F2A7A"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S</w:t>
            </w:r>
            <w:r w:rsidRPr="00B65E5E">
              <w:rPr>
                <w:rFonts w:ascii="Times New Roman" w:hAnsi="Times New Roman"/>
                <w:sz w:val="20"/>
                <w:szCs w:val="20"/>
              </w:rPr>
              <w:t xml:space="preserve">tudent </w:t>
            </w:r>
            <w:r>
              <w:rPr>
                <w:rFonts w:ascii="Times New Roman" w:hAnsi="Times New Roman"/>
                <w:sz w:val="20"/>
                <w:szCs w:val="20"/>
              </w:rPr>
              <w:t xml:space="preserve">STEM </w:t>
            </w:r>
            <w:r w:rsidRPr="00B65E5E">
              <w:rPr>
                <w:rFonts w:ascii="Times New Roman" w:hAnsi="Times New Roman"/>
                <w:sz w:val="20"/>
                <w:szCs w:val="20"/>
              </w:rPr>
              <w:t>autonomy</w:t>
            </w:r>
            <w:r>
              <w:rPr>
                <w:rFonts w:ascii="Times New Roman" w:hAnsi="Times New Roman"/>
                <w:sz w:val="20"/>
                <w:szCs w:val="20"/>
              </w:rPr>
              <w:t xml:space="preserve"> (.463)</w:t>
            </w:r>
          </w:p>
        </w:tc>
        <w:tc>
          <w:tcPr>
            <w:tcW w:w="1239" w:type="dxa"/>
          </w:tcPr>
          <w:p w14:paraId="667D29CA"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3.30 (.677)</w:t>
            </w:r>
          </w:p>
          <w:p w14:paraId="6AB90F50"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1.87 (.455)</w:t>
            </w:r>
          </w:p>
        </w:tc>
        <w:tc>
          <w:tcPr>
            <w:tcW w:w="1454" w:type="dxa"/>
          </w:tcPr>
          <w:p w14:paraId="588D543E"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p w14:paraId="40E5A2BE"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c>
          <w:tcPr>
            <w:tcW w:w="1559" w:type="dxa"/>
          </w:tcPr>
          <w:p w14:paraId="44A13328"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15 questions;</w:t>
            </w:r>
          </w:p>
          <w:p w14:paraId="7734611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Likert</w:t>
            </w:r>
            <w:r>
              <w:rPr>
                <w:rFonts w:ascii="Times New Roman" w:hAnsi="Times New Roman"/>
                <w:sz w:val="20"/>
                <w:szCs w:val="20"/>
              </w:rPr>
              <w:t>*</w:t>
            </w:r>
          </w:p>
        </w:tc>
        <w:tc>
          <w:tcPr>
            <w:tcW w:w="2127" w:type="dxa"/>
          </w:tcPr>
          <w:p w14:paraId="2F7DAE3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Social inclusion</w:t>
            </w:r>
            <w:r>
              <w:rPr>
                <w:rFonts w:ascii="Times New Roman" w:hAnsi="Times New Roman"/>
                <w:sz w:val="20"/>
                <w:szCs w:val="20"/>
              </w:rPr>
              <w:t xml:space="preserve"> (.579)</w:t>
            </w:r>
          </w:p>
          <w:p w14:paraId="0391150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Social pedagogy</w:t>
            </w:r>
            <w:r>
              <w:rPr>
                <w:rFonts w:ascii="Times New Roman" w:hAnsi="Times New Roman"/>
                <w:sz w:val="20"/>
                <w:szCs w:val="20"/>
              </w:rPr>
              <w:t xml:space="preserve"> (.608)</w:t>
            </w:r>
          </w:p>
        </w:tc>
        <w:tc>
          <w:tcPr>
            <w:tcW w:w="1134" w:type="dxa"/>
          </w:tcPr>
          <w:p w14:paraId="6FE064F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3.95</w:t>
            </w:r>
            <w:r>
              <w:rPr>
                <w:rFonts w:ascii="Times New Roman" w:hAnsi="Times New Roman"/>
                <w:sz w:val="20"/>
                <w:szCs w:val="20"/>
              </w:rPr>
              <w:t xml:space="preserve"> (.519)</w:t>
            </w:r>
          </w:p>
          <w:p w14:paraId="0E8F27A3"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1.79</w:t>
            </w:r>
            <w:r>
              <w:rPr>
                <w:rFonts w:ascii="Times New Roman" w:hAnsi="Times New Roman"/>
                <w:sz w:val="20"/>
                <w:szCs w:val="20"/>
              </w:rPr>
              <w:t xml:space="preserve"> (.399)</w:t>
            </w:r>
          </w:p>
        </w:tc>
        <w:tc>
          <w:tcPr>
            <w:tcW w:w="1701" w:type="dxa"/>
          </w:tcPr>
          <w:p w14:paraId="24F05715"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p w14:paraId="3349835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r>
      <w:tr w:rsidR="007C2A71" w:rsidRPr="00B65E5E" w14:paraId="286AC99E" w14:textId="77777777" w:rsidTr="00310E2F">
        <w:tc>
          <w:tcPr>
            <w:tcW w:w="2269" w:type="dxa"/>
          </w:tcPr>
          <w:p w14:paraId="6E339CE0"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P</w:t>
            </w:r>
            <w:r w:rsidRPr="00B65E5E">
              <w:rPr>
                <w:rFonts w:ascii="Times New Roman" w:hAnsi="Times New Roman"/>
                <w:sz w:val="20"/>
                <w:szCs w:val="20"/>
              </w:rPr>
              <w:t>articipation in ABC</w:t>
            </w:r>
          </w:p>
          <w:p w14:paraId="4D16314A"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activities</w:t>
            </w:r>
          </w:p>
        </w:tc>
        <w:tc>
          <w:tcPr>
            <w:tcW w:w="1559" w:type="dxa"/>
          </w:tcPr>
          <w:p w14:paraId="676DBDB8"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w:t>
            </w:r>
            <w:r>
              <w:rPr>
                <w:rFonts w:ascii="Times New Roman" w:hAnsi="Times New Roman"/>
                <w:sz w:val="20"/>
                <w:szCs w:val="20"/>
              </w:rPr>
              <w:t>0</w:t>
            </w:r>
            <w:r w:rsidRPr="00B65E5E">
              <w:rPr>
                <w:rFonts w:ascii="Times New Roman" w:hAnsi="Times New Roman"/>
                <w:sz w:val="20"/>
                <w:szCs w:val="20"/>
              </w:rPr>
              <w:t xml:space="preserve"> questions;</w:t>
            </w:r>
          </w:p>
          <w:p w14:paraId="781433E0"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Frequency</w:t>
            </w:r>
            <w:r>
              <w:rPr>
                <w:rFonts w:ascii="Times New Roman" w:hAnsi="Times New Roman"/>
                <w:sz w:val="20"/>
                <w:szCs w:val="20"/>
              </w:rPr>
              <w:t>^</w:t>
            </w:r>
          </w:p>
        </w:tc>
        <w:tc>
          <w:tcPr>
            <w:tcW w:w="1985" w:type="dxa"/>
          </w:tcPr>
          <w:p w14:paraId="3A17182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ABC activity level</w:t>
            </w:r>
            <w:r>
              <w:rPr>
                <w:rFonts w:ascii="Times New Roman" w:hAnsi="Times New Roman"/>
                <w:sz w:val="20"/>
                <w:szCs w:val="20"/>
              </w:rPr>
              <w:t xml:space="preserve"> (.893)</w:t>
            </w:r>
          </w:p>
        </w:tc>
        <w:tc>
          <w:tcPr>
            <w:tcW w:w="1239" w:type="dxa"/>
          </w:tcPr>
          <w:p w14:paraId="2305784A"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1.92 (.737)</w:t>
            </w:r>
          </w:p>
        </w:tc>
        <w:tc>
          <w:tcPr>
            <w:tcW w:w="1454" w:type="dxa"/>
          </w:tcPr>
          <w:p w14:paraId="23E4819B"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Exp</w:t>
            </w:r>
            <w:r>
              <w:rPr>
                <w:rFonts w:ascii="Times New Roman" w:hAnsi="Times New Roman"/>
                <w:sz w:val="20"/>
                <w:szCs w:val="20"/>
              </w:rPr>
              <w:t>T</w:t>
            </w:r>
            <w:r w:rsidRPr="00B65E5E">
              <w:rPr>
                <w:rFonts w:ascii="Times New Roman" w:hAnsi="Times New Roman"/>
                <w:sz w:val="20"/>
                <w:szCs w:val="20"/>
              </w:rPr>
              <w:t>eachers</w:t>
            </w:r>
            <w:proofErr w:type="spellEnd"/>
            <w:r w:rsidRPr="00B65E5E">
              <w:rPr>
                <w:rFonts w:ascii="Times New Roman" w:hAnsi="Times New Roman"/>
                <w:sz w:val="20"/>
                <w:szCs w:val="20"/>
              </w:rPr>
              <w:t>&gt;</w:t>
            </w:r>
          </w:p>
          <w:p w14:paraId="104CDF2B" w14:textId="77777777" w:rsidR="007C2A71" w:rsidRPr="00B65E5E"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N</w:t>
            </w:r>
            <w:r w:rsidRPr="00B65E5E">
              <w:rPr>
                <w:rFonts w:ascii="Times New Roman" w:hAnsi="Times New Roman"/>
                <w:sz w:val="20"/>
                <w:szCs w:val="20"/>
              </w:rPr>
              <w:t>onexp</w:t>
            </w:r>
            <w:r>
              <w:rPr>
                <w:rFonts w:ascii="Times New Roman" w:hAnsi="Times New Roman"/>
                <w:sz w:val="20"/>
                <w:szCs w:val="20"/>
              </w:rPr>
              <w:t>T</w:t>
            </w:r>
            <w:r w:rsidRPr="00B65E5E">
              <w:rPr>
                <w:rFonts w:ascii="Times New Roman" w:hAnsi="Times New Roman"/>
                <w:sz w:val="20"/>
                <w:szCs w:val="20"/>
              </w:rPr>
              <w:t>eachers</w:t>
            </w:r>
            <w:proofErr w:type="spellEnd"/>
          </w:p>
        </w:tc>
        <w:tc>
          <w:tcPr>
            <w:tcW w:w="1559" w:type="dxa"/>
          </w:tcPr>
          <w:p w14:paraId="701A2F83"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7 questions;</w:t>
            </w:r>
          </w:p>
          <w:p w14:paraId="379DABF4"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w:t>
            </w:r>
            <w:r>
              <w:rPr>
                <w:rFonts w:ascii="Times New Roman" w:hAnsi="Times New Roman"/>
                <w:sz w:val="20"/>
                <w:szCs w:val="20"/>
              </w:rPr>
              <w:t xml:space="preserve"> Frequency^</w:t>
            </w:r>
          </w:p>
        </w:tc>
        <w:tc>
          <w:tcPr>
            <w:tcW w:w="2127" w:type="dxa"/>
          </w:tcPr>
          <w:p w14:paraId="36DA70C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Total activity</w:t>
            </w:r>
            <w:r>
              <w:rPr>
                <w:rFonts w:ascii="Times New Roman" w:hAnsi="Times New Roman"/>
                <w:sz w:val="20"/>
                <w:szCs w:val="20"/>
              </w:rPr>
              <w:t xml:space="preserve"> (.801)</w:t>
            </w:r>
          </w:p>
          <w:p w14:paraId="75247008" w14:textId="77777777" w:rsidR="007C2A71" w:rsidRPr="00B65E5E" w:rsidRDefault="007C2A71" w:rsidP="00310E2F">
            <w:pPr>
              <w:pStyle w:val="ListParagraph"/>
              <w:ind w:left="0"/>
              <w:rPr>
                <w:rFonts w:ascii="Times New Roman" w:hAnsi="Times New Roman"/>
                <w:sz w:val="20"/>
                <w:szCs w:val="20"/>
              </w:rPr>
            </w:pPr>
          </w:p>
          <w:p w14:paraId="11EACD88" w14:textId="77777777" w:rsidR="007C2A71" w:rsidRPr="00B65E5E" w:rsidRDefault="007C2A71" w:rsidP="00310E2F">
            <w:pPr>
              <w:pStyle w:val="ListParagraph"/>
              <w:ind w:left="0"/>
              <w:rPr>
                <w:rFonts w:ascii="Times New Roman" w:hAnsi="Times New Roman"/>
                <w:sz w:val="20"/>
                <w:szCs w:val="20"/>
              </w:rPr>
            </w:pPr>
          </w:p>
          <w:p w14:paraId="77DBA02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Use of resource boxes</w:t>
            </w:r>
            <w:r>
              <w:rPr>
                <w:rFonts w:ascii="Times New Roman" w:hAnsi="Times New Roman"/>
                <w:sz w:val="20"/>
                <w:szCs w:val="20"/>
              </w:rPr>
              <w:t xml:space="preserve"> (.831)</w:t>
            </w:r>
          </w:p>
        </w:tc>
        <w:tc>
          <w:tcPr>
            <w:tcW w:w="1134" w:type="dxa"/>
          </w:tcPr>
          <w:p w14:paraId="3F9C4938"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2.09</w:t>
            </w:r>
            <w:r>
              <w:rPr>
                <w:rFonts w:ascii="Times New Roman" w:hAnsi="Times New Roman"/>
                <w:sz w:val="20"/>
                <w:szCs w:val="20"/>
              </w:rPr>
              <w:t xml:space="preserve"> (.743)</w:t>
            </w:r>
          </w:p>
          <w:p w14:paraId="69B1BACA" w14:textId="77777777" w:rsidR="007C2A71" w:rsidRDefault="007C2A71" w:rsidP="00310E2F">
            <w:pPr>
              <w:pStyle w:val="ListParagraph"/>
              <w:ind w:left="0"/>
              <w:rPr>
                <w:rFonts w:ascii="Times New Roman" w:hAnsi="Times New Roman"/>
                <w:sz w:val="20"/>
                <w:szCs w:val="20"/>
              </w:rPr>
            </w:pPr>
          </w:p>
          <w:p w14:paraId="6257C23B" w14:textId="77777777" w:rsidR="007C2A71" w:rsidRDefault="007C2A71" w:rsidP="00310E2F">
            <w:pPr>
              <w:pStyle w:val="ListParagraph"/>
              <w:ind w:left="0"/>
              <w:rPr>
                <w:rFonts w:ascii="Times New Roman" w:hAnsi="Times New Roman"/>
                <w:sz w:val="20"/>
                <w:szCs w:val="20"/>
              </w:rPr>
            </w:pPr>
          </w:p>
          <w:p w14:paraId="5BC32C05"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2.11 (.921)</w:t>
            </w:r>
          </w:p>
        </w:tc>
        <w:tc>
          <w:tcPr>
            <w:tcW w:w="1701" w:type="dxa"/>
          </w:tcPr>
          <w:p w14:paraId="697CACCE"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Exp</w:t>
            </w:r>
            <w:r>
              <w:rPr>
                <w:rFonts w:ascii="Times New Roman" w:hAnsi="Times New Roman"/>
                <w:sz w:val="20"/>
                <w:szCs w:val="20"/>
              </w:rPr>
              <w:t>T</w:t>
            </w:r>
            <w:r w:rsidRPr="00B65E5E">
              <w:rPr>
                <w:rFonts w:ascii="Times New Roman" w:hAnsi="Times New Roman"/>
                <w:sz w:val="20"/>
                <w:szCs w:val="20"/>
              </w:rPr>
              <w:t>eachers</w:t>
            </w:r>
            <w:proofErr w:type="spellEnd"/>
            <w:r w:rsidRPr="00B65E5E">
              <w:rPr>
                <w:rFonts w:ascii="Times New Roman" w:hAnsi="Times New Roman"/>
                <w:sz w:val="20"/>
                <w:szCs w:val="20"/>
              </w:rPr>
              <w:t xml:space="preserve">&gt; </w:t>
            </w:r>
          </w:p>
          <w:p w14:paraId="6EFE57BD" w14:textId="77777777" w:rsidR="007C2A71"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N</w:t>
            </w:r>
            <w:r w:rsidRPr="00B65E5E">
              <w:rPr>
                <w:rFonts w:ascii="Times New Roman" w:hAnsi="Times New Roman"/>
                <w:sz w:val="20"/>
                <w:szCs w:val="20"/>
              </w:rPr>
              <w:t>onexp</w:t>
            </w:r>
            <w:r>
              <w:rPr>
                <w:rFonts w:ascii="Times New Roman" w:hAnsi="Times New Roman"/>
                <w:sz w:val="20"/>
                <w:szCs w:val="20"/>
              </w:rPr>
              <w:t>T</w:t>
            </w:r>
            <w:r w:rsidRPr="00B65E5E">
              <w:rPr>
                <w:rFonts w:ascii="Times New Roman" w:hAnsi="Times New Roman"/>
                <w:sz w:val="20"/>
                <w:szCs w:val="20"/>
              </w:rPr>
              <w:t>eachers</w:t>
            </w:r>
            <w:proofErr w:type="spellEnd"/>
            <w:r w:rsidRPr="00B65E5E">
              <w:rPr>
                <w:rFonts w:ascii="Times New Roman" w:hAnsi="Times New Roman"/>
                <w:sz w:val="20"/>
                <w:szCs w:val="20"/>
              </w:rPr>
              <w:t>;</w:t>
            </w:r>
          </w:p>
          <w:p w14:paraId="2E78E5FF" w14:textId="77777777" w:rsidR="007C2A71" w:rsidRPr="00B65E5E"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Hi</w:t>
            </w:r>
            <w:r>
              <w:rPr>
                <w:rFonts w:ascii="Times New Roman" w:hAnsi="Times New Roman"/>
                <w:sz w:val="20"/>
                <w:szCs w:val="20"/>
              </w:rPr>
              <w:t>Net</w:t>
            </w:r>
            <w:proofErr w:type="spellEnd"/>
            <w:r w:rsidRPr="00B65E5E">
              <w:rPr>
                <w:rFonts w:ascii="Times New Roman" w:hAnsi="Times New Roman"/>
                <w:sz w:val="20"/>
                <w:szCs w:val="20"/>
              </w:rPr>
              <w:t xml:space="preserve">&gt; </w:t>
            </w:r>
            <w:proofErr w:type="spellStart"/>
            <w:r>
              <w:rPr>
                <w:rFonts w:ascii="Times New Roman" w:hAnsi="Times New Roman"/>
                <w:sz w:val="20"/>
                <w:szCs w:val="20"/>
              </w:rPr>
              <w:t>LowNet</w:t>
            </w:r>
            <w:proofErr w:type="spellEnd"/>
          </w:p>
          <w:p w14:paraId="6F1C36A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r>
      <w:tr w:rsidR="007C2A71" w:rsidRPr="00B65E5E" w14:paraId="6DF88794" w14:textId="77777777" w:rsidTr="00310E2F">
        <w:tc>
          <w:tcPr>
            <w:tcW w:w="2269" w:type="dxa"/>
          </w:tcPr>
          <w:p w14:paraId="23C5778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Confidence</w:t>
            </w:r>
            <w:r>
              <w:rPr>
                <w:rFonts w:ascii="Times New Roman" w:hAnsi="Times New Roman"/>
                <w:sz w:val="20"/>
                <w:szCs w:val="20"/>
              </w:rPr>
              <w:t>/Competence</w:t>
            </w:r>
            <w:r w:rsidRPr="00B65E5E">
              <w:rPr>
                <w:rFonts w:ascii="Times New Roman" w:hAnsi="Times New Roman"/>
                <w:sz w:val="20"/>
                <w:szCs w:val="20"/>
              </w:rPr>
              <w:t xml:space="preserve"> in promoting STEM and Engineering</w:t>
            </w:r>
          </w:p>
        </w:tc>
        <w:tc>
          <w:tcPr>
            <w:tcW w:w="1559" w:type="dxa"/>
          </w:tcPr>
          <w:p w14:paraId="69887586"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2</w:t>
            </w:r>
            <w:r>
              <w:rPr>
                <w:rFonts w:ascii="Times New Roman" w:hAnsi="Times New Roman"/>
                <w:sz w:val="20"/>
                <w:szCs w:val="20"/>
              </w:rPr>
              <w:t>4</w:t>
            </w:r>
            <w:r w:rsidRPr="00B65E5E">
              <w:rPr>
                <w:rFonts w:ascii="Times New Roman" w:hAnsi="Times New Roman"/>
                <w:sz w:val="20"/>
                <w:szCs w:val="20"/>
              </w:rPr>
              <w:t xml:space="preserve"> questions;</w:t>
            </w:r>
          </w:p>
          <w:p w14:paraId="331187F2"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11-pt Confidence</w:t>
            </w:r>
            <w:r>
              <w:rPr>
                <w:rFonts w:ascii="Times New Roman" w:hAnsi="Times New Roman"/>
                <w:sz w:val="20"/>
                <w:szCs w:val="20"/>
              </w:rPr>
              <w:t>!</w:t>
            </w:r>
          </w:p>
        </w:tc>
        <w:tc>
          <w:tcPr>
            <w:tcW w:w="1985" w:type="dxa"/>
          </w:tcPr>
          <w:p w14:paraId="429928D4"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Universal STEM efficacy</w:t>
            </w:r>
            <w:r>
              <w:rPr>
                <w:rFonts w:ascii="Times New Roman" w:hAnsi="Times New Roman"/>
                <w:sz w:val="20"/>
                <w:szCs w:val="20"/>
              </w:rPr>
              <w:t xml:space="preserve"> (.958)</w:t>
            </w:r>
          </w:p>
          <w:p w14:paraId="08C025A9" w14:textId="77777777" w:rsidR="007C2A71" w:rsidRPr="00B65E5E" w:rsidRDefault="007C2A71" w:rsidP="00310E2F">
            <w:pPr>
              <w:pStyle w:val="ListParagraph"/>
              <w:ind w:left="0"/>
              <w:rPr>
                <w:rFonts w:ascii="Times New Roman" w:hAnsi="Times New Roman"/>
                <w:sz w:val="20"/>
                <w:szCs w:val="20"/>
              </w:rPr>
            </w:pPr>
          </w:p>
          <w:p w14:paraId="4E71734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Develop students’ scientific understanding</w:t>
            </w:r>
            <w:r>
              <w:rPr>
                <w:rFonts w:ascii="Times New Roman" w:hAnsi="Times New Roman"/>
                <w:sz w:val="20"/>
                <w:szCs w:val="20"/>
              </w:rPr>
              <w:t xml:space="preserve"> (.849)</w:t>
            </w:r>
          </w:p>
        </w:tc>
        <w:tc>
          <w:tcPr>
            <w:tcW w:w="1239" w:type="dxa"/>
          </w:tcPr>
          <w:p w14:paraId="71611F92"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7.62 (1.932)</w:t>
            </w:r>
          </w:p>
          <w:p w14:paraId="360512A2" w14:textId="77777777" w:rsidR="007C2A71" w:rsidRPr="00B65E5E" w:rsidRDefault="007C2A71" w:rsidP="00310E2F">
            <w:pPr>
              <w:pStyle w:val="ListParagraph"/>
              <w:ind w:left="0"/>
              <w:rPr>
                <w:rFonts w:ascii="Times New Roman" w:hAnsi="Times New Roman"/>
                <w:sz w:val="20"/>
                <w:szCs w:val="20"/>
              </w:rPr>
            </w:pPr>
          </w:p>
          <w:p w14:paraId="7BA8AE95" w14:textId="77777777" w:rsidR="007C2A71" w:rsidRPr="00B65E5E" w:rsidRDefault="007C2A71" w:rsidP="00310E2F">
            <w:pPr>
              <w:pStyle w:val="ListParagraph"/>
              <w:ind w:left="0"/>
              <w:rPr>
                <w:rFonts w:ascii="Times New Roman" w:hAnsi="Times New Roman"/>
                <w:sz w:val="20"/>
                <w:szCs w:val="20"/>
              </w:rPr>
            </w:pPr>
          </w:p>
          <w:p w14:paraId="113E9340"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7.97 (2.122)</w:t>
            </w:r>
          </w:p>
        </w:tc>
        <w:tc>
          <w:tcPr>
            <w:tcW w:w="1454" w:type="dxa"/>
          </w:tcPr>
          <w:p w14:paraId="28A3C150"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Ex</w:t>
            </w:r>
            <w:r>
              <w:rPr>
                <w:rFonts w:ascii="Times New Roman" w:hAnsi="Times New Roman"/>
                <w:sz w:val="20"/>
                <w:szCs w:val="20"/>
              </w:rPr>
              <w:t>pT</w:t>
            </w:r>
            <w:r w:rsidRPr="00B65E5E">
              <w:rPr>
                <w:rFonts w:ascii="Times New Roman" w:hAnsi="Times New Roman"/>
                <w:sz w:val="20"/>
                <w:szCs w:val="20"/>
              </w:rPr>
              <w:t>eachers</w:t>
            </w:r>
            <w:proofErr w:type="spellEnd"/>
            <w:r w:rsidRPr="00B65E5E">
              <w:rPr>
                <w:rFonts w:ascii="Times New Roman" w:hAnsi="Times New Roman"/>
                <w:sz w:val="20"/>
                <w:szCs w:val="20"/>
              </w:rPr>
              <w:t>&gt;</w:t>
            </w:r>
          </w:p>
          <w:p w14:paraId="2D3BE358" w14:textId="77777777" w:rsidR="007C2A71" w:rsidRPr="00B65E5E"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N</w:t>
            </w:r>
            <w:r w:rsidRPr="00B65E5E">
              <w:rPr>
                <w:rFonts w:ascii="Times New Roman" w:hAnsi="Times New Roman"/>
                <w:sz w:val="20"/>
                <w:szCs w:val="20"/>
              </w:rPr>
              <w:t>onexp</w:t>
            </w:r>
            <w:r>
              <w:rPr>
                <w:rFonts w:ascii="Times New Roman" w:hAnsi="Times New Roman"/>
                <w:sz w:val="20"/>
                <w:szCs w:val="20"/>
              </w:rPr>
              <w:t>T</w:t>
            </w:r>
            <w:r w:rsidRPr="00B65E5E">
              <w:rPr>
                <w:rFonts w:ascii="Times New Roman" w:hAnsi="Times New Roman"/>
                <w:sz w:val="20"/>
                <w:szCs w:val="20"/>
              </w:rPr>
              <w:t>eachers</w:t>
            </w:r>
            <w:proofErr w:type="spellEnd"/>
          </w:p>
          <w:p w14:paraId="6D8D732B"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D&amp;T&lt;others</w:t>
            </w:r>
          </w:p>
        </w:tc>
        <w:tc>
          <w:tcPr>
            <w:tcW w:w="1559" w:type="dxa"/>
          </w:tcPr>
          <w:p w14:paraId="66882E68"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13 questions;</w:t>
            </w:r>
          </w:p>
          <w:p w14:paraId="11693A4E"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w:t>
            </w:r>
            <w:r>
              <w:rPr>
                <w:rFonts w:ascii="Times New Roman" w:hAnsi="Times New Roman"/>
                <w:sz w:val="20"/>
                <w:szCs w:val="20"/>
              </w:rPr>
              <w:t xml:space="preserve"> Confidence!</w:t>
            </w:r>
          </w:p>
        </w:tc>
        <w:tc>
          <w:tcPr>
            <w:tcW w:w="2127" w:type="dxa"/>
          </w:tcPr>
          <w:p w14:paraId="0CEE72BE"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Total confidence</w:t>
            </w:r>
            <w:r>
              <w:rPr>
                <w:rFonts w:ascii="Times New Roman" w:hAnsi="Times New Roman"/>
                <w:sz w:val="20"/>
                <w:szCs w:val="20"/>
              </w:rPr>
              <w:t xml:space="preserve"> (.909)</w:t>
            </w:r>
          </w:p>
          <w:p w14:paraId="32B4A38A" w14:textId="77777777" w:rsidR="007C2A71" w:rsidRPr="00B65E5E" w:rsidRDefault="007C2A71" w:rsidP="00310E2F">
            <w:pPr>
              <w:pStyle w:val="ListParagraph"/>
              <w:ind w:left="0"/>
              <w:rPr>
                <w:rFonts w:ascii="Times New Roman" w:hAnsi="Times New Roman"/>
                <w:sz w:val="20"/>
                <w:szCs w:val="20"/>
              </w:rPr>
            </w:pPr>
          </w:p>
          <w:p w14:paraId="56F2A7AB" w14:textId="77777777" w:rsidR="007C2A71" w:rsidRPr="00B65E5E" w:rsidRDefault="007C2A71" w:rsidP="00310E2F">
            <w:pPr>
              <w:pStyle w:val="ListParagraph"/>
              <w:ind w:left="0"/>
              <w:rPr>
                <w:rFonts w:ascii="Times New Roman" w:hAnsi="Times New Roman"/>
                <w:sz w:val="20"/>
                <w:szCs w:val="20"/>
              </w:rPr>
            </w:pPr>
          </w:p>
          <w:p w14:paraId="3617305A" w14:textId="77777777" w:rsidR="007C2A71" w:rsidRPr="00B65E5E" w:rsidRDefault="007C2A71" w:rsidP="00310E2F">
            <w:pPr>
              <w:pStyle w:val="ListParagraph"/>
              <w:ind w:left="0"/>
              <w:rPr>
                <w:rFonts w:ascii="Times New Roman" w:hAnsi="Times New Roman"/>
                <w:sz w:val="20"/>
                <w:szCs w:val="20"/>
              </w:rPr>
            </w:pPr>
          </w:p>
          <w:p w14:paraId="32A6AF62"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Social pedagogic confidence</w:t>
            </w:r>
            <w:r>
              <w:rPr>
                <w:rFonts w:ascii="Times New Roman" w:hAnsi="Times New Roman"/>
                <w:sz w:val="20"/>
                <w:szCs w:val="20"/>
              </w:rPr>
              <w:t xml:space="preserve"> (.826)</w:t>
            </w:r>
          </w:p>
          <w:p w14:paraId="3FA30F67"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Engineering confidence</w:t>
            </w:r>
            <w:r>
              <w:rPr>
                <w:rFonts w:ascii="Times New Roman" w:hAnsi="Times New Roman"/>
                <w:sz w:val="20"/>
                <w:szCs w:val="20"/>
              </w:rPr>
              <w:t xml:space="preserve"> (.860)</w:t>
            </w:r>
          </w:p>
          <w:p w14:paraId="6D92C339"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 xml:space="preserve">STEM teaching </w:t>
            </w:r>
            <w:r>
              <w:rPr>
                <w:rFonts w:ascii="Times New Roman" w:hAnsi="Times New Roman"/>
                <w:sz w:val="20"/>
                <w:szCs w:val="20"/>
              </w:rPr>
              <w:t xml:space="preserve"> </w:t>
            </w:r>
            <w:r w:rsidRPr="00B65E5E">
              <w:rPr>
                <w:rFonts w:ascii="Times New Roman" w:hAnsi="Times New Roman"/>
                <w:sz w:val="20"/>
                <w:szCs w:val="20"/>
              </w:rPr>
              <w:t>confidence</w:t>
            </w:r>
            <w:r>
              <w:rPr>
                <w:rFonts w:ascii="Times New Roman" w:hAnsi="Times New Roman"/>
                <w:sz w:val="20"/>
                <w:szCs w:val="20"/>
              </w:rPr>
              <w:t xml:space="preserve"> (.713)</w:t>
            </w:r>
          </w:p>
        </w:tc>
        <w:tc>
          <w:tcPr>
            <w:tcW w:w="1134" w:type="dxa"/>
          </w:tcPr>
          <w:p w14:paraId="3258559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3.81</w:t>
            </w:r>
            <w:r>
              <w:rPr>
                <w:rFonts w:ascii="Times New Roman" w:hAnsi="Times New Roman"/>
                <w:sz w:val="20"/>
                <w:szCs w:val="20"/>
              </w:rPr>
              <w:t xml:space="preserve"> (.729)</w:t>
            </w:r>
          </w:p>
          <w:p w14:paraId="01D98E9B" w14:textId="77777777" w:rsidR="007C2A71" w:rsidRPr="00B65E5E" w:rsidRDefault="007C2A71" w:rsidP="00310E2F">
            <w:pPr>
              <w:pStyle w:val="ListParagraph"/>
              <w:ind w:left="0"/>
              <w:rPr>
                <w:rFonts w:ascii="Times New Roman" w:hAnsi="Times New Roman"/>
                <w:sz w:val="20"/>
                <w:szCs w:val="20"/>
              </w:rPr>
            </w:pPr>
          </w:p>
          <w:p w14:paraId="12407B9F" w14:textId="77777777" w:rsidR="007C2A71" w:rsidRPr="00B65E5E" w:rsidRDefault="007C2A71" w:rsidP="00310E2F">
            <w:pPr>
              <w:pStyle w:val="ListParagraph"/>
              <w:ind w:left="0"/>
              <w:rPr>
                <w:rFonts w:ascii="Times New Roman" w:hAnsi="Times New Roman"/>
                <w:sz w:val="20"/>
                <w:szCs w:val="20"/>
              </w:rPr>
            </w:pPr>
          </w:p>
          <w:p w14:paraId="4ED335CA" w14:textId="77777777" w:rsidR="007C2A71" w:rsidRPr="00B65E5E" w:rsidRDefault="007C2A71" w:rsidP="00310E2F">
            <w:pPr>
              <w:pStyle w:val="ListParagraph"/>
              <w:ind w:left="0"/>
              <w:rPr>
                <w:rFonts w:ascii="Times New Roman" w:hAnsi="Times New Roman"/>
                <w:sz w:val="20"/>
                <w:szCs w:val="20"/>
              </w:rPr>
            </w:pPr>
          </w:p>
          <w:p w14:paraId="17C36B9D"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3.94</w:t>
            </w:r>
            <w:r>
              <w:rPr>
                <w:rFonts w:ascii="Times New Roman" w:hAnsi="Times New Roman"/>
                <w:sz w:val="20"/>
                <w:szCs w:val="20"/>
              </w:rPr>
              <w:t xml:space="preserve"> (.734)</w:t>
            </w:r>
          </w:p>
          <w:p w14:paraId="3F0428B9" w14:textId="77777777" w:rsidR="007C2A71" w:rsidRPr="00B65E5E" w:rsidRDefault="007C2A71" w:rsidP="00310E2F">
            <w:pPr>
              <w:pStyle w:val="ListParagraph"/>
              <w:ind w:left="0"/>
              <w:rPr>
                <w:rFonts w:ascii="Times New Roman" w:hAnsi="Times New Roman"/>
                <w:sz w:val="20"/>
                <w:szCs w:val="20"/>
              </w:rPr>
            </w:pPr>
          </w:p>
          <w:p w14:paraId="1D9B0E03"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3.71</w:t>
            </w:r>
            <w:r>
              <w:rPr>
                <w:rFonts w:ascii="Times New Roman" w:hAnsi="Times New Roman"/>
                <w:sz w:val="20"/>
                <w:szCs w:val="20"/>
              </w:rPr>
              <w:t xml:space="preserve"> (.823)</w:t>
            </w:r>
          </w:p>
          <w:p w14:paraId="60754388" w14:textId="77777777" w:rsidR="007C2A71" w:rsidRPr="00B65E5E" w:rsidRDefault="007C2A71" w:rsidP="00310E2F">
            <w:pPr>
              <w:pStyle w:val="ListParagraph"/>
              <w:ind w:left="0"/>
              <w:rPr>
                <w:rFonts w:ascii="Times New Roman" w:hAnsi="Times New Roman"/>
                <w:sz w:val="20"/>
                <w:szCs w:val="20"/>
              </w:rPr>
            </w:pPr>
          </w:p>
          <w:p w14:paraId="0DACAC53"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3.66</w:t>
            </w:r>
            <w:r>
              <w:rPr>
                <w:rFonts w:ascii="Times New Roman" w:hAnsi="Times New Roman"/>
                <w:sz w:val="20"/>
                <w:szCs w:val="20"/>
              </w:rPr>
              <w:t xml:space="preserve"> (1.074)</w:t>
            </w:r>
          </w:p>
        </w:tc>
        <w:tc>
          <w:tcPr>
            <w:tcW w:w="1701" w:type="dxa"/>
          </w:tcPr>
          <w:p w14:paraId="345B9F8E"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Exp</w:t>
            </w:r>
            <w:r>
              <w:rPr>
                <w:rFonts w:ascii="Times New Roman" w:hAnsi="Times New Roman"/>
                <w:sz w:val="20"/>
                <w:szCs w:val="20"/>
              </w:rPr>
              <w:t>T</w:t>
            </w:r>
            <w:r w:rsidRPr="00B65E5E">
              <w:rPr>
                <w:rFonts w:ascii="Times New Roman" w:hAnsi="Times New Roman"/>
                <w:sz w:val="20"/>
                <w:szCs w:val="20"/>
              </w:rPr>
              <w:t>eachers</w:t>
            </w:r>
            <w:proofErr w:type="spellEnd"/>
            <w:r w:rsidRPr="00B65E5E">
              <w:rPr>
                <w:rFonts w:ascii="Times New Roman" w:hAnsi="Times New Roman"/>
                <w:sz w:val="20"/>
                <w:szCs w:val="20"/>
              </w:rPr>
              <w:t>&gt;</w:t>
            </w:r>
          </w:p>
          <w:p w14:paraId="3A04D54A" w14:textId="77777777" w:rsidR="007C2A71"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N</w:t>
            </w:r>
            <w:r w:rsidRPr="00B65E5E">
              <w:rPr>
                <w:rFonts w:ascii="Times New Roman" w:hAnsi="Times New Roman"/>
                <w:sz w:val="20"/>
                <w:szCs w:val="20"/>
              </w:rPr>
              <w:t>onexp</w:t>
            </w:r>
            <w:r>
              <w:rPr>
                <w:rFonts w:ascii="Times New Roman" w:hAnsi="Times New Roman"/>
                <w:sz w:val="20"/>
                <w:szCs w:val="20"/>
              </w:rPr>
              <w:t>T</w:t>
            </w:r>
            <w:r w:rsidRPr="00B65E5E">
              <w:rPr>
                <w:rFonts w:ascii="Times New Roman" w:hAnsi="Times New Roman"/>
                <w:sz w:val="20"/>
                <w:szCs w:val="20"/>
              </w:rPr>
              <w:t>eachers</w:t>
            </w:r>
            <w:proofErr w:type="spellEnd"/>
            <w:r w:rsidRPr="00B65E5E">
              <w:rPr>
                <w:rFonts w:ascii="Times New Roman" w:hAnsi="Times New Roman"/>
                <w:sz w:val="20"/>
                <w:szCs w:val="20"/>
              </w:rPr>
              <w:t>;</w:t>
            </w:r>
          </w:p>
          <w:p w14:paraId="66775564"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Eng</w:t>
            </w:r>
            <w:proofErr w:type="spellEnd"/>
            <w:r w:rsidRPr="00B65E5E">
              <w:rPr>
                <w:rFonts w:ascii="Times New Roman" w:hAnsi="Times New Roman"/>
                <w:sz w:val="20"/>
                <w:szCs w:val="20"/>
              </w:rPr>
              <w:t xml:space="preserve">&gt; </w:t>
            </w:r>
            <w:proofErr w:type="spellStart"/>
            <w:r>
              <w:rPr>
                <w:rFonts w:ascii="Times New Roman" w:hAnsi="Times New Roman"/>
                <w:sz w:val="20"/>
                <w:szCs w:val="20"/>
              </w:rPr>
              <w:t>N</w:t>
            </w:r>
            <w:r w:rsidRPr="00B65E5E">
              <w:rPr>
                <w:rFonts w:ascii="Times New Roman" w:hAnsi="Times New Roman"/>
                <w:sz w:val="20"/>
                <w:szCs w:val="20"/>
              </w:rPr>
              <w:t>on</w:t>
            </w:r>
            <w:r>
              <w:rPr>
                <w:rFonts w:ascii="Times New Roman" w:hAnsi="Times New Roman"/>
                <w:sz w:val="20"/>
                <w:szCs w:val="20"/>
              </w:rPr>
              <w:t>E</w:t>
            </w:r>
            <w:r w:rsidRPr="00B65E5E">
              <w:rPr>
                <w:rFonts w:ascii="Times New Roman" w:hAnsi="Times New Roman"/>
                <w:sz w:val="20"/>
                <w:szCs w:val="20"/>
              </w:rPr>
              <w:t>ng</w:t>
            </w:r>
            <w:proofErr w:type="spellEnd"/>
            <w:r w:rsidRPr="00B65E5E">
              <w:rPr>
                <w:rFonts w:ascii="Times New Roman" w:hAnsi="Times New Roman"/>
                <w:sz w:val="20"/>
                <w:szCs w:val="20"/>
              </w:rPr>
              <w:t>;</w:t>
            </w:r>
          </w:p>
          <w:p w14:paraId="0B13D18C"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Maths&lt; others</w:t>
            </w:r>
          </w:p>
          <w:p w14:paraId="125A90C6"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Eng</w:t>
            </w:r>
            <w:proofErr w:type="spellEnd"/>
            <w:r w:rsidRPr="00B65E5E">
              <w:rPr>
                <w:rFonts w:ascii="Times New Roman" w:hAnsi="Times New Roman"/>
                <w:sz w:val="20"/>
                <w:szCs w:val="20"/>
              </w:rPr>
              <w:t xml:space="preserve">&gt; </w:t>
            </w:r>
            <w:proofErr w:type="spellStart"/>
            <w:r>
              <w:rPr>
                <w:rFonts w:ascii="Times New Roman" w:hAnsi="Times New Roman"/>
                <w:sz w:val="20"/>
                <w:szCs w:val="20"/>
              </w:rPr>
              <w:t>N</w:t>
            </w:r>
            <w:r w:rsidRPr="00B65E5E">
              <w:rPr>
                <w:rFonts w:ascii="Times New Roman" w:hAnsi="Times New Roman"/>
                <w:sz w:val="20"/>
                <w:szCs w:val="20"/>
              </w:rPr>
              <w:t>on</w:t>
            </w:r>
            <w:r>
              <w:rPr>
                <w:rFonts w:ascii="Times New Roman" w:hAnsi="Times New Roman"/>
                <w:sz w:val="20"/>
                <w:szCs w:val="20"/>
              </w:rPr>
              <w:t>E</w:t>
            </w:r>
            <w:r w:rsidRPr="00B65E5E">
              <w:rPr>
                <w:rFonts w:ascii="Times New Roman" w:hAnsi="Times New Roman"/>
                <w:sz w:val="20"/>
                <w:szCs w:val="20"/>
              </w:rPr>
              <w:t>ng</w:t>
            </w:r>
            <w:proofErr w:type="spellEnd"/>
            <w:r w:rsidRPr="00B65E5E">
              <w:rPr>
                <w:rFonts w:ascii="Times New Roman" w:hAnsi="Times New Roman"/>
                <w:sz w:val="20"/>
                <w:szCs w:val="20"/>
              </w:rPr>
              <w:t>;</w:t>
            </w:r>
          </w:p>
          <w:p w14:paraId="3770B626"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Maths&lt; others</w:t>
            </w:r>
          </w:p>
          <w:p w14:paraId="7A08AECF"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Eng</w:t>
            </w:r>
            <w:proofErr w:type="spellEnd"/>
            <w:r w:rsidRPr="00B65E5E">
              <w:rPr>
                <w:rFonts w:ascii="Times New Roman" w:hAnsi="Times New Roman"/>
                <w:sz w:val="20"/>
                <w:szCs w:val="20"/>
              </w:rPr>
              <w:t xml:space="preserve">&gt; </w:t>
            </w:r>
            <w:proofErr w:type="spellStart"/>
            <w:r>
              <w:rPr>
                <w:rFonts w:ascii="Times New Roman" w:hAnsi="Times New Roman"/>
                <w:sz w:val="20"/>
                <w:szCs w:val="20"/>
              </w:rPr>
              <w:t>N</w:t>
            </w:r>
            <w:r w:rsidRPr="00B65E5E">
              <w:rPr>
                <w:rFonts w:ascii="Times New Roman" w:hAnsi="Times New Roman"/>
                <w:sz w:val="20"/>
                <w:szCs w:val="20"/>
              </w:rPr>
              <w:t>on</w:t>
            </w:r>
            <w:r>
              <w:rPr>
                <w:rFonts w:ascii="Times New Roman" w:hAnsi="Times New Roman"/>
                <w:sz w:val="20"/>
                <w:szCs w:val="20"/>
              </w:rPr>
              <w:t>E</w:t>
            </w:r>
            <w:r w:rsidRPr="00B65E5E">
              <w:rPr>
                <w:rFonts w:ascii="Times New Roman" w:hAnsi="Times New Roman"/>
                <w:sz w:val="20"/>
                <w:szCs w:val="20"/>
              </w:rPr>
              <w:t>n</w:t>
            </w:r>
            <w:r>
              <w:rPr>
                <w:rFonts w:ascii="Times New Roman" w:hAnsi="Times New Roman"/>
                <w:sz w:val="20"/>
                <w:szCs w:val="20"/>
              </w:rPr>
              <w:t>g</w:t>
            </w:r>
            <w:proofErr w:type="spellEnd"/>
            <w:r w:rsidRPr="00B65E5E">
              <w:rPr>
                <w:rFonts w:ascii="Times New Roman" w:hAnsi="Times New Roman"/>
                <w:sz w:val="20"/>
                <w:szCs w:val="20"/>
              </w:rPr>
              <w:t>;</w:t>
            </w:r>
          </w:p>
          <w:p w14:paraId="3A2747B1" w14:textId="77777777" w:rsidR="007C2A71" w:rsidRDefault="007C2A71" w:rsidP="00310E2F">
            <w:pPr>
              <w:pStyle w:val="ListParagraph"/>
              <w:ind w:left="0"/>
              <w:rPr>
                <w:rFonts w:ascii="Times New Roman" w:hAnsi="Times New Roman"/>
                <w:sz w:val="20"/>
                <w:szCs w:val="20"/>
              </w:rPr>
            </w:pPr>
          </w:p>
          <w:p w14:paraId="0FF61AF5"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Maths&lt; others</w:t>
            </w:r>
          </w:p>
          <w:p w14:paraId="6F74F1AF"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Eng</w:t>
            </w:r>
            <w:proofErr w:type="spellEnd"/>
            <w:r w:rsidRPr="00B65E5E">
              <w:rPr>
                <w:rFonts w:ascii="Times New Roman" w:hAnsi="Times New Roman"/>
                <w:sz w:val="20"/>
                <w:szCs w:val="20"/>
              </w:rPr>
              <w:t>&gt;</w:t>
            </w:r>
            <w:proofErr w:type="spellStart"/>
            <w:r>
              <w:rPr>
                <w:rFonts w:ascii="Times New Roman" w:hAnsi="Times New Roman"/>
                <w:sz w:val="20"/>
                <w:szCs w:val="20"/>
              </w:rPr>
              <w:t>N</w:t>
            </w:r>
            <w:r w:rsidRPr="00B65E5E">
              <w:rPr>
                <w:rFonts w:ascii="Times New Roman" w:hAnsi="Times New Roman"/>
                <w:sz w:val="20"/>
                <w:szCs w:val="20"/>
              </w:rPr>
              <w:t>on</w:t>
            </w:r>
            <w:r>
              <w:rPr>
                <w:rFonts w:ascii="Times New Roman" w:hAnsi="Times New Roman"/>
                <w:sz w:val="20"/>
                <w:szCs w:val="20"/>
              </w:rPr>
              <w:t>E</w:t>
            </w:r>
            <w:r w:rsidRPr="00B65E5E">
              <w:rPr>
                <w:rFonts w:ascii="Times New Roman" w:hAnsi="Times New Roman"/>
                <w:sz w:val="20"/>
                <w:szCs w:val="20"/>
              </w:rPr>
              <w:t>n</w:t>
            </w:r>
            <w:r>
              <w:rPr>
                <w:rFonts w:ascii="Times New Roman" w:hAnsi="Times New Roman"/>
                <w:sz w:val="20"/>
                <w:szCs w:val="20"/>
              </w:rPr>
              <w:t>g</w:t>
            </w:r>
            <w:proofErr w:type="spellEnd"/>
            <w:r w:rsidRPr="00B65E5E">
              <w:rPr>
                <w:rFonts w:ascii="Times New Roman" w:hAnsi="Times New Roman"/>
                <w:sz w:val="20"/>
                <w:szCs w:val="20"/>
              </w:rPr>
              <w:t>;</w:t>
            </w:r>
          </w:p>
          <w:p w14:paraId="7468A7C1"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Maths&lt;others</w:t>
            </w:r>
          </w:p>
        </w:tc>
      </w:tr>
      <w:tr w:rsidR="007C2A71" w:rsidRPr="00B65E5E" w14:paraId="4A9095F3" w14:textId="77777777" w:rsidTr="00310E2F">
        <w:tc>
          <w:tcPr>
            <w:tcW w:w="2269" w:type="dxa"/>
          </w:tcPr>
          <w:p w14:paraId="72762B54"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I</w:t>
            </w:r>
            <w:r w:rsidRPr="00B65E5E">
              <w:rPr>
                <w:rFonts w:ascii="Times New Roman" w:hAnsi="Times New Roman"/>
                <w:sz w:val="20"/>
                <w:szCs w:val="20"/>
              </w:rPr>
              <w:t>mpact of ABC</w:t>
            </w:r>
          </w:p>
        </w:tc>
        <w:tc>
          <w:tcPr>
            <w:tcW w:w="1559" w:type="dxa"/>
          </w:tcPr>
          <w:p w14:paraId="3A692B61" w14:textId="77777777" w:rsidR="007C2A71"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9 questions;</w:t>
            </w:r>
          </w:p>
          <w:p w14:paraId="6FB1F76F"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7-pt Likert</w:t>
            </w:r>
            <w:r>
              <w:rPr>
                <w:rFonts w:ascii="Times New Roman" w:hAnsi="Times New Roman"/>
                <w:sz w:val="20"/>
                <w:szCs w:val="20"/>
              </w:rPr>
              <w:t>*</w:t>
            </w:r>
          </w:p>
        </w:tc>
        <w:tc>
          <w:tcPr>
            <w:tcW w:w="1985" w:type="dxa"/>
          </w:tcPr>
          <w:p w14:paraId="196E5D4E"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I</w:t>
            </w:r>
            <w:r w:rsidRPr="00B65E5E">
              <w:rPr>
                <w:rFonts w:ascii="Times New Roman" w:hAnsi="Times New Roman"/>
                <w:sz w:val="20"/>
                <w:szCs w:val="20"/>
              </w:rPr>
              <w:t>mpact of ABC</w:t>
            </w:r>
            <w:r>
              <w:rPr>
                <w:rFonts w:ascii="Times New Roman" w:hAnsi="Times New Roman"/>
                <w:sz w:val="20"/>
                <w:szCs w:val="20"/>
              </w:rPr>
              <w:t xml:space="preserve"> (.937)</w:t>
            </w:r>
          </w:p>
        </w:tc>
        <w:tc>
          <w:tcPr>
            <w:tcW w:w="1239" w:type="dxa"/>
          </w:tcPr>
          <w:p w14:paraId="39FE361A" w14:textId="77777777" w:rsidR="007C2A71" w:rsidRPr="00B65E5E" w:rsidRDefault="007C2A71" w:rsidP="00310E2F">
            <w:pPr>
              <w:pStyle w:val="ListParagraph"/>
              <w:ind w:left="0"/>
              <w:rPr>
                <w:rFonts w:ascii="Times New Roman" w:hAnsi="Times New Roman"/>
                <w:sz w:val="20"/>
                <w:szCs w:val="20"/>
              </w:rPr>
            </w:pPr>
            <w:r>
              <w:rPr>
                <w:rFonts w:ascii="Times New Roman" w:hAnsi="Times New Roman"/>
                <w:sz w:val="20"/>
                <w:szCs w:val="20"/>
              </w:rPr>
              <w:t>2.52 (.909)</w:t>
            </w:r>
          </w:p>
        </w:tc>
        <w:tc>
          <w:tcPr>
            <w:tcW w:w="1454" w:type="dxa"/>
          </w:tcPr>
          <w:p w14:paraId="686E6932"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w:t>
            </w:r>
          </w:p>
        </w:tc>
        <w:tc>
          <w:tcPr>
            <w:tcW w:w="1559" w:type="dxa"/>
          </w:tcPr>
          <w:p w14:paraId="6EC696A0" w14:textId="77777777" w:rsidR="007C2A71" w:rsidRDefault="007C2A71" w:rsidP="00310E2F">
            <w:pPr>
              <w:pStyle w:val="ListParagraph"/>
              <w:ind w:left="0"/>
              <w:rPr>
                <w:rFonts w:ascii="Times New Roman" w:hAnsi="Times New Roman"/>
                <w:sz w:val="20"/>
                <w:szCs w:val="20"/>
              </w:rPr>
            </w:pPr>
            <w:r>
              <w:rPr>
                <w:rFonts w:ascii="Times New Roman" w:hAnsi="Times New Roman"/>
                <w:sz w:val="20"/>
                <w:szCs w:val="20"/>
              </w:rPr>
              <w:t>7</w:t>
            </w:r>
            <w:r w:rsidRPr="00B65E5E">
              <w:rPr>
                <w:rFonts w:ascii="Times New Roman" w:hAnsi="Times New Roman"/>
                <w:sz w:val="20"/>
                <w:szCs w:val="20"/>
              </w:rPr>
              <w:t xml:space="preserve"> questions;</w:t>
            </w:r>
          </w:p>
          <w:p w14:paraId="538D74CE"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5-pt Lik</w:t>
            </w:r>
            <w:r>
              <w:rPr>
                <w:rFonts w:ascii="Times New Roman" w:hAnsi="Times New Roman"/>
                <w:sz w:val="20"/>
                <w:szCs w:val="20"/>
              </w:rPr>
              <w:t>ert*</w:t>
            </w:r>
          </w:p>
        </w:tc>
        <w:tc>
          <w:tcPr>
            <w:tcW w:w="2127" w:type="dxa"/>
          </w:tcPr>
          <w:p w14:paraId="74C6E643"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Total perceived impact</w:t>
            </w:r>
            <w:r>
              <w:rPr>
                <w:rFonts w:ascii="Times New Roman" w:hAnsi="Times New Roman"/>
                <w:sz w:val="20"/>
                <w:szCs w:val="20"/>
              </w:rPr>
              <w:t xml:space="preserve"> (.881)</w:t>
            </w:r>
          </w:p>
        </w:tc>
        <w:tc>
          <w:tcPr>
            <w:tcW w:w="1134" w:type="dxa"/>
          </w:tcPr>
          <w:p w14:paraId="0D7C99F8" w14:textId="77777777" w:rsidR="007C2A71" w:rsidRPr="00B65E5E" w:rsidRDefault="007C2A71" w:rsidP="00310E2F">
            <w:pPr>
              <w:pStyle w:val="ListParagraph"/>
              <w:ind w:left="0"/>
              <w:rPr>
                <w:rFonts w:ascii="Times New Roman" w:hAnsi="Times New Roman"/>
                <w:sz w:val="20"/>
                <w:szCs w:val="20"/>
              </w:rPr>
            </w:pPr>
            <w:r w:rsidRPr="00B65E5E">
              <w:rPr>
                <w:rFonts w:ascii="Times New Roman" w:hAnsi="Times New Roman"/>
                <w:sz w:val="20"/>
                <w:szCs w:val="20"/>
              </w:rPr>
              <w:t>1.94</w:t>
            </w:r>
            <w:r>
              <w:rPr>
                <w:rFonts w:ascii="Times New Roman" w:hAnsi="Times New Roman"/>
                <w:sz w:val="20"/>
                <w:szCs w:val="20"/>
              </w:rPr>
              <w:t xml:space="preserve"> (.543)</w:t>
            </w:r>
          </w:p>
        </w:tc>
        <w:tc>
          <w:tcPr>
            <w:tcW w:w="1701" w:type="dxa"/>
          </w:tcPr>
          <w:p w14:paraId="002B7BDD" w14:textId="77777777" w:rsidR="007C2A71" w:rsidRDefault="007C2A71" w:rsidP="00310E2F">
            <w:pPr>
              <w:pStyle w:val="ListParagraph"/>
              <w:ind w:left="0"/>
              <w:rPr>
                <w:rFonts w:ascii="Times New Roman" w:hAnsi="Times New Roman"/>
                <w:sz w:val="20"/>
                <w:szCs w:val="20"/>
              </w:rPr>
            </w:pPr>
            <w:proofErr w:type="spellStart"/>
            <w:r w:rsidRPr="00B65E5E">
              <w:rPr>
                <w:rFonts w:ascii="Times New Roman" w:hAnsi="Times New Roman"/>
                <w:sz w:val="20"/>
                <w:szCs w:val="20"/>
              </w:rPr>
              <w:t>Exp</w:t>
            </w:r>
            <w:r>
              <w:rPr>
                <w:rFonts w:ascii="Times New Roman" w:hAnsi="Times New Roman"/>
                <w:sz w:val="20"/>
                <w:szCs w:val="20"/>
              </w:rPr>
              <w:t>T</w:t>
            </w:r>
            <w:r w:rsidRPr="00B65E5E">
              <w:rPr>
                <w:rFonts w:ascii="Times New Roman" w:hAnsi="Times New Roman"/>
                <w:sz w:val="20"/>
                <w:szCs w:val="20"/>
              </w:rPr>
              <w:t>eachers</w:t>
            </w:r>
            <w:proofErr w:type="spellEnd"/>
            <w:r w:rsidRPr="00B65E5E">
              <w:rPr>
                <w:rFonts w:ascii="Times New Roman" w:hAnsi="Times New Roman"/>
                <w:sz w:val="20"/>
                <w:szCs w:val="20"/>
              </w:rPr>
              <w:t>&gt;</w:t>
            </w:r>
          </w:p>
          <w:p w14:paraId="1F3B8CAD" w14:textId="77777777" w:rsidR="007C2A71" w:rsidRPr="00B65E5E" w:rsidRDefault="007C2A71" w:rsidP="00310E2F">
            <w:pPr>
              <w:pStyle w:val="ListParagraph"/>
              <w:ind w:left="0"/>
              <w:rPr>
                <w:rFonts w:ascii="Times New Roman" w:hAnsi="Times New Roman"/>
                <w:sz w:val="20"/>
                <w:szCs w:val="20"/>
              </w:rPr>
            </w:pPr>
            <w:proofErr w:type="spellStart"/>
            <w:r>
              <w:rPr>
                <w:rFonts w:ascii="Times New Roman" w:hAnsi="Times New Roman"/>
                <w:sz w:val="20"/>
                <w:szCs w:val="20"/>
              </w:rPr>
              <w:t>N</w:t>
            </w:r>
            <w:r w:rsidRPr="00B65E5E">
              <w:rPr>
                <w:rFonts w:ascii="Times New Roman" w:hAnsi="Times New Roman"/>
                <w:sz w:val="20"/>
                <w:szCs w:val="20"/>
              </w:rPr>
              <w:t>onexp</w:t>
            </w:r>
            <w:r>
              <w:rPr>
                <w:rFonts w:ascii="Times New Roman" w:hAnsi="Times New Roman"/>
                <w:sz w:val="20"/>
                <w:szCs w:val="20"/>
              </w:rPr>
              <w:t>T</w:t>
            </w:r>
            <w:r w:rsidRPr="00B65E5E">
              <w:rPr>
                <w:rFonts w:ascii="Times New Roman" w:hAnsi="Times New Roman"/>
                <w:sz w:val="20"/>
                <w:szCs w:val="20"/>
              </w:rPr>
              <w:t>eachers</w:t>
            </w:r>
            <w:proofErr w:type="spellEnd"/>
          </w:p>
        </w:tc>
      </w:tr>
    </w:tbl>
    <w:p w14:paraId="27D56FFC" w14:textId="77777777" w:rsidR="007C2A71" w:rsidRDefault="007C2A71" w:rsidP="007C2A71">
      <w:pPr>
        <w:pStyle w:val="ListParagraph"/>
        <w:ind w:left="0"/>
        <w:rPr>
          <w:rFonts w:ascii="Times New Roman" w:hAnsi="Times New Roman"/>
          <w:sz w:val="20"/>
          <w:szCs w:val="20"/>
        </w:rPr>
      </w:pPr>
      <w:r>
        <w:rPr>
          <w:rFonts w:ascii="Times New Roman" w:hAnsi="Times New Roman"/>
          <w:sz w:val="20"/>
          <w:szCs w:val="20"/>
        </w:rPr>
        <w:t>*All Likert scaled as: 1 = strongest agreement; high score = strongest disagreement</w:t>
      </w:r>
    </w:p>
    <w:p w14:paraId="4235CED1" w14:textId="77777777" w:rsidR="007C2A71" w:rsidRDefault="007C2A71" w:rsidP="007C2A71">
      <w:pPr>
        <w:pStyle w:val="ListParagraph"/>
        <w:ind w:left="0"/>
        <w:rPr>
          <w:rFonts w:ascii="Times New Roman" w:hAnsi="Times New Roman"/>
          <w:sz w:val="20"/>
          <w:szCs w:val="20"/>
        </w:rPr>
      </w:pPr>
      <w:r>
        <w:rPr>
          <w:rFonts w:ascii="Times New Roman" w:hAnsi="Times New Roman"/>
          <w:sz w:val="20"/>
          <w:szCs w:val="20"/>
        </w:rPr>
        <w:t>**Some of the alpha reliabilities reported are lower than normally included, these factors are included as they may be of interest to readers</w:t>
      </w:r>
    </w:p>
    <w:p w14:paraId="254C1194" w14:textId="77777777" w:rsidR="007C2A71" w:rsidRDefault="007C2A71" w:rsidP="007C2A71">
      <w:pPr>
        <w:pStyle w:val="ListParagraph"/>
        <w:ind w:left="0"/>
        <w:rPr>
          <w:rFonts w:ascii="Times New Roman" w:hAnsi="Times New Roman"/>
          <w:sz w:val="20"/>
          <w:szCs w:val="20"/>
        </w:rPr>
      </w:pPr>
      <w:r>
        <w:rPr>
          <w:rFonts w:ascii="Times New Roman" w:hAnsi="Times New Roman"/>
          <w:sz w:val="20"/>
          <w:szCs w:val="20"/>
        </w:rPr>
        <w:t xml:space="preserve">^Frequency of activity scaled as: 1 = never participated in this activity; 5 = participated more than 10 times </w:t>
      </w:r>
    </w:p>
    <w:p w14:paraId="724B1296" w14:textId="77777777" w:rsidR="007C2A71" w:rsidRDefault="007C2A71" w:rsidP="007C2A71">
      <w:pPr>
        <w:pStyle w:val="ListParagraph"/>
        <w:ind w:left="0"/>
        <w:rPr>
          <w:rFonts w:ascii="Times New Roman" w:hAnsi="Times New Roman"/>
          <w:sz w:val="20"/>
          <w:szCs w:val="20"/>
        </w:rPr>
      </w:pPr>
      <w:r>
        <w:rPr>
          <w:rFonts w:ascii="Times New Roman" w:hAnsi="Times New Roman"/>
          <w:sz w:val="20"/>
          <w:szCs w:val="20"/>
        </w:rPr>
        <w:lastRenderedPageBreak/>
        <w:t>!Confidence scaled as: 1 = not confident at all; 11 = extremely confident</w:t>
      </w:r>
    </w:p>
    <w:p w14:paraId="4514EAB2" w14:textId="77777777" w:rsidR="007C2A71" w:rsidRPr="00B65E5E" w:rsidRDefault="007C2A71" w:rsidP="007C2A71">
      <w:pPr>
        <w:pStyle w:val="ListParagraph"/>
        <w:ind w:left="0"/>
        <w:rPr>
          <w:rFonts w:ascii="Times New Roman" w:hAnsi="Times New Roman"/>
          <w:sz w:val="20"/>
          <w:szCs w:val="20"/>
        </w:rPr>
      </w:pPr>
      <w:r>
        <w:rPr>
          <w:rFonts w:ascii="Times New Roman" w:hAnsi="Times New Roman"/>
          <w:sz w:val="20"/>
          <w:szCs w:val="20"/>
        </w:rPr>
        <w:t xml:space="preserve">Abbreviations: </w:t>
      </w:r>
      <w:proofErr w:type="spellStart"/>
      <w:r>
        <w:rPr>
          <w:rFonts w:ascii="Times New Roman" w:hAnsi="Times New Roman"/>
          <w:sz w:val="20"/>
          <w:szCs w:val="20"/>
        </w:rPr>
        <w:t>PreNC</w:t>
      </w:r>
      <w:proofErr w:type="spellEnd"/>
      <w:r>
        <w:rPr>
          <w:rFonts w:ascii="Times New Roman" w:hAnsi="Times New Roman"/>
          <w:sz w:val="20"/>
          <w:szCs w:val="20"/>
        </w:rPr>
        <w:t xml:space="preserve"> (</w:t>
      </w:r>
      <w:proofErr w:type="spellStart"/>
      <w:r>
        <w:rPr>
          <w:rFonts w:ascii="Times New Roman" w:hAnsi="Times New Roman"/>
          <w:sz w:val="20"/>
          <w:szCs w:val="20"/>
        </w:rPr>
        <w:t>PreNational</w:t>
      </w:r>
      <w:proofErr w:type="spellEnd"/>
      <w:r>
        <w:rPr>
          <w:rFonts w:ascii="Times New Roman" w:hAnsi="Times New Roman"/>
          <w:sz w:val="20"/>
          <w:szCs w:val="20"/>
        </w:rPr>
        <w:t xml:space="preserve"> Curriculum), NC (National Curriculum), Exp (Experienced), </w:t>
      </w:r>
      <w:proofErr w:type="spellStart"/>
      <w:r>
        <w:rPr>
          <w:rFonts w:ascii="Times New Roman" w:hAnsi="Times New Roman"/>
          <w:sz w:val="20"/>
          <w:szCs w:val="20"/>
        </w:rPr>
        <w:t>Nonexp</w:t>
      </w:r>
      <w:proofErr w:type="spellEnd"/>
      <w:r>
        <w:rPr>
          <w:rFonts w:ascii="Times New Roman" w:hAnsi="Times New Roman"/>
          <w:sz w:val="20"/>
          <w:szCs w:val="20"/>
        </w:rPr>
        <w:t xml:space="preserve"> (</w:t>
      </w:r>
      <w:proofErr w:type="spellStart"/>
      <w:r>
        <w:rPr>
          <w:rFonts w:ascii="Times New Roman" w:hAnsi="Times New Roman"/>
          <w:sz w:val="20"/>
          <w:szCs w:val="20"/>
        </w:rPr>
        <w:t>Nonexperienced</w:t>
      </w:r>
      <w:proofErr w:type="spellEnd"/>
      <w:r>
        <w:rPr>
          <w:rFonts w:ascii="Times New Roman" w:hAnsi="Times New Roman"/>
          <w:sz w:val="20"/>
          <w:szCs w:val="20"/>
        </w:rPr>
        <w:t xml:space="preserve">), </w:t>
      </w:r>
      <w:proofErr w:type="spellStart"/>
      <w:r>
        <w:rPr>
          <w:rFonts w:ascii="Times New Roman" w:hAnsi="Times New Roman"/>
          <w:sz w:val="20"/>
          <w:szCs w:val="20"/>
        </w:rPr>
        <w:t>Eng</w:t>
      </w:r>
      <w:proofErr w:type="spellEnd"/>
      <w:r>
        <w:rPr>
          <w:rFonts w:ascii="Times New Roman" w:hAnsi="Times New Roman"/>
          <w:sz w:val="20"/>
          <w:szCs w:val="20"/>
        </w:rPr>
        <w:t xml:space="preserve"> (Engineer), </w:t>
      </w:r>
      <w:proofErr w:type="spellStart"/>
      <w:r>
        <w:rPr>
          <w:rFonts w:ascii="Times New Roman" w:hAnsi="Times New Roman"/>
          <w:sz w:val="20"/>
          <w:szCs w:val="20"/>
        </w:rPr>
        <w:t>NonEng</w:t>
      </w:r>
      <w:proofErr w:type="spellEnd"/>
      <w:r>
        <w:rPr>
          <w:rFonts w:ascii="Times New Roman" w:hAnsi="Times New Roman"/>
          <w:sz w:val="20"/>
          <w:szCs w:val="20"/>
        </w:rPr>
        <w:t xml:space="preserve"> (Non-Engineer), </w:t>
      </w:r>
      <w:proofErr w:type="spellStart"/>
      <w:r>
        <w:rPr>
          <w:rFonts w:ascii="Times New Roman" w:hAnsi="Times New Roman"/>
          <w:sz w:val="20"/>
          <w:szCs w:val="20"/>
        </w:rPr>
        <w:t>Biol</w:t>
      </w:r>
      <w:proofErr w:type="spellEnd"/>
      <w:r>
        <w:rPr>
          <w:rFonts w:ascii="Times New Roman" w:hAnsi="Times New Roman"/>
          <w:sz w:val="20"/>
          <w:szCs w:val="20"/>
        </w:rPr>
        <w:t xml:space="preserve"> (Biology), Chem (Chemistry), D&amp;T (Design and Technology), Maths (Mathematics), Others (other curriculum subjects), </w:t>
      </w:r>
      <w:proofErr w:type="spellStart"/>
      <w:r>
        <w:rPr>
          <w:rFonts w:ascii="Times New Roman" w:hAnsi="Times New Roman"/>
          <w:sz w:val="20"/>
          <w:szCs w:val="20"/>
        </w:rPr>
        <w:t>HiNet</w:t>
      </w:r>
      <w:proofErr w:type="spellEnd"/>
      <w:r>
        <w:rPr>
          <w:rFonts w:ascii="Times New Roman" w:hAnsi="Times New Roman"/>
          <w:sz w:val="20"/>
          <w:szCs w:val="20"/>
        </w:rPr>
        <w:t xml:space="preserve"> (High network participation), </w:t>
      </w:r>
      <w:proofErr w:type="spellStart"/>
      <w:r>
        <w:rPr>
          <w:rFonts w:ascii="Times New Roman" w:hAnsi="Times New Roman"/>
          <w:sz w:val="20"/>
          <w:szCs w:val="20"/>
        </w:rPr>
        <w:t>LowNet</w:t>
      </w:r>
      <w:proofErr w:type="spellEnd"/>
      <w:r>
        <w:rPr>
          <w:rFonts w:ascii="Times New Roman" w:hAnsi="Times New Roman"/>
          <w:sz w:val="20"/>
          <w:szCs w:val="20"/>
        </w:rPr>
        <w:t xml:space="preserve"> (Low network participation)</w:t>
      </w:r>
    </w:p>
    <w:p w14:paraId="19C49D14" w14:textId="77777777" w:rsidR="00E5582E" w:rsidRDefault="00E5582E" w:rsidP="007C2A71">
      <w:pPr>
        <w:rPr>
          <w:sz w:val="20"/>
          <w:szCs w:val="20"/>
        </w:rPr>
        <w:sectPr w:rsidR="00E5582E" w:rsidSect="00E5582E">
          <w:pgSz w:w="16840" w:h="11900" w:orient="landscape"/>
          <w:pgMar w:top="1440" w:right="1440" w:bottom="1440" w:left="1440" w:header="709" w:footer="709" w:gutter="0"/>
          <w:cols w:space="708"/>
          <w:docGrid w:linePitch="360"/>
        </w:sectPr>
      </w:pPr>
    </w:p>
    <w:p w14:paraId="19291E93" w14:textId="4EAD4A5D" w:rsidR="007C2A71" w:rsidRPr="00E5582E" w:rsidRDefault="007C2A71" w:rsidP="007C2A71">
      <w:pPr>
        <w:rPr>
          <w:sz w:val="20"/>
          <w:szCs w:val="20"/>
        </w:rPr>
      </w:pPr>
      <w:r>
        <w:lastRenderedPageBreak/>
        <w:t>Table 3: ABC items per question grouping for Teacher Coordinators and Teachers by Cohort 1 and 2</w:t>
      </w:r>
    </w:p>
    <w:tbl>
      <w:tblPr>
        <w:tblStyle w:val="TableGrid"/>
        <w:tblW w:w="0" w:type="auto"/>
        <w:tblLook w:val="04A0" w:firstRow="1" w:lastRow="0" w:firstColumn="1" w:lastColumn="0" w:noHBand="0" w:noVBand="1"/>
      </w:tblPr>
      <w:tblGrid>
        <w:gridCol w:w="5166"/>
        <w:gridCol w:w="936"/>
        <w:gridCol w:w="929"/>
        <w:gridCol w:w="978"/>
        <w:gridCol w:w="1001"/>
      </w:tblGrid>
      <w:tr w:rsidR="007C2A71" w14:paraId="462F7823" w14:textId="77777777" w:rsidTr="00310E2F">
        <w:tc>
          <w:tcPr>
            <w:tcW w:w="9351" w:type="dxa"/>
          </w:tcPr>
          <w:p w14:paraId="5986ACB7" w14:textId="77777777" w:rsidR="007C2A71" w:rsidRDefault="007C2A71" w:rsidP="00310E2F">
            <w:r>
              <w:t>Question groupings and items</w:t>
            </w:r>
          </w:p>
        </w:tc>
        <w:tc>
          <w:tcPr>
            <w:tcW w:w="1149" w:type="dxa"/>
          </w:tcPr>
          <w:p w14:paraId="1E9CD4FB" w14:textId="77777777" w:rsidR="007C2A71" w:rsidRDefault="007C2A71" w:rsidP="00310E2F">
            <w:r>
              <w:t>TC Cohort 1</w:t>
            </w:r>
          </w:p>
        </w:tc>
        <w:tc>
          <w:tcPr>
            <w:tcW w:w="1133" w:type="dxa"/>
          </w:tcPr>
          <w:p w14:paraId="01A35543" w14:textId="77777777" w:rsidR="007C2A71" w:rsidRDefault="007C2A71" w:rsidP="00310E2F">
            <w:r>
              <w:t>TC Cohort 2</w:t>
            </w:r>
          </w:p>
        </w:tc>
        <w:tc>
          <w:tcPr>
            <w:tcW w:w="1132" w:type="dxa"/>
          </w:tcPr>
          <w:p w14:paraId="720AA807" w14:textId="77777777" w:rsidR="007C2A71" w:rsidRDefault="007C2A71" w:rsidP="00310E2F">
            <w:r>
              <w:t>Teacher Cohort 1</w:t>
            </w:r>
          </w:p>
        </w:tc>
        <w:tc>
          <w:tcPr>
            <w:tcW w:w="1185" w:type="dxa"/>
          </w:tcPr>
          <w:p w14:paraId="1DDD19B2" w14:textId="77777777" w:rsidR="007C2A71" w:rsidRDefault="007C2A71" w:rsidP="00310E2F">
            <w:r>
              <w:t>Teacher Cohort 2</w:t>
            </w:r>
          </w:p>
        </w:tc>
      </w:tr>
      <w:tr w:rsidR="007C2A71" w14:paraId="532A6EE0" w14:textId="77777777" w:rsidTr="00310E2F">
        <w:tc>
          <w:tcPr>
            <w:tcW w:w="9351" w:type="dxa"/>
          </w:tcPr>
          <w:p w14:paraId="2620B294" w14:textId="77777777" w:rsidR="007C2A71" w:rsidRDefault="007C2A71" w:rsidP="00310E2F">
            <w:r>
              <w:t>Involvement in ABC</w:t>
            </w:r>
          </w:p>
          <w:p w14:paraId="4F6FA5C4" w14:textId="77777777" w:rsidR="007C2A71" w:rsidRDefault="007C2A71" w:rsidP="00310E2F">
            <w:r>
              <w:t>1.a. Personal connections with local employers</w:t>
            </w:r>
          </w:p>
          <w:p w14:paraId="09372D6B" w14:textId="77777777" w:rsidR="007C2A71" w:rsidRDefault="007C2A71" w:rsidP="00310E2F">
            <w:r>
              <w:t>1.b. Enhance coordination among STEM teachers</w:t>
            </w:r>
          </w:p>
          <w:p w14:paraId="24D613DA" w14:textId="77777777" w:rsidR="007C2A71" w:rsidRDefault="007C2A71" w:rsidP="00310E2F">
            <w:r>
              <w:t>1.c. Experience as an engineer</w:t>
            </w:r>
          </w:p>
          <w:p w14:paraId="43C44B97" w14:textId="77777777" w:rsidR="007C2A71" w:rsidRDefault="007C2A71" w:rsidP="00310E2F">
            <w:r>
              <w:t>1.d. Extend opportunities to develop new STEM pedagogic approaches</w:t>
            </w:r>
          </w:p>
          <w:p w14:paraId="5C94BEF0" w14:textId="77777777" w:rsidR="007C2A71" w:rsidRDefault="007C2A71" w:rsidP="00310E2F">
            <w:r>
              <w:t>1.e. Facilitate inclusion of real-world applications into STEM education</w:t>
            </w:r>
          </w:p>
          <w:p w14:paraId="516DEA48" w14:textId="77777777" w:rsidR="007C2A71" w:rsidRDefault="007C2A71" w:rsidP="00310E2F">
            <w:r>
              <w:t>1.f. Been a successful STEM teacher in school</w:t>
            </w:r>
          </w:p>
          <w:p w14:paraId="00C1B7FB" w14:textId="77777777" w:rsidR="007C2A71" w:rsidRDefault="007C2A71" w:rsidP="00310E2F">
            <w:r>
              <w:t>1.g. Mentoring and support for ABC teachers</w:t>
            </w:r>
          </w:p>
          <w:p w14:paraId="22BBDA46" w14:textId="77777777" w:rsidR="007C2A71" w:rsidRDefault="007C2A71" w:rsidP="00310E2F">
            <w:r>
              <w:t>1.h. Involvement with external STEM support organisations</w:t>
            </w:r>
          </w:p>
          <w:p w14:paraId="1BB16ADA" w14:textId="77777777" w:rsidR="007C2A71" w:rsidRDefault="007C2A71" w:rsidP="00310E2F">
            <w:r>
              <w:t>1.i. Improve STEM education in my school</w:t>
            </w:r>
          </w:p>
        </w:tc>
        <w:tc>
          <w:tcPr>
            <w:tcW w:w="1149" w:type="dxa"/>
          </w:tcPr>
          <w:p w14:paraId="005CEDC0" w14:textId="77777777" w:rsidR="007C2A71" w:rsidRDefault="007C2A71" w:rsidP="00310E2F">
            <w:pPr>
              <w:jc w:val="center"/>
            </w:pPr>
          </w:p>
          <w:p w14:paraId="08199198" w14:textId="77777777" w:rsidR="007C2A71" w:rsidRDefault="007C2A71" w:rsidP="00310E2F">
            <w:pPr>
              <w:jc w:val="center"/>
            </w:pPr>
            <w:r>
              <w:t>√</w:t>
            </w:r>
          </w:p>
          <w:p w14:paraId="57F31DD7" w14:textId="77777777" w:rsidR="007C2A71" w:rsidRDefault="007C2A71" w:rsidP="00310E2F">
            <w:pPr>
              <w:jc w:val="center"/>
            </w:pPr>
            <w:r>
              <w:t>√</w:t>
            </w:r>
          </w:p>
          <w:p w14:paraId="24CCB8B9" w14:textId="77777777" w:rsidR="007C2A71" w:rsidRDefault="007C2A71" w:rsidP="00310E2F">
            <w:pPr>
              <w:jc w:val="center"/>
            </w:pPr>
            <w:r>
              <w:t>√</w:t>
            </w:r>
          </w:p>
          <w:p w14:paraId="5CD74834" w14:textId="77777777" w:rsidR="007C2A71" w:rsidRDefault="007C2A71" w:rsidP="00310E2F">
            <w:pPr>
              <w:jc w:val="center"/>
            </w:pPr>
            <w:r>
              <w:t>√</w:t>
            </w:r>
          </w:p>
          <w:p w14:paraId="49F9D92B" w14:textId="77777777" w:rsidR="007C2A71" w:rsidRDefault="007C2A71" w:rsidP="00310E2F">
            <w:pPr>
              <w:jc w:val="center"/>
            </w:pPr>
            <w:r>
              <w:t>√</w:t>
            </w:r>
          </w:p>
          <w:p w14:paraId="110D1E24" w14:textId="77777777" w:rsidR="007C2A71" w:rsidRDefault="007C2A71" w:rsidP="00310E2F">
            <w:pPr>
              <w:jc w:val="center"/>
            </w:pPr>
            <w:r>
              <w:t>√</w:t>
            </w:r>
          </w:p>
          <w:p w14:paraId="3F4A048C" w14:textId="77777777" w:rsidR="007C2A71" w:rsidRDefault="007C2A71" w:rsidP="00310E2F">
            <w:pPr>
              <w:jc w:val="center"/>
            </w:pPr>
            <w:r>
              <w:t>√</w:t>
            </w:r>
          </w:p>
          <w:p w14:paraId="159D54EA" w14:textId="77777777" w:rsidR="007C2A71" w:rsidRDefault="007C2A71" w:rsidP="00310E2F">
            <w:pPr>
              <w:jc w:val="center"/>
            </w:pPr>
            <w:r>
              <w:t>√</w:t>
            </w:r>
          </w:p>
        </w:tc>
        <w:tc>
          <w:tcPr>
            <w:tcW w:w="1133" w:type="dxa"/>
          </w:tcPr>
          <w:p w14:paraId="4FCF579E" w14:textId="77777777" w:rsidR="007C2A71" w:rsidRDefault="007C2A71" w:rsidP="00310E2F">
            <w:pPr>
              <w:jc w:val="center"/>
            </w:pPr>
          </w:p>
          <w:p w14:paraId="60613498" w14:textId="77777777" w:rsidR="007C2A71" w:rsidRDefault="007C2A71" w:rsidP="00310E2F">
            <w:pPr>
              <w:jc w:val="center"/>
            </w:pPr>
            <w:r>
              <w:t>√</w:t>
            </w:r>
          </w:p>
          <w:p w14:paraId="0C2B9027" w14:textId="77777777" w:rsidR="007C2A71" w:rsidRDefault="007C2A71" w:rsidP="00310E2F">
            <w:pPr>
              <w:jc w:val="center"/>
            </w:pPr>
          </w:p>
          <w:p w14:paraId="7E45CEFA" w14:textId="77777777" w:rsidR="007C2A71" w:rsidRDefault="007C2A71" w:rsidP="00310E2F">
            <w:pPr>
              <w:jc w:val="center"/>
            </w:pPr>
            <w:r>
              <w:t>√</w:t>
            </w:r>
          </w:p>
          <w:p w14:paraId="57225078" w14:textId="77777777" w:rsidR="007C2A71" w:rsidRDefault="007C2A71" w:rsidP="00310E2F">
            <w:pPr>
              <w:jc w:val="center"/>
            </w:pPr>
            <w:r>
              <w:t>√</w:t>
            </w:r>
          </w:p>
          <w:p w14:paraId="5A75EAFA" w14:textId="77777777" w:rsidR="007C2A71" w:rsidRDefault="007C2A71" w:rsidP="00310E2F">
            <w:pPr>
              <w:jc w:val="center"/>
            </w:pPr>
            <w:r>
              <w:t>√</w:t>
            </w:r>
          </w:p>
          <w:p w14:paraId="78C45B6C" w14:textId="77777777" w:rsidR="007C2A71" w:rsidRDefault="007C2A71" w:rsidP="00310E2F">
            <w:pPr>
              <w:jc w:val="center"/>
            </w:pPr>
            <w:r>
              <w:t>√</w:t>
            </w:r>
          </w:p>
          <w:p w14:paraId="1FF43FF0" w14:textId="77777777" w:rsidR="007C2A71" w:rsidRDefault="007C2A71" w:rsidP="00310E2F">
            <w:pPr>
              <w:jc w:val="center"/>
            </w:pPr>
          </w:p>
          <w:p w14:paraId="78459DD8" w14:textId="77777777" w:rsidR="007C2A71" w:rsidRDefault="007C2A71" w:rsidP="00310E2F">
            <w:pPr>
              <w:jc w:val="center"/>
            </w:pPr>
            <w:r>
              <w:t>√</w:t>
            </w:r>
          </w:p>
        </w:tc>
        <w:tc>
          <w:tcPr>
            <w:tcW w:w="1132" w:type="dxa"/>
          </w:tcPr>
          <w:p w14:paraId="21C5687F" w14:textId="77777777" w:rsidR="007C2A71" w:rsidRDefault="007C2A71" w:rsidP="00310E2F">
            <w:pPr>
              <w:jc w:val="center"/>
            </w:pPr>
          </w:p>
          <w:p w14:paraId="2D46A1E3" w14:textId="77777777" w:rsidR="007C2A71" w:rsidRDefault="007C2A71" w:rsidP="00310E2F">
            <w:pPr>
              <w:jc w:val="center"/>
            </w:pPr>
            <w:r>
              <w:t>√</w:t>
            </w:r>
          </w:p>
          <w:p w14:paraId="09BD3B77" w14:textId="77777777" w:rsidR="007C2A71" w:rsidRDefault="007C2A71" w:rsidP="00310E2F">
            <w:pPr>
              <w:jc w:val="center"/>
            </w:pPr>
          </w:p>
          <w:p w14:paraId="3B9EE7F9" w14:textId="77777777" w:rsidR="007C2A71" w:rsidRDefault="007C2A71" w:rsidP="00310E2F">
            <w:pPr>
              <w:jc w:val="center"/>
            </w:pPr>
            <w:r>
              <w:t>√</w:t>
            </w:r>
          </w:p>
          <w:p w14:paraId="5A360795" w14:textId="77777777" w:rsidR="007C2A71" w:rsidRDefault="007C2A71" w:rsidP="00310E2F">
            <w:pPr>
              <w:jc w:val="center"/>
            </w:pPr>
            <w:r>
              <w:t>√</w:t>
            </w:r>
          </w:p>
          <w:p w14:paraId="65CDCDF2" w14:textId="77777777" w:rsidR="007C2A71" w:rsidRDefault="007C2A71" w:rsidP="00310E2F">
            <w:pPr>
              <w:jc w:val="center"/>
            </w:pPr>
            <w:r>
              <w:t>√</w:t>
            </w:r>
          </w:p>
          <w:p w14:paraId="2362AF8E" w14:textId="77777777" w:rsidR="007C2A71" w:rsidRDefault="007C2A71" w:rsidP="00310E2F">
            <w:pPr>
              <w:jc w:val="center"/>
            </w:pPr>
            <w:r>
              <w:t>√</w:t>
            </w:r>
          </w:p>
          <w:p w14:paraId="1BF5B0FB" w14:textId="77777777" w:rsidR="007C2A71" w:rsidRDefault="007C2A71" w:rsidP="00310E2F">
            <w:pPr>
              <w:jc w:val="center"/>
            </w:pPr>
            <w:r>
              <w:t>√</w:t>
            </w:r>
          </w:p>
          <w:p w14:paraId="3B935138" w14:textId="77777777" w:rsidR="007C2A71" w:rsidRDefault="007C2A71" w:rsidP="00310E2F">
            <w:pPr>
              <w:jc w:val="center"/>
            </w:pPr>
            <w:r>
              <w:t>√</w:t>
            </w:r>
          </w:p>
          <w:p w14:paraId="1D9FA87D" w14:textId="77777777" w:rsidR="007C2A71" w:rsidRDefault="007C2A71" w:rsidP="00310E2F">
            <w:pPr>
              <w:jc w:val="center"/>
            </w:pPr>
            <w:r>
              <w:t>√</w:t>
            </w:r>
          </w:p>
        </w:tc>
        <w:tc>
          <w:tcPr>
            <w:tcW w:w="1185" w:type="dxa"/>
          </w:tcPr>
          <w:p w14:paraId="110F8068" w14:textId="77777777" w:rsidR="007C2A71" w:rsidRDefault="007C2A71" w:rsidP="00310E2F">
            <w:pPr>
              <w:jc w:val="center"/>
            </w:pPr>
          </w:p>
          <w:p w14:paraId="1ABDC3B7" w14:textId="77777777" w:rsidR="007C2A71" w:rsidRDefault="007C2A71" w:rsidP="00310E2F">
            <w:pPr>
              <w:jc w:val="center"/>
            </w:pPr>
            <w:r>
              <w:t>√</w:t>
            </w:r>
          </w:p>
          <w:p w14:paraId="7D0A0437" w14:textId="77777777" w:rsidR="007C2A71" w:rsidRDefault="007C2A71" w:rsidP="00310E2F">
            <w:pPr>
              <w:jc w:val="center"/>
            </w:pPr>
          </w:p>
          <w:p w14:paraId="0450AFCA" w14:textId="77777777" w:rsidR="007C2A71" w:rsidRDefault="007C2A71" w:rsidP="00310E2F">
            <w:pPr>
              <w:jc w:val="center"/>
            </w:pPr>
            <w:r>
              <w:t>√</w:t>
            </w:r>
          </w:p>
          <w:p w14:paraId="26748AF6" w14:textId="77777777" w:rsidR="007C2A71" w:rsidRDefault="007C2A71" w:rsidP="00310E2F">
            <w:pPr>
              <w:jc w:val="center"/>
            </w:pPr>
            <w:r>
              <w:t>√</w:t>
            </w:r>
          </w:p>
          <w:p w14:paraId="6003CA25" w14:textId="77777777" w:rsidR="007C2A71" w:rsidRDefault="007C2A71" w:rsidP="00310E2F">
            <w:pPr>
              <w:jc w:val="center"/>
            </w:pPr>
            <w:r>
              <w:t>√</w:t>
            </w:r>
          </w:p>
          <w:p w14:paraId="0C6ED1EC" w14:textId="77777777" w:rsidR="007C2A71" w:rsidRDefault="007C2A71" w:rsidP="00310E2F">
            <w:pPr>
              <w:jc w:val="center"/>
            </w:pPr>
            <w:r>
              <w:t>√</w:t>
            </w:r>
          </w:p>
          <w:p w14:paraId="12781478" w14:textId="77777777" w:rsidR="007C2A71" w:rsidRDefault="007C2A71" w:rsidP="00310E2F">
            <w:pPr>
              <w:jc w:val="center"/>
            </w:pPr>
          </w:p>
          <w:p w14:paraId="23B5E8E2" w14:textId="77777777" w:rsidR="007C2A71" w:rsidRDefault="007C2A71" w:rsidP="00310E2F">
            <w:pPr>
              <w:jc w:val="center"/>
            </w:pPr>
            <w:r>
              <w:t>√</w:t>
            </w:r>
          </w:p>
          <w:p w14:paraId="14B3DCCD" w14:textId="77777777" w:rsidR="007C2A71" w:rsidRDefault="007C2A71" w:rsidP="00310E2F">
            <w:pPr>
              <w:jc w:val="center"/>
            </w:pPr>
            <w:r>
              <w:t>√</w:t>
            </w:r>
          </w:p>
        </w:tc>
      </w:tr>
      <w:tr w:rsidR="007C2A71" w14:paraId="110B58F2" w14:textId="77777777" w:rsidTr="00310E2F">
        <w:tc>
          <w:tcPr>
            <w:tcW w:w="9351" w:type="dxa"/>
          </w:tcPr>
          <w:p w14:paraId="1DEC6F61" w14:textId="77777777" w:rsidR="007C2A71" w:rsidRDefault="007C2A71" w:rsidP="00310E2F">
            <w:r>
              <w:t>Roles/responsibilities of TC</w:t>
            </w:r>
          </w:p>
          <w:p w14:paraId="12799436" w14:textId="77777777" w:rsidR="007C2A71" w:rsidRDefault="007C2A71" w:rsidP="00310E2F">
            <w:r>
              <w:t>2.a. Demonstrate resources/activities provided by ABC</w:t>
            </w:r>
          </w:p>
          <w:p w14:paraId="5D37A964" w14:textId="77777777" w:rsidR="007C2A71" w:rsidRDefault="007C2A71" w:rsidP="00310E2F">
            <w:r>
              <w:t>2.b. Provide individual support for my ABC teachers</w:t>
            </w:r>
          </w:p>
          <w:p w14:paraId="3B6A4FFF" w14:textId="77777777" w:rsidR="007C2A71" w:rsidRDefault="007C2A71" w:rsidP="00310E2F">
            <w:r>
              <w:t>2.c. Support my ABC teachers to solve STEM problems during network meetings</w:t>
            </w:r>
          </w:p>
          <w:p w14:paraId="788BCE56" w14:textId="77777777" w:rsidR="007C2A71" w:rsidRDefault="007C2A71" w:rsidP="00310E2F">
            <w:r>
              <w:t>2.d. Help overcome school-management problems confronted by my ABC teachers</w:t>
            </w:r>
          </w:p>
          <w:p w14:paraId="2677BE3E" w14:textId="77777777" w:rsidR="007C2A71" w:rsidRDefault="007C2A71" w:rsidP="00310E2F">
            <w:r>
              <w:t>2.e. Identify ways my ABC teachers can encourage STEM communication in their schools</w:t>
            </w:r>
          </w:p>
          <w:p w14:paraId="5ACA13E2" w14:textId="77777777" w:rsidR="007C2A71" w:rsidRDefault="007C2A71" w:rsidP="00310E2F">
            <w:r>
              <w:t>2.f. Prioritise needs of new ABC teachers over established members in my network</w:t>
            </w:r>
          </w:p>
          <w:p w14:paraId="1569AA42" w14:textId="77777777" w:rsidR="007C2A71" w:rsidRDefault="007C2A71" w:rsidP="00310E2F">
            <w:r>
              <w:t>2.g. Develop/support improved STEM attitudes among my ABC teachers</w:t>
            </w:r>
          </w:p>
          <w:p w14:paraId="11B561B3" w14:textId="77777777" w:rsidR="007C2A71" w:rsidRDefault="007C2A71" w:rsidP="00310E2F">
            <w:r>
              <w:t>2.h. Improve my ABC teachers’ confidence in approaching classroom STEM problems</w:t>
            </w:r>
          </w:p>
          <w:p w14:paraId="7671BA95" w14:textId="77777777" w:rsidR="007C2A71" w:rsidRDefault="007C2A71" w:rsidP="00310E2F">
            <w:r>
              <w:t>2.i. Establish long-term Community of Learning among my ABC teachers</w:t>
            </w:r>
          </w:p>
          <w:p w14:paraId="040FECEE" w14:textId="77777777" w:rsidR="007C2A71" w:rsidRDefault="007C2A71" w:rsidP="00310E2F">
            <w:r>
              <w:t>2.j. Find new schools to integrate into my ABC network</w:t>
            </w:r>
          </w:p>
          <w:p w14:paraId="7201113E" w14:textId="77777777" w:rsidR="007C2A71" w:rsidRDefault="007C2A71" w:rsidP="00310E2F">
            <w:r>
              <w:t>2.k. Pass my STEM knowledge to my ABC teachers</w:t>
            </w:r>
          </w:p>
          <w:p w14:paraId="2DFF6CDD" w14:textId="77777777" w:rsidR="007C2A71" w:rsidRDefault="007C2A71" w:rsidP="00310E2F">
            <w:r>
              <w:t>2.l. Provide a forum for my ABC teachers to reflect on their STEM activities</w:t>
            </w:r>
          </w:p>
          <w:p w14:paraId="3B001F25" w14:textId="77777777" w:rsidR="007C2A71" w:rsidRDefault="007C2A71" w:rsidP="00310E2F">
            <w:r>
              <w:t>2.m Identify more experienced ABC teachers to mentor new network members</w:t>
            </w:r>
          </w:p>
          <w:p w14:paraId="0EB7A583" w14:textId="77777777" w:rsidR="007C2A71" w:rsidRDefault="007C2A71" w:rsidP="00310E2F">
            <w:r>
              <w:t>2.n. Establish effective ways for my ABC teachers to communicate outside network meetings</w:t>
            </w:r>
          </w:p>
        </w:tc>
        <w:tc>
          <w:tcPr>
            <w:tcW w:w="1149" w:type="dxa"/>
          </w:tcPr>
          <w:p w14:paraId="3655489D" w14:textId="77777777" w:rsidR="007C2A71" w:rsidRDefault="007C2A71" w:rsidP="00310E2F">
            <w:pPr>
              <w:jc w:val="center"/>
            </w:pPr>
          </w:p>
          <w:p w14:paraId="00CF8774" w14:textId="77777777" w:rsidR="007C2A71" w:rsidRDefault="007C2A71" w:rsidP="00310E2F">
            <w:pPr>
              <w:jc w:val="center"/>
            </w:pPr>
            <w:r>
              <w:t>√</w:t>
            </w:r>
          </w:p>
          <w:p w14:paraId="348C2D81" w14:textId="77777777" w:rsidR="007C2A71" w:rsidRDefault="007C2A71" w:rsidP="00310E2F">
            <w:pPr>
              <w:jc w:val="center"/>
            </w:pPr>
            <w:r>
              <w:t>√</w:t>
            </w:r>
          </w:p>
          <w:p w14:paraId="00BA88D5" w14:textId="77777777" w:rsidR="007C2A71" w:rsidRDefault="007C2A71" w:rsidP="00310E2F">
            <w:pPr>
              <w:jc w:val="center"/>
            </w:pPr>
            <w:r>
              <w:t>√</w:t>
            </w:r>
          </w:p>
          <w:p w14:paraId="0F1FFFA1" w14:textId="77777777" w:rsidR="007C2A71" w:rsidRDefault="007C2A71" w:rsidP="00310E2F">
            <w:pPr>
              <w:jc w:val="center"/>
            </w:pPr>
            <w:r>
              <w:t>√</w:t>
            </w:r>
          </w:p>
          <w:p w14:paraId="599E6DB6" w14:textId="77777777" w:rsidR="007C2A71" w:rsidRDefault="007C2A71" w:rsidP="00310E2F">
            <w:pPr>
              <w:jc w:val="center"/>
            </w:pPr>
            <w:r>
              <w:t>√</w:t>
            </w:r>
          </w:p>
          <w:p w14:paraId="2DE3BEE1" w14:textId="77777777" w:rsidR="007C2A71" w:rsidRDefault="007C2A71" w:rsidP="00310E2F">
            <w:pPr>
              <w:jc w:val="center"/>
            </w:pPr>
            <w:r>
              <w:t>√</w:t>
            </w:r>
          </w:p>
          <w:p w14:paraId="151E7676" w14:textId="77777777" w:rsidR="007C2A71" w:rsidRDefault="007C2A71" w:rsidP="00310E2F">
            <w:pPr>
              <w:jc w:val="center"/>
            </w:pPr>
            <w:r>
              <w:t>√</w:t>
            </w:r>
          </w:p>
          <w:p w14:paraId="4CB35399" w14:textId="77777777" w:rsidR="007C2A71" w:rsidRDefault="007C2A71" w:rsidP="00310E2F">
            <w:pPr>
              <w:jc w:val="center"/>
            </w:pPr>
            <w:r>
              <w:t>√</w:t>
            </w:r>
          </w:p>
          <w:p w14:paraId="169B0068" w14:textId="77777777" w:rsidR="007C2A71" w:rsidRDefault="007C2A71" w:rsidP="00310E2F">
            <w:pPr>
              <w:jc w:val="center"/>
            </w:pPr>
            <w:r>
              <w:t>√</w:t>
            </w:r>
          </w:p>
          <w:p w14:paraId="536B57DE" w14:textId="77777777" w:rsidR="007C2A71" w:rsidRDefault="007C2A71" w:rsidP="00310E2F">
            <w:pPr>
              <w:jc w:val="center"/>
            </w:pPr>
            <w:r>
              <w:t>√</w:t>
            </w:r>
          </w:p>
          <w:p w14:paraId="5816C16E" w14:textId="77777777" w:rsidR="007C2A71" w:rsidRDefault="007C2A71" w:rsidP="00310E2F">
            <w:pPr>
              <w:jc w:val="center"/>
            </w:pPr>
            <w:r>
              <w:t>√</w:t>
            </w:r>
          </w:p>
          <w:p w14:paraId="7C07745F" w14:textId="77777777" w:rsidR="007C2A71" w:rsidRDefault="007C2A71" w:rsidP="00310E2F">
            <w:pPr>
              <w:jc w:val="center"/>
            </w:pPr>
            <w:r>
              <w:t>√</w:t>
            </w:r>
          </w:p>
          <w:p w14:paraId="4508516E" w14:textId="77777777" w:rsidR="007C2A71" w:rsidRDefault="007C2A71" w:rsidP="00310E2F">
            <w:pPr>
              <w:jc w:val="center"/>
            </w:pPr>
            <w:r>
              <w:t>√</w:t>
            </w:r>
          </w:p>
          <w:p w14:paraId="6B28B89B" w14:textId="77777777" w:rsidR="007C2A71" w:rsidRDefault="007C2A71" w:rsidP="00310E2F">
            <w:pPr>
              <w:jc w:val="center"/>
            </w:pPr>
            <w:r>
              <w:t>√</w:t>
            </w:r>
          </w:p>
        </w:tc>
        <w:tc>
          <w:tcPr>
            <w:tcW w:w="1133" w:type="dxa"/>
          </w:tcPr>
          <w:p w14:paraId="143F15BC" w14:textId="77777777" w:rsidR="007C2A71" w:rsidRDefault="007C2A71" w:rsidP="00310E2F">
            <w:pPr>
              <w:jc w:val="center"/>
            </w:pPr>
          </w:p>
          <w:p w14:paraId="533197DA" w14:textId="77777777" w:rsidR="007C2A71" w:rsidRDefault="007C2A71" w:rsidP="00310E2F">
            <w:pPr>
              <w:jc w:val="center"/>
            </w:pPr>
            <w:r>
              <w:t>√</w:t>
            </w:r>
          </w:p>
          <w:p w14:paraId="309B55C5" w14:textId="77777777" w:rsidR="007C2A71" w:rsidRDefault="007C2A71" w:rsidP="00310E2F">
            <w:pPr>
              <w:jc w:val="center"/>
            </w:pPr>
          </w:p>
          <w:p w14:paraId="52363CA9" w14:textId="77777777" w:rsidR="007C2A71" w:rsidRDefault="007C2A71" w:rsidP="00310E2F">
            <w:pPr>
              <w:jc w:val="center"/>
            </w:pPr>
            <w:r>
              <w:t>√</w:t>
            </w:r>
          </w:p>
          <w:p w14:paraId="05C1EDEC" w14:textId="77777777" w:rsidR="007C2A71" w:rsidRDefault="007C2A71" w:rsidP="00310E2F">
            <w:pPr>
              <w:jc w:val="center"/>
            </w:pPr>
          </w:p>
          <w:p w14:paraId="7BD137FE" w14:textId="77777777" w:rsidR="007C2A71" w:rsidRDefault="007C2A71" w:rsidP="00310E2F">
            <w:pPr>
              <w:jc w:val="center"/>
            </w:pPr>
          </w:p>
          <w:p w14:paraId="245E137F" w14:textId="77777777" w:rsidR="007C2A71" w:rsidRDefault="007C2A71" w:rsidP="00310E2F">
            <w:pPr>
              <w:jc w:val="center"/>
            </w:pPr>
            <w:r>
              <w:t>√</w:t>
            </w:r>
          </w:p>
          <w:p w14:paraId="481EAB4E" w14:textId="77777777" w:rsidR="007C2A71" w:rsidRDefault="007C2A71" w:rsidP="00310E2F">
            <w:pPr>
              <w:jc w:val="center"/>
            </w:pPr>
          </w:p>
          <w:p w14:paraId="5B9EA3B4" w14:textId="77777777" w:rsidR="007C2A71" w:rsidRDefault="007C2A71" w:rsidP="00310E2F">
            <w:pPr>
              <w:jc w:val="center"/>
            </w:pPr>
            <w:r>
              <w:t>√</w:t>
            </w:r>
          </w:p>
          <w:p w14:paraId="6FFB1E75" w14:textId="77777777" w:rsidR="007C2A71" w:rsidRDefault="007C2A71" w:rsidP="00310E2F">
            <w:pPr>
              <w:jc w:val="center"/>
            </w:pPr>
            <w:r>
              <w:t>√</w:t>
            </w:r>
          </w:p>
          <w:p w14:paraId="0FCC6831" w14:textId="77777777" w:rsidR="007C2A71" w:rsidRDefault="007C2A71" w:rsidP="00310E2F">
            <w:pPr>
              <w:jc w:val="center"/>
            </w:pPr>
            <w:r>
              <w:t>√</w:t>
            </w:r>
          </w:p>
          <w:p w14:paraId="2FC5D2AE" w14:textId="77777777" w:rsidR="007C2A71" w:rsidRDefault="007C2A71" w:rsidP="00310E2F">
            <w:pPr>
              <w:jc w:val="center"/>
            </w:pPr>
            <w:r>
              <w:t>√</w:t>
            </w:r>
          </w:p>
          <w:p w14:paraId="53301D80" w14:textId="77777777" w:rsidR="007C2A71" w:rsidRDefault="007C2A71" w:rsidP="00310E2F">
            <w:pPr>
              <w:jc w:val="center"/>
            </w:pPr>
            <w:r>
              <w:t>√</w:t>
            </w:r>
          </w:p>
          <w:p w14:paraId="77E88B7E" w14:textId="77777777" w:rsidR="007C2A71" w:rsidRDefault="007C2A71" w:rsidP="00310E2F">
            <w:pPr>
              <w:jc w:val="center"/>
            </w:pPr>
            <w:r>
              <w:t>√</w:t>
            </w:r>
          </w:p>
          <w:p w14:paraId="2F3C525E" w14:textId="77777777" w:rsidR="007C2A71" w:rsidRDefault="007C2A71" w:rsidP="00310E2F">
            <w:pPr>
              <w:jc w:val="center"/>
            </w:pPr>
            <w:r>
              <w:t>√</w:t>
            </w:r>
          </w:p>
        </w:tc>
        <w:tc>
          <w:tcPr>
            <w:tcW w:w="1132" w:type="dxa"/>
          </w:tcPr>
          <w:p w14:paraId="3830A1B6" w14:textId="77777777" w:rsidR="007C2A71" w:rsidRDefault="007C2A71" w:rsidP="00310E2F">
            <w:pPr>
              <w:jc w:val="center"/>
            </w:pPr>
          </w:p>
        </w:tc>
        <w:tc>
          <w:tcPr>
            <w:tcW w:w="1185" w:type="dxa"/>
          </w:tcPr>
          <w:p w14:paraId="3CB89A7C" w14:textId="77777777" w:rsidR="007C2A71" w:rsidRDefault="007C2A71" w:rsidP="00310E2F">
            <w:pPr>
              <w:jc w:val="center"/>
            </w:pPr>
          </w:p>
        </w:tc>
      </w:tr>
      <w:tr w:rsidR="007C2A71" w14:paraId="091A50C9" w14:textId="77777777" w:rsidTr="00310E2F">
        <w:tc>
          <w:tcPr>
            <w:tcW w:w="9351" w:type="dxa"/>
          </w:tcPr>
          <w:p w14:paraId="7B6003D8" w14:textId="77777777" w:rsidR="007C2A71" w:rsidRDefault="007C2A71" w:rsidP="00310E2F">
            <w:r>
              <w:t>Experience of ABC</w:t>
            </w:r>
          </w:p>
          <w:p w14:paraId="2D805DB2" w14:textId="77777777" w:rsidR="007C2A71" w:rsidRDefault="007C2A71" w:rsidP="00310E2F">
            <w:r>
              <w:t>3.a. I need to be a good teacher to be an effective TC</w:t>
            </w:r>
          </w:p>
          <w:p w14:paraId="3097429E" w14:textId="77777777" w:rsidR="007C2A71" w:rsidRDefault="007C2A71" w:rsidP="00310E2F">
            <w:r>
              <w:t>3.b. It is difficult to promote positive relations among my network teachers</w:t>
            </w:r>
          </w:p>
          <w:p w14:paraId="35E36FC8" w14:textId="77777777" w:rsidR="007C2A71" w:rsidRDefault="007C2A71" w:rsidP="00310E2F">
            <w:r>
              <w:t>3.c. Preparing for ABC meetings is too time consuming</w:t>
            </w:r>
          </w:p>
          <w:p w14:paraId="714410F6" w14:textId="77777777" w:rsidR="007C2A71" w:rsidRDefault="007C2A71" w:rsidP="00310E2F">
            <w:r>
              <w:t>3.d. ABC resource boxes are essential for extracurricular activities</w:t>
            </w:r>
          </w:p>
          <w:p w14:paraId="5B4BAE3E" w14:textId="77777777" w:rsidR="007C2A71" w:rsidRDefault="007C2A71" w:rsidP="00310E2F">
            <w:r>
              <w:t>3.e. ABC ideas have changed my approach to recommendations for STEM teaching</w:t>
            </w:r>
          </w:p>
          <w:p w14:paraId="01686A8D" w14:textId="77777777" w:rsidR="007C2A71" w:rsidRDefault="007C2A71" w:rsidP="00310E2F">
            <w:r>
              <w:t>3.f. Coordination of ABC meetings is a natural expansion of my STEM responsibilities</w:t>
            </w:r>
          </w:p>
          <w:p w14:paraId="1DCC5786" w14:textId="77777777" w:rsidR="007C2A71" w:rsidRDefault="007C2A71" w:rsidP="00310E2F">
            <w:r>
              <w:t>3.g. I find it difficult to arrange ABC meetings</w:t>
            </w:r>
          </w:p>
          <w:p w14:paraId="43468147" w14:textId="77777777" w:rsidR="007C2A71" w:rsidRDefault="007C2A71" w:rsidP="00310E2F">
            <w:r>
              <w:t>3.h. I plan for ABC network activities in addition to regular meetings</w:t>
            </w:r>
          </w:p>
          <w:p w14:paraId="02DA5EB8" w14:textId="77777777" w:rsidR="007C2A71" w:rsidRDefault="007C2A71" w:rsidP="00310E2F">
            <w:r>
              <w:t>3.i. I enjoy working with ABC teachers</w:t>
            </w:r>
          </w:p>
          <w:p w14:paraId="0E707371" w14:textId="77777777" w:rsidR="007C2A71" w:rsidRDefault="007C2A71" w:rsidP="00310E2F">
            <w:r>
              <w:t>3.j. It is difficult to involve local industries in school-based STEM activities</w:t>
            </w:r>
          </w:p>
          <w:p w14:paraId="0B096B2E" w14:textId="77777777" w:rsidR="007C2A71" w:rsidRDefault="007C2A71" w:rsidP="00310E2F">
            <w:r>
              <w:t>3.1.a. I value the support of other members of the ABC programme</w:t>
            </w:r>
          </w:p>
          <w:p w14:paraId="036185E0" w14:textId="77777777" w:rsidR="007C2A71" w:rsidRDefault="007C2A71" w:rsidP="00310E2F">
            <w:r>
              <w:lastRenderedPageBreak/>
              <w:t>3.1.b. Resource packs are very useful for extracurricular activities</w:t>
            </w:r>
          </w:p>
          <w:p w14:paraId="4F59A4C3" w14:textId="77777777" w:rsidR="007C2A71" w:rsidRDefault="007C2A71" w:rsidP="00310E2F">
            <w:r>
              <w:t>3.1.c. Being part of ABC has given me new materials for in-class use</w:t>
            </w:r>
          </w:p>
          <w:p w14:paraId="3D12A422" w14:textId="77777777" w:rsidR="007C2A71" w:rsidRDefault="007C2A71" w:rsidP="00310E2F">
            <w:r>
              <w:t>3.1.d. ABC has given me new ideas for how to teach my subject</w:t>
            </w:r>
          </w:p>
          <w:p w14:paraId="0F2F7748" w14:textId="77777777" w:rsidR="007C2A71" w:rsidRDefault="007C2A71" w:rsidP="00310E2F">
            <w:r>
              <w:t>3.1.e. Being part of ABC has led me to reflect on my teaching approach</w:t>
            </w:r>
          </w:p>
          <w:p w14:paraId="2AFFD136" w14:textId="77777777" w:rsidR="007C2A71" w:rsidRDefault="007C2A71" w:rsidP="00310E2F">
            <w:r>
              <w:t>3.1.f. I feel that I am centrally involved in what goes on at ABC meetings</w:t>
            </w:r>
          </w:p>
          <w:p w14:paraId="3309C61B" w14:textId="77777777" w:rsidR="007C2A71" w:rsidRDefault="007C2A71" w:rsidP="00310E2F">
            <w:r>
              <w:t>3.1.g. It is difficult for me to attend ABC meetings</w:t>
            </w:r>
          </w:p>
          <w:p w14:paraId="1901CA36" w14:textId="77777777" w:rsidR="007C2A71" w:rsidRDefault="007C2A71" w:rsidP="00310E2F">
            <w:r>
              <w:t>3.1.h. I often make contact with other ABC members outside of meetings</w:t>
            </w:r>
          </w:p>
          <w:p w14:paraId="74B72945" w14:textId="77777777" w:rsidR="007C2A71" w:rsidRDefault="007C2A71" w:rsidP="00310E2F">
            <w:r>
              <w:t>3.1.i. Attending ABC meetings raises my morale</w:t>
            </w:r>
          </w:p>
        </w:tc>
        <w:tc>
          <w:tcPr>
            <w:tcW w:w="1149" w:type="dxa"/>
          </w:tcPr>
          <w:p w14:paraId="31B729FD" w14:textId="77777777" w:rsidR="007C2A71" w:rsidRDefault="007C2A71" w:rsidP="00310E2F">
            <w:pPr>
              <w:jc w:val="center"/>
            </w:pPr>
          </w:p>
          <w:p w14:paraId="5AD2945E" w14:textId="77777777" w:rsidR="007C2A71" w:rsidRDefault="007C2A71" w:rsidP="00310E2F">
            <w:pPr>
              <w:jc w:val="center"/>
            </w:pPr>
            <w:r>
              <w:t>√</w:t>
            </w:r>
          </w:p>
          <w:p w14:paraId="5B92C299" w14:textId="77777777" w:rsidR="007C2A71" w:rsidRDefault="007C2A71" w:rsidP="00310E2F">
            <w:pPr>
              <w:jc w:val="center"/>
            </w:pPr>
            <w:r>
              <w:t>√</w:t>
            </w:r>
          </w:p>
          <w:p w14:paraId="2840495D" w14:textId="77777777" w:rsidR="007C2A71" w:rsidRDefault="007C2A71" w:rsidP="00310E2F">
            <w:pPr>
              <w:jc w:val="center"/>
            </w:pPr>
            <w:r>
              <w:t>√</w:t>
            </w:r>
          </w:p>
          <w:p w14:paraId="454B5033" w14:textId="77777777" w:rsidR="007C2A71" w:rsidRDefault="007C2A71" w:rsidP="00310E2F">
            <w:pPr>
              <w:jc w:val="center"/>
            </w:pPr>
            <w:r>
              <w:t>√</w:t>
            </w:r>
          </w:p>
          <w:p w14:paraId="75507F14" w14:textId="77777777" w:rsidR="007C2A71" w:rsidRDefault="007C2A71" w:rsidP="00310E2F">
            <w:pPr>
              <w:jc w:val="center"/>
            </w:pPr>
            <w:r>
              <w:t>√</w:t>
            </w:r>
          </w:p>
          <w:p w14:paraId="2C281834" w14:textId="77777777" w:rsidR="007C2A71" w:rsidRDefault="007C2A71" w:rsidP="00310E2F">
            <w:pPr>
              <w:jc w:val="center"/>
            </w:pPr>
            <w:r>
              <w:t>√</w:t>
            </w:r>
          </w:p>
          <w:p w14:paraId="19355923" w14:textId="77777777" w:rsidR="007C2A71" w:rsidRDefault="007C2A71" w:rsidP="00310E2F">
            <w:pPr>
              <w:jc w:val="center"/>
            </w:pPr>
            <w:r>
              <w:t>√</w:t>
            </w:r>
          </w:p>
          <w:p w14:paraId="2EA949D1" w14:textId="77777777" w:rsidR="007C2A71" w:rsidRDefault="007C2A71" w:rsidP="00310E2F">
            <w:pPr>
              <w:jc w:val="center"/>
            </w:pPr>
            <w:r>
              <w:t>√</w:t>
            </w:r>
          </w:p>
          <w:p w14:paraId="2F818FF3" w14:textId="77777777" w:rsidR="007C2A71" w:rsidRDefault="007C2A71" w:rsidP="00310E2F">
            <w:pPr>
              <w:jc w:val="center"/>
            </w:pPr>
            <w:r>
              <w:t>√</w:t>
            </w:r>
          </w:p>
          <w:p w14:paraId="187C1986" w14:textId="77777777" w:rsidR="007C2A71" w:rsidRDefault="007C2A71" w:rsidP="00310E2F">
            <w:pPr>
              <w:jc w:val="center"/>
            </w:pPr>
            <w:r>
              <w:t>√</w:t>
            </w:r>
          </w:p>
        </w:tc>
        <w:tc>
          <w:tcPr>
            <w:tcW w:w="1133" w:type="dxa"/>
          </w:tcPr>
          <w:p w14:paraId="6BEBDEA7" w14:textId="77777777" w:rsidR="007C2A71" w:rsidRDefault="007C2A71" w:rsidP="00310E2F">
            <w:pPr>
              <w:jc w:val="center"/>
            </w:pPr>
          </w:p>
          <w:p w14:paraId="52C9969E" w14:textId="77777777" w:rsidR="007C2A71" w:rsidRDefault="007C2A71" w:rsidP="00310E2F">
            <w:pPr>
              <w:jc w:val="center"/>
            </w:pPr>
            <w:r>
              <w:t>√</w:t>
            </w:r>
          </w:p>
          <w:p w14:paraId="1AA3FF3F" w14:textId="77777777" w:rsidR="007C2A71" w:rsidRDefault="007C2A71" w:rsidP="00310E2F">
            <w:pPr>
              <w:jc w:val="center"/>
            </w:pPr>
            <w:r>
              <w:t>√</w:t>
            </w:r>
          </w:p>
          <w:p w14:paraId="2083D12E" w14:textId="77777777" w:rsidR="007C2A71" w:rsidRDefault="007C2A71" w:rsidP="00310E2F">
            <w:pPr>
              <w:jc w:val="center"/>
            </w:pPr>
            <w:r>
              <w:t>√</w:t>
            </w:r>
          </w:p>
          <w:p w14:paraId="7BFC9B83" w14:textId="77777777" w:rsidR="007C2A71" w:rsidRDefault="007C2A71" w:rsidP="00310E2F">
            <w:pPr>
              <w:jc w:val="center"/>
            </w:pPr>
          </w:p>
          <w:p w14:paraId="24E6ED92" w14:textId="77777777" w:rsidR="007C2A71" w:rsidRDefault="007C2A71" w:rsidP="00310E2F">
            <w:pPr>
              <w:jc w:val="center"/>
            </w:pPr>
          </w:p>
          <w:p w14:paraId="4A34D2FB" w14:textId="77777777" w:rsidR="007C2A71" w:rsidRDefault="007C2A71" w:rsidP="00310E2F">
            <w:pPr>
              <w:jc w:val="center"/>
            </w:pPr>
            <w:r>
              <w:t>√</w:t>
            </w:r>
          </w:p>
          <w:p w14:paraId="678EB1F6" w14:textId="77777777" w:rsidR="007C2A71" w:rsidRDefault="007C2A71" w:rsidP="00310E2F">
            <w:pPr>
              <w:jc w:val="center"/>
            </w:pPr>
            <w:r>
              <w:t>√</w:t>
            </w:r>
          </w:p>
          <w:p w14:paraId="684E0ED8" w14:textId="77777777" w:rsidR="007C2A71" w:rsidRDefault="007C2A71" w:rsidP="00310E2F">
            <w:pPr>
              <w:jc w:val="center"/>
            </w:pPr>
          </w:p>
          <w:p w14:paraId="159C6490" w14:textId="77777777" w:rsidR="007C2A71" w:rsidRDefault="007C2A71" w:rsidP="00310E2F">
            <w:pPr>
              <w:jc w:val="center"/>
            </w:pPr>
            <w:r>
              <w:t>√</w:t>
            </w:r>
          </w:p>
          <w:p w14:paraId="2BCAB7F6" w14:textId="77777777" w:rsidR="007C2A71" w:rsidRDefault="007C2A71" w:rsidP="00310E2F">
            <w:pPr>
              <w:jc w:val="center"/>
            </w:pPr>
            <w:r>
              <w:t>√</w:t>
            </w:r>
          </w:p>
        </w:tc>
        <w:tc>
          <w:tcPr>
            <w:tcW w:w="1132" w:type="dxa"/>
          </w:tcPr>
          <w:p w14:paraId="1B00356E" w14:textId="77777777" w:rsidR="007C2A71" w:rsidRDefault="007C2A71" w:rsidP="00310E2F">
            <w:pPr>
              <w:jc w:val="center"/>
            </w:pPr>
          </w:p>
          <w:p w14:paraId="720E875D" w14:textId="77777777" w:rsidR="007C2A71" w:rsidRDefault="007C2A71" w:rsidP="00310E2F">
            <w:pPr>
              <w:jc w:val="center"/>
            </w:pPr>
          </w:p>
          <w:p w14:paraId="326BE2C9" w14:textId="77777777" w:rsidR="007C2A71" w:rsidRDefault="007C2A71" w:rsidP="00310E2F">
            <w:pPr>
              <w:jc w:val="center"/>
            </w:pPr>
          </w:p>
          <w:p w14:paraId="6FE8175A" w14:textId="77777777" w:rsidR="007C2A71" w:rsidRDefault="007C2A71" w:rsidP="00310E2F">
            <w:pPr>
              <w:jc w:val="center"/>
            </w:pPr>
          </w:p>
          <w:p w14:paraId="35D4CBD6" w14:textId="77777777" w:rsidR="007C2A71" w:rsidRDefault="007C2A71" w:rsidP="00310E2F">
            <w:pPr>
              <w:jc w:val="center"/>
            </w:pPr>
          </w:p>
          <w:p w14:paraId="3F9C9933" w14:textId="77777777" w:rsidR="007C2A71" w:rsidRDefault="007C2A71" w:rsidP="00310E2F">
            <w:pPr>
              <w:jc w:val="center"/>
            </w:pPr>
          </w:p>
          <w:p w14:paraId="75AE05CD" w14:textId="77777777" w:rsidR="007C2A71" w:rsidRDefault="007C2A71" w:rsidP="00310E2F">
            <w:pPr>
              <w:jc w:val="center"/>
            </w:pPr>
          </w:p>
          <w:p w14:paraId="3021863B" w14:textId="77777777" w:rsidR="007C2A71" w:rsidRDefault="007C2A71" w:rsidP="00310E2F">
            <w:pPr>
              <w:jc w:val="center"/>
            </w:pPr>
          </w:p>
          <w:p w14:paraId="1127498C" w14:textId="77777777" w:rsidR="007C2A71" w:rsidRDefault="007C2A71" w:rsidP="00310E2F">
            <w:pPr>
              <w:jc w:val="center"/>
            </w:pPr>
          </w:p>
          <w:p w14:paraId="2B3D379C" w14:textId="77777777" w:rsidR="007C2A71" w:rsidRDefault="007C2A71" w:rsidP="00310E2F">
            <w:pPr>
              <w:jc w:val="center"/>
            </w:pPr>
          </w:p>
          <w:p w14:paraId="668B148A" w14:textId="77777777" w:rsidR="007C2A71" w:rsidRDefault="007C2A71" w:rsidP="00310E2F">
            <w:pPr>
              <w:jc w:val="center"/>
            </w:pPr>
          </w:p>
          <w:p w14:paraId="009FED2B" w14:textId="77777777" w:rsidR="007C2A71" w:rsidRDefault="007C2A71" w:rsidP="00310E2F">
            <w:pPr>
              <w:jc w:val="center"/>
            </w:pPr>
            <w:r>
              <w:t>√</w:t>
            </w:r>
          </w:p>
          <w:p w14:paraId="125A47D7" w14:textId="77777777" w:rsidR="007C2A71" w:rsidRDefault="007C2A71" w:rsidP="00310E2F">
            <w:pPr>
              <w:jc w:val="center"/>
            </w:pPr>
            <w:r>
              <w:t>√</w:t>
            </w:r>
          </w:p>
          <w:p w14:paraId="2C82C5F2" w14:textId="77777777" w:rsidR="007C2A71" w:rsidRDefault="007C2A71" w:rsidP="00310E2F">
            <w:pPr>
              <w:jc w:val="center"/>
            </w:pPr>
            <w:r>
              <w:t>√</w:t>
            </w:r>
          </w:p>
          <w:p w14:paraId="2FF094CB" w14:textId="77777777" w:rsidR="007C2A71" w:rsidRDefault="007C2A71" w:rsidP="00310E2F">
            <w:pPr>
              <w:jc w:val="center"/>
            </w:pPr>
            <w:r>
              <w:t>√</w:t>
            </w:r>
          </w:p>
          <w:p w14:paraId="3B88F099" w14:textId="77777777" w:rsidR="007C2A71" w:rsidRDefault="007C2A71" w:rsidP="00310E2F">
            <w:pPr>
              <w:jc w:val="center"/>
            </w:pPr>
            <w:r>
              <w:t>√</w:t>
            </w:r>
          </w:p>
          <w:p w14:paraId="0F82EC4C" w14:textId="77777777" w:rsidR="007C2A71" w:rsidRDefault="007C2A71" w:rsidP="00310E2F">
            <w:pPr>
              <w:jc w:val="center"/>
            </w:pPr>
            <w:r>
              <w:t>√</w:t>
            </w:r>
          </w:p>
          <w:p w14:paraId="2CAFDF26" w14:textId="77777777" w:rsidR="007C2A71" w:rsidRDefault="007C2A71" w:rsidP="00310E2F">
            <w:pPr>
              <w:jc w:val="center"/>
            </w:pPr>
            <w:r>
              <w:t>√</w:t>
            </w:r>
          </w:p>
          <w:p w14:paraId="72108FD7" w14:textId="77777777" w:rsidR="007C2A71" w:rsidRDefault="007C2A71" w:rsidP="00310E2F">
            <w:pPr>
              <w:jc w:val="center"/>
            </w:pPr>
            <w:r>
              <w:t>√</w:t>
            </w:r>
          </w:p>
          <w:p w14:paraId="006B1F8C" w14:textId="77777777" w:rsidR="007C2A71" w:rsidRDefault="007C2A71" w:rsidP="00310E2F">
            <w:pPr>
              <w:jc w:val="center"/>
            </w:pPr>
            <w:r>
              <w:lastRenderedPageBreak/>
              <w:t>√</w:t>
            </w:r>
          </w:p>
        </w:tc>
        <w:tc>
          <w:tcPr>
            <w:tcW w:w="1185" w:type="dxa"/>
          </w:tcPr>
          <w:p w14:paraId="28A5FBD4" w14:textId="77777777" w:rsidR="007C2A71" w:rsidRDefault="007C2A71" w:rsidP="00310E2F">
            <w:pPr>
              <w:jc w:val="center"/>
            </w:pPr>
          </w:p>
          <w:p w14:paraId="02BAAFD0" w14:textId="77777777" w:rsidR="007C2A71" w:rsidRDefault="007C2A71" w:rsidP="00310E2F">
            <w:pPr>
              <w:jc w:val="center"/>
            </w:pPr>
          </w:p>
          <w:p w14:paraId="4EF77B97" w14:textId="77777777" w:rsidR="007C2A71" w:rsidRDefault="007C2A71" w:rsidP="00310E2F">
            <w:pPr>
              <w:jc w:val="center"/>
            </w:pPr>
          </w:p>
          <w:p w14:paraId="074D3AD2" w14:textId="77777777" w:rsidR="007C2A71" w:rsidRDefault="007C2A71" w:rsidP="00310E2F">
            <w:pPr>
              <w:jc w:val="center"/>
            </w:pPr>
          </w:p>
          <w:p w14:paraId="38D64CC0" w14:textId="77777777" w:rsidR="007C2A71" w:rsidRDefault="007C2A71" w:rsidP="00310E2F">
            <w:pPr>
              <w:jc w:val="center"/>
            </w:pPr>
          </w:p>
          <w:p w14:paraId="104B4003" w14:textId="77777777" w:rsidR="007C2A71" w:rsidRDefault="007C2A71" w:rsidP="00310E2F">
            <w:pPr>
              <w:jc w:val="center"/>
            </w:pPr>
          </w:p>
          <w:p w14:paraId="31E379E6" w14:textId="77777777" w:rsidR="007C2A71" w:rsidRDefault="007C2A71" w:rsidP="00310E2F">
            <w:pPr>
              <w:jc w:val="center"/>
            </w:pPr>
          </w:p>
          <w:p w14:paraId="7EC838FA" w14:textId="77777777" w:rsidR="007C2A71" w:rsidRDefault="007C2A71" w:rsidP="00310E2F">
            <w:pPr>
              <w:jc w:val="center"/>
            </w:pPr>
          </w:p>
          <w:p w14:paraId="623ED983" w14:textId="77777777" w:rsidR="007C2A71" w:rsidRDefault="007C2A71" w:rsidP="00310E2F">
            <w:pPr>
              <w:jc w:val="center"/>
            </w:pPr>
          </w:p>
          <w:p w14:paraId="202B58D3" w14:textId="77777777" w:rsidR="007C2A71" w:rsidRDefault="007C2A71" w:rsidP="00310E2F">
            <w:pPr>
              <w:jc w:val="center"/>
            </w:pPr>
          </w:p>
          <w:p w14:paraId="39FB4F26" w14:textId="77777777" w:rsidR="007C2A71" w:rsidRDefault="007C2A71" w:rsidP="00310E2F">
            <w:pPr>
              <w:jc w:val="center"/>
            </w:pPr>
          </w:p>
          <w:p w14:paraId="79183CFE" w14:textId="77777777" w:rsidR="007C2A71" w:rsidRDefault="007C2A71" w:rsidP="00310E2F">
            <w:pPr>
              <w:jc w:val="center"/>
            </w:pPr>
            <w:r>
              <w:t>√</w:t>
            </w:r>
          </w:p>
          <w:p w14:paraId="31E8D476" w14:textId="77777777" w:rsidR="007C2A71" w:rsidRDefault="007C2A71" w:rsidP="00310E2F">
            <w:pPr>
              <w:jc w:val="center"/>
            </w:pPr>
          </w:p>
          <w:p w14:paraId="4C2B73D4" w14:textId="77777777" w:rsidR="007C2A71" w:rsidRDefault="007C2A71" w:rsidP="00310E2F">
            <w:pPr>
              <w:jc w:val="center"/>
            </w:pPr>
            <w:r>
              <w:t>√</w:t>
            </w:r>
          </w:p>
          <w:p w14:paraId="3A07785D" w14:textId="77777777" w:rsidR="007C2A71" w:rsidRDefault="007C2A71" w:rsidP="00310E2F">
            <w:pPr>
              <w:jc w:val="center"/>
            </w:pPr>
            <w:r>
              <w:t>√</w:t>
            </w:r>
          </w:p>
          <w:p w14:paraId="4BA15449" w14:textId="77777777" w:rsidR="007C2A71" w:rsidRDefault="007C2A71" w:rsidP="00310E2F">
            <w:pPr>
              <w:jc w:val="center"/>
            </w:pPr>
            <w:r>
              <w:t>√</w:t>
            </w:r>
          </w:p>
          <w:p w14:paraId="072B5FD2" w14:textId="77777777" w:rsidR="007C2A71" w:rsidRDefault="007C2A71" w:rsidP="00310E2F">
            <w:pPr>
              <w:jc w:val="center"/>
            </w:pPr>
          </w:p>
          <w:p w14:paraId="2607B2F6" w14:textId="77777777" w:rsidR="007C2A71" w:rsidRDefault="007C2A71" w:rsidP="00310E2F">
            <w:pPr>
              <w:jc w:val="center"/>
            </w:pPr>
            <w:r>
              <w:t>√</w:t>
            </w:r>
          </w:p>
          <w:p w14:paraId="10695FA3" w14:textId="77777777" w:rsidR="007C2A71" w:rsidRDefault="007C2A71" w:rsidP="00310E2F">
            <w:pPr>
              <w:jc w:val="center"/>
            </w:pPr>
            <w:r>
              <w:t>√</w:t>
            </w:r>
          </w:p>
          <w:p w14:paraId="3586A2A4" w14:textId="77777777" w:rsidR="007C2A71" w:rsidRDefault="007C2A71" w:rsidP="00310E2F">
            <w:pPr>
              <w:jc w:val="center"/>
            </w:pPr>
          </w:p>
        </w:tc>
      </w:tr>
      <w:tr w:rsidR="007C2A71" w14:paraId="43B91F09" w14:textId="77777777" w:rsidTr="00310E2F">
        <w:tc>
          <w:tcPr>
            <w:tcW w:w="9351" w:type="dxa"/>
          </w:tcPr>
          <w:p w14:paraId="5199F560" w14:textId="77777777" w:rsidR="007C2A71" w:rsidRDefault="007C2A71" w:rsidP="00310E2F">
            <w:r>
              <w:lastRenderedPageBreak/>
              <w:t>Experience of STEM education</w:t>
            </w:r>
          </w:p>
          <w:p w14:paraId="1A675339" w14:textId="77777777" w:rsidR="007C2A71" w:rsidRDefault="007C2A71" w:rsidP="00310E2F">
            <w:r>
              <w:t>4.a. Extracurricular activities enable valuable work with students</w:t>
            </w:r>
          </w:p>
          <w:p w14:paraId="08F0620A" w14:textId="77777777" w:rsidR="007C2A71" w:rsidRDefault="007C2A71" w:rsidP="00310E2F">
            <w:r>
              <w:t>4.b. Students will only develop positive STEM attitudes if they have full parental support</w:t>
            </w:r>
          </w:p>
          <w:p w14:paraId="08EDD32E" w14:textId="77777777" w:rsidR="007C2A71" w:rsidRDefault="007C2A71" w:rsidP="00310E2F">
            <w:r>
              <w:t>4.c. During hands-on STEM activities, most students will mess about</w:t>
            </w:r>
          </w:p>
          <w:p w14:paraId="26CB525F" w14:textId="77777777" w:rsidR="007C2A71" w:rsidRDefault="007C2A71" w:rsidP="00310E2F">
            <w:r>
              <w:t>4.d. Extracurricular STEM activities only attract students already interested in the subjects</w:t>
            </w:r>
          </w:p>
          <w:p w14:paraId="6123C500" w14:textId="77777777" w:rsidR="007C2A71" w:rsidRDefault="007C2A71" w:rsidP="00310E2F">
            <w:r>
              <w:t>4.e. Network schools are very supportive of extracurricular STEM activities</w:t>
            </w:r>
          </w:p>
          <w:p w14:paraId="34497D92" w14:textId="77777777" w:rsidR="007C2A71" w:rsidRDefault="007C2A71" w:rsidP="00310E2F">
            <w:r>
              <w:t>4.f. ABC teachers trust me to help solve their educational problems</w:t>
            </w:r>
          </w:p>
          <w:p w14:paraId="02632B73" w14:textId="77777777" w:rsidR="007C2A71" w:rsidRDefault="007C2A71" w:rsidP="00310E2F">
            <w:r>
              <w:t>4.g. In network schools, exam results are the main measure of STEM success</w:t>
            </w:r>
          </w:p>
          <w:p w14:paraId="31869359" w14:textId="77777777" w:rsidR="007C2A71" w:rsidRDefault="007C2A71" w:rsidP="00310E2F">
            <w:r>
              <w:t>4.h. Students only work well together if a teacher trains them effectively</w:t>
            </w:r>
          </w:p>
          <w:p w14:paraId="12CF9C7F" w14:textId="77777777" w:rsidR="007C2A71" w:rsidRDefault="007C2A71" w:rsidP="00310E2F">
            <w:r>
              <w:t>4.i. It is difficult to persuade ABC teachers to collaborate with other STEM teachers in school</w:t>
            </w:r>
          </w:p>
          <w:p w14:paraId="41B3727A" w14:textId="77777777" w:rsidR="007C2A71" w:rsidRDefault="007C2A71" w:rsidP="00310E2F">
            <w:r>
              <w:t>4.j. Understanding of scientific principles is most easily achieved through practical exercises</w:t>
            </w:r>
          </w:p>
          <w:p w14:paraId="1C3B90F5" w14:textId="77777777" w:rsidR="007C2A71" w:rsidRDefault="007C2A71" w:rsidP="00310E2F">
            <w:r>
              <w:t>4.k. A student’s basic abilities are fixed</w:t>
            </w:r>
          </w:p>
          <w:p w14:paraId="3434CA4A" w14:textId="77777777" w:rsidR="007C2A71" w:rsidRDefault="007C2A71" w:rsidP="00310E2F">
            <w:r>
              <w:t>4.l. Problem and project-based learning practices are encouraged in my network</w:t>
            </w:r>
          </w:p>
          <w:p w14:paraId="68415711" w14:textId="77777777" w:rsidR="007C2A71" w:rsidRDefault="007C2A71" w:rsidP="00310E2F">
            <w:r>
              <w:t>4.m. Real-world application is the best way of getting students interested in STEM subjects</w:t>
            </w:r>
          </w:p>
          <w:p w14:paraId="2DB60D61" w14:textId="77777777" w:rsidR="007C2A71" w:rsidRDefault="007C2A71" w:rsidP="00310E2F">
            <w:r>
              <w:t>4.n. Only high-achieving students are able to study STEM subject successfully</w:t>
            </w:r>
          </w:p>
          <w:p w14:paraId="3C2C12C9" w14:textId="77777777" w:rsidR="007C2A71" w:rsidRDefault="007C2A71" w:rsidP="00310E2F">
            <w:r>
              <w:t>4.o. Competition in STEM clubs stimulates student learning</w:t>
            </w:r>
          </w:p>
          <w:p w14:paraId="01D98CFA" w14:textId="77777777" w:rsidR="007C2A71" w:rsidRDefault="007C2A71" w:rsidP="00310E2F">
            <w:r>
              <w:t>4.p. Students need exercises which enable them to reflect on learning in STEM lessons</w:t>
            </w:r>
          </w:p>
          <w:p w14:paraId="12021223" w14:textId="77777777" w:rsidR="007C2A71" w:rsidRDefault="007C2A71" w:rsidP="00310E2F">
            <w:r>
              <w:t>4.q. Younger children are more receptive to STEM-learning than older ones</w:t>
            </w:r>
          </w:p>
          <w:p w14:paraId="747E8ED9" w14:textId="77777777" w:rsidR="007C2A71" w:rsidRDefault="007C2A71" w:rsidP="00310E2F">
            <w:r>
              <w:t>4.r. Student requirements to think on their own are an essential component of STEM education</w:t>
            </w:r>
          </w:p>
          <w:p w14:paraId="363B0C46" w14:textId="77777777" w:rsidR="007C2A71" w:rsidRDefault="007C2A71" w:rsidP="00310E2F">
            <w:r>
              <w:t>4.s. Female teachers can interest female students in STEM than male teachers</w:t>
            </w:r>
          </w:p>
          <w:p w14:paraId="1252B392" w14:textId="77777777" w:rsidR="007C2A71" w:rsidRDefault="007C2A71" w:rsidP="00310E2F">
            <w:r>
              <w:t>4.t. STEM activities should be conducted in single-sex groups</w:t>
            </w:r>
          </w:p>
          <w:p w14:paraId="09BFAF39" w14:textId="77777777" w:rsidR="007C2A71" w:rsidRDefault="007C2A71" w:rsidP="00310E2F">
            <w:r>
              <w:t>4.u. STEM activities are best delivered to small (4-6 students) groups</w:t>
            </w:r>
          </w:p>
          <w:p w14:paraId="19B1E69D" w14:textId="77777777" w:rsidR="007C2A71" w:rsidRDefault="007C2A71" w:rsidP="00310E2F">
            <w:r>
              <w:t>4.v. Students should work independently of their STEM teachers from time-to-time</w:t>
            </w:r>
          </w:p>
          <w:p w14:paraId="58E8E4C2" w14:textId="77777777" w:rsidR="007C2A71" w:rsidRDefault="007C2A71" w:rsidP="00310E2F">
            <w:r>
              <w:t>4.w. STEM group activities develop a student’s interpersonal skills</w:t>
            </w:r>
          </w:p>
          <w:p w14:paraId="799CCA81" w14:textId="77777777" w:rsidR="007C2A71" w:rsidRDefault="007C2A71" w:rsidP="00310E2F">
            <w:r>
              <w:lastRenderedPageBreak/>
              <w:t>4.√. For a STEM subject career, a student needs a relevant university degree</w:t>
            </w:r>
          </w:p>
          <w:p w14:paraId="0F11A383" w14:textId="77777777" w:rsidR="007C2A71" w:rsidRDefault="007C2A71" w:rsidP="00310E2F">
            <w:r>
              <w:t>4.y. Engineering should have a formal place in the school curriculum</w:t>
            </w:r>
          </w:p>
          <w:p w14:paraId="32BA9AC1" w14:textId="77777777" w:rsidR="007C2A71" w:rsidRDefault="007C2A71" w:rsidP="00310E2F">
            <w:r>
              <w:t>4.z. It is more important to teach science/maths fundamentals than their STEM application</w:t>
            </w:r>
          </w:p>
          <w:p w14:paraId="3BCFA080" w14:textId="77777777" w:rsidR="007C2A71" w:rsidRDefault="007C2A71" w:rsidP="00310E2F">
            <w:r>
              <w:t>4.aa. Student populations in some schools do not allow for effective SYEM teaching</w:t>
            </w:r>
          </w:p>
        </w:tc>
        <w:tc>
          <w:tcPr>
            <w:tcW w:w="1149" w:type="dxa"/>
          </w:tcPr>
          <w:p w14:paraId="274D25CB" w14:textId="77777777" w:rsidR="007C2A71" w:rsidRDefault="007C2A71" w:rsidP="00310E2F">
            <w:pPr>
              <w:jc w:val="center"/>
            </w:pPr>
          </w:p>
          <w:p w14:paraId="55AFA7AC" w14:textId="77777777" w:rsidR="007C2A71" w:rsidRDefault="007C2A71" w:rsidP="00310E2F">
            <w:pPr>
              <w:jc w:val="center"/>
            </w:pPr>
            <w:r>
              <w:t>√</w:t>
            </w:r>
          </w:p>
          <w:p w14:paraId="4EC063E6" w14:textId="77777777" w:rsidR="007C2A71" w:rsidRDefault="007C2A71" w:rsidP="00310E2F">
            <w:pPr>
              <w:jc w:val="center"/>
            </w:pPr>
            <w:r>
              <w:t>√</w:t>
            </w:r>
          </w:p>
          <w:p w14:paraId="45C55668" w14:textId="77777777" w:rsidR="007C2A71" w:rsidRDefault="007C2A71" w:rsidP="00310E2F">
            <w:pPr>
              <w:jc w:val="center"/>
            </w:pPr>
            <w:r>
              <w:t>√</w:t>
            </w:r>
          </w:p>
          <w:p w14:paraId="3E90A42E" w14:textId="77777777" w:rsidR="007C2A71" w:rsidRDefault="007C2A71" w:rsidP="00310E2F">
            <w:pPr>
              <w:jc w:val="center"/>
            </w:pPr>
            <w:r>
              <w:t>√</w:t>
            </w:r>
          </w:p>
          <w:p w14:paraId="4DF74EBA" w14:textId="77777777" w:rsidR="007C2A71" w:rsidRDefault="007C2A71" w:rsidP="00310E2F">
            <w:pPr>
              <w:jc w:val="center"/>
            </w:pPr>
            <w:r>
              <w:t>√</w:t>
            </w:r>
          </w:p>
          <w:p w14:paraId="2394237E" w14:textId="77777777" w:rsidR="007C2A71" w:rsidRDefault="007C2A71" w:rsidP="00310E2F">
            <w:pPr>
              <w:jc w:val="center"/>
            </w:pPr>
            <w:r>
              <w:t>√</w:t>
            </w:r>
          </w:p>
          <w:p w14:paraId="05225E29" w14:textId="77777777" w:rsidR="007C2A71" w:rsidRDefault="007C2A71" w:rsidP="00310E2F">
            <w:pPr>
              <w:jc w:val="center"/>
            </w:pPr>
            <w:r>
              <w:t>√</w:t>
            </w:r>
          </w:p>
          <w:p w14:paraId="12830604" w14:textId="77777777" w:rsidR="007C2A71" w:rsidRDefault="007C2A71" w:rsidP="00310E2F">
            <w:pPr>
              <w:jc w:val="center"/>
            </w:pPr>
            <w:r>
              <w:t>√</w:t>
            </w:r>
          </w:p>
          <w:p w14:paraId="478A86FE" w14:textId="77777777" w:rsidR="007C2A71" w:rsidRDefault="007C2A71" w:rsidP="00310E2F">
            <w:pPr>
              <w:jc w:val="center"/>
            </w:pPr>
            <w:r>
              <w:t>√</w:t>
            </w:r>
          </w:p>
          <w:p w14:paraId="28699950" w14:textId="77777777" w:rsidR="007C2A71" w:rsidRDefault="007C2A71" w:rsidP="00310E2F">
            <w:pPr>
              <w:jc w:val="center"/>
            </w:pPr>
            <w:r>
              <w:t>√</w:t>
            </w:r>
          </w:p>
          <w:p w14:paraId="762B6023" w14:textId="77777777" w:rsidR="007C2A71" w:rsidRDefault="007C2A71" w:rsidP="00310E2F">
            <w:pPr>
              <w:jc w:val="center"/>
            </w:pPr>
            <w:r>
              <w:t>√</w:t>
            </w:r>
          </w:p>
          <w:p w14:paraId="791402E4" w14:textId="77777777" w:rsidR="007C2A71" w:rsidRDefault="007C2A71" w:rsidP="00310E2F">
            <w:pPr>
              <w:jc w:val="center"/>
            </w:pPr>
            <w:r>
              <w:t>√</w:t>
            </w:r>
          </w:p>
          <w:p w14:paraId="0FBFDF7D" w14:textId="77777777" w:rsidR="007C2A71" w:rsidRDefault="007C2A71" w:rsidP="00310E2F">
            <w:pPr>
              <w:jc w:val="center"/>
            </w:pPr>
            <w:r>
              <w:t>√</w:t>
            </w:r>
          </w:p>
          <w:p w14:paraId="4EED7F39" w14:textId="77777777" w:rsidR="007C2A71" w:rsidRDefault="007C2A71" w:rsidP="00310E2F">
            <w:pPr>
              <w:jc w:val="center"/>
            </w:pPr>
            <w:r>
              <w:t>√</w:t>
            </w:r>
          </w:p>
          <w:p w14:paraId="08368C1F" w14:textId="77777777" w:rsidR="007C2A71" w:rsidRDefault="007C2A71" w:rsidP="00310E2F">
            <w:pPr>
              <w:jc w:val="center"/>
            </w:pPr>
            <w:r>
              <w:t>√</w:t>
            </w:r>
          </w:p>
          <w:p w14:paraId="2FAA2FA5" w14:textId="77777777" w:rsidR="007C2A71" w:rsidRDefault="007C2A71" w:rsidP="00310E2F">
            <w:pPr>
              <w:jc w:val="center"/>
            </w:pPr>
            <w:r>
              <w:t>√</w:t>
            </w:r>
          </w:p>
          <w:p w14:paraId="2EF29121" w14:textId="77777777" w:rsidR="007C2A71" w:rsidRDefault="007C2A71" w:rsidP="00310E2F">
            <w:pPr>
              <w:jc w:val="center"/>
            </w:pPr>
            <w:r>
              <w:t>√</w:t>
            </w:r>
          </w:p>
          <w:p w14:paraId="2AB65DB4" w14:textId="77777777" w:rsidR="007C2A71" w:rsidRDefault="007C2A71" w:rsidP="00310E2F">
            <w:pPr>
              <w:jc w:val="center"/>
            </w:pPr>
            <w:r>
              <w:t>√</w:t>
            </w:r>
          </w:p>
          <w:p w14:paraId="31359D81" w14:textId="77777777" w:rsidR="007C2A71" w:rsidRDefault="007C2A71" w:rsidP="00310E2F">
            <w:pPr>
              <w:jc w:val="center"/>
            </w:pPr>
            <w:r>
              <w:t>√</w:t>
            </w:r>
          </w:p>
          <w:p w14:paraId="70E832E7" w14:textId="77777777" w:rsidR="007C2A71" w:rsidRDefault="007C2A71" w:rsidP="00310E2F">
            <w:pPr>
              <w:jc w:val="center"/>
            </w:pPr>
            <w:r>
              <w:t>√</w:t>
            </w:r>
          </w:p>
          <w:p w14:paraId="16F5CE58" w14:textId="77777777" w:rsidR="007C2A71" w:rsidRDefault="007C2A71" w:rsidP="00310E2F">
            <w:pPr>
              <w:jc w:val="center"/>
            </w:pPr>
            <w:r>
              <w:t>√</w:t>
            </w:r>
          </w:p>
          <w:p w14:paraId="6EF9B459" w14:textId="77777777" w:rsidR="007C2A71" w:rsidRDefault="007C2A71" w:rsidP="00310E2F">
            <w:pPr>
              <w:jc w:val="center"/>
            </w:pPr>
            <w:r>
              <w:t>√</w:t>
            </w:r>
          </w:p>
          <w:p w14:paraId="7C88A4E0" w14:textId="77777777" w:rsidR="007C2A71" w:rsidRDefault="007C2A71" w:rsidP="00310E2F">
            <w:pPr>
              <w:jc w:val="center"/>
            </w:pPr>
            <w:r>
              <w:t>√</w:t>
            </w:r>
          </w:p>
          <w:p w14:paraId="212A30F8" w14:textId="77777777" w:rsidR="007C2A71" w:rsidRDefault="007C2A71" w:rsidP="00310E2F">
            <w:pPr>
              <w:jc w:val="center"/>
            </w:pPr>
            <w:r>
              <w:t>√</w:t>
            </w:r>
          </w:p>
          <w:p w14:paraId="6AA55CDA" w14:textId="77777777" w:rsidR="007C2A71" w:rsidRDefault="007C2A71" w:rsidP="00310E2F">
            <w:pPr>
              <w:jc w:val="center"/>
            </w:pPr>
            <w:r>
              <w:t>√</w:t>
            </w:r>
          </w:p>
          <w:p w14:paraId="64E81154" w14:textId="77777777" w:rsidR="007C2A71" w:rsidRDefault="007C2A71" w:rsidP="00310E2F">
            <w:pPr>
              <w:jc w:val="center"/>
            </w:pPr>
            <w:r>
              <w:t>√</w:t>
            </w:r>
          </w:p>
          <w:p w14:paraId="35EDA034" w14:textId="77777777" w:rsidR="007C2A71" w:rsidRDefault="007C2A71" w:rsidP="00310E2F">
            <w:pPr>
              <w:jc w:val="center"/>
            </w:pPr>
            <w:r>
              <w:t>√</w:t>
            </w:r>
          </w:p>
        </w:tc>
        <w:tc>
          <w:tcPr>
            <w:tcW w:w="1133" w:type="dxa"/>
          </w:tcPr>
          <w:p w14:paraId="7827B8D0" w14:textId="77777777" w:rsidR="007C2A71" w:rsidRDefault="007C2A71" w:rsidP="00310E2F">
            <w:pPr>
              <w:jc w:val="center"/>
            </w:pPr>
          </w:p>
          <w:p w14:paraId="26EA002C" w14:textId="77777777" w:rsidR="007C2A71" w:rsidRDefault="007C2A71" w:rsidP="00310E2F">
            <w:pPr>
              <w:jc w:val="center"/>
            </w:pPr>
            <w:r>
              <w:t>√</w:t>
            </w:r>
          </w:p>
          <w:p w14:paraId="7A154E28" w14:textId="77777777" w:rsidR="007C2A71" w:rsidRDefault="007C2A71" w:rsidP="00310E2F">
            <w:pPr>
              <w:jc w:val="center"/>
            </w:pPr>
          </w:p>
          <w:p w14:paraId="1E643AE3" w14:textId="77777777" w:rsidR="007C2A71" w:rsidRDefault="007C2A71" w:rsidP="00310E2F">
            <w:pPr>
              <w:jc w:val="center"/>
            </w:pPr>
            <w:r>
              <w:t>√</w:t>
            </w:r>
          </w:p>
          <w:p w14:paraId="0633CEBD" w14:textId="77777777" w:rsidR="007C2A71" w:rsidRDefault="007C2A71" w:rsidP="00310E2F">
            <w:pPr>
              <w:jc w:val="center"/>
            </w:pPr>
            <w:r>
              <w:t>√</w:t>
            </w:r>
          </w:p>
          <w:p w14:paraId="0C8EEBF3" w14:textId="77777777" w:rsidR="007C2A71" w:rsidRDefault="007C2A71" w:rsidP="00310E2F">
            <w:pPr>
              <w:jc w:val="center"/>
            </w:pPr>
            <w:r>
              <w:t>√</w:t>
            </w:r>
          </w:p>
          <w:p w14:paraId="61FE8119" w14:textId="77777777" w:rsidR="007C2A71" w:rsidRDefault="007C2A71" w:rsidP="00310E2F">
            <w:pPr>
              <w:jc w:val="center"/>
            </w:pPr>
          </w:p>
          <w:p w14:paraId="7BAB8248" w14:textId="77777777" w:rsidR="007C2A71" w:rsidRDefault="007C2A71" w:rsidP="00310E2F">
            <w:pPr>
              <w:jc w:val="center"/>
            </w:pPr>
            <w:r>
              <w:t>√</w:t>
            </w:r>
          </w:p>
          <w:p w14:paraId="7DB1FB10" w14:textId="77777777" w:rsidR="007C2A71" w:rsidRDefault="007C2A71" w:rsidP="00310E2F">
            <w:pPr>
              <w:jc w:val="center"/>
            </w:pPr>
          </w:p>
          <w:p w14:paraId="2FF99F35" w14:textId="77777777" w:rsidR="007C2A71" w:rsidRDefault="007C2A71" w:rsidP="00310E2F">
            <w:pPr>
              <w:jc w:val="center"/>
            </w:pPr>
          </w:p>
          <w:p w14:paraId="165D7A9D" w14:textId="77777777" w:rsidR="007C2A71" w:rsidRDefault="007C2A71" w:rsidP="00310E2F">
            <w:pPr>
              <w:jc w:val="center"/>
            </w:pPr>
          </w:p>
          <w:p w14:paraId="1B35A205" w14:textId="77777777" w:rsidR="007C2A71" w:rsidRDefault="007C2A71" w:rsidP="00310E2F">
            <w:pPr>
              <w:jc w:val="center"/>
            </w:pPr>
            <w:r>
              <w:t>√</w:t>
            </w:r>
          </w:p>
          <w:p w14:paraId="73954A24" w14:textId="77777777" w:rsidR="007C2A71" w:rsidRDefault="007C2A71" w:rsidP="00310E2F">
            <w:pPr>
              <w:jc w:val="center"/>
            </w:pPr>
            <w:r>
              <w:t>√</w:t>
            </w:r>
          </w:p>
          <w:p w14:paraId="414A4D5A" w14:textId="77777777" w:rsidR="007C2A71" w:rsidRDefault="007C2A71" w:rsidP="00310E2F">
            <w:pPr>
              <w:jc w:val="center"/>
            </w:pPr>
            <w:r>
              <w:t>√</w:t>
            </w:r>
          </w:p>
          <w:p w14:paraId="5A863C5A" w14:textId="77777777" w:rsidR="007C2A71" w:rsidRDefault="007C2A71" w:rsidP="00310E2F">
            <w:pPr>
              <w:jc w:val="center"/>
            </w:pPr>
            <w:r>
              <w:t>√</w:t>
            </w:r>
          </w:p>
          <w:p w14:paraId="6AC62D8C" w14:textId="77777777" w:rsidR="007C2A71" w:rsidRDefault="007C2A71" w:rsidP="00310E2F">
            <w:pPr>
              <w:jc w:val="center"/>
            </w:pPr>
            <w:r>
              <w:t>√</w:t>
            </w:r>
          </w:p>
          <w:p w14:paraId="4FCE406E" w14:textId="77777777" w:rsidR="007C2A71" w:rsidRDefault="007C2A71" w:rsidP="00310E2F">
            <w:pPr>
              <w:jc w:val="center"/>
            </w:pPr>
            <w:r>
              <w:t>√</w:t>
            </w:r>
          </w:p>
          <w:p w14:paraId="368A9D72" w14:textId="77777777" w:rsidR="007C2A71" w:rsidRDefault="007C2A71" w:rsidP="00310E2F">
            <w:pPr>
              <w:jc w:val="center"/>
            </w:pPr>
          </w:p>
          <w:p w14:paraId="7EC6DDF3" w14:textId="77777777" w:rsidR="007C2A71" w:rsidRDefault="007C2A71" w:rsidP="00310E2F">
            <w:pPr>
              <w:jc w:val="center"/>
            </w:pPr>
            <w:r>
              <w:t>√</w:t>
            </w:r>
          </w:p>
          <w:p w14:paraId="2E3DB4AE" w14:textId="77777777" w:rsidR="007C2A71" w:rsidRDefault="007C2A71" w:rsidP="00310E2F">
            <w:pPr>
              <w:jc w:val="center"/>
            </w:pPr>
          </w:p>
          <w:p w14:paraId="1049455D" w14:textId="77777777" w:rsidR="007C2A71" w:rsidRDefault="007C2A71" w:rsidP="00310E2F">
            <w:pPr>
              <w:jc w:val="center"/>
            </w:pPr>
            <w:r>
              <w:t>√</w:t>
            </w:r>
          </w:p>
          <w:p w14:paraId="65F6C591" w14:textId="77777777" w:rsidR="007C2A71" w:rsidRDefault="007C2A71" w:rsidP="00310E2F">
            <w:pPr>
              <w:jc w:val="center"/>
            </w:pPr>
            <w:r>
              <w:t>√</w:t>
            </w:r>
          </w:p>
          <w:p w14:paraId="47064223" w14:textId="77777777" w:rsidR="007C2A71" w:rsidRDefault="007C2A71" w:rsidP="00310E2F">
            <w:pPr>
              <w:jc w:val="center"/>
            </w:pPr>
            <w:r>
              <w:t>√</w:t>
            </w:r>
          </w:p>
          <w:p w14:paraId="56241939" w14:textId="77777777" w:rsidR="007C2A71" w:rsidRDefault="007C2A71" w:rsidP="00310E2F">
            <w:pPr>
              <w:jc w:val="center"/>
            </w:pPr>
            <w:r>
              <w:t>√</w:t>
            </w:r>
          </w:p>
          <w:p w14:paraId="41E877BF" w14:textId="77777777" w:rsidR="007C2A71" w:rsidRDefault="007C2A71" w:rsidP="00310E2F">
            <w:pPr>
              <w:jc w:val="center"/>
            </w:pPr>
          </w:p>
          <w:p w14:paraId="0E46C4A3" w14:textId="77777777" w:rsidR="007C2A71" w:rsidRDefault="007C2A71" w:rsidP="00310E2F">
            <w:pPr>
              <w:jc w:val="center"/>
            </w:pPr>
          </w:p>
          <w:p w14:paraId="4BF26A6B" w14:textId="77777777" w:rsidR="007C2A71" w:rsidRDefault="007C2A71" w:rsidP="00310E2F">
            <w:pPr>
              <w:jc w:val="center"/>
            </w:pPr>
            <w:r>
              <w:t>√</w:t>
            </w:r>
          </w:p>
          <w:p w14:paraId="2DE97678" w14:textId="77777777" w:rsidR="007C2A71" w:rsidRDefault="007C2A71" w:rsidP="00310E2F">
            <w:pPr>
              <w:jc w:val="center"/>
            </w:pPr>
            <w:r>
              <w:t>√</w:t>
            </w:r>
          </w:p>
        </w:tc>
        <w:tc>
          <w:tcPr>
            <w:tcW w:w="1132" w:type="dxa"/>
          </w:tcPr>
          <w:p w14:paraId="7072AD23" w14:textId="77777777" w:rsidR="007C2A71" w:rsidRDefault="007C2A71" w:rsidP="00310E2F">
            <w:pPr>
              <w:jc w:val="center"/>
            </w:pPr>
          </w:p>
          <w:p w14:paraId="7A6905DB" w14:textId="77777777" w:rsidR="007C2A71" w:rsidRDefault="007C2A71" w:rsidP="00310E2F">
            <w:pPr>
              <w:jc w:val="center"/>
            </w:pPr>
            <w:r>
              <w:t>√</w:t>
            </w:r>
          </w:p>
          <w:p w14:paraId="2A12A35D" w14:textId="77777777" w:rsidR="007C2A71" w:rsidRDefault="007C2A71" w:rsidP="00310E2F">
            <w:pPr>
              <w:jc w:val="center"/>
            </w:pPr>
            <w:r>
              <w:t>√</w:t>
            </w:r>
          </w:p>
          <w:p w14:paraId="2811E38E" w14:textId="77777777" w:rsidR="007C2A71" w:rsidRDefault="007C2A71" w:rsidP="00310E2F">
            <w:pPr>
              <w:jc w:val="center"/>
            </w:pPr>
            <w:r>
              <w:t>√</w:t>
            </w:r>
          </w:p>
          <w:p w14:paraId="51537DF9" w14:textId="77777777" w:rsidR="007C2A71" w:rsidRDefault="007C2A71" w:rsidP="00310E2F">
            <w:pPr>
              <w:jc w:val="center"/>
            </w:pPr>
            <w:r>
              <w:t>√</w:t>
            </w:r>
          </w:p>
          <w:p w14:paraId="0B14ACED" w14:textId="77777777" w:rsidR="007C2A71" w:rsidRDefault="007C2A71" w:rsidP="00310E2F">
            <w:pPr>
              <w:jc w:val="center"/>
            </w:pPr>
            <w:r>
              <w:t>√</w:t>
            </w:r>
          </w:p>
          <w:p w14:paraId="333AB00E" w14:textId="77777777" w:rsidR="007C2A71" w:rsidRDefault="007C2A71" w:rsidP="00310E2F">
            <w:pPr>
              <w:jc w:val="center"/>
            </w:pPr>
          </w:p>
          <w:p w14:paraId="6D80C626" w14:textId="77777777" w:rsidR="007C2A71" w:rsidRDefault="007C2A71" w:rsidP="00310E2F">
            <w:pPr>
              <w:jc w:val="center"/>
            </w:pPr>
            <w:r>
              <w:t>√</w:t>
            </w:r>
          </w:p>
          <w:p w14:paraId="003EA16F" w14:textId="77777777" w:rsidR="007C2A71" w:rsidRDefault="007C2A71" w:rsidP="00310E2F">
            <w:pPr>
              <w:jc w:val="center"/>
            </w:pPr>
            <w:r>
              <w:t>√</w:t>
            </w:r>
          </w:p>
          <w:p w14:paraId="7DC3DC16" w14:textId="77777777" w:rsidR="007C2A71" w:rsidRDefault="007C2A71" w:rsidP="00310E2F">
            <w:pPr>
              <w:jc w:val="center"/>
            </w:pPr>
          </w:p>
          <w:p w14:paraId="5DDF441C" w14:textId="77777777" w:rsidR="007C2A71" w:rsidRDefault="007C2A71" w:rsidP="00310E2F">
            <w:pPr>
              <w:jc w:val="center"/>
            </w:pPr>
            <w:r>
              <w:t>√</w:t>
            </w:r>
          </w:p>
          <w:p w14:paraId="5944C1A8" w14:textId="77777777" w:rsidR="007C2A71" w:rsidRDefault="007C2A71" w:rsidP="00310E2F">
            <w:pPr>
              <w:jc w:val="center"/>
            </w:pPr>
            <w:r>
              <w:t>√</w:t>
            </w:r>
          </w:p>
          <w:p w14:paraId="3DC641EB" w14:textId="77777777" w:rsidR="007C2A71" w:rsidRDefault="007C2A71" w:rsidP="00310E2F">
            <w:pPr>
              <w:jc w:val="center"/>
            </w:pPr>
            <w:r>
              <w:t>√</w:t>
            </w:r>
          </w:p>
          <w:p w14:paraId="79DB9FD2" w14:textId="77777777" w:rsidR="007C2A71" w:rsidRDefault="007C2A71" w:rsidP="00310E2F">
            <w:pPr>
              <w:jc w:val="center"/>
            </w:pPr>
            <w:r>
              <w:t>√</w:t>
            </w:r>
          </w:p>
          <w:p w14:paraId="798F381E" w14:textId="77777777" w:rsidR="007C2A71" w:rsidRDefault="007C2A71" w:rsidP="00310E2F">
            <w:pPr>
              <w:jc w:val="center"/>
            </w:pPr>
            <w:r>
              <w:t>√</w:t>
            </w:r>
          </w:p>
          <w:p w14:paraId="0668C86B" w14:textId="77777777" w:rsidR="007C2A71" w:rsidRDefault="007C2A71" w:rsidP="00310E2F">
            <w:pPr>
              <w:jc w:val="center"/>
            </w:pPr>
            <w:r>
              <w:t>√</w:t>
            </w:r>
          </w:p>
          <w:p w14:paraId="7CDD6B89" w14:textId="77777777" w:rsidR="007C2A71" w:rsidRDefault="007C2A71" w:rsidP="00310E2F">
            <w:pPr>
              <w:jc w:val="center"/>
            </w:pPr>
            <w:r>
              <w:t>√</w:t>
            </w:r>
          </w:p>
          <w:p w14:paraId="55736F96" w14:textId="77777777" w:rsidR="007C2A71" w:rsidRDefault="007C2A71" w:rsidP="00310E2F">
            <w:pPr>
              <w:jc w:val="center"/>
            </w:pPr>
            <w:r>
              <w:t>√</w:t>
            </w:r>
          </w:p>
          <w:p w14:paraId="488CC168" w14:textId="77777777" w:rsidR="007C2A71" w:rsidRDefault="007C2A71" w:rsidP="00310E2F">
            <w:pPr>
              <w:jc w:val="center"/>
            </w:pPr>
            <w:r>
              <w:t>√</w:t>
            </w:r>
          </w:p>
          <w:p w14:paraId="5AE48C8B" w14:textId="77777777" w:rsidR="007C2A71" w:rsidRDefault="007C2A71" w:rsidP="00310E2F">
            <w:pPr>
              <w:jc w:val="center"/>
            </w:pPr>
            <w:r>
              <w:t>√</w:t>
            </w:r>
          </w:p>
          <w:p w14:paraId="0CF0A191" w14:textId="77777777" w:rsidR="007C2A71" w:rsidRDefault="007C2A71" w:rsidP="00310E2F">
            <w:pPr>
              <w:jc w:val="center"/>
            </w:pPr>
            <w:r>
              <w:t>√</w:t>
            </w:r>
          </w:p>
          <w:p w14:paraId="0672EED4" w14:textId="77777777" w:rsidR="007C2A71" w:rsidRDefault="007C2A71" w:rsidP="00310E2F">
            <w:pPr>
              <w:jc w:val="center"/>
            </w:pPr>
            <w:r>
              <w:t>√</w:t>
            </w:r>
          </w:p>
          <w:p w14:paraId="0240E282" w14:textId="77777777" w:rsidR="007C2A71" w:rsidRDefault="007C2A71" w:rsidP="00310E2F">
            <w:pPr>
              <w:jc w:val="center"/>
            </w:pPr>
            <w:r>
              <w:t>√</w:t>
            </w:r>
          </w:p>
          <w:p w14:paraId="0E3E3E24" w14:textId="77777777" w:rsidR="007C2A71" w:rsidRDefault="007C2A71" w:rsidP="00310E2F">
            <w:pPr>
              <w:jc w:val="center"/>
            </w:pPr>
            <w:r>
              <w:t>√</w:t>
            </w:r>
          </w:p>
          <w:p w14:paraId="04E2A54E" w14:textId="77777777" w:rsidR="007C2A71" w:rsidRDefault="007C2A71" w:rsidP="00310E2F">
            <w:pPr>
              <w:jc w:val="center"/>
            </w:pPr>
            <w:r>
              <w:t>√</w:t>
            </w:r>
          </w:p>
          <w:p w14:paraId="05EC4AA0" w14:textId="77777777" w:rsidR="007C2A71" w:rsidRDefault="007C2A71" w:rsidP="00310E2F">
            <w:pPr>
              <w:jc w:val="center"/>
            </w:pPr>
            <w:r>
              <w:t>√</w:t>
            </w:r>
          </w:p>
          <w:p w14:paraId="54F792D2" w14:textId="77777777" w:rsidR="007C2A71" w:rsidRDefault="007C2A71" w:rsidP="00310E2F">
            <w:pPr>
              <w:jc w:val="center"/>
            </w:pPr>
            <w:r>
              <w:t>√</w:t>
            </w:r>
          </w:p>
          <w:p w14:paraId="38C8730F" w14:textId="77777777" w:rsidR="007C2A71" w:rsidRDefault="007C2A71" w:rsidP="00310E2F">
            <w:pPr>
              <w:jc w:val="center"/>
            </w:pPr>
            <w:r>
              <w:t>√</w:t>
            </w:r>
          </w:p>
        </w:tc>
        <w:tc>
          <w:tcPr>
            <w:tcW w:w="1185" w:type="dxa"/>
          </w:tcPr>
          <w:p w14:paraId="7CF2C815" w14:textId="77777777" w:rsidR="007C2A71" w:rsidRDefault="007C2A71" w:rsidP="00310E2F">
            <w:pPr>
              <w:jc w:val="center"/>
            </w:pPr>
          </w:p>
          <w:p w14:paraId="08F2D255" w14:textId="77777777" w:rsidR="007C2A71" w:rsidRDefault="007C2A71" w:rsidP="00310E2F">
            <w:pPr>
              <w:jc w:val="center"/>
            </w:pPr>
            <w:r>
              <w:t>√</w:t>
            </w:r>
          </w:p>
          <w:p w14:paraId="667BAE5D" w14:textId="77777777" w:rsidR="007C2A71" w:rsidRDefault="007C2A71" w:rsidP="00310E2F">
            <w:pPr>
              <w:jc w:val="center"/>
            </w:pPr>
          </w:p>
          <w:p w14:paraId="31DD1B6C" w14:textId="77777777" w:rsidR="007C2A71" w:rsidRDefault="007C2A71" w:rsidP="00310E2F">
            <w:pPr>
              <w:jc w:val="center"/>
            </w:pPr>
            <w:r>
              <w:t>√</w:t>
            </w:r>
          </w:p>
          <w:p w14:paraId="0A71DED2" w14:textId="77777777" w:rsidR="007C2A71" w:rsidRDefault="007C2A71" w:rsidP="00310E2F">
            <w:pPr>
              <w:jc w:val="center"/>
            </w:pPr>
            <w:r>
              <w:t>√</w:t>
            </w:r>
          </w:p>
          <w:p w14:paraId="4D7DD6EF" w14:textId="77777777" w:rsidR="007C2A71" w:rsidRDefault="007C2A71" w:rsidP="00310E2F">
            <w:pPr>
              <w:jc w:val="center"/>
            </w:pPr>
            <w:r>
              <w:t>√</w:t>
            </w:r>
          </w:p>
          <w:p w14:paraId="6FAB74F3" w14:textId="77777777" w:rsidR="007C2A71" w:rsidRDefault="007C2A71" w:rsidP="00310E2F">
            <w:pPr>
              <w:jc w:val="center"/>
            </w:pPr>
          </w:p>
          <w:p w14:paraId="1FB27E39" w14:textId="77777777" w:rsidR="007C2A71" w:rsidRDefault="007C2A71" w:rsidP="00310E2F">
            <w:pPr>
              <w:jc w:val="center"/>
            </w:pPr>
          </w:p>
          <w:p w14:paraId="1DA11292" w14:textId="77777777" w:rsidR="007C2A71" w:rsidRDefault="007C2A71" w:rsidP="00310E2F">
            <w:pPr>
              <w:jc w:val="center"/>
            </w:pPr>
          </w:p>
          <w:p w14:paraId="475237EA" w14:textId="77777777" w:rsidR="007C2A71" w:rsidRDefault="007C2A71" w:rsidP="00310E2F">
            <w:pPr>
              <w:jc w:val="center"/>
            </w:pPr>
          </w:p>
          <w:p w14:paraId="3837F3C9" w14:textId="77777777" w:rsidR="007C2A71" w:rsidRDefault="007C2A71" w:rsidP="00310E2F">
            <w:pPr>
              <w:jc w:val="center"/>
            </w:pPr>
          </w:p>
          <w:p w14:paraId="55902F73" w14:textId="77777777" w:rsidR="007C2A71" w:rsidRDefault="007C2A71" w:rsidP="00310E2F">
            <w:pPr>
              <w:jc w:val="center"/>
            </w:pPr>
            <w:r>
              <w:t>√</w:t>
            </w:r>
          </w:p>
          <w:p w14:paraId="177928EB" w14:textId="77777777" w:rsidR="007C2A71" w:rsidRDefault="007C2A71" w:rsidP="00310E2F">
            <w:pPr>
              <w:jc w:val="center"/>
            </w:pPr>
          </w:p>
          <w:p w14:paraId="1E23868E" w14:textId="77777777" w:rsidR="007C2A71" w:rsidRDefault="007C2A71" w:rsidP="00310E2F">
            <w:pPr>
              <w:jc w:val="center"/>
            </w:pPr>
            <w:r>
              <w:t>√</w:t>
            </w:r>
          </w:p>
          <w:p w14:paraId="53EDBE7E" w14:textId="77777777" w:rsidR="007C2A71" w:rsidRDefault="007C2A71" w:rsidP="00310E2F">
            <w:pPr>
              <w:jc w:val="center"/>
            </w:pPr>
            <w:r>
              <w:t>√</w:t>
            </w:r>
          </w:p>
          <w:p w14:paraId="62B1B77F" w14:textId="77777777" w:rsidR="007C2A71" w:rsidRDefault="007C2A71" w:rsidP="00310E2F">
            <w:pPr>
              <w:jc w:val="center"/>
            </w:pPr>
            <w:r>
              <w:t>√</w:t>
            </w:r>
          </w:p>
          <w:p w14:paraId="56D9672A" w14:textId="77777777" w:rsidR="007C2A71" w:rsidRDefault="007C2A71" w:rsidP="00310E2F">
            <w:pPr>
              <w:jc w:val="center"/>
            </w:pPr>
            <w:r>
              <w:t>√</w:t>
            </w:r>
          </w:p>
          <w:p w14:paraId="6D57A2E7" w14:textId="77777777" w:rsidR="007C2A71" w:rsidRDefault="007C2A71" w:rsidP="00310E2F">
            <w:pPr>
              <w:jc w:val="center"/>
            </w:pPr>
          </w:p>
          <w:p w14:paraId="5611604B" w14:textId="77777777" w:rsidR="007C2A71" w:rsidRDefault="007C2A71" w:rsidP="00310E2F">
            <w:pPr>
              <w:jc w:val="center"/>
            </w:pPr>
          </w:p>
          <w:p w14:paraId="73A7F822" w14:textId="77777777" w:rsidR="007C2A71" w:rsidRDefault="007C2A71" w:rsidP="00310E2F">
            <w:pPr>
              <w:jc w:val="center"/>
            </w:pPr>
          </w:p>
          <w:p w14:paraId="0DE716DB" w14:textId="77777777" w:rsidR="007C2A71" w:rsidRDefault="007C2A71" w:rsidP="00310E2F">
            <w:pPr>
              <w:jc w:val="center"/>
            </w:pPr>
            <w:r>
              <w:t>√</w:t>
            </w:r>
          </w:p>
          <w:p w14:paraId="7564959D" w14:textId="77777777" w:rsidR="007C2A71" w:rsidRDefault="007C2A71" w:rsidP="00310E2F">
            <w:pPr>
              <w:jc w:val="center"/>
            </w:pPr>
            <w:r>
              <w:t>√</w:t>
            </w:r>
          </w:p>
          <w:p w14:paraId="2ECCA1DF" w14:textId="77777777" w:rsidR="007C2A71" w:rsidRDefault="007C2A71" w:rsidP="00310E2F">
            <w:pPr>
              <w:jc w:val="center"/>
            </w:pPr>
            <w:r>
              <w:t>√</w:t>
            </w:r>
          </w:p>
          <w:p w14:paraId="7B6AA8F9" w14:textId="77777777" w:rsidR="007C2A71" w:rsidRDefault="007C2A71" w:rsidP="00310E2F">
            <w:pPr>
              <w:jc w:val="center"/>
            </w:pPr>
            <w:r>
              <w:t>√</w:t>
            </w:r>
          </w:p>
          <w:p w14:paraId="45E144CE" w14:textId="77777777" w:rsidR="007C2A71" w:rsidRDefault="007C2A71" w:rsidP="00310E2F">
            <w:pPr>
              <w:jc w:val="center"/>
            </w:pPr>
          </w:p>
          <w:p w14:paraId="6E195F7C" w14:textId="77777777" w:rsidR="007C2A71" w:rsidRDefault="007C2A71" w:rsidP="00310E2F">
            <w:pPr>
              <w:jc w:val="center"/>
            </w:pPr>
          </w:p>
          <w:p w14:paraId="5E711148" w14:textId="77777777" w:rsidR="007C2A71" w:rsidRDefault="007C2A71" w:rsidP="00310E2F">
            <w:pPr>
              <w:jc w:val="center"/>
            </w:pPr>
            <w:r>
              <w:t>√</w:t>
            </w:r>
          </w:p>
          <w:p w14:paraId="32B0CD1A" w14:textId="77777777" w:rsidR="007C2A71" w:rsidRDefault="007C2A71" w:rsidP="00310E2F">
            <w:pPr>
              <w:jc w:val="center"/>
            </w:pPr>
            <w:r>
              <w:t>√</w:t>
            </w:r>
          </w:p>
        </w:tc>
      </w:tr>
      <w:tr w:rsidR="007C2A71" w14:paraId="17B9B273" w14:textId="77777777" w:rsidTr="00310E2F">
        <w:tc>
          <w:tcPr>
            <w:tcW w:w="9351" w:type="dxa"/>
          </w:tcPr>
          <w:p w14:paraId="2FE865C7" w14:textId="77777777" w:rsidR="007C2A71" w:rsidRDefault="007C2A71" w:rsidP="00310E2F">
            <w:r>
              <w:t>Participation in ABC activities</w:t>
            </w:r>
          </w:p>
          <w:p w14:paraId="01953E0A" w14:textId="77777777" w:rsidR="007C2A71" w:rsidRDefault="007C2A71" w:rsidP="00310E2F">
            <w:r>
              <w:t>5.a. Engaged in network feedback concerning resource boxes</w:t>
            </w:r>
          </w:p>
          <w:p w14:paraId="5579C8B1" w14:textId="77777777" w:rsidR="007C2A71" w:rsidRDefault="007C2A71" w:rsidP="00310E2F">
            <w:r>
              <w:t>5.b. Contacted other ABC TCs/teachers to discuss aspects of your network meetings</w:t>
            </w:r>
          </w:p>
          <w:p w14:paraId="3C151DF2" w14:textId="77777777" w:rsidR="007C2A71" w:rsidRDefault="007C2A71" w:rsidP="00310E2F">
            <w:r>
              <w:t>5.c. Worked with other ABC TCs/teachers to develop within-class/extracurricular activities</w:t>
            </w:r>
          </w:p>
          <w:p w14:paraId="112AA495" w14:textId="77777777" w:rsidR="007C2A71" w:rsidRDefault="007C2A71" w:rsidP="00310E2F">
            <w:r>
              <w:t>5.d. Run into problems understanding the use of resource boxes</w:t>
            </w:r>
          </w:p>
          <w:p w14:paraId="2BF8AF8A" w14:textId="77777777" w:rsidR="007C2A71" w:rsidRDefault="007C2A71" w:rsidP="00310E2F">
            <w:r>
              <w:t>5.e. Used resource box materials in your classroom activities</w:t>
            </w:r>
          </w:p>
          <w:p w14:paraId="7E72F894" w14:textId="77777777" w:rsidR="007C2A71" w:rsidRDefault="007C2A71" w:rsidP="00310E2F">
            <w:r>
              <w:t>5.f. Considered how to further develop a STEM club activity with ABC TCs/teachers</w:t>
            </w:r>
          </w:p>
          <w:p w14:paraId="1BB72F7E" w14:textId="77777777" w:rsidR="007C2A71" w:rsidRDefault="007C2A71" w:rsidP="00310E2F">
            <w:r>
              <w:t>5.g. Co-taught a STEM class with one of your network teachers/teacher colleagues</w:t>
            </w:r>
          </w:p>
          <w:p w14:paraId="5DA5B3A3" w14:textId="77777777" w:rsidR="007C2A71" w:rsidRDefault="007C2A71" w:rsidP="00310E2F">
            <w:r>
              <w:t>5.h. Visited one of your ABC schools to encourage support for STEM teaching/activities</w:t>
            </w:r>
          </w:p>
          <w:p w14:paraId="38E95D44" w14:textId="77777777" w:rsidR="007C2A71" w:rsidRDefault="007C2A71" w:rsidP="00310E2F">
            <w:r>
              <w:t>5.i. Discussed identifying students becoming STEM confident with ABC teachers/colleagues</w:t>
            </w:r>
          </w:p>
          <w:p w14:paraId="6BABC681" w14:textId="77777777" w:rsidR="007C2A71" w:rsidRDefault="007C2A71" w:rsidP="00310E2F">
            <w:r>
              <w:t>5.j. Contacted local/national STEM organisations to further support STEM education</w:t>
            </w:r>
          </w:p>
          <w:p w14:paraId="37EB23AC" w14:textId="77777777" w:rsidR="007C2A71" w:rsidRDefault="007C2A71" w:rsidP="00310E2F">
            <w:r>
              <w:t>5.k. Contacted local industry to support your ABC network/school</w:t>
            </w:r>
          </w:p>
          <w:p w14:paraId="52C44B09" w14:textId="77777777" w:rsidR="007C2A71" w:rsidRDefault="007C2A71" w:rsidP="00310E2F">
            <w:r>
              <w:t>5.l. Checked to whether your ABC teachers are networking with one-another</w:t>
            </w:r>
          </w:p>
        </w:tc>
        <w:tc>
          <w:tcPr>
            <w:tcW w:w="1149" w:type="dxa"/>
          </w:tcPr>
          <w:p w14:paraId="4F7F7208" w14:textId="77777777" w:rsidR="007C2A71" w:rsidRDefault="007C2A71" w:rsidP="00310E2F">
            <w:pPr>
              <w:jc w:val="center"/>
            </w:pPr>
          </w:p>
          <w:p w14:paraId="67468DF9" w14:textId="77777777" w:rsidR="007C2A71" w:rsidRDefault="007C2A71" w:rsidP="00310E2F">
            <w:pPr>
              <w:jc w:val="center"/>
            </w:pPr>
            <w:r>
              <w:t>√</w:t>
            </w:r>
          </w:p>
          <w:p w14:paraId="18C166F8" w14:textId="77777777" w:rsidR="007C2A71" w:rsidRDefault="007C2A71" w:rsidP="00310E2F">
            <w:pPr>
              <w:jc w:val="center"/>
            </w:pPr>
            <w:r>
              <w:t>√</w:t>
            </w:r>
          </w:p>
          <w:p w14:paraId="4E9805F2" w14:textId="77777777" w:rsidR="007C2A71" w:rsidRDefault="007C2A71" w:rsidP="00310E2F">
            <w:pPr>
              <w:jc w:val="center"/>
            </w:pPr>
            <w:r>
              <w:t>√</w:t>
            </w:r>
          </w:p>
          <w:p w14:paraId="3928E430" w14:textId="77777777" w:rsidR="007C2A71" w:rsidRDefault="007C2A71" w:rsidP="00310E2F">
            <w:pPr>
              <w:jc w:val="center"/>
            </w:pPr>
            <w:r>
              <w:t>√</w:t>
            </w:r>
          </w:p>
          <w:p w14:paraId="70C6E604" w14:textId="77777777" w:rsidR="007C2A71" w:rsidRDefault="007C2A71" w:rsidP="00310E2F">
            <w:pPr>
              <w:jc w:val="center"/>
            </w:pPr>
          </w:p>
          <w:p w14:paraId="19732CD4" w14:textId="77777777" w:rsidR="007C2A71" w:rsidRDefault="007C2A71" w:rsidP="00310E2F">
            <w:pPr>
              <w:jc w:val="center"/>
            </w:pPr>
            <w:r>
              <w:t>√</w:t>
            </w:r>
          </w:p>
          <w:p w14:paraId="728B80C7" w14:textId="77777777" w:rsidR="007C2A71" w:rsidRDefault="007C2A71" w:rsidP="00310E2F">
            <w:pPr>
              <w:jc w:val="center"/>
            </w:pPr>
            <w:r>
              <w:t>√</w:t>
            </w:r>
          </w:p>
          <w:p w14:paraId="6CD8423C" w14:textId="77777777" w:rsidR="007C2A71" w:rsidRDefault="007C2A71" w:rsidP="00310E2F">
            <w:pPr>
              <w:jc w:val="center"/>
            </w:pPr>
            <w:r>
              <w:t>√</w:t>
            </w:r>
          </w:p>
          <w:p w14:paraId="3F71E006" w14:textId="77777777" w:rsidR="007C2A71" w:rsidRDefault="007C2A71" w:rsidP="00310E2F">
            <w:pPr>
              <w:jc w:val="center"/>
            </w:pPr>
            <w:r>
              <w:t>√</w:t>
            </w:r>
          </w:p>
          <w:p w14:paraId="0EAC1322" w14:textId="77777777" w:rsidR="007C2A71" w:rsidRDefault="007C2A71" w:rsidP="00310E2F">
            <w:pPr>
              <w:jc w:val="center"/>
            </w:pPr>
            <w:r>
              <w:t>√</w:t>
            </w:r>
          </w:p>
          <w:p w14:paraId="7A66C7BB" w14:textId="77777777" w:rsidR="007C2A71" w:rsidRDefault="007C2A71" w:rsidP="00310E2F">
            <w:pPr>
              <w:jc w:val="center"/>
            </w:pPr>
            <w:r>
              <w:t>√</w:t>
            </w:r>
          </w:p>
          <w:p w14:paraId="54093C9B" w14:textId="77777777" w:rsidR="007C2A71" w:rsidRDefault="007C2A71" w:rsidP="00310E2F">
            <w:pPr>
              <w:jc w:val="center"/>
            </w:pPr>
            <w:r>
              <w:t>√</w:t>
            </w:r>
          </w:p>
        </w:tc>
        <w:tc>
          <w:tcPr>
            <w:tcW w:w="1133" w:type="dxa"/>
          </w:tcPr>
          <w:p w14:paraId="0166E0E7" w14:textId="77777777" w:rsidR="007C2A71" w:rsidRDefault="007C2A71" w:rsidP="00310E2F">
            <w:pPr>
              <w:jc w:val="center"/>
            </w:pPr>
          </w:p>
          <w:p w14:paraId="62CEA22E" w14:textId="77777777" w:rsidR="007C2A71" w:rsidRDefault="007C2A71" w:rsidP="00310E2F">
            <w:pPr>
              <w:jc w:val="center"/>
            </w:pPr>
            <w:r>
              <w:t>√</w:t>
            </w:r>
          </w:p>
          <w:p w14:paraId="2C30BB9E" w14:textId="77777777" w:rsidR="007C2A71" w:rsidRDefault="007C2A71" w:rsidP="00310E2F">
            <w:pPr>
              <w:jc w:val="center"/>
            </w:pPr>
            <w:r>
              <w:t>√</w:t>
            </w:r>
          </w:p>
          <w:p w14:paraId="649A79D5" w14:textId="77777777" w:rsidR="007C2A71" w:rsidRDefault="007C2A71" w:rsidP="00310E2F">
            <w:pPr>
              <w:jc w:val="center"/>
            </w:pPr>
            <w:r>
              <w:t>√</w:t>
            </w:r>
          </w:p>
          <w:p w14:paraId="1540CDA1" w14:textId="77777777" w:rsidR="007C2A71" w:rsidRDefault="007C2A71" w:rsidP="00310E2F">
            <w:pPr>
              <w:jc w:val="center"/>
            </w:pPr>
          </w:p>
          <w:p w14:paraId="721D4684" w14:textId="77777777" w:rsidR="007C2A71" w:rsidRDefault="007C2A71" w:rsidP="00310E2F">
            <w:pPr>
              <w:jc w:val="center"/>
            </w:pPr>
          </w:p>
          <w:p w14:paraId="68273C86" w14:textId="77777777" w:rsidR="007C2A71" w:rsidRDefault="007C2A71" w:rsidP="00310E2F">
            <w:pPr>
              <w:jc w:val="center"/>
            </w:pPr>
            <w:r>
              <w:t>√</w:t>
            </w:r>
          </w:p>
          <w:p w14:paraId="4449C336" w14:textId="77777777" w:rsidR="007C2A71" w:rsidRDefault="007C2A71" w:rsidP="00310E2F">
            <w:pPr>
              <w:jc w:val="center"/>
            </w:pPr>
          </w:p>
          <w:p w14:paraId="5CD2C2FC" w14:textId="77777777" w:rsidR="007C2A71" w:rsidRDefault="007C2A71" w:rsidP="00310E2F">
            <w:pPr>
              <w:jc w:val="center"/>
            </w:pPr>
          </w:p>
          <w:p w14:paraId="1C8F2B9E" w14:textId="77777777" w:rsidR="007C2A71" w:rsidRDefault="007C2A71" w:rsidP="00310E2F">
            <w:pPr>
              <w:jc w:val="center"/>
            </w:pPr>
          </w:p>
          <w:p w14:paraId="3B891FB8" w14:textId="77777777" w:rsidR="007C2A71" w:rsidRDefault="007C2A71" w:rsidP="00310E2F">
            <w:pPr>
              <w:jc w:val="center"/>
            </w:pPr>
            <w:r>
              <w:t>√</w:t>
            </w:r>
          </w:p>
          <w:p w14:paraId="1692AF16" w14:textId="77777777" w:rsidR="007C2A71" w:rsidRDefault="007C2A71" w:rsidP="00310E2F">
            <w:pPr>
              <w:jc w:val="center"/>
            </w:pPr>
            <w:r>
              <w:t>√</w:t>
            </w:r>
          </w:p>
          <w:p w14:paraId="14539F49" w14:textId="77777777" w:rsidR="007C2A71" w:rsidRDefault="007C2A71" w:rsidP="00310E2F">
            <w:pPr>
              <w:jc w:val="center"/>
            </w:pPr>
            <w:r>
              <w:t>√</w:t>
            </w:r>
          </w:p>
        </w:tc>
        <w:tc>
          <w:tcPr>
            <w:tcW w:w="1132" w:type="dxa"/>
          </w:tcPr>
          <w:p w14:paraId="67126126" w14:textId="77777777" w:rsidR="007C2A71" w:rsidRDefault="007C2A71" w:rsidP="00310E2F">
            <w:pPr>
              <w:jc w:val="center"/>
            </w:pPr>
          </w:p>
          <w:p w14:paraId="4725E065" w14:textId="77777777" w:rsidR="007C2A71" w:rsidRDefault="007C2A71" w:rsidP="00310E2F">
            <w:pPr>
              <w:jc w:val="center"/>
            </w:pPr>
            <w:r>
              <w:t>√</w:t>
            </w:r>
          </w:p>
          <w:p w14:paraId="131E6A9F" w14:textId="77777777" w:rsidR="007C2A71" w:rsidRDefault="007C2A71" w:rsidP="00310E2F">
            <w:pPr>
              <w:jc w:val="center"/>
            </w:pPr>
            <w:r>
              <w:t>√</w:t>
            </w:r>
          </w:p>
          <w:p w14:paraId="10ED06C5" w14:textId="77777777" w:rsidR="007C2A71" w:rsidRDefault="007C2A71" w:rsidP="00310E2F">
            <w:pPr>
              <w:jc w:val="center"/>
            </w:pPr>
            <w:r>
              <w:t>√</w:t>
            </w:r>
          </w:p>
          <w:p w14:paraId="70295F19" w14:textId="77777777" w:rsidR="007C2A71" w:rsidRDefault="007C2A71" w:rsidP="00310E2F">
            <w:pPr>
              <w:jc w:val="center"/>
            </w:pPr>
            <w:r>
              <w:t>√</w:t>
            </w:r>
          </w:p>
          <w:p w14:paraId="7E32305F" w14:textId="77777777" w:rsidR="007C2A71" w:rsidRDefault="007C2A71" w:rsidP="00310E2F">
            <w:pPr>
              <w:jc w:val="center"/>
            </w:pPr>
            <w:r>
              <w:t>√</w:t>
            </w:r>
          </w:p>
          <w:p w14:paraId="6676BB19" w14:textId="77777777" w:rsidR="007C2A71" w:rsidRDefault="007C2A71" w:rsidP="00310E2F">
            <w:pPr>
              <w:jc w:val="center"/>
            </w:pPr>
            <w:r>
              <w:t>√</w:t>
            </w:r>
          </w:p>
          <w:p w14:paraId="73F4A165" w14:textId="77777777" w:rsidR="007C2A71" w:rsidRDefault="007C2A71" w:rsidP="00310E2F">
            <w:pPr>
              <w:jc w:val="center"/>
            </w:pPr>
            <w:r>
              <w:t>√</w:t>
            </w:r>
          </w:p>
          <w:p w14:paraId="0AE08E70" w14:textId="77777777" w:rsidR="007C2A71" w:rsidRDefault="007C2A71" w:rsidP="00310E2F">
            <w:pPr>
              <w:jc w:val="center"/>
            </w:pPr>
          </w:p>
          <w:p w14:paraId="63C52425" w14:textId="77777777" w:rsidR="007C2A71" w:rsidRDefault="007C2A71" w:rsidP="00310E2F">
            <w:pPr>
              <w:jc w:val="center"/>
            </w:pPr>
            <w:r>
              <w:t>√</w:t>
            </w:r>
          </w:p>
          <w:p w14:paraId="1D0887E5" w14:textId="77777777" w:rsidR="007C2A71" w:rsidRDefault="007C2A71" w:rsidP="00310E2F">
            <w:pPr>
              <w:jc w:val="center"/>
            </w:pPr>
            <w:r>
              <w:t>√</w:t>
            </w:r>
          </w:p>
          <w:p w14:paraId="6B52179B" w14:textId="77777777" w:rsidR="007C2A71" w:rsidRDefault="007C2A71" w:rsidP="00310E2F">
            <w:pPr>
              <w:jc w:val="center"/>
            </w:pPr>
            <w:r>
              <w:t>√</w:t>
            </w:r>
          </w:p>
          <w:p w14:paraId="47609716" w14:textId="77777777" w:rsidR="007C2A71" w:rsidRDefault="007C2A71" w:rsidP="00310E2F">
            <w:pPr>
              <w:jc w:val="center"/>
            </w:pPr>
          </w:p>
        </w:tc>
        <w:tc>
          <w:tcPr>
            <w:tcW w:w="1185" w:type="dxa"/>
          </w:tcPr>
          <w:p w14:paraId="5F90F18B" w14:textId="77777777" w:rsidR="007C2A71" w:rsidRDefault="007C2A71" w:rsidP="00310E2F">
            <w:pPr>
              <w:jc w:val="center"/>
            </w:pPr>
          </w:p>
          <w:p w14:paraId="568F576F" w14:textId="77777777" w:rsidR="007C2A71" w:rsidRDefault="007C2A71" w:rsidP="00310E2F">
            <w:pPr>
              <w:jc w:val="center"/>
            </w:pPr>
            <w:r>
              <w:t>√</w:t>
            </w:r>
          </w:p>
          <w:p w14:paraId="541A136A" w14:textId="77777777" w:rsidR="007C2A71" w:rsidRDefault="007C2A71" w:rsidP="00310E2F">
            <w:pPr>
              <w:jc w:val="center"/>
            </w:pPr>
          </w:p>
          <w:p w14:paraId="0767BE66" w14:textId="77777777" w:rsidR="007C2A71" w:rsidRDefault="007C2A71" w:rsidP="00310E2F">
            <w:pPr>
              <w:jc w:val="center"/>
            </w:pPr>
            <w:r>
              <w:t>√</w:t>
            </w:r>
          </w:p>
          <w:p w14:paraId="32001052" w14:textId="77777777" w:rsidR="007C2A71" w:rsidRDefault="007C2A71" w:rsidP="00310E2F">
            <w:pPr>
              <w:jc w:val="center"/>
            </w:pPr>
          </w:p>
          <w:p w14:paraId="477ED548" w14:textId="77777777" w:rsidR="007C2A71" w:rsidRDefault="007C2A71" w:rsidP="00310E2F">
            <w:pPr>
              <w:jc w:val="center"/>
            </w:pPr>
            <w:r>
              <w:t>√</w:t>
            </w:r>
          </w:p>
          <w:p w14:paraId="67C90D89" w14:textId="77777777" w:rsidR="007C2A71" w:rsidRDefault="007C2A71" w:rsidP="00310E2F">
            <w:pPr>
              <w:jc w:val="center"/>
            </w:pPr>
          </w:p>
          <w:p w14:paraId="27192D91" w14:textId="77777777" w:rsidR="007C2A71" w:rsidRDefault="007C2A71" w:rsidP="00310E2F">
            <w:pPr>
              <w:jc w:val="center"/>
            </w:pPr>
            <w:r>
              <w:t>√</w:t>
            </w:r>
          </w:p>
          <w:p w14:paraId="0BF5E3A1" w14:textId="77777777" w:rsidR="007C2A71" w:rsidRDefault="007C2A71" w:rsidP="00310E2F">
            <w:pPr>
              <w:jc w:val="center"/>
            </w:pPr>
          </w:p>
          <w:p w14:paraId="732A43B1" w14:textId="77777777" w:rsidR="007C2A71" w:rsidRDefault="007C2A71" w:rsidP="00310E2F">
            <w:pPr>
              <w:jc w:val="center"/>
            </w:pPr>
            <w:r>
              <w:t>√</w:t>
            </w:r>
          </w:p>
          <w:p w14:paraId="3773E3F3" w14:textId="77777777" w:rsidR="007C2A71" w:rsidRDefault="007C2A71" w:rsidP="00310E2F">
            <w:pPr>
              <w:jc w:val="center"/>
            </w:pPr>
            <w:r>
              <w:t>√</w:t>
            </w:r>
          </w:p>
          <w:p w14:paraId="73FCA47C" w14:textId="77777777" w:rsidR="007C2A71" w:rsidRDefault="007C2A71" w:rsidP="00310E2F">
            <w:pPr>
              <w:jc w:val="center"/>
            </w:pPr>
            <w:r>
              <w:t>√</w:t>
            </w:r>
          </w:p>
          <w:p w14:paraId="3E3F26A1" w14:textId="77777777" w:rsidR="007C2A71" w:rsidRDefault="007C2A71" w:rsidP="00310E2F">
            <w:pPr>
              <w:jc w:val="center"/>
            </w:pPr>
          </w:p>
        </w:tc>
      </w:tr>
      <w:tr w:rsidR="007C2A71" w14:paraId="3747AEF9" w14:textId="77777777" w:rsidTr="00310E2F">
        <w:tc>
          <w:tcPr>
            <w:tcW w:w="9351" w:type="dxa"/>
          </w:tcPr>
          <w:p w14:paraId="49FFB5F3" w14:textId="77777777" w:rsidR="007C2A71" w:rsidRDefault="007C2A71" w:rsidP="00310E2F">
            <w:r>
              <w:t>Confidence in promoting STEM/engineering</w:t>
            </w:r>
          </w:p>
          <w:p w14:paraId="71F412C0" w14:textId="77777777" w:rsidR="007C2A71" w:rsidRDefault="007C2A71" w:rsidP="00310E2F">
            <w:r>
              <w:t>6.a. Gauge a student’s understanding of an engineering task</w:t>
            </w:r>
          </w:p>
          <w:p w14:paraId="3B804A09" w14:textId="77777777" w:rsidR="007C2A71" w:rsidRDefault="007C2A71" w:rsidP="00310E2F">
            <w:r>
              <w:t>6.b. Provide guidelines/assess a student’s engineering products</w:t>
            </w:r>
          </w:p>
          <w:p w14:paraId="43A4FF88" w14:textId="77777777" w:rsidR="007C2A71" w:rsidRDefault="007C2A71" w:rsidP="00310E2F">
            <w:r>
              <w:t>6.c. Help/promote a positive attitude to engineering among students</w:t>
            </w:r>
          </w:p>
          <w:p w14:paraId="2BEBCA17" w14:textId="77777777" w:rsidR="007C2A71" w:rsidRDefault="007C2A71" w:rsidP="00310E2F">
            <w:r>
              <w:t>6.d. Provide actual practices/promote student team work on engineering problems</w:t>
            </w:r>
          </w:p>
          <w:p w14:paraId="0FB4AB5A" w14:textId="77777777" w:rsidR="007C2A71" w:rsidRDefault="007C2A71" w:rsidP="00310E2F">
            <w:r>
              <w:t>6.e. Provide materials to ABC teachers help students think creatively about engineering</w:t>
            </w:r>
          </w:p>
          <w:p w14:paraId="211E4AC1" w14:textId="77777777" w:rsidR="007C2A71" w:rsidRDefault="007C2A71" w:rsidP="00310E2F">
            <w:r>
              <w:t>6.f. Help ABC teachers/students understand a difficult scientific concept</w:t>
            </w:r>
          </w:p>
          <w:p w14:paraId="2226844A" w14:textId="77777777" w:rsidR="007C2A71" w:rsidRDefault="007C2A71" w:rsidP="00310E2F">
            <w:r>
              <w:t>6.g. Help ABC teachers/students understand a difficult mathematics problem</w:t>
            </w:r>
          </w:p>
          <w:p w14:paraId="3AADCADF" w14:textId="77777777" w:rsidR="007C2A71" w:rsidRDefault="007C2A71" w:rsidP="00310E2F">
            <w:r>
              <w:t>6.h. Help ABC teachers/colleagues design a new technology lesson</w:t>
            </w:r>
          </w:p>
          <w:p w14:paraId="384CAB7F" w14:textId="77777777" w:rsidR="007C2A71" w:rsidRDefault="007C2A71" w:rsidP="00310E2F">
            <w:r>
              <w:t>6.i. Help teach a STEM subject outside my core subject discipline</w:t>
            </w:r>
          </w:p>
          <w:p w14:paraId="705C02D9" w14:textId="77777777" w:rsidR="007C2A71" w:rsidRDefault="007C2A71" w:rsidP="00310E2F">
            <w:r>
              <w:t>6.j. Advise ABC teachers/teachers how to organise extracurricular STEM activities</w:t>
            </w:r>
          </w:p>
          <w:p w14:paraId="14E62543" w14:textId="77777777" w:rsidR="007C2A71" w:rsidRDefault="007C2A71" w:rsidP="00310E2F">
            <w:r>
              <w:t>6.k. Explain why a bridge collapsed</w:t>
            </w:r>
          </w:p>
          <w:p w14:paraId="5C303A81" w14:textId="77777777" w:rsidR="007C2A71" w:rsidRDefault="007C2A71" w:rsidP="00310E2F">
            <w:r>
              <w:t>6.l. Explain why we recycle paper</w:t>
            </w:r>
          </w:p>
          <w:p w14:paraId="4141456C" w14:textId="77777777" w:rsidR="007C2A71" w:rsidRDefault="007C2A71" w:rsidP="00310E2F">
            <w:r>
              <w:t>6.m. Learn how to use a new programming language</w:t>
            </w:r>
          </w:p>
          <w:p w14:paraId="001122EB" w14:textId="77777777" w:rsidR="007C2A71" w:rsidRDefault="007C2A71" w:rsidP="00310E2F">
            <w:r>
              <w:t>6.n. Design an effective new STEM activity for the weakest students in KS3</w:t>
            </w:r>
          </w:p>
          <w:p w14:paraId="2C754D51" w14:textId="77777777" w:rsidR="007C2A71" w:rsidRDefault="007C2A71" w:rsidP="00310E2F">
            <w:r>
              <w:t>6.o. Design an effective new STEM activity for the strongest students in KS3</w:t>
            </w:r>
          </w:p>
          <w:p w14:paraId="2B23DBE5" w14:textId="77777777" w:rsidR="007C2A71" w:rsidRDefault="007C2A71" w:rsidP="00310E2F">
            <w:r>
              <w:t>6.p. Fi√ a broken machine</w:t>
            </w:r>
          </w:p>
          <w:p w14:paraId="19B79B8A" w14:textId="77777777" w:rsidR="007C2A71" w:rsidRDefault="007C2A71" w:rsidP="00310E2F">
            <w:r>
              <w:t>6.q. Use tools to build something</w:t>
            </w:r>
          </w:p>
          <w:p w14:paraId="33D6AB37" w14:textId="77777777" w:rsidR="007C2A71" w:rsidRDefault="007C2A71" w:rsidP="00310E2F">
            <w:r>
              <w:lastRenderedPageBreak/>
              <w:t>6.r. Develop design solutions</w:t>
            </w:r>
          </w:p>
          <w:p w14:paraId="4D732BA8" w14:textId="77777777" w:rsidR="007C2A71" w:rsidRDefault="007C2A71" w:rsidP="00310E2F">
            <w:r>
              <w:t>6.s. Evaluate a novel technical design</w:t>
            </w:r>
          </w:p>
          <w:p w14:paraId="565E9B3B" w14:textId="77777777" w:rsidR="007C2A71" w:rsidRDefault="007C2A71" w:rsidP="00310E2F">
            <w:r>
              <w:t>6.t. Advise students on the routes to a career in engineering</w:t>
            </w:r>
          </w:p>
          <w:p w14:paraId="0676000D" w14:textId="77777777" w:rsidR="007C2A71" w:rsidRDefault="007C2A71" w:rsidP="00310E2F">
            <w:r>
              <w:t>6.u. Enable cooperative learning between students</w:t>
            </w:r>
          </w:p>
          <w:p w14:paraId="77ECAF7D" w14:textId="77777777" w:rsidR="007C2A71" w:rsidRDefault="007C2A71" w:rsidP="00310E2F">
            <w:r>
              <w:t>6.v. Exploit a student’s naïve intuition in understanding a scientific concept</w:t>
            </w:r>
          </w:p>
          <w:p w14:paraId="4E15342A" w14:textId="77777777" w:rsidR="007C2A71" w:rsidRDefault="007C2A71" w:rsidP="00310E2F">
            <w:r>
              <w:t>6.w. Use STEM resources in the classroom without any preparation</w:t>
            </w:r>
          </w:p>
          <w:p w14:paraId="1E7EFC83" w14:textId="77777777" w:rsidR="007C2A71" w:rsidRDefault="007C2A71" w:rsidP="00310E2F">
            <w:r>
              <w:t>6.√. Explain mathematics underlying an engineering construction to my students</w:t>
            </w:r>
          </w:p>
        </w:tc>
        <w:tc>
          <w:tcPr>
            <w:tcW w:w="1149" w:type="dxa"/>
          </w:tcPr>
          <w:p w14:paraId="08A9EB7C" w14:textId="77777777" w:rsidR="007C2A71" w:rsidRDefault="007C2A71" w:rsidP="00310E2F">
            <w:pPr>
              <w:jc w:val="center"/>
            </w:pPr>
          </w:p>
          <w:p w14:paraId="79BBA8DE" w14:textId="77777777" w:rsidR="007C2A71" w:rsidRDefault="007C2A71" w:rsidP="00310E2F">
            <w:pPr>
              <w:jc w:val="center"/>
            </w:pPr>
            <w:r>
              <w:t>√</w:t>
            </w:r>
          </w:p>
          <w:p w14:paraId="2F4A4F06" w14:textId="77777777" w:rsidR="007C2A71" w:rsidRDefault="007C2A71" w:rsidP="00310E2F">
            <w:pPr>
              <w:jc w:val="center"/>
            </w:pPr>
            <w:r>
              <w:t>√</w:t>
            </w:r>
          </w:p>
          <w:p w14:paraId="50C6751E" w14:textId="77777777" w:rsidR="007C2A71" w:rsidRDefault="007C2A71" w:rsidP="00310E2F">
            <w:pPr>
              <w:jc w:val="center"/>
            </w:pPr>
            <w:r>
              <w:t>√</w:t>
            </w:r>
          </w:p>
          <w:p w14:paraId="6887D4DD" w14:textId="77777777" w:rsidR="007C2A71" w:rsidRDefault="007C2A71" w:rsidP="00310E2F">
            <w:pPr>
              <w:jc w:val="center"/>
            </w:pPr>
            <w:r>
              <w:t>√</w:t>
            </w:r>
          </w:p>
          <w:p w14:paraId="3DFE21BD" w14:textId="77777777" w:rsidR="007C2A71" w:rsidRDefault="007C2A71" w:rsidP="00310E2F">
            <w:pPr>
              <w:jc w:val="center"/>
            </w:pPr>
            <w:r>
              <w:t>√</w:t>
            </w:r>
          </w:p>
          <w:p w14:paraId="59612860" w14:textId="77777777" w:rsidR="007C2A71" w:rsidRDefault="007C2A71" w:rsidP="00310E2F">
            <w:pPr>
              <w:jc w:val="center"/>
            </w:pPr>
            <w:r>
              <w:t>√</w:t>
            </w:r>
          </w:p>
          <w:p w14:paraId="7F56C71C" w14:textId="77777777" w:rsidR="007C2A71" w:rsidRDefault="007C2A71" w:rsidP="00310E2F">
            <w:pPr>
              <w:jc w:val="center"/>
            </w:pPr>
            <w:r>
              <w:t>√</w:t>
            </w:r>
          </w:p>
          <w:p w14:paraId="3F216E04" w14:textId="77777777" w:rsidR="007C2A71" w:rsidRDefault="007C2A71" w:rsidP="00310E2F">
            <w:pPr>
              <w:jc w:val="center"/>
            </w:pPr>
            <w:r>
              <w:t>√</w:t>
            </w:r>
          </w:p>
          <w:p w14:paraId="00865836" w14:textId="77777777" w:rsidR="007C2A71" w:rsidRDefault="007C2A71" w:rsidP="00310E2F">
            <w:pPr>
              <w:jc w:val="center"/>
            </w:pPr>
            <w:r>
              <w:t>√</w:t>
            </w:r>
          </w:p>
          <w:p w14:paraId="3CF2D168" w14:textId="77777777" w:rsidR="007C2A71" w:rsidRDefault="007C2A71" w:rsidP="00310E2F">
            <w:pPr>
              <w:jc w:val="center"/>
            </w:pPr>
            <w:r>
              <w:t>√</w:t>
            </w:r>
          </w:p>
          <w:p w14:paraId="4A5848B1" w14:textId="77777777" w:rsidR="007C2A71" w:rsidRDefault="007C2A71" w:rsidP="00310E2F">
            <w:pPr>
              <w:jc w:val="center"/>
            </w:pPr>
            <w:r>
              <w:t>√</w:t>
            </w:r>
          </w:p>
          <w:p w14:paraId="37E97F4D" w14:textId="77777777" w:rsidR="007C2A71" w:rsidRDefault="007C2A71" w:rsidP="00310E2F">
            <w:pPr>
              <w:jc w:val="center"/>
            </w:pPr>
            <w:r>
              <w:t>√</w:t>
            </w:r>
          </w:p>
          <w:p w14:paraId="13C56E03" w14:textId="77777777" w:rsidR="007C2A71" w:rsidRDefault="007C2A71" w:rsidP="00310E2F">
            <w:pPr>
              <w:jc w:val="center"/>
            </w:pPr>
            <w:r>
              <w:t>√</w:t>
            </w:r>
          </w:p>
          <w:p w14:paraId="181A360B" w14:textId="77777777" w:rsidR="007C2A71" w:rsidRDefault="007C2A71" w:rsidP="00310E2F">
            <w:pPr>
              <w:jc w:val="center"/>
            </w:pPr>
            <w:r>
              <w:t>√</w:t>
            </w:r>
          </w:p>
          <w:p w14:paraId="40980C61" w14:textId="77777777" w:rsidR="007C2A71" w:rsidRDefault="007C2A71" w:rsidP="00310E2F">
            <w:pPr>
              <w:jc w:val="center"/>
            </w:pPr>
            <w:r>
              <w:t>√</w:t>
            </w:r>
          </w:p>
          <w:p w14:paraId="241FAA8D" w14:textId="77777777" w:rsidR="007C2A71" w:rsidRDefault="007C2A71" w:rsidP="00310E2F">
            <w:pPr>
              <w:jc w:val="center"/>
            </w:pPr>
            <w:r>
              <w:t>√</w:t>
            </w:r>
          </w:p>
          <w:p w14:paraId="6DDE975F" w14:textId="77777777" w:rsidR="007C2A71" w:rsidRDefault="007C2A71" w:rsidP="00310E2F">
            <w:pPr>
              <w:jc w:val="center"/>
            </w:pPr>
            <w:r>
              <w:t>√</w:t>
            </w:r>
          </w:p>
          <w:p w14:paraId="0F62018A" w14:textId="77777777" w:rsidR="007C2A71" w:rsidRDefault="007C2A71" w:rsidP="00310E2F">
            <w:pPr>
              <w:jc w:val="center"/>
            </w:pPr>
            <w:r>
              <w:t>√</w:t>
            </w:r>
          </w:p>
          <w:p w14:paraId="3DE1BF82" w14:textId="77777777" w:rsidR="007C2A71" w:rsidRDefault="007C2A71" w:rsidP="00310E2F">
            <w:pPr>
              <w:jc w:val="center"/>
            </w:pPr>
            <w:r>
              <w:t>√</w:t>
            </w:r>
          </w:p>
          <w:p w14:paraId="187CB6CB" w14:textId="77777777" w:rsidR="007C2A71" w:rsidRDefault="007C2A71" w:rsidP="00310E2F">
            <w:pPr>
              <w:jc w:val="center"/>
            </w:pPr>
            <w:r>
              <w:t>√</w:t>
            </w:r>
          </w:p>
        </w:tc>
        <w:tc>
          <w:tcPr>
            <w:tcW w:w="1133" w:type="dxa"/>
          </w:tcPr>
          <w:p w14:paraId="037D580D" w14:textId="77777777" w:rsidR="007C2A71" w:rsidRDefault="007C2A71" w:rsidP="00310E2F">
            <w:pPr>
              <w:jc w:val="center"/>
            </w:pPr>
          </w:p>
          <w:p w14:paraId="7AA79714" w14:textId="77777777" w:rsidR="007C2A71" w:rsidRDefault="007C2A71" w:rsidP="00310E2F">
            <w:pPr>
              <w:jc w:val="center"/>
            </w:pPr>
            <w:r>
              <w:t>√</w:t>
            </w:r>
          </w:p>
          <w:p w14:paraId="0A5BC87D" w14:textId="77777777" w:rsidR="007C2A71" w:rsidRDefault="007C2A71" w:rsidP="00310E2F">
            <w:pPr>
              <w:jc w:val="center"/>
            </w:pPr>
          </w:p>
          <w:p w14:paraId="7E271E60" w14:textId="77777777" w:rsidR="007C2A71" w:rsidRDefault="007C2A71" w:rsidP="00310E2F">
            <w:pPr>
              <w:jc w:val="center"/>
            </w:pPr>
            <w:r>
              <w:t>√</w:t>
            </w:r>
          </w:p>
          <w:p w14:paraId="3DC54734" w14:textId="77777777" w:rsidR="007C2A71" w:rsidRDefault="007C2A71" w:rsidP="00310E2F">
            <w:pPr>
              <w:jc w:val="center"/>
            </w:pPr>
            <w:r>
              <w:t>√</w:t>
            </w:r>
          </w:p>
          <w:p w14:paraId="54497952" w14:textId="77777777" w:rsidR="007C2A71" w:rsidRDefault="007C2A71" w:rsidP="00310E2F">
            <w:pPr>
              <w:jc w:val="center"/>
            </w:pPr>
            <w:r>
              <w:t>√</w:t>
            </w:r>
          </w:p>
          <w:p w14:paraId="21C01A0E" w14:textId="77777777" w:rsidR="007C2A71" w:rsidRDefault="007C2A71" w:rsidP="00310E2F">
            <w:pPr>
              <w:jc w:val="center"/>
            </w:pPr>
          </w:p>
          <w:p w14:paraId="61B447B4" w14:textId="77777777" w:rsidR="007C2A71" w:rsidRDefault="007C2A71" w:rsidP="00310E2F">
            <w:pPr>
              <w:jc w:val="center"/>
            </w:pPr>
          </w:p>
          <w:p w14:paraId="5C2F9C35" w14:textId="77777777" w:rsidR="007C2A71" w:rsidRDefault="007C2A71" w:rsidP="00310E2F">
            <w:pPr>
              <w:jc w:val="center"/>
            </w:pPr>
          </w:p>
          <w:p w14:paraId="29887299" w14:textId="77777777" w:rsidR="007C2A71" w:rsidRDefault="007C2A71" w:rsidP="00310E2F">
            <w:pPr>
              <w:jc w:val="center"/>
            </w:pPr>
          </w:p>
          <w:p w14:paraId="72A12D26" w14:textId="77777777" w:rsidR="007C2A71" w:rsidRDefault="007C2A71" w:rsidP="00310E2F">
            <w:pPr>
              <w:jc w:val="center"/>
            </w:pPr>
            <w:r>
              <w:t>√</w:t>
            </w:r>
          </w:p>
          <w:p w14:paraId="2C4DF548" w14:textId="77777777" w:rsidR="007C2A71" w:rsidRDefault="007C2A71" w:rsidP="00310E2F">
            <w:pPr>
              <w:jc w:val="center"/>
            </w:pPr>
            <w:r>
              <w:t>√</w:t>
            </w:r>
          </w:p>
          <w:p w14:paraId="45C782FA" w14:textId="77777777" w:rsidR="007C2A71" w:rsidRDefault="007C2A71" w:rsidP="00310E2F">
            <w:pPr>
              <w:jc w:val="center"/>
            </w:pPr>
            <w:r>
              <w:t>√</w:t>
            </w:r>
          </w:p>
          <w:p w14:paraId="11F89707" w14:textId="77777777" w:rsidR="007C2A71" w:rsidRDefault="007C2A71" w:rsidP="00310E2F">
            <w:pPr>
              <w:jc w:val="center"/>
            </w:pPr>
          </w:p>
          <w:p w14:paraId="08C691BB" w14:textId="77777777" w:rsidR="007C2A71" w:rsidRDefault="007C2A71" w:rsidP="00310E2F">
            <w:pPr>
              <w:jc w:val="center"/>
            </w:pPr>
            <w:r>
              <w:t>√</w:t>
            </w:r>
          </w:p>
          <w:p w14:paraId="44D17086" w14:textId="77777777" w:rsidR="007C2A71" w:rsidRDefault="007C2A71" w:rsidP="00310E2F">
            <w:pPr>
              <w:jc w:val="center"/>
            </w:pPr>
          </w:p>
          <w:p w14:paraId="31D6AA5C" w14:textId="77777777" w:rsidR="007C2A71" w:rsidRDefault="007C2A71" w:rsidP="00310E2F">
            <w:pPr>
              <w:jc w:val="center"/>
            </w:pPr>
            <w:r>
              <w:t>√</w:t>
            </w:r>
          </w:p>
          <w:p w14:paraId="1352518F" w14:textId="77777777" w:rsidR="007C2A71" w:rsidRDefault="007C2A71" w:rsidP="00310E2F">
            <w:pPr>
              <w:jc w:val="center"/>
            </w:pPr>
          </w:p>
          <w:p w14:paraId="580F8F06" w14:textId="77777777" w:rsidR="007C2A71" w:rsidRDefault="007C2A71" w:rsidP="00310E2F">
            <w:pPr>
              <w:jc w:val="center"/>
            </w:pPr>
            <w:r>
              <w:t>√</w:t>
            </w:r>
          </w:p>
          <w:p w14:paraId="67EEBC3C" w14:textId="77777777" w:rsidR="007C2A71" w:rsidRDefault="007C2A71" w:rsidP="00310E2F">
            <w:pPr>
              <w:jc w:val="center"/>
            </w:pPr>
          </w:p>
          <w:p w14:paraId="4CB82895" w14:textId="77777777" w:rsidR="007C2A71" w:rsidRDefault="007C2A71" w:rsidP="00310E2F">
            <w:pPr>
              <w:jc w:val="center"/>
            </w:pPr>
            <w:r>
              <w:t>√</w:t>
            </w:r>
          </w:p>
          <w:p w14:paraId="4FF9AD5A" w14:textId="77777777" w:rsidR="007C2A71" w:rsidRDefault="007C2A71" w:rsidP="00310E2F">
            <w:pPr>
              <w:jc w:val="center"/>
            </w:pPr>
          </w:p>
        </w:tc>
        <w:tc>
          <w:tcPr>
            <w:tcW w:w="1132" w:type="dxa"/>
          </w:tcPr>
          <w:p w14:paraId="387C2BA4" w14:textId="77777777" w:rsidR="007C2A71" w:rsidRDefault="007C2A71" w:rsidP="00310E2F">
            <w:pPr>
              <w:jc w:val="center"/>
            </w:pPr>
          </w:p>
          <w:p w14:paraId="0EA2F32B" w14:textId="77777777" w:rsidR="007C2A71" w:rsidRDefault="007C2A71" w:rsidP="00310E2F">
            <w:pPr>
              <w:jc w:val="center"/>
            </w:pPr>
            <w:r>
              <w:t>√</w:t>
            </w:r>
          </w:p>
          <w:p w14:paraId="1C578221" w14:textId="77777777" w:rsidR="007C2A71" w:rsidRDefault="007C2A71" w:rsidP="00310E2F">
            <w:pPr>
              <w:jc w:val="center"/>
            </w:pPr>
            <w:r>
              <w:t>√</w:t>
            </w:r>
          </w:p>
          <w:p w14:paraId="6427E6BB" w14:textId="77777777" w:rsidR="007C2A71" w:rsidRDefault="007C2A71" w:rsidP="00310E2F">
            <w:pPr>
              <w:jc w:val="center"/>
            </w:pPr>
            <w:r>
              <w:t>√</w:t>
            </w:r>
          </w:p>
          <w:p w14:paraId="69CB7D5B" w14:textId="77777777" w:rsidR="007C2A71" w:rsidRDefault="007C2A71" w:rsidP="00310E2F">
            <w:pPr>
              <w:jc w:val="center"/>
            </w:pPr>
            <w:r>
              <w:t>√</w:t>
            </w:r>
          </w:p>
          <w:p w14:paraId="3E94FBB4" w14:textId="77777777" w:rsidR="007C2A71" w:rsidRDefault="007C2A71" w:rsidP="00310E2F">
            <w:pPr>
              <w:jc w:val="center"/>
            </w:pPr>
            <w:r>
              <w:t>√</w:t>
            </w:r>
          </w:p>
          <w:p w14:paraId="7488F497" w14:textId="77777777" w:rsidR="007C2A71" w:rsidRDefault="007C2A71" w:rsidP="00310E2F">
            <w:pPr>
              <w:jc w:val="center"/>
            </w:pPr>
            <w:r>
              <w:t>√</w:t>
            </w:r>
          </w:p>
          <w:p w14:paraId="451C3AA5" w14:textId="77777777" w:rsidR="007C2A71" w:rsidRDefault="007C2A71" w:rsidP="00310E2F">
            <w:pPr>
              <w:jc w:val="center"/>
            </w:pPr>
            <w:r>
              <w:t>√</w:t>
            </w:r>
          </w:p>
          <w:p w14:paraId="67029418" w14:textId="77777777" w:rsidR="007C2A71" w:rsidRDefault="007C2A71" w:rsidP="00310E2F">
            <w:pPr>
              <w:jc w:val="center"/>
            </w:pPr>
            <w:r>
              <w:t>√</w:t>
            </w:r>
          </w:p>
          <w:p w14:paraId="68F859D9" w14:textId="77777777" w:rsidR="007C2A71" w:rsidRDefault="007C2A71" w:rsidP="00310E2F">
            <w:pPr>
              <w:jc w:val="center"/>
            </w:pPr>
            <w:r>
              <w:t>√</w:t>
            </w:r>
          </w:p>
          <w:p w14:paraId="1A9BC0B6" w14:textId="77777777" w:rsidR="007C2A71" w:rsidRDefault="007C2A71" w:rsidP="00310E2F">
            <w:pPr>
              <w:jc w:val="center"/>
            </w:pPr>
            <w:r>
              <w:t>√</w:t>
            </w:r>
          </w:p>
          <w:p w14:paraId="643CC8A7" w14:textId="77777777" w:rsidR="007C2A71" w:rsidRDefault="007C2A71" w:rsidP="00310E2F">
            <w:pPr>
              <w:jc w:val="center"/>
            </w:pPr>
            <w:r>
              <w:t>√</w:t>
            </w:r>
          </w:p>
          <w:p w14:paraId="0AEA93E6" w14:textId="77777777" w:rsidR="007C2A71" w:rsidRDefault="007C2A71" w:rsidP="00310E2F">
            <w:pPr>
              <w:jc w:val="center"/>
            </w:pPr>
            <w:r>
              <w:t>√</w:t>
            </w:r>
          </w:p>
          <w:p w14:paraId="6438A13D" w14:textId="77777777" w:rsidR="007C2A71" w:rsidRDefault="007C2A71" w:rsidP="00310E2F">
            <w:pPr>
              <w:jc w:val="center"/>
            </w:pPr>
            <w:r>
              <w:t>√</w:t>
            </w:r>
          </w:p>
          <w:p w14:paraId="6B8E9453" w14:textId="77777777" w:rsidR="007C2A71" w:rsidRDefault="007C2A71" w:rsidP="00310E2F">
            <w:pPr>
              <w:jc w:val="center"/>
            </w:pPr>
            <w:r>
              <w:t>√</w:t>
            </w:r>
          </w:p>
          <w:p w14:paraId="57DD14F5" w14:textId="77777777" w:rsidR="007C2A71" w:rsidRDefault="007C2A71" w:rsidP="00310E2F">
            <w:pPr>
              <w:jc w:val="center"/>
            </w:pPr>
            <w:r>
              <w:t>√</w:t>
            </w:r>
          </w:p>
          <w:p w14:paraId="5779EEEB" w14:textId="77777777" w:rsidR="007C2A71" w:rsidRDefault="007C2A71" w:rsidP="00310E2F">
            <w:pPr>
              <w:jc w:val="center"/>
            </w:pPr>
            <w:r>
              <w:t>√</w:t>
            </w:r>
          </w:p>
          <w:p w14:paraId="7BCF8722" w14:textId="77777777" w:rsidR="007C2A71" w:rsidRDefault="007C2A71" w:rsidP="00310E2F">
            <w:pPr>
              <w:jc w:val="center"/>
            </w:pPr>
            <w:r>
              <w:t>√</w:t>
            </w:r>
          </w:p>
          <w:p w14:paraId="6380146B" w14:textId="77777777" w:rsidR="007C2A71" w:rsidRDefault="007C2A71" w:rsidP="00310E2F">
            <w:pPr>
              <w:jc w:val="center"/>
            </w:pPr>
            <w:r>
              <w:t>√</w:t>
            </w:r>
          </w:p>
          <w:p w14:paraId="439C2A75" w14:textId="77777777" w:rsidR="007C2A71" w:rsidRDefault="007C2A71" w:rsidP="00310E2F">
            <w:pPr>
              <w:jc w:val="center"/>
            </w:pPr>
            <w:r>
              <w:t>√</w:t>
            </w:r>
          </w:p>
          <w:p w14:paraId="59159F52" w14:textId="77777777" w:rsidR="007C2A71" w:rsidRDefault="007C2A71" w:rsidP="00310E2F">
            <w:pPr>
              <w:jc w:val="center"/>
            </w:pPr>
            <w:r>
              <w:t>√</w:t>
            </w:r>
          </w:p>
          <w:p w14:paraId="2D8DFE4F" w14:textId="77777777" w:rsidR="007C2A71" w:rsidRDefault="007C2A71" w:rsidP="00310E2F">
            <w:pPr>
              <w:jc w:val="center"/>
            </w:pPr>
            <w:r>
              <w:t>√</w:t>
            </w:r>
          </w:p>
          <w:p w14:paraId="3B61D74B" w14:textId="77777777" w:rsidR="007C2A71" w:rsidRDefault="007C2A71" w:rsidP="00310E2F">
            <w:pPr>
              <w:jc w:val="center"/>
            </w:pPr>
            <w:r>
              <w:t>√</w:t>
            </w:r>
          </w:p>
          <w:p w14:paraId="338D33BC" w14:textId="77777777" w:rsidR="007C2A71" w:rsidRDefault="007C2A71" w:rsidP="00310E2F">
            <w:pPr>
              <w:jc w:val="center"/>
            </w:pPr>
            <w:r>
              <w:t>√</w:t>
            </w:r>
          </w:p>
          <w:p w14:paraId="4B0684D2" w14:textId="77777777" w:rsidR="007C2A71" w:rsidRDefault="007C2A71" w:rsidP="00310E2F">
            <w:pPr>
              <w:jc w:val="center"/>
            </w:pPr>
            <w:r>
              <w:t>√</w:t>
            </w:r>
          </w:p>
        </w:tc>
        <w:tc>
          <w:tcPr>
            <w:tcW w:w="1185" w:type="dxa"/>
          </w:tcPr>
          <w:p w14:paraId="542237BE" w14:textId="77777777" w:rsidR="007C2A71" w:rsidRDefault="007C2A71" w:rsidP="00310E2F">
            <w:pPr>
              <w:jc w:val="center"/>
            </w:pPr>
          </w:p>
          <w:p w14:paraId="3FC14A7E" w14:textId="77777777" w:rsidR="007C2A71" w:rsidRDefault="007C2A71" w:rsidP="00310E2F">
            <w:pPr>
              <w:jc w:val="center"/>
            </w:pPr>
            <w:r>
              <w:t>√</w:t>
            </w:r>
          </w:p>
          <w:p w14:paraId="75538EC6" w14:textId="77777777" w:rsidR="007C2A71" w:rsidRDefault="007C2A71" w:rsidP="00310E2F">
            <w:pPr>
              <w:jc w:val="center"/>
            </w:pPr>
          </w:p>
          <w:p w14:paraId="21993B51" w14:textId="77777777" w:rsidR="007C2A71" w:rsidRDefault="007C2A71" w:rsidP="00310E2F">
            <w:pPr>
              <w:jc w:val="center"/>
            </w:pPr>
            <w:r>
              <w:t>√</w:t>
            </w:r>
          </w:p>
          <w:p w14:paraId="0E854FCC" w14:textId="77777777" w:rsidR="007C2A71" w:rsidRDefault="007C2A71" w:rsidP="00310E2F">
            <w:pPr>
              <w:jc w:val="center"/>
            </w:pPr>
            <w:r>
              <w:t>√</w:t>
            </w:r>
          </w:p>
          <w:p w14:paraId="2B52EF85" w14:textId="77777777" w:rsidR="007C2A71" w:rsidRDefault="007C2A71" w:rsidP="00310E2F">
            <w:pPr>
              <w:jc w:val="center"/>
            </w:pPr>
            <w:r>
              <w:t>√</w:t>
            </w:r>
          </w:p>
          <w:p w14:paraId="27BB93D0" w14:textId="77777777" w:rsidR="007C2A71" w:rsidRDefault="007C2A71" w:rsidP="00310E2F">
            <w:pPr>
              <w:jc w:val="center"/>
            </w:pPr>
          </w:p>
          <w:p w14:paraId="62226BE0" w14:textId="77777777" w:rsidR="007C2A71" w:rsidRDefault="007C2A71" w:rsidP="00310E2F">
            <w:pPr>
              <w:jc w:val="center"/>
            </w:pPr>
            <w:r>
              <w:t>√</w:t>
            </w:r>
          </w:p>
          <w:p w14:paraId="5D915DFE" w14:textId="77777777" w:rsidR="007C2A71" w:rsidRDefault="007C2A71" w:rsidP="00310E2F">
            <w:pPr>
              <w:jc w:val="center"/>
            </w:pPr>
          </w:p>
          <w:p w14:paraId="2CCFCF83" w14:textId="77777777" w:rsidR="007C2A71" w:rsidRDefault="007C2A71" w:rsidP="00310E2F">
            <w:pPr>
              <w:jc w:val="center"/>
            </w:pPr>
          </w:p>
          <w:p w14:paraId="3B58A031" w14:textId="77777777" w:rsidR="007C2A71" w:rsidRDefault="007C2A71" w:rsidP="00310E2F">
            <w:pPr>
              <w:jc w:val="center"/>
            </w:pPr>
            <w:r>
              <w:t>√</w:t>
            </w:r>
          </w:p>
          <w:p w14:paraId="52065C34" w14:textId="77777777" w:rsidR="007C2A71" w:rsidRDefault="007C2A71" w:rsidP="00310E2F">
            <w:pPr>
              <w:jc w:val="center"/>
            </w:pPr>
            <w:r>
              <w:t>√</w:t>
            </w:r>
          </w:p>
          <w:p w14:paraId="590C2004" w14:textId="77777777" w:rsidR="007C2A71" w:rsidRDefault="007C2A71" w:rsidP="00310E2F">
            <w:pPr>
              <w:jc w:val="center"/>
            </w:pPr>
            <w:r>
              <w:t>√</w:t>
            </w:r>
          </w:p>
          <w:p w14:paraId="41350D39" w14:textId="77777777" w:rsidR="007C2A71" w:rsidRDefault="007C2A71" w:rsidP="00310E2F">
            <w:pPr>
              <w:jc w:val="center"/>
            </w:pPr>
          </w:p>
          <w:p w14:paraId="2B492065" w14:textId="77777777" w:rsidR="007C2A71" w:rsidRDefault="007C2A71" w:rsidP="00310E2F">
            <w:pPr>
              <w:jc w:val="center"/>
            </w:pPr>
            <w:r>
              <w:t>√</w:t>
            </w:r>
          </w:p>
          <w:p w14:paraId="2F6C909E" w14:textId="77777777" w:rsidR="007C2A71" w:rsidRDefault="007C2A71" w:rsidP="00310E2F">
            <w:pPr>
              <w:jc w:val="center"/>
            </w:pPr>
          </w:p>
          <w:p w14:paraId="72F4D3A3" w14:textId="77777777" w:rsidR="007C2A71" w:rsidRDefault="007C2A71" w:rsidP="00310E2F">
            <w:pPr>
              <w:jc w:val="center"/>
            </w:pPr>
            <w:r>
              <w:t>√</w:t>
            </w:r>
          </w:p>
          <w:p w14:paraId="3568170A" w14:textId="77777777" w:rsidR="007C2A71" w:rsidRDefault="007C2A71" w:rsidP="00310E2F">
            <w:pPr>
              <w:jc w:val="center"/>
            </w:pPr>
          </w:p>
          <w:p w14:paraId="7548BA2A" w14:textId="77777777" w:rsidR="007C2A71" w:rsidRDefault="007C2A71" w:rsidP="00310E2F">
            <w:pPr>
              <w:jc w:val="center"/>
            </w:pPr>
            <w:r>
              <w:t>√</w:t>
            </w:r>
          </w:p>
          <w:p w14:paraId="021ACDCE" w14:textId="77777777" w:rsidR="007C2A71" w:rsidRDefault="007C2A71" w:rsidP="00310E2F">
            <w:pPr>
              <w:jc w:val="center"/>
            </w:pPr>
          </w:p>
          <w:p w14:paraId="595604B7" w14:textId="77777777" w:rsidR="007C2A71" w:rsidRDefault="007C2A71" w:rsidP="00310E2F">
            <w:pPr>
              <w:jc w:val="center"/>
            </w:pPr>
            <w:r>
              <w:t>√</w:t>
            </w:r>
          </w:p>
          <w:p w14:paraId="53FFD91E" w14:textId="77777777" w:rsidR="007C2A71" w:rsidRDefault="007C2A71" w:rsidP="00310E2F">
            <w:pPr>
              <w:jc w:val="center"/>
            </w:pPr>
          </w:p>
          <w:p w14:paraId="19392F50" w14:textId="77777777" w:rsidR="007C2A71" w:rsidRDefault="007C2A71" w:rsidP="00310E2F">
            <w:pPr>
              <w:jc w:val="center"/>
            </w:pPr>
            <w:r>
              <w:t>√</w:t>
            </w:r>
          </w:p>
          <w:p w14:paraId="41D8DA9E" w14:textId="77777777" w:rsidR="007C2A71" w:rsidRDefault="007C2A71" w:rsidP="00310E2F">
            <w:pPr>
              <w:jc w:val="center"/>
            </w:pPr>
          </w:p>
        </w:tc>
      </w:tr>
      <w:tr w:rsidR="007C2A71" w14:paraId="45F85449" w14:textId="77777777" w:rsidTr="00310E2F">
        <w:tc>
          <w:tcPr>
            <w:tcW w:w="9351" w:type="dxa"/>
          </w:tcPr>
          <w:p w14:paraId="54105C8C" w14:textId="77777777" w:rsidR="007C2A71" w:rsidRDefault="007C2A71" w:rsidP="00310E2F">
            <w:r>
              <w:t>Impact of ABC</w:t>
            </w:r>
          </w:p>
          <w:p w14:paraId="12BB5BC0" w14:textId="77777777" w:rsidR="007C2A71" w:rsidRDefault="007C2A71" w:rsidP="00310E2F">
            <w:r>
              <w:t>7.a. The ABC learning experience is relevant to the students’ STEM curriculum</w:t>
            </w:r>
          </w:p>
          <w:p w14:paraId="38BB9603" w14:textId="77777777" w:rsidR="007C2A71" w:rsidRDefault="007C2A71" w:rsidP="00310E2F">
            <w:r>
              <w:t>7.b. Student attainment in STEM subjects will improve after participating in ABC</w:t>
            </w:r>
          </w:p>
          <w:p w14:paraId="0F76D2F3" w14:textId="77777777" w:rsidR="007C2A71" w:rsidRDefault="007C2A71" w:rsidP="00310E2F">
            <w:r>
              <w:t>7.c. Students will be motivated to choose science subject options</w:t>
            </w:r>
          </w:p>
          <w:p w14:paraId="5C87704B" w14:textId="77777777" w:rsidR="007C2A71" w:rsidRDefault="007C2A71" w:rsidP="00310E2F">
            <w:r>
              <w:t>7.d. Students will see science as a good option for both boys and girls</w:t>
            </w:r>
          </w:p>
          <w:p w14:paraId="52EBDA0B" w14:textId="77777777" w:rsidR="007C2A71" w:rsidRDefault="007C2A71" w:rsidP="00310E2F">
            <w:r>
              <w:t>7.e. Students will be motivated to choose DE&amp;T subject options</w:t>
            </w:r>
          </w:p>
          <w:p w14:paraId="3D18A7F2" w14:textId="77777777" w:rsidR="007C2A71" w:rsidRDefault="007C2A71" w:rsidP="00310E2F">
            <w:r>
              <w:t>7.f. Students will see DE&amp;T as a good option for both boys and girls</w:t>
            </w:r>
          </w:p>
          <w:p w14:paraId="75EFC17B" w14:textId="77777777" w:rsidR="007C2A71" w:rsidRDefault="007C2A71" w:rsidP="00310E2F">
            <w:r>
              <w:t>7.g. Students will gain an interest in engineering careers</w:t>
            </w:r>
          </w:p>
          <w:p w14:paraId="09DE9255" w14:textId="77777777" w:rsidR="007C2A71" w:rsidRDefault="007C2A71" w:rsidP="00310E2F">
            <w:r>
              <w:t>7.h. Students will have a greater understanding of what STEM careers involve</w:t>
            </w:r>
          </w:p>
          <w:p w14:paraId="3AA08A17" w14:textId="77777777" w:rsidR="007C2A71" w:rsidRDefault="007C2A71" w:rsidP="00310E2F">
            <w:r>
              <w:t>7.i. Students will know what to do next in order to become an engineer</w:t>
            </w:r>
          </w:p>
        </w:tc>
        <w:tc>
          <w:tcPr>
            <w:tcW w:w="1149" w:type="dxa"/>
          </w:tcPr>
          <w:p w14:paraId="3BDE6B93" w14:textId="77777777" w:rsidR="007C2A71" w:rsidRDefault="007C2A71" w:rsidP="00310E2F">
            <w:pPr>
              <w:jc w:val="center"/>
            </w:pPr>
          </w:p>
          <w:p w14:paraId="5ED1AA5C" w14:textId="77777777" w:rsidR="007C2A71" w:rsidRDefault="007C2A71" w:rsidP="00310E2F">
            <w:pPr>
              <w:jc w:val="center"/>
            </w:pPr>
            <w:r>
              <w:t>√</w:t>
            </w:r>
          </w:p>
          <w:p w14:paraId="2C8181F6" w14:textId="77777777" w:rsidR="007C2A71" w:rsidRDefault="007C2A71" w:rsidP="00310E2F">
            <w:pPr>
              <w:jc w:val="center"/>
            </w:pPr>
            <w:r>
              <w:t>√</w:t>
            </w:r>
          </w:p>
          <w:p w14:paraId="7F637B7A" w14:textId="77777777" w:rsidR="007C2A71" w:rsidRDefault="007C2A71" w:rsidP="00310E2F">
            <w:pPr>
              <w:jc w:val="center"/>
            </w:pPr>
            <w:r>
              <w:t>√</w:t>
            </w:r>
          </w:p>
          <w:p w14:paraId="2684F19B" w14:textId="77777777" w:rsidR="007C2A71" w:rsidRDefault="007C2A71" w:rsidP="00310E2F">
            <w:pPr>
              <w:jc w:val="center"/>
            </w:pPr>
            <w:r>
              <w:t>√</w:t>
            </w:r>
          </w:p>
          <w:p w14:paraId="55358B91" w14:textId="77777777" w:rsidR="007C2A71" w:rsidRDefault="007C2A71" w:rsidP="00310E2F">
            <w:pPr>
              <w:jc w:val="center"/>
            </w:pPr>
            <w:r>
              <w:t>√</w:t>
            </w:r>
          </w:p>
          <w:p w14:paraId="023825BA" w14:textId="77777777" w:rsidR="007C2A71" w:rsidRDefault="007C2A71" w:rsidP="00310E2F">
            <w:pPr>
              <w:jc w:val="center"/>
            </w:pPr>
            <w:r>
              <w:t>√</w:t>
            </w:r>
          </w:p>
          <w:p w14:paraId="3F0C0133" w14:textId="77777777" w:rsidR="007C2A71" w:rsidRDefault="007C2A71" w:rsidP="00310E2F">
            <w:pPr>
              <w:jc w:val="center"/>
            </w:pPr>
            <w:r>
              <w:t>√</w:t>
            </w:r>
          </w:p>
          <w:p w14:paraId="4A96D6F3" w14:textId="77777777" w:rsidR="007C2A71" w:rsidRDefault="007C2A71" w:rsidP="00310E2F">
            <w:pPr>
              <w:jc w:val="center"/>
            </w:pPr>
            <w:r>
              <w:t>√</w:t>
            </w:r>
          </w:p>
          <w:p w14:paraId="17C0F575" w14:textId="77777777" w:rsidR="007C2A71" w:rsidRDefault="007C2A71" w:rsidP="00310E2F">
            <w:pPr>
              <w:jc w:val="center"/>
            </w:pPr>
            <w:r>
              <w:t>√</w:t>
            </w:r>
          </w:p>
        </w:tc>
        <w:tc>
          <w:tcPr>
            <w:tcW w:w="1133" w:type="dxa"/>
          </w:tcPr>
          <w:p w14:paraId="6095406D" w14:textId="77777777" w:rsidR="007C2A71" w:rsidRDefault="007C2A71" w:rsidP="00310E2F">
            <w:pPr>
              <w:jc w:val="center"/>
            </w:pPr>
          </w:p>
          <w:p w14:paraId="58D574E8" w14:textId="77777777" w:rsidR="007C2A71" w:rsidRDefault="007C2A71" w:rsidP="00310E2F">
            <w:pPr>
              <w:jc w:val="center"/>
            </w:pPr>
            <w:r>
              <w:t>√</w:t>
            </w:r>
          </w:p>
          <w:p w14:paraId="0FF2C3EC" w14:textId="77777777" w:rsidR="007C2A71" w:rsidRDefault="007C2A71" w:rsidP="00310E2F">
            <w:pPr>
              <w:jc w:val="center"/>
            </w:pPr>
            <w:r>
              <w:t>√</w:t>
            </w:r>
          </w:p>
          <w:p w14:paraId="6F52EDD4" w14:textId="77777777" w:rsidR="007C2A71" w:rsidRDefault="007C2A71" w:rsidP="00310E2F">
            <w:pPr>
              <w:jc w:val="center"/>
            </w:pPr>
            <w:r>
              <w:t>√</w:t>
            </w:r>
          </w:p>
          <w:p w14:paraId="5B7AC797" w14:textId="77777777" w:rsidR="007C2A71" w:rsidRDefault="007C2A71" w:rsidP="00310E2F">
            <w:pPr>
              <w:jc w:val="center"/>
            </w:pPr>
          </w:p>
          <w:p w14:paraId="1047C326" w14:textId="77777777" w:rsidR="007C2A71" w:rsidRDefault="007C2A71" w:rsidP="00310E2F">
            <w:pPr>
              <w:jc w:val="center"/>
            </w:pPr>
            <w:r>
              <w:t>√</w:t>
            </w:r>
          </w:p>
          <w:p w14:paraId="2C1653BC" w14:textId="77777777" w:rsidR="007C2A71" w:rsidRDefault="007C2A71" w:rsidP="00310E2F">
            <w:pPr>
              <w:jc w:val="center"/>
            </w:pPr>
            <w:r>
              <w:t>√</w:t>
            </w:r>
          </w:p>
          <w:p w14:paraId="6F971F59" w14:textId="77777777" w:rsidR="007C2A71" w:rsidRDefault="007C2A71" w:rsidP="00310E2F">
            <w:pPr>
              <w:jc w:val="center"/>
            </w:pPr>
            <w:r>
              <w:t>√</w:t>
            </w:r>
          </w:p>
          <w:p w14:paraId="139A8130" w14:textId="77777777" w:rsidR="007C2A71" w:rsidRDefault="007C2A71" w:rsidP="00310E2F">
            <w:pPr>
              <w:jc w:val="center"/>
            </w:pPr>
            <w:r>
              <w:t>√</w:t>
            </w:r>
          </w:p>
          <w:p w14:paraId="295AB8A0" w14:textId="77777777" w:rsidR="007C2A71" w:rsidRDefault="007C2A71" w:rsidP="00310E2F">
            <w:pPr>
              <w:jc w:val="center"/>
            </w:pPr>
          </w:p>
        </w:tc>
        <w:tc>
          <w:tcPr>
            <w:tcW w:w="1132" w:type="dxa"/>
          </w:tcPr>
          <w:p w14:paraId="18698FB8" w14:textId="77777777" w:rsidR="007C2A71" w:rsidRDefault="007C2A71" w:rsidP="00310E2F">
            <w:pPr>
              <w:jc w:val="center"/>
            </w:pPr>
          </w:p>
          <w:p w14:paraId="24BB4529" w14:textId="77777777" w:rsidR="007C2A71" w:rsidRDefault="007C2A71" w:rsidP="00310E2F">
            <w:pPr>
              <w:jc w:val="center"/>
            </w:pPr>
            <w:r>
              <w:t>√</w:t>
            </w:r>
          </w:p>
          <w:p w14:paraId="3F58FC07" w14:textId="77777777" w:rsidR="007C2A71" w:rsidRDefault="007C2A71" w:rsidP="00310E2F">
            <w:pPr>
              <w:jc w:val="center"/>
            </w:pPr>
            <w:r>
              <w:t>√</w:t>
            </w:r>
          </w:p>
          <w:p w14:paraId="53C972FB" w14:textId="77777777" w:rsidR="007C2A71" w:rsidRDefault="007C2A71" w:rsidP="00310E2F">
            <w:pPr>
              <w:jc w:val="center"/>
            </w:pPr>
            <w:r>
              <w:t>√</w:t>
            </w:r>
          </w:p>
          <w:p w14:paraId="724CEA3C" w14:textId="77777777" w:rsidR="007C2A71" w:rsidRDefault="007C2A71" w:rsidP="00310E2F">
            <w:pPr>
              <w:jc w:val="center"/>
            </w:pPr>
            <w:r>
              <w:t>√</w:t>
            </w:r>
          </w:p>
          <w:p w14:paraId="0BC304F3" w14:textId="77777777" w:rsidR="007C2A71" w:rsidRDefault="007C2A71" w:rsidP="00310E2F">
            <w:pPr>
              <w:jc w:val="center"/>
            </w:pPr>
            <w:r>
              <w:t>√</w:t>
            </w:r>
          </w:p>
          <w:p w14:paraId="53A18936" w14:textId="77777777" w:rsidR="007C2A71" w:rsidRDefault="007C2A71" w:rsidP="00310E2F">
            <w:pPr>
              <w:jc w:val="center"/>
            </w:pPr>
            <w:r>
              <w:t>√</w:t>
            </w:r>
          </w:p>
          <w:p w14:paraId="7719B986" w14:textId="77777777" w:rsidR="007C2A71" w:rsidRDefault="007C2A71" w:rsidP="00310E2F">
            <w:pPr>
              <w:jc w:val="center"/>
            </w:pPr>
            <w:r>
              <w:t>√</w:t>
            </w:r>
          </w:p>
          <w:p w14:paraId="30EF52E0" w14:textId="77777777" w:rsidR="007C2A71" w:rsidRDefault="007C2A71" w:rsidP="00310E2F">
            <w:pPr>
              <w:jc w:val="center"/>
            </w:pPr>
            <w:r>
              <w:t>√</w:t>
            </w:r>
          </w:p>
          <w:p w14:paraId="684B2554" w14:textId="77777777" w:rsidR="007C2A71" w:rsidRDefault="007C2A71" w:rsidP="00310E2F">
            <w:pPr>
              <w:jc w:val="center"/>
            </w:pPr>
            <w:r>
              <w:t>√</w:t>
            </w:r>
          </w:p>
        </w:tc>
        <w:tc>
          <w:tcPr>
            <w:tcW w:w="1185" w:type="dxa"/>
          </w:tcPr>
          <w:p w14:paraId="25E3EC12" w14:textId="77777777" w:rsidR="007C2A71" w:rsidRDefault="007C2A71" w:rsidP="00310E2F">
            <w:pPr>
              <w:jc w:val="center"/>
            </w:pPr>
          </w:p>
          <w:p w14:paraId="33E43F3D" w14:textId="77777777" w:rsidR="007C2A71" w:rsidRDefault="007C2A71" w:rsidP="00310E2F">
            <w:pPr>
              <w:jc w:val="center"/>
            </w:pPr>
            <w:r>
              <w:t>√</w:t>
            </w:r>
          </w:p>
          <w:p w14:paraId="565AD2B0" w14:textId="77777777" w:rsidR="007C2A71" w:rsidRDefault="007C2A71" w:rsidP="00310E2F">
            <w:pPr>
              <w:jc w:val="center"/>
            </w:pPr>
            <w:r>
              <w:t>√</w:t>
            </w:r>
          </w:p>
          <w:p w14:paraId="7551875F" w14:textId="77777777" w:rsidR="007C2A71" w:rsidRDefault="007C2A71" w:rsidP="00310E2F">
            <w:pPr>
              <w:jc w:val="center"/>
            </w:pPr>
            <w:r>
              <w:t>√</w:t>
            </w:r>
          </w:p>
          <w:p w14:paraId="53C334C2" w14:textId="77777777" w:rsidR="007C2A71" w:rsidRDefault="007C2A71" w:rsidP="00310E2F">
            <w:pPr>
              <w:jc w:val="center"/>
            </w:pPr>
          </w:p>
          <w:p w14:paraId="02CBCA07" w14:textId="77777777" w:rsidR="007C2A71" w:rsidRDefault="007C2A71" w:rsidP="00310E2F">
            <w:pPr>
              <w:jc w:val="center"/>
            </w:pPr>
            <w:r>
              <w:t>√</w:t>
            </w:r>
          </w:p>
          <w:p w14:paraId="5F120FF6" w14:textId="77777777" w:rsidR="007C2A71" w:rsidRDefault="007C2A71" w:rsidP="00310E2F">
            <w:pPr>
              <w:jc w:val="center"/>
            </w:pPr>
            <w:r>
              <w:t>√</w:t>
            </w:r>
          </w:p>
          <w:p w14:paraId="52FB2AA8" w14:textId="77777777" w:rsidR="007C2A71" w:rsidRDefault="007C2A71" w:rsidP="00310E2F">
            <w:pPr>
              <w:jc w:val="center"/>
            </w:pPr>
            <w:r>
              <w:t>√</w:t>
            </w:r>
          </w:p>
          <w:p w14:paraId="08A05B28" w14:textId="77777777" w:rsidR="007C2A71" w:rsidRDefault="007C2A71" w:rsidP="00310E2F">
            <w:pPr>
              <w:jc w:val="center"/>
            </w:pPr>
            <w:r>
              <w:t>√</w:t>
            </w:r>
          </w:p>
          <w:p w14:paraId="0AD5C522" w14:textId="77777777" w:rsidR="007C2A71" w:rsidRDefault="007C2A71" w:rsidP="00310E2F">
            <w:pPr>
              <w:jc w:val="center"/>
            </w:pPr>
          </w:p>
        </w:tc>
      </w:tr>
    </w:tbl>
    <w:p w14:paraId="62C6516E" w14:textId="77777777" w:rsidR="007C2A71" w:rsidRDefault="007C2A71" w:rsidP="007C2A71"/>
    <w:p w14:paraId="6D2ECBCA" w14:textId="77777777" w:rsidR="007C2A71" w:rsidRPr="00B65E5E" w:rsidRDefault="007C2A71" w:rsidP="007C2A71">
      <w:pPr>
        <w:rPr>
          <w:sz w:val="20"/>
          <w:szCs w:val="20"/>
        </w:rPr>
      </w:pPr>
    </w:p>
    <w:p w14:paraId="6FCB3DA0" w14:textId="77777777" w:rsidR="00985E1F" w:rsidRPr="000936BA" w:rsidRDefault="00985E1F" w:rsidP="007C2A71">
      <w:pPr>
        <w:ind w:left="567" w:hanging="567"/>
        <w:contextualSpacing/>
      </w:pPr>
    </w:p>
    <w:p w14:paraId="6157FFEE" w14:textId="77777777" w:rsidR="00461E76" w:rsidRPr="000936BA" w:rsidRDefault="00461E76" w:rsidP="00125C2A">
      <w:pPr>
        <w:ind w:left="567" w:hanging="567"/>
        <w:contextualSpacing/>
      </w:pPr>
    </w:p>
    <w:p w14:paraId="58CCC597" w14:textId="56BF1B98" w:rsidR="001C3730" w:rsidRPr="000936BA" w:rsidRDefault="001C3730" w:rsidP="00164E03">
      <w:pPr>
        <w:spacing w:after="120"/>
        <w:contextualSpacing/>
        <w:rPr>
          <w:i/>
        </w:rPr>
      </w:pPr>
    </w:p>
    <w:sectPr w:rsidR="001C3730" w:rsidRPr="000936BA" w:rsidSect="00D72A0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9D2E" w14:textId="77777777" w:rsidR="00B80715" w:rsidRDefault="00B80715" w:rsidP="00872DDF">
      <w:r>
        <w:separator/>
      </w:r>
    </w:p>
  </w:endnote>
  <w:endnote w:type="continuationSeparator" w:id="0">
    <w:p w14:paraId="46D08557" w14:textId="77777777" w:rsidR="00B80715" w:rsidRDefault="00B80715" w:rsidP="00872DDF">
      <w:r>
        <w:continuationSeparator/>
      </w:r>
    </w:p>
  </w:endnote>
  <w:endnote w:type="continuationNotice" w:id="1">
    <w:p w14:paraId="10B3BB83" w14:textId="77777777" w:rsidR="00B80715" w:rsidRDefault="00B80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2029524"/>
      <w:docPartObj>
        <w:docPartGallery w:val="Page Numbers (Bottom of Page)"/>
        <w:docPartUnique/>
      </w:docPartObj>
    </w:sdtPr>
    <w:sdtEndPr>
      <w:rPr>
        <w:rStyle w:val="PageNumber"/>
      </w:rPr>
    </w:sdtEndPr>
    <w:sdtContent>
      <w:p w14:paraId="3155C4DC" w14:textId="77777777" w:rsidR="00B33F8F" w:rsidRDefault="00B33F8F" w:rsidP="00F425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DEB63" w14:textId="77777777" w:rsidR="00B33F8F" w:rsidRDefault="00B3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767287"/>
      <w:docPartObj>
        <w:docPartGallery w:val="Page Numbers (Bottom of Page)"/>
        <w:docPartUnique/>
      </w:docPartObj>
    </w:sdtPr>
    <w:sdtEndPr>
      <w:rPr>
        <w:rStyle w:val="PageNumber"/>
      </w:rPr>
    </w:sdtEndPr>
    <w:sdtContent>
      <w:p w14:paraId="33237078" w14:textId="3ED33A80" w:rsidR="00B33F8F" w:rsidRDefault="00B33F8F" w:rsidP="00F425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B56B3">
          <w:rPr>
            <w:rStyle w:val="PageNumber"/>
            <w:noProof/>
          </w:rPr>
          <w:t>7</w:t>
        </w:r>
        <w:r>
          <w:rPr>
            <w:rStyle w:val="PageNumber"/>
          </w:rPr>
          <w:fldChar w:fldCharType="end"/>
        </w:r>
      </w:p>
    </w:sdtContent>
  </w:sdt>
  <w:p w14:paraId="719E6908" w14:textId="77777777" w:rsidR="00B33F8F" w:rsidRDefault="00B3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B859" w14:textId="77777777" w:rsidR="00B80715" w:rsidRDefault="00B80715" w:rsidP="00872DDF">
      <w:r>
        <w:separator/>
      </w:r>
    </w:p>
  </w:footnote>
  <w:footnote w:type="continuationSeparator" w:id="0">
    <w:p w14:paraId="4BF32983" w14:textId="77777777" w:rsidR="00B80715" w:rsidRDefault="00B80715" w:rsidP="00872DDF">
      <w:r>
        <w:continuationSeparator/>
      </w:r>
    </w:p>
  </w:footnote>
  <w:footnote w:type="continuationNotice" w:id="1">
    <w:p w14:paraId="0819B997" w14:textId="77777777" w:rsidR="00B80715" w:rsidRDefault="00B807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DD"/>
    <w:multiLevelType w:val="hybridMultilevel"/>
    <w:tmpl w:val="C9D0E7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C0B67"/>
    <w:multiLevelType w:val="hybridMultilevel"/>
    <w:tmpl w:val="4178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1123E"/>
    <w:multiLevelType w:val="hybridMultilevel"/>
    <w:tmpl w:val="6448B0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A1AE8"/>
    <w:multiLevelType w:val="hybridMultilevel"/>
    <w:tmpl w:val="0CDE0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63477"/>
    <w:multiLevelType w:val="hybridMultilevel"/>
    <w:tmpl w:val="0D46A16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17D90DE9"/>
    <w:multiLevelType w:val="multilevel"/>
    <w:tmpl w:val="ABAA2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A1165"/>
    <w:multiLevelType w:val="hybridMultilevel"/>
    <w:tmpl w:val="DB947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2183E"/>
    <w:multiLevelType w:val="hybridMultilevel"/>
    <w:tmpl w:val="8AFC811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14AEB"/>
    <w:multiLevelType w:val="hybridMultilevel"/>
    <w:tmpl w:val="A718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B02D7"/>
    <w:multiLevelType w:val="hybridMultilevel"/>
    <w:tmpl w:val="5C9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D4F07"/>
    <w:multiLevelType w:val="hybridMultilevel"/>
    <w:tmpl w:val="F22AFF7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10"/>
  </w:num>
  <w:num w:numId="5">
    <w:abstractNumId w:val="5"/>
  </w:num>
  <w:num w:numId="6">
    <w:abstractNumId w:val="6"/>
  </w:num>
  <w:num w:numId="7">
    <w:abstractNumId w:val="2"/>
  </w:num>
  <w:num w:numId="8">
    <w:abstractNumId w:val="3"/>
  </w:num>
  <w:num w:numId="9">
    <w:abstractNumId w:val="0"/>
  </w:num>
  <w:num w:numId="10">
    <w:abstractNumId w:val="7"/>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6A"/>
    <w:rsid w:val="0000000E"/>
    <w:rsid w:val="00004409"/>
    <w:rsid w:val="00006388"/>
    <w:rsid w:val="000064AE"/>
    <w:rsid w:val="000106D4"/>
    <w:rsid w:val="0001159A"/>
    <w:rsid w:val="00012CD1"/>
    <w:rsid w:val="00013545"/>
    <w:rsid w:val="00014EE6"/>
    <w:rsid w:val="000162D8"/>
    <w:rsid w:val="00017766"/>
    <w:rsid w:val="00024CC1"/>
    <w:rsid w:val="00024FA7"/>
    <w:rsid w:val="00030029"/>
    <w:rsid w:val="00031916"/>
    <w:rsid w:val="00033BAE"/>
    <w:rsid w:val="00034490"/>
    <w:rsid w:val="00034A2F"/>
    <w:rsid w:val="00036C3F"/>
    <w:rsid w:val="00037E7E"/>
    <w:rsid w:val="0004076F"/>
    <w:rsid w:val="00040E4B"/>
    <w:rsid w:val="0004106F"/>
    <w:rsid w:val="000432ED"/>
    <w:rsid w:val="00045114"/>
    <w:rsid w:val="00046A3B"/>
    <w:rsid w:val="00050E6D"/>
    <w:rsid w:val="00051A9F"/>
    <w:rsid w:val="00052716"/>
    <w:rsid w:val="00054007"/>
    <w:rsid w:val="000541A8"/>
    <w:rsid w:val="00060769"/>
    <w:rsid w:val="00061267"/>
    <w:rsid w:val="0006236E"/>
    <w:rsid w:val="000638EE"/>
    <w:rsid w:val="00064C1A"/>
    <w:rsid w:val="00065F3A"/>
    <w:rsid w:val="00066DE0"/>
    <w:rsid w:val="00066ECC"/>
    <w:rsid w:val="00066F47"/>
    <w:rsid w:val="000673F2"/>
    <w:rsid w:val="000676C4"/>
    <w:rsid w:val="00067FC3"/>
    <w:rsid w:val="00071E90"/>
    <w:rsid w:val="00072538"/>
    <w:rsid w:val="000747AC"/>
    <w:rsid w:val="00074FCB"/>
    <w:rsid w:val="00075A6E"/>
    <w:rsid w:val="00076407"/>
    <w:rsid w:val="00080DA9"/>
    <w:rsid w:val="00081291"/>
    <w:rsid w:val="0008140B"/>
    <w:rsid w:val="0008217A"/>
    <w:rsid w:val="00086A1E"/>
    <w:rsid w:val="00086D7D"/>
    <w:rsid w:val="00090CE4"/>
    <w:rsid w:val="000936BA"/>
    <w:rsid w:val="0009470C"/>
    <w:rsid w:val="000953CB"/>
    <w:rsid w:val="00095965"/>
    <w:rsid w:val="000A0660"/>
    <w:rsid w:val="000A27F2"/>
    <w:rsid w:val="000A2CBE"/>
    <w:rsid w:val="000A2D33"/>
    <w:rsid w:val="000A31FA"/>
    <w:rsid w:val="000A6668"/>
    <w:rsid w:val="000A7A3F"/>
    <w:rsid w:val="000B010B"/>
    <w:rsid w:val="000B0825"/>
    <w:rsid w:val="000B257B"/>
    <w:rsid w:val="000B2C35"/>
    <w:rsid w:val="000B34E9"/>
    <w:rsid w:val="000B436C"/>
    <w:rsid w:val="000B43A3"/>
    <w:rsid w:val="000B5B46"/>
    <w:rsid w:val="000B64A4"/>
    <w:rsid w:val="000B7521"/>
    <w:rsid w:val="000C1A43"/>
    <w:rsid w:val="000C2A1C"/>
    <w:rsid w:val="000C5913"/>
    <w:rsid w:val="000C65C3"/>
    <w:rsid w:val="000C78DE"/>
    <w:rsid w:val="000D24FF"/>
    <w:rsid w:val="000D263A"/>
    <w:rsid w:val="000D3945"/>
    <w:rsid w:val="000D6D45"/>
    <w:rsid w:val="000E06C6"/>
    <w:rsid w:val="000E0ED6"/>
    <w:rsid w:val="000E0F32"/>
    <w:rsid w:val="000E1738"/>
    <w:rsid w:val="000E2F27"/>
    <w:rsid w:val="000E300E"/>
    <w:rsid w:val="000E550F"/>
    <w:rsid w:val="000E61AA"/>
    <w:rsid w:val="000E778F"/>
    <w:rsid w:val="000E784B"/>
    <w:rsid w:val="000E7A3B"/>
    <w:rsid w:val="000F197D"/>
    <w:rsid w:val="000F1FDD"/>
    <w:rsid w:val="000F2043"/>
    <w:rsid w:val="000F20FC"/>
    <w:rsid w:val="000F3B23"/>
    <w:rsid w:val="000F4537"/>
    <w:rsid w:val="000F61D6"/>
    <w:rsid w:val="000F6870"/>
    <w:rsid w:val="00100332"/>
    <w:rsid w:val="00101398"/>
    <w:rsid w:val="00102C5E"/>
    <w:rsid w:val="00102CD9"/>
    <w:rsid w:val="0010389C"/>
    <w:rsid w:val="00104A5F"/>
    <w:rsid w:val="0010590A"/>
    <w:rsid w:val="00105C93"/>
    <w:rsid w:val="00107567"/>
    <w:rsid w:val="00111EF4"/>
    <w:rsid w:val="00111FEB"/>
    <w:rsid w:val="001132F6"/>
    <w:rsid w:val="00114C6A"/>
    <w:rsid w:val="001151AC"/>
    <w:rsid w:val="00116340"/>
    <w:rsid w:val="001178D1"/>
    <w:rsid w:val="001205AD"/>
    <w:rsid w:val="00120A1B"/>
    <w:rsid w:val="00125C2A"/>
    <w:rsid w:val="00125EE8"/>
    <w:rsid w:val="00127373"/>
    <w:rsid w:val="001279AD"/>
    <w:rsid w:val="00127A01"/>
    <w:rsid w:val="00130802"/>
    <w:rsid w:val="00130A29"/>
    <w:rsid w:val="00132170"/>
    <w:rsid w:val="00132FB8"/>
    <w:rsid w:val="00133FE3"/>
    <w:rsid w:val="001343FA"/>
    <w:rsid w:val="00135857"/>
    <w:rsid w:val="00135E12"/>
    <w:rsid w:val="00136759"/>
    <w:rsid w:val="00136890"/>
    <w:rsid w:val="00136D9E"/>
    <w:rsid w:val="00137DA3"/>
    <w:rsid w:val="00140B88"/>
    <w:rsid w:val="00140C63"/>
    <w:rsid w:val="001413E8"/>
    <w:rsid w:val="0014273F"/>
    <w:rsid w:val="001431DF"/>
    <w:rsid w:val="001437AC"/>
    <w:rsid w:val="001437B2"/>
    <w:rsid w:val="00143B07"/>
    <w:rsid w:val="00144075"/>
    <w:rsid w:val="00144D66"/>
    <w:rsid w:val="00145489"/>
    <w:rsid w:val="0014782C"/>
    <w:rsid w:val="001531E7"/>
    <w:rsid w:val="0015502B"/>
    <w:rsid w:val="00155C72"/>
    <w:rsid w:val="00157014"/>
    <w:rsid w:val="001603DA"/>
    <w:rsid w:val="00160C70"/>
    <w:rsid w:val="001614FF"/>
    <w:rsid w:val="0016163F"/>
    <w:rsid w:val="001621FD"/>
    <w:rsid w:val="0016295B"/>
    <w:rsid w:val="00163BE7"/>
    <w:rsid w:val="00163BF4"/>
    <w:rsid w:val="00164DEB"/>
    <w:rsid w:val="00164E03"/>
    <w:rsid w:val="00166C37"/>
    <w:rsid w:val="00167A19"/>
    <w:rsid w:val="0017008D"/>
    <w:rsid w:val="001718A0"/>
    <w:rsid w:val="00172B6C"/>
    <w:rsid w:val="001742F0"/>
    <w:rsid w:val="00174506"/>
    <w:rsid w:val="00175234"/>
    <w:rsid w:val="00176C55"/>
    <w:rsid w:val="0017761D"/>
    <w:rsid w:val="001802B5"/>
    <w:rsid w:val="00182253"/>
    <w:rsid w:val="0018282C"/>
    <w:rsid w:val="001839C0"/>
    <w:rsid w:val="00183B3E"/>
    <w:rsid w:val="00184AFE"/>
    <w:rsid w:val="001859B0"/>
    <w:rsid w:val="00185ECE"/>
    <w:rsid w:val="00186D72"/>
    <w:rsid w:val="00190123"/>
    <w:rsid w:val="00192793"/>
    <w:rsid w:val="00193497"/>
    <w:rsid w:val="00193A81"/>
    <w:rsid w:val="001955D4"/>
    <w:rsid w:val="00195B17"/>
    <w:rsid w:val="0019709B"/>
    <w:rsid w:val="001A073A"/>
    <w:rsid w:val="001A11B1"/>
    <w:rsid w:val="001A1CDE"/>
    <w:rsid w:val="001A2850"/>
    <w:rsid w:val="001A42AA"/>
    <w:rsid w:val="001A5100"/>
    <w:rsid w:val="001A6521"/>
    <w:rsid w:val="001A65DE"/>
    <w:rsid w:val="001A7299"/>
    <w:rsid w:val="001B0319"/>
    <w:rsid w:val="001B0A52"/>
    <w:rsid w:val="001B0D44"/>
    <w:rsid w:val="001B1DBC"/>
    <w:rsid w:val="001B1DEC"/>
    <w:rsid w:val="001B3144"/>
    <w:rsid w:val="001B4829"/>
    <w:rsid w:val="001B4A9F"/>
    <w:rsid w:val="001B4E4E"/>
    <w:rsid w:val="001C08B1"/>
    <w:rsid w:val="001C1E66"/>
    <w:rsid w:val="001C20D5"/>
    <w:rsid w:val="001C213B"/>
    <w:rsid w:val="001C2EB5"/>
    <w:rsid w:val="001C3730"/>
    <w:rsid w:val="001C41DC"/>
    <w:rsid w:val="001C49A0"/>
    <w:rsid w:val="001C62DF"/>
    <w:rsid w:val="001D071D"/>
    <w:rsid w:val="001D1D82"/>
    <w:rsid w:val="001D2D56"/>
    <w:rsid w:val="001D325F"/>
    <w:rsid w:val="001D46F9"/>
    <w:rsid w:val="001D543C"/>
    <w:rsid w:val="001D6F5F"/>
    <w:rsid w:val="001D7820"/>
    <w:rsid w:val="001E074B"/>
    <w:rsid w:val="001E13E0"/>
    <w:rsid w:val="001E15CA"/>
    <w:rsid w:val="001E1911"/>
    <w:rsid w:val="001E45BF"/>
    <w:rsid w:val="001E4DEF"/>
    <w:rsid w:val="001E5415"/>
    <w:rsid w:val="001E684A"/>
    <w:rsid w:val="001E70DC"/>
    <w:rsid w:val="001F11E8"/>
    <w:rsid w:val="001F21D0"/>
    <w:rsid w:val="001F3EE1"/>
    <w:rsid w:val="001F449B"/>
    <w:rsid w:val="001F51F1"/>
    <w:rsid w:val="001F63E1"/>
    <w:rsid w:val="001F6700"/>
    <w:rsid w:val="001F7200"/>
    <w:rsid w:val="002018F1"/>
    <w:rsid w:val="00202C99"/>
    <w:rsid w:val="0020309E"/>
    <w:rsid w:val="002034F6"/>
    <w:rsid w:val="00204200"/>
    <w:rsid w:val="00204382"/>
    <w:rsid w:val="002051C6"/>
    <w:rsid w:val="00207EBD"/>
    <w:rsid w:val="002105C9"/>
    <w:rsid w:val="00210BF6"/>
    <w:rsid w:val="00210E4A"/>
    <w:rsid w:val="00211FFF"/>
    <w:rsid w:val="00213A21"/>
    <w:rsid w:val="0021416E"/>
    <w:rsid w:val="002164F7"/>
    <w:rsid w:val="00216A0A"/>
    <w:rsid w:val="002173C8"/>
    <w:rsid w:val="002176C8"/>
    <w:rsid w:val="00217D94"/>
    <w:rsid w:val="002201A0"/>
    <w:rsid w:val="00222D20"/>
    <w:rsid w:val="00223027"/>
    <w:rsid w:val="0022654F"/>
    <w:rsid w:val="00227C3D"/>
    <w:rsid w:val="0023034B"/>
    <w:rsid w:val="00230F99"/>
    <w:rsid w:val="00231375"/>
    <w:rsid w:val="00232582"/>
    <w:rsid w:val="00235448"/>
    <w:rsid w:val="00236B97"/>
    <w:rsid w:val="00237829"/>
    <w:rsid w:val="0023791E"/>
    <w:rsid w:val="00237C45"/>
    <w:rsid w:val="00240533"/>
    <w:rsid w:val="00240D46"/>
    <w:rsid w:val="00241610"/>
    <w:rsid w:val="00242CC5"/>
    <w:rsid w:val="00243C16"/>
    <w:rsid w:val="00244278"/>
    <w:rsid w:val="00247893"/>
    <w:rsid w:val="0025064F"/>
    <w:rsid w:val="00250C79"/>
    <w:rsid w:val="00251A0E"/>
    <w:rsid w:val="00252849"/>
    <w:rsid w:val="0025295C"/>
    <w:rsid w:val="002537BE"/>
    <w:rsid w:val="00254371"/>
    <w:rsid w:val="00256276"/>
    <w:rsid w:val="00256AFF"/>
    <w:rsid w:val="0025770E"/>
    <w:rsid w:val="00261926"/>
    <w:rsid w:val="00261C4F"/>
    <w:rsid w:val="002628B3"/>
    <w:rsid w:val="002649E4"/>
    <w:rsid w:val="002656C2"/>
    <w:rsid w:val="00274DC4"/>
    <w:rsid w:val="00275763"/>
    <w:rsid w:val="00275A6C"/>
    <w:rsid w:val="00275A9F"/>
    <w:rsid w:val="00275E03"/>
    <w:rsid w:val="002763BD"/>
    <w:rsid w:val="00276A69"/>
    <w:rsid w:val="002816FF"/>
    <w:rsid w:val="00282F9E"/>
    <w:rsid w:val="00283EE3"/>
    <w:rsid w:val="00287A76"/>
    <w:rsid w:val="00290194"/>
    <w:rsid w:val="00290C8C"/>
    <w:rsid w:val="00291D9D"/>
    <w:rsid w:val="00292155"/>
    <w:rsid w:val="00292FAA"/>
    <w:rsid w:val="0029313F"/>
    <w:rsid w:val="00293723"/>
    <w:rsid w:val="0029387B"/>
    <w:rsid w:val="002942A7"/>
    <w:rsid w:val="00296D2B"/>
    <w:rsid w:val="002A0E90"/>
    <w:rsid w:val="002A130E"/>
    <w:rsid w:val="002A23D5"/>
    <w:rsid w:val="002A2A1C"/>
    <w:rsid w:val="002A3BA4"/>
    <w:rsid w:val="002A4FA6"/>
    <w:rsid w:val="002A74E4"/>
    <w:rsid w:val="002B06B1"/>
    <w:rsid w:val="002B0B2B"/>
    <w:rsid w:val="002B13E0"/>
    <w:rsid w:val="002B165B"/>
    <w:rsid w:val="002B1A9B"/>
    <w:rsid w:val="002B2798"/>
    <w:rsid w:val="002B2919"/>
    <w:rsid w:val="002B31C1"/>
    <w:rsid w:val="002B3A6F"/>
    <w:rsid w:val="002B4338"/>
    <w:rsid w:val="002B5262"/>
    <w:rsid w:val="002B5D79"/>
    <w:rsid w:val="002B5E0B"/>
    <w:rsid w:val="002B7316"/>
    <w:rsid w:val="002B7CD8"/>
    <w:rsid w:val="002C263B"/>
    <w:rsid w:val="002C3906"/>
    <w:rsid w:val="002C40CA"/>
    <w:rsid w:val="002C4230"/>
    <w:rsid w:val="002C4609"/>
    <w:rsid w:val="002C473D"/>
    <w:rsid w:val="002C5447"/>
    <w:rsid w:val="002C6506"/>
    <w:rsid w:val="002C780F"/>
    <w:rsid w:val="002C7831"/>
    <w:rsid w:val="002D00D0"/>
    <w:rsid w:val="002D012B"/>
    <w:rsid w:val="002D0329"/>
    <w:rsid w:val="002D0885"/>
    <w:rsid w:val="002D0E04"/>
    <w:rsid w:val="002D0E1C"/>
    <w:rsid w:val="002D3E41"/>
    <w:rsid w:val="002D47F7"/>
    <w:rsid w:val="002D7AC2"/>
    <w:rsid w:val="002E4DE1"/>
    <w:rsid w:val="002E5BA9"/>
    <w:rsid w:val="002E631C"/>
    <w:rsid w:val="002E79D2"/>
    <w:rsid w:val="002F0573"/>
    <w:rsid w:val="002F2101"/>
    <w:rsid w:val="002F32AD"/>
    <w:rsid w:val="002F3F99"/>
    <w:rsid w:val="002F410F"/>
    <w:rsid w:val="002F4B71"/>
    <w:rsid w:val="002F6835"/>
    <w:rsid w:val="002F6C85"/>
    <w:rsid w:val="002F6E94"/>
    <w:rsid w:val="00300004"/>
    <w:rsid w:val="00300626"/>
    <w:rsid w:val="003012F6"/>
    <w:rsid w:val="00302123"/>
    <w:rsid w:val="003039C9"/>
    <w:rsid w:val="00304604"/>
    <w:rsid w:val="00304EDC"/>
    <w:rsid w:val="00305886"/>
    <w:rsid w:val="0030779C"/>
    <w:rsid w:val="00310BB5"/>
    <w:rsid w:val="00310E2F"/>
    <w:rsid w:val="00311427"/>
    <w:rsid w:val="00311E88"/>
    <w:rsid w:val="0031249E"/>
    <w:rsid w:val="0031342C"/>
    <w:rsid w:val="00313C59"/>
    <w:rsid w:val="00314D16"/>
    <w:rsid w:val="003175A2"/>
    <w:rsid w:val="003209EF"/>
    <w:rsid w:val="00320A8B"/>
    <w:rsid w:val="00321022"/>
    <w:rsid w:val="00322AAB"/>
    <w:rsid w:val="00323186"/>
    <w:rsid w:val="0032430D"/>
    <w:rsid w:val="003261E7"/>
    <w:rsid w:val="00326BF7"/>
    <w:rsid w:val="00327544"/>
    <w:rsid w:val="0032797A"/>
    <w:rsid w:val="003311C0"/>
    <w:rsid w:val="003312AC"/>
    <w:rsid w:val="0033285F"/>
    <w:rsid w:val="00333318"/>
    <w:rsid w:val="00334F28"/>
    <w:rsid w:val="003360B2"/>
    <w:rsid w:val="0033734A"/>
    <w:rsid w:val="00340615"/>
    <w:rsid w:val="003433CC"/>
    <w:rsid w:val="00343857"/>
    <w:rsid w:val="00343BFA"/>
    <w:rsid w:val="00344659"/>
    <w:rsid w:val="00344D97"/>
    <w:rsid w:val="00347149"/>
    <w:rsid w:val="00347826"/>
    <w:rsid w:val="00350D32"/>
    <w:rsid w:val="0035175F"/>
    <w:rsid w:val="00352A4E"/>
    <w:rsid w:val="00352E3B"/>
    <w:rsid w:val="00353789"/>
    <w:rsid w:val="00353C71"/>
    <w:rsid w:val="00353CDE"/>
    <w:rsid w:val="0035400A"/>
    <w:rsid w:val="003547E1"/>
    <w:rsid w:val="0035659E"/>
    <w:rsid w:val="00357A3C"/>
    <w:rsid w:val="003607FF"/>
    <w:rsid w:val="0036092E"/>
    <w:rsid w:val="0036235E"/>
    <w:rsid w:val="00363220"/>
    <w:rsid w:val="0036479D"/>
    <w:rsid w:val="00364F6B"/>
    <w:rsid w:val="00370BAD"/>
    <w:rsid w:val="00370CBD"/>
    <w:rsid w:val="00372DEE"/>
    <w:rsid w:val="00373CD0"/>
    <w:rsid w:val="00374AE0"/>
    <w:rsid w:val="0037572B"/>
    <w:rsid w:val="00375855"/>
    <w:rsid w:val="00377215"/>
    <w:rsid w:val="00380928"/>
    <w:rsid w:val="00380CCC"/>
    <w:rsid w:val="0038278A"/>
    <w:rsid w:val="0038568D"/>
    <w:rsid w:val="00385753"/>
    <w:rsid w:val="00386669"/>
    <w:rsid w:val="003868A9"/>
    <w:rsid w:val="003905BA"/>
    <w:rsid w:val="003906E1"/>
    <w:rsid w:val="003919ED"/>
    <w:rsid w:val="00391D2C"/>
    <w:rsid w:val="0039216F"/>
    <w:rsid w:val="0039489D"/>
    <w:rsid w:val="003963AB"/>
    <w:rsid w:val="00397A28"/>
    <w:rsid w:val="00397AB9"/>
    <w:rsid w:val="003A028B"/>
    <w:rsid w:val="003A102B"/>
    <w:rsid w:val="003A3BDB"/>
    <w:rsid w:val="003A4D0B"/>
    <w:rsid w:val="003A5A7F"/>
    <w:rsid w:val="003A67B9"/>
    <w:rsid w:val="003A69BA"/>
    <w:rsid w:val="003A7FC6"/>
    <w:rsid w:val="003B14D6"/>
    <w:rsid w:val="003B1AAD"/>
    <w:rsid w:val="003B43F6"/>
    <w:rsid w:val="003B5930"/>
    <w:rsid w:val="003B7570"/>
    <w:rsid w:val="003C00C2"/>
    <w:rsid w:val="003C1450"/>
    <w:rsid w:val="003C2192"/>
    <w:rsid w:val="003C284C"/>
    <w:rsid w:val="003C47F1"/>
    <w:rsid w:val="003C5D57"/>
    <w:rsid w:val="003C7B97"/>
    <w:rsid w:val="003C7CC6"/>
    <w:rsid w:val="003D0ACD"/>
    <w:rsid w:val="003D1E56"/>
    <w:rsid w:val="003D1EB1"/>
    <w:rsid w:val="003D23FF"/>
    <w:rsid w:val="003D2ACA"/>
    <w:rsid w:val="003D3795"/>
    <w:rsid w:val="003D409E"/>
    <w:rsid w:val="003D535A"/>
    <w:rsid w:val="003D7207"/>
    <w:rsid w:val="003E2BA9"/>
    <w:rsid w:val="003E316C"/>
    <w:rsid w:val="003E31A1"/>
    <w:rsid w:val="003E3654"/>
    <w:rsid w:val="003E3AC2"/>
    <w:rsid w:val="003E3FD4"/>
    <w:rsid w:val="003E53FC"/>
    <w:rsid w:val="003E5CED"/>
    <w:rsid w:val="003E6F71"/>
    <w:rsid w:val="003E7A59"/>
    <w:rsid w:val="003F090E"/>
    <w:rsid w:val="003F14D9"/>
    <w:rsid w:val="003F187A"/>
    <w:rsid w:val="003F1AAA"/>
    <w:rsid w:val="003F3156"/>
    <w:rsid w:val="003F4D3B"/>
    <w:rsid w:val="003F5B43"/>
    <w:rsid w:val="00401749"/>
    <w:rsid w:val="00402D86"/>
    <w:rsid w:val="004033C1"/>
    <w:rsid w:val="004034AB"/>
    <w:rsid w:val="004037E3"/>
    <w:rsid w:val="0040521B"/>
    <w:rsid w:val="00405282"/>
    <w:rsid w:val="0041099B"/>
    <w:rsid w:val="004118E6"/>
    <w:rsid w:val="004120B4"/>
    <w:rsid w:val="00413B80"/>
    <w:rsid w:val="00413CAF"/>
    <w:rsid w:val="004156B1"/>
    <w:rsid w:val="00416CDF"/>
    <w:rsid w:val="0041797F"/>
    <w:rsid w:val="004204D9"/>
    <w:rsid w:val="00421720"/>
    <w:rsid w:val="00421860"/>
    <w:rsid w:val="004221AF"/>
    <w:rsid w:val="004223ED"/>
    <w:rsid w:val="004224F1"/>
    <w:rsid w:val="004231DD"/>
    <w:rsid w:val="004250A7"/>
    <w:rsid w:val="0042611D"/>
    <w:rsid w:val="00430119"/>
    <w:rsid w:val="00430925"/>
    <w:rsid w:val="00431764"/>
    <w:rsid w:val="00432053"/>
    <w:rsid w:val="00433B6E"/>
    <w:rsid w:val="00433C37"/>
    <w:rsid w:val="0043433B"/>
    <w:rsid w:val="00434F0F"/>
    <w:rsid w:val="00434FB7"/>
    <w:rsid w:val="00435A5B"/>
    <w:rsid w:val="00437144"/>
    <w:rsid w:val="00437147"/>
    <w:rsid w:val="004371EB"/>
    <w:rsid w:val="0043772E"/>
    <w:rsid w:val="004378D5"/>
    <w:rsid w:val="00437F8C"/>
    <w:rsid w:val="00440215"/>
    <w:rsid w:val="00441613"/>
    <w:rsid w:val="0044543A"/>
    <w:rsid w:val="00445F6A"/>
    <w:rsid w:val="0044626E"/>
    <w:rsid w:val="00446AE4"/>
    <w:rsid w:val="00446BEE"/>
    <w:rsid w:val="00451157"/>
    <w:rsid w:val="00451E02"/>
    <w:rsid w:val="00452088"/>
    <w:rsid w:val="00454FC4"/>
    <w:rsid w:val="00455E33"/>
    <w:rsid w:val="00456AE6"/>
    <w:rsid w:val="00460649"/>
    <w:rsid w:val="00461E76"/>
    <w:rsid w:val="00465CA0"/>
    <w:rsid w:val="0046644B"/>
    <w:rsid w:val="0046654B"/>
    <w:rsid w:val="00467002"/>
    <w:rsid w:val="004672E7"/>
    <w:rsid w:val="00467441"/>
    <w:rsid w:val="00471283"/>
    <w:rsid w:val="0047164F"/>
    <w:rsid w:val="00471F25"/>
    <w:rsid w:val="00472AF9"/>
    <w:rsid w:val="00473FF0"/>
    <w:rsid w:val="00475EA5"/>
    <w:rsid w:val="0048051F"/>
    <w:rsid w:val="004809A9"/>
    <w:rsid w:val="004810C6"/>
    <w:rsid w:val="004818DA"/>
    <w:rsid w:val="0048446F"/>
    <w:rsid w:val="0048492C"/>
    <w:rsid w:val="00490327"/>
    <w:rsid w:val="00494800"/>
    <w:rsid w:val="004959E8"/>
    <w:rsid w:val="004A019B"/>
    <w:rsid w:val="004A0487"/>
    <w:rsid w:val="004A0CA7"/>
    <w:rsid w:val="004A33DE"/>
    <w:rsid w:val="004A5A72"/>
    <w:rsid w:val="004A6AA2"/>
    <w:rsid w:val="004A6DD5"/>
    <w:rsid w:val="004A74C9"/>
    <w:rsid w:val="004B0F9A"/>
    <w:rsid w:val="004B1EBA"/>
    <w:rsid w:val="004B3F43"/>
    <w:rsid w:val="004B48CC"/>
    <w:rsid w:val="004B4BBB"/>
    <w:rsid w:val="004B4FDD"/>
    <w:rsid w:val="004B5407"/>
    <w:rsid w:val="004B61A6"/>
    <w:rsid w:val="004B762C"/>
    <w:rsid w:val="004B7FA0"/>
    <w:rsid w:val="004C316E"/>
    <w:rsid w:val="004C40E0"/>
    <w:rsid w:val="004C5093"/>
    <w:rsid w:val="004C5284"/>
    <w:rsid w:val="004C59A9"/>
    <w:rsid w:val="004C6353"/>
    <w:rsid w:val="004D0394"/>
    <w:rsid w:val="004D0711"/>
    <w:rsid w:val="004D0C8E"/>
    <w:rsid w:val="004D2436"/>
    <w:rsid w:val="004D290A"/>
    <w:rsid w:val="004D2D9F"/>
    <w:rsid w:val="004D3AA6"/>
    <w:rsid w:val="004D4BF9"/>
    <w:rsid w:val="004D5039"/>
    <w:rsid w:val="004D617C"/>
    <w:rsid w:val="004D63A0"/>
    <w:rsid w:val="004D67AB"/>
    <w:rsid w:val="004D799D"/>
    <w:rsid w:val="004E067B"/>
    <w:rsid w:val="004E28E9"/>
    <w:rsid w:val="004E3461"/>
    <w:rsid w:val="004E449C"/>
    <w:rsid w:val="004E4B7B"/>
    <w:rsid w:val="004E63F0"/>
    <w:rsid w:val="004F069C"/>
    <w:rsid w:val="004F0C88"/>
    <w:rsid w:val="004F2CF6"/>
    <w:rsid w:val="004F3241"/>
    <w:rsid w:val="004F4F62"/>
    <w:rsid w:val="004F53B6"/>
    <w:rsid w:val="004F5D02"/>
    <w:rsid w:val="004F71A5"/>
    <w:rsid w:val="005024DF"/>
    <w:rsid w:val="0050342F"/>
    <w:rsid w:val="00503DE5"/>
    <w:rsid w:val="00504CF1"/>
    <w:rsid w:val="00506B3E"/>
    <w:rsid w:val="00506CD4"/>
    <w:rsid w:val="00510DF0"/>
    <w:rsid w:val="00510F34"/>
    <w:rsid w:val="00511832"/>
    <w:rsid w:val="005148B0"/>
    <w:rsid w:val="00514C98"/>
    <w:rsid w:val="00514F9C"/>
    <w:rsid w:val="00515CBA"/>
    <w:rsid w:val="00516112"/>
    <w:rsid w:val="0051615E"/>
    <w:rsid w:val="005167C5"/>
    <w:rsid w:val="00516AB5"/>
    <w:rsid w:val="00520842"/>
    <w:rsid w:val="005219A0"/>
    <w:rsid w:val="0052265A"/>
    <w:rsid w:val="00523620"/>
    <w:rsid w:val="005243E5"/>
    <w:rsid w:val="0052478E"/>
    <w:rsid w:val="00525185"/>
    <w:rsid w:val="00525270"/>
    <w:rsid w:val="005263BB"/>
    <w:rsid w:val="0052690B"/>
    <w:rsid w:val="00526F51"/>
    <w:rsid w:val="00527E4B"/>
    <w:rsid w:val="00532387"/>
    <w:rsid w:val="005337F8"/>
    <w:rsid w:val="00533960"/>
    <w:rsid w:val="005343B6"/>
    <w:rsid w:val="00534B35"/>
    <w:rsid w:val="00534BFF"/>
    <w:rsid w:val="0053642F"/>
    <w:rsid w:val="00540219"/>
    <w:rsid w:val="00541D8C"/>
    <w:rsid w:val="005422EC"/>
    <w:rsid w:val="00543E8E"/>
    <w:rsid w:val="00545505"/>
    <w:rsid w:val="00546F91"/>
    <w:rsid w:val="0055270B"/>
    <w:rsid w:val="00552729"/>
    <w:rsid w:val="00555DA7"/>
    <w:rsid w:val="005607D0"/>
    <w:rsid w:val="00560B70"/>
    <w:rsid w:val="00560ECE"/>
    <w:rsid w:val="00561331"/>
    <w:rsid w:val="00563118"/>
    <w:rsid w:val="005663AE"/>
    <w:rsid w:val="00566445"/>
    <w:rsid w:val="00566832"/>
    <w:rsid w:val="0057115F"/>
    <w:rsid w:val="0057174A"/>
    <w:rsid w:val="00573F87"/>
    <w:rsid w:val="00574705"/>
    <w:rsid w:val="00575CE5"/>
    <w:rsid w:val="00576098"/>
    <w:rsid w:val="00576158"/>
    <w:rsid w:val="0057773D"/>
    <w:rsid w:val="00580C23"/>
    <w:rsid w:val="00581CD4"/>
    <w:rsid w:val="005833B5"/>
    <w:rsid w:val="00583B0A"/>
    <w:rsid w:val="00583EEB"/>
    <w:rsid w:val="00584C8F"/>
    <w:rsid w:val="00587099"/>
    <w:rsid w:val="00587149"/>
    <w:rsid w:val="00587447"/>
    <w:rsid w:val="00591AEE"/>
    <w:rsid w:val="00592621"/>
    <w:rsid w:val="00592DD0"/>
    <w:rsid w:val="005941C6"/>
    <w:rsid w:val="0059706E"/>
    <w:rsid w:val="005A176D"/>
    <w:rsid w:val="005A251C"/>
    <w:rsid w:val="005A2792"/>
    <w:rsid w:val="005A30B1"/>
    <w:rsid w:val="005A40DF"/>
    <w:rsid w:val="005A4F4D"/>
    <w:rsid w:val="005A5815"/>
    <w:rsid w:val="005A5AD1"/>
    <w:rsid w:val="005A5CEF"/>
    <w:rsid w:val="005B0A8E"/>
    <w:rsid w:val="005B10BB"/>
    <w:rsid w:val="005B37CB"/>
    <w:rsid w:val="005B528B"/>
    <w:rsid w:val="005B572B"/>
    <w:rsid w:val="005B5CF3"/>
    <w:rsid w:val="005B6060"/>
    <w:rsid w:val="005B628F"/>
    <w:rsid w:val="005B6FCC"/>
    <w:rsid w:val="005B74CC"/>
    <w:rsid w:val="005C3F75"/>
    <w:rsid w:val="005C5B86"/>
    <w:rsid w:val="005C6579"/>
    <w:rsid w:val="005C6F70"/>
    <w:rsid w:val="005C77FE"/>
    <w:rsid w:val="005D046C"/>
    <w:rsid w:val="005D08B0"/>
    <w:rsid w:val="005D0AFC"/>
    <w:rsid w:val="005D0CF8"/>
    <w:rsid w:val="005D3411"/>
    <w:rsid w:val="005D3701"/>
    <w:rsid w:val="005D3D43"/>
    <w:rsid w:val="005D5A21"/>
    <w:rsid w:val="005D6617"/>
    <w:rsid w:val="005D70F4"/>
    <w:rsid w:val="005D7351"/>
    <w:rsid w:val="005E05BC"/>
    <w:rsid w:val="005E224A"/>
    <w:rsid w:val="005E35F1"/>
    <w:rsid w:val="005E4586"/>
    <w:rsid w:val="005E45FD"/>
    <w:rsid w:val="005E4ABD"/>
    <w:rsid w:val="005E637C"/>
    <w:rsid w:val="005E6D36"/>
    <w:rsid w:val="005E70F2"/>
    <w:rsid w:val="005E7E2A"/>
    <w:rsid w:val="005F2254"/>
    <w:rsid w:val="005F2E3F"/>
    <w:rsid w:val="005F2E8C"/>
    <w:rsid w:val="005F33B8"/>
    <w:rsid w:val="005F381E"/>
    <w:rsid w:val="005F5C45"/>
    <w:rsid w:val="005F6067"/>
    <w:rsid w:val="005F7DC0"/>
    <w:rsid w:val="006005A8"/>
    <w:rsid w:val="00600ECA"/>
    <w:rsid w:val="00601C32"/>
    <w:rsid w:val="00602AF4"/>
    <w:rsid w:val="00602E4B"/>
    <w:rsid w:val="00602FC4"/>
    <w:rsid w:val="006041B8"/>
    <w:rsid w:val="0060678D"/>
    <w:rsid w:val="00607B62"/>
    <w:rsid w:val="00607DC0"/>
    <w:rsid w:val="00611331"/>
    <w:rsid w:val="00612595"/>
    <w:rsid w:val="0061267F"/>
    <w:rsid w:val="0061318F"/>
    <w:rsid w:val="00613331"/>
    <w:rsid w:val="00613B59"/>
    <w:rsid w:val="00615451"/>
    <w:rsid w:val="0061657D"/>
    <w:rsid w:val="00621D81"/>
    <w:rsid w:val="00622019"/>
    <w:rsid w:val="00623D78"/>
    <w:rsid w:val="0062653E"/>
    <w:rsid w:val="00627B25"/>
    <w:rsid w:val="00640B8A"/>
    <w:rsid w:val="006418D2"/>
    <w:rsid w:val="006427E6"/>
    <w:rsid w:val="00643B4F"/>
    <w:rsid w:val="00644491"/>
    <w:rsid w:val="00646A5A"/>
    <w:rsid w:val="00650198"/>
    <w:rsid w:val="0065348D"/>
    <w:rsid w:val="00656FC4"/>
    <w:rsid w:val="00657513"/>
    <w:rsid w:val="00660AF2"/>
    <w:rsid w:val="00661846"/>
    <w:rsid w:val="00661B23"/>
    <w:rsid w:val="00663C3C"/>
    <w:rsid w:val="00664031"/>
    <w:rsid w:val="0066427A"/>
    <w:rsid w:val="0066572F"/>
    <w:rsid w:val="00666998"/>
    <w:rsid w:val="00670DC4"/>
    <w:rsid w:val="00674FAE"/>
    <w:rsid w:val="00675A00"/>
    <w:rsid w:val="00676118"/>
    <w:rsid w:val="006761EE"/>
    <w:rsid w:val="00677C7B"/>
    <w:rsid w:val="00682032"/>
    <w:rsid w:val="00682D41"/>
    <w:rsid w:val="00685E1A"/>
    <w:rsid w:val="00687F71"/>
    <w:rsid w:val="006922D9"/>
    <w:rsid w:val="006923A2"/>
    <w:rsid w:val="006927A1"/>
    <w:rsid w:val="006941B2"/>
    <w:rsid w:val="00694D77"/>
    <w:rsid w:val="00695478"/>
    <w:rsid w:val="00695618"/>
    <w:rsid w:val="006957B7"/>
    <w:rsid w:val="00696F65"/>
    <w:rsid w:val="006A1EF4"/>
    <w:rsid w:val="006A4CF0"/>
    <w:rsid w:val="006A57AF"/>
    <w:rsid w:val="006A72A7"/>
    <w:rsid w:val="006A7765"/>
    <w:rsid w:val="006A7D7C"/>
    <w:rsid w:val="006B00F5"/>
    <w:rsid w:val="006B169C"/>
    <w:rsid w:val="006B338D"/>
    <w:rsid w:val="006B381E"/>
    <w:rsid w:val="006B4AA2"/>
    <w:rsid w:val="006B6DE9"/>
    <w:rsid w:val="006B6FCD"/>
    <w:rsid w:val="006C137C"/>
    <w:rsid w:val="006C1739"/>
    <w:rsid w:val="006C1DB1"/>
    <w:rsid w:val="006C1E7B"/>
    <w:rsid w:val="006C2866"/>
    <w:rsid w:val="006C3517"/>
    <w:rsid w:val="006C63E1"/>
    <w:rsid w:val="006C7A45"/>
    <w:rsid w:val="006D068B"/>
    <w:rsid w:val="006D150E"/>
    <w:rsid w:val="006D1B07"/>
    <w:rsid w:val="006D4D1A"/>
    <w:rsid w:val="006D4EEB"/>
    <w:rsid w:val="006D5F07"/>
    <w:rsid w:val="006D6172"/>
    <w:rsid w:val="006E0178"/>
    <w:rsid w:val="006E0229"/>
    <w:rsid w:val="006E0FA5"/>
    <w:rsid w:val="006E3A41"/>
    <w:rsid w:val="006E4102"/>
    <w:rsid w:val="006E5119"/>
    <w:rsid w:val="006F0C9E"/>
    <w:rsid w:val="006F2956"/>
    <w:rsid w:val="006F2DF1"/>
    <w:rsid w:val="006F2E72"/>
    <w:rsid w:val="006F33EB"/>
    <w:rsid w:val="006F3A42"/>
    <w:rsid w:val="006F50A1"/>
    <w:rsid w:val="006F5510"/>
    <w:rsid w:val="006F67C3"/>
    <w:rsid w:val="006F691B"/>
    <w:rsid w:val="007003B6"/>
    <w:rsid w:val="007007D5"/>
    <w:rsid w:val="00700899"/>
    <w:rsid w:val="00700E48"/>
    <w:rsid w:val="0070142E"/>
    <w:rsid w:val="00703178"/>
    <w:rsid w:val="00703704"/>
    <w:rsid w:val="00704AE2"/>
    <w:rsid w:val="00707402"/>
    <w:rsid w:val="0070758D"/>
    <w:rsid w:val="00707EB8"/>
    <w:rsid w:val="00711227"/>
    <w:rsid w:val="00711E39"/>
    <w:rsid w:val="00711F06"/>
    <w:rsid w:val="00712104"/>
    <w:rsid w:val="007127B1"/>
    <w:rsid w:val="007127ED"/>
    <w:rsid w:val="007137DC"/>
    <w:rsid w:val="00716340"/>
    <w:rsid w:val="00716E29"/>
    <w:rsid w:val="00717078"/>
    <w:rsid w:val="0071732C"/>
    <w:rsid w:val="00717606"/>
    <w:rsid w:val="00720000"/>
    <w:rsid w:val="00720798"/>
    <w:rsid w:val="007248F0"/>
    <w:rsid w:val="00724E84"/>
    <w:rsid w:val="00724FED"/>
    <w:rsid w:val="007253DD"/>
    <w:rsid w:val="0072639F"/>
    <w:rsid w:val="0072731F"/>
    <w:rsid w:val="007278DD"/>
    <w:rsid w:val="00727F10"/>
    <w:rsid w:val="00732550"/>
    <w:rsid w:val="00732611"/>
    <w:rsid w:val="007328B3"/>
    <w:rsid w:val="00732F88"/>
    <w:rsid w:val="0073375B"/>
    <w:rsid w:val="00733806"/>
    <w:rsid w:val="00734F1B"/>
    <w:rsid w:val="007355FA"/>
    <w:rsid w:val="00735B5B"/>
    <w:rsid w:val="007370B7"/>
    <w:rsid w:val="0074036D"/>
    <w:rsid w:val="00741354"/>
    <w:rsid w:val="00743178"/>
    <w:rsid w:val="007441C0"/>
    <w:rsid w:val="007443C0"/>
    <w:rsid w:val="0074713D"/>
    <w:rsid w:val="007476CC"/>
    <w:rsid w:val="00747C7A"/>
    <w:rsid w:val="00750259"/>
    <w:rsid w:val="00755C42"/>
    <w:rsid w:val="00756CF1"/>
    <w:rsid w:val="00757881"/>
    <w:rsid w:val="00763FB5"/>
    <w:rsid w:val="00763FCC"/>
    <w:rsid w:val="00766D54"/>
    <w:rsid w:val="00767238"/>
    <w:rsid w:val="007675DF"/>
    <w:rsid w:val="0076783B"/>
    <w:rsid w:val="00767955"/>
    <w:rsid w:val="00767AB4"/>
    <w:rsid w:val="00767ED5"/>
    <w:rsid w:val="0077170E"/>
    <w:rsid w:val="00772443"/>
    <w:rsid w:val="0077356E"/>
    <w:rsid w:val="00775E99"/>
    <w:rsid w:val="00781F53"/>
    <w:rsid w:val="007822EE"/>
    <w:rsid w:val="007826B6"/>
    <w:rsid w:val="00782A8C"/>
    <w:rsid w:val="00782C27"/>
    <w:rsid w:val="00783293"/>
    <w:rsid w:val="0078356B"/>
    <w:rsid w:val="00783CCF"/>
    <w:rsid w:val="007846BE"/>
    <w:rsid w:val="007856EC"/>
    <w:rsid w:val="00785EE7"/>
    <w:rsid w:val="007863E3"/>
    <w:rsid w:val="007867E2"/>
    <w:rsid w:val="00793651"/>
    <w:rsid w:val="00793868"/>
    <w:rsid w:val="0079459C"/>
    <w:rsid w:val="007960DD"/>
    <w:rsid w:val="0079627B"/>
    <w:rsid w:val="00796616"/>
    <w:rsid w:val="00797347"/>
    <w:rsid w:val="007A1EED"/>
    <w:rsid w:val="007A2591"/>
    <w:rsid w:val="007A418F"/>
    <w:rsid w:val="007A6651"/>
    <w:rsid w:val="007A6F5D"/>
    <w:rsid w:val="007A6FAC"/>
    <w:rsid w:val="007B0914"/>
    <w:rsid w:val="007B1541"/>
    <w:rsid w:val="007B15C9"/>
    <w:rsid w:val="007B3B21"/>
    <w:rsid w:val="007B526A"/>
    <w:rsid w:val="007B5491"/>
    <w:rsid w:val="007B5F0D"/>
    <w:rsid w:val="007B7BC9"/>
    <w:rsid w:val="007B7EB3"/>
    <w:rsid w:val="007C050B"/>
    <w:rsid w:val="007C2290"/>
    <w:rsid w:val="007C2A71"/>
    <w:rsid w:val="007C2C93"/>
    <w:rsid w:val="007C2D69"/>
    <w:rsid w:val="007C2FD1"/>
    <w:rsid w:val="007C2FF6"/>
    <w:rsid w:val="007C3070"/>
    <w:rsid w:val="007C3EF8"/>
    <w:rsid w:val="007C4BB2"/>
    <w:rsid w:val="007C579F"/>
    <w:rsid w:val="007C743F"/>
    <w:rsid w:val="007D057C"/>
    <w:rsid w:val="007D08A2"/>
    <w:rsid w:val="007D0E49"/>
    <w:rsid w:val="007D1049"/>
    <w:rsid w:val="007D38FA"/>
    <w:rsid w:val="007D3933"/>
    <w:rsid w:val="007D5E8C"/>
    <w:rsid w:val="007D610B"/>
    <w:rsid w:val="007D7894"/>
    <w:rsid w:val="007D7BE8"/>
    <w:rsid w:val="007E0CCD"/>
    <w:rsid w:val="007E26C5"/>
    <w:rsid w:val="007E3991"/>
    <w:rsid w:val="007E4CDF"/>
    <w:rsid w:val="007E56B0"/>
    <w:rsid w:val="007E5F00"/>
    <w:rsid w:val="007F076E"/>
    <w:rsid w:val="007F0D87"/>
    <w:rsid w:val="007F2664"/>
    <w:rsid w:val="007F2E19"/>
    <w:rsid w:val="007F580F"/>
    <w:rsid w:val="007F7C46"/>
    <w:rsid w:val="0080099D"/>
    <w:rsid w:val="008018C6"/>
    <w:rsid w:val="00802A3D"/>
    <w:rsid w:val="00802E1B"/>
    <w:rsid w:val="00803E62"/>
    <w:rsid w:val="0080449D"/>
    <w:rsid w:val="008049A7"/>
    <w:rsid w:val="00805014"/>
    <w:rsid w:val="00806303"/>
    <w:rsid w:val="00807724"/>
    <w:rsid w:val="008104E6"/>
    <w:rsid w:val="00811647"/>
    <w:rsid w:val="00812CFC"/>
    <w:rsid w:val="0081440B"/>
    <w:rsid w:val="00816AA7"/>
    <w:rsid w:val="00816AC7"/>
    <w:rsid w:val="00816BC8"/>
    <w:rsid w:val="0082002B"/>
    <w:rsid w:val="008200AB"/>
    <w:rsid w:val="00822203"/>
    <w:rsid w:val="0082274F"/>
    <w:rsid w:val="008234C6"/>
    <w:rsid w:val="00823774"/>
    <w:rsid w:val="00824C52"/>
    <w:rsid w:val="00826C79"/>
    <w:rsid w:val="0082705D"/>
    <w:rsid w:val="00830E11"/>
    <w:rsid w:val="00831A06"/>
    <w:rsid w:val="008339D2"/>
    <w:rsid w:val="008348A7"/>
    <w:rsid w:val="0083536D"/>
    <w:rsid w:val="0083625F"/>
    <w:rsid w:val="00837108"/>
    <w:rsid w:val="0083732D"/>
    <w:rsid w:val="00837A47"/>
    <w:rsid w:val="00840565"/>
    <w:rsid w:val="00841DBC"/>
    <w:rsid w:val="0084271A"/>
    <w:rsid w:val="0084347F"/>
    <w:rsid w:val="00843A5E"/>
    <w:rsid w:val="008448CA"/>
    <w:rsid w:val="00845EFC"/>
    <w:rsid w:val="008514AC"/>
    <w:rsid w:val="008527D2"/>
    <w:rsid w:val="00852B29"/>
    <w:rsid w:val="00854339"/>
    <w:rsid w:val="00854C01"/>
    <w:rsid w:val="00855461"/>
    <w:rsid w:val="00856181"/>
    <w:rsid w:val="00856505"/>
    <w:rsid w:val="00857ABC"/>
    <w:rsid w:val="00857AC1"/>
    <w:rsid w:val="00857B4E"/>
    <w:rsid w:val="00857F75"/>
    <w:rsid w:val="00860331"/>
    <w:rsid w:val="0086089B"/>
    <w:rsid w:val="00864593"/>
    <w:rsid w:val="00864779"/>
    <w:rsid w:val="00864A60"/>
    <w:rsid w:val="00864A9A"/>
    <w:rsid w:val="00866D57"/>
    <w:rsid w:val="00870B6C"/>
    <w:rsid w:val="00871A5B"/>
    <w:rsid w:val="00871CF3"/>
    <w:rsid w:val="008728F1"/>
    <w:rsid w:val="00872DDF"/>
    <w:rsid w:val="008731DF"/>
    <w:rsid w:val="00874039"/>
    <w:rsid w:val="008749ED"/>
    <w:rsid w:val="00874D64"/>
    <w:rsid w:val="008750E6"/>
    <w:rsid w:val="008753AB"/>
    <w:rsid w:val="0087633F"/>
    <w:rsid w:val="008767D4"/>
    <w:rsid w:val="00876959"/>
    <w:rsid w:val="00877021"/>
    <w:rsid w:val="008778D4"/>
    <w:rsid w:val="00877C82"/>
    <w:rsid w:val="00877FBE"/>
    <w:rsid w:val="00884D5C"/>
    <w:rsid w:val="00884DBB"/>
    <w:rsid w:val="0088578D"/>
    <w:rsid w:val="00886E9A"/>
    <w:rsid w:val="00886F8C"/>
    <w:rsid w:val="008919A6"/>
    <w:rsid w:val="00891D0D"/>
    <w:rsid w:val="00891D69"/>
    <w:rsid w:val="008936DE"/>
    <w:rsid w:val="00895C97"/>
    <w:rsid w:val="00895D4E"/>
    <w:rsid w:val="00896AE7"/>
    <w:rsid w:val="00897D8D"/>
    <w:rsid w:val="00897F08"/>
    <w:rsid w:val="008A01E8"/>
    <w:rsid w:val="008A03BB"/>
    <w:rsid w:val="008A14C9"/>
    <w:rsid w:val="008A1BDB"/>
    <w:rsid w:val="008A3237"/>
    <w:rsid w:val="008A35EA"/>
    <w:rsid w:val="008A37CA"/>
    <w:rsid w:val="008A3EB8"/>
    <w:rsid w:val="008A4CC1"/>
    <w:rsid w:val="008A6D47"/>
    <w:rsid w:val="008A7ACB"/>
    <w:rsid w:val="008B1570"/>
    <w:rsid w:val="008B1A31"/>
    <w:rsid w:val="008B231B"/>
    <w:rsid w:val="008B3617"/>
    <w:rsid w:val="008B412E"/>
    <w:rsid w:val="008B5029"/>
    <w:rsid w:val="008B605C"/>
    <w:rsid w:val="008B6BFE"/>
    <w:rsid w:val="008B7947"/>
    <w:rsid w:val="008C1823"/>
    <w:rsid w:val="008C2B93"/>
    <w:rsid w:val="008C34A8"/>
    <w:rsid w:val="008C358D"/>
    <w:rsid w:val="008C5358"/>
    <w:rsid w:val="008C5B62"/>
    <w:rsid w:val="008C7970"/>
    <w:rsid w:val="008D001A"/>
    <w:rsid w:val="008D0E91"/>
    <w:rsid w:val="008D1FBB"/>
    <w:rsid w:val="008D3BE4"/>
    <w:rsid w:val="008D48FC"/>
    <w:rsid w:val="008D6430"/>
    <w:rsid w:val="008D6916"/>
    <w:rsid w:val="008E3777"/>
    <w:rsid w:val="008E70BF"/>
    <w:rsid w:val="008E78EA"/>
    <w:rsid w:val="008E7F43"/>
    <w:rsid w:val="008E7F73"/>
    <w:rsid w:val="008F022B"/>
    <w:rsid w:val="008F30FE"/>
    <w:rsid w:val="008F5308"/>
    <w:rsid w:val="008F5A8B"/>
    <w:rsid w:val="008F6466"/>
    <w:rsid w:val="008F6A54"/>
    <w:rsid w:val="008F712E"/>
    <w:rsid w:val="008F7539"/>
    <w:rsid w:val="008F78B6"/>
    <w:rsid w:val="008F7D49"/>
    <w:rsid w:val="0090080C"/>
    <w:rsid w:val="00901418"/>
    <w:rsid w:val="009025D2"/>
    <w:rsid w:val="00902E70"/>
    <w:rsid w:val="00904E4C"/>
    <w:rsid w:val="009054F9"/>
    <w:rsid w:val="00906562"/>
    <w:rsid w:val="00907438"/>
    <w:rsid w:val="00907E54"/>
    <w:rsid w:val="009100B3"/>
    <w:rsid w:val="0091045F"/>
    <w:rsid w:val="009118EA"/>
    <w:rsid w:val="00912F02"/>
    <w:rsid w:val="00914DEA"/>
    <w:rsid w:val="009153B1"/>
    <w:rsid w:val="0091552A"/>
    <w:rsid w:val="0091780B"/>
    <w:rsid w:val="00920386"/>
    <w:rsid w:val="009236DA"/>
    <w:rsid w:val="009260E8"/>
    <w:rsid w:val="009263EE"/>
    <w:rsid w:val="009266A2"/>
    <w:rsid w:val="0093020A"/>
    <w:rsid w:val="009309F8"/>
    <w:rsid w:val="00931656"/>
    <w:rsid w:val="00932C01"/>
    <w:rsid w:val="0093528C"/>
    <w:rsid w:val="00935E3D"/>
    <w:rsid w:val="00940316"/>
    <w:rsid w:val="00940F4D"/>
    <w:rsid w:val="00942B75"/>
    <w:rsid w:val="00943444"/>
    <w:rsid w:val="0094403A"/>
    <w:rsid w:val="00944523"/>
    <w:rsid w:val="00944795"/>
    <w:rsid w:val="00945579"/>
    <w:rsid w:val="00945F39"/>
    <w:rsid w:val="0094790A"/>
    <w:rsid w:val="00950469"/>
    <w:rsid w:val="00950683"/>
    <w:rsid w:val="00950C6C"/>
    <w:rsid w:val="0095168C"/>
    <w:rsid w:val="00951D72"/>
    <w:rsid w:val="00953864"/>
    <w:rsid w:val="00954A67"/>
    <w:rsid w:val="00955355"/>
    <w:rsid w:val="00957DBE"/>
    <w:rsid w:val="009608B0"/>
    <w:rsid w:val="009611E6"/>
    <w:rsid w:val="00961565"/>
    <w:rsid w:val="009633C6"/>
    <w:rsid w:val="00963529"/>
    <w:rsid w:val="009646DE"/>
    <w:rsid w:val="009662DF"/>
    <w:rsid w:val="00966D37"/>
    <w:rsid w:val="00967A0F"/>
    <w:rsid w:val="00967B1E"/>
    <w:rsid w:val="00970660"/>
    <w:rsid w:val="00970743"/>
    <w:rsid w:val="00971F5A"/>
    <w:rsid w:val="00973656"/>
    <w:rsid w:val="00980A07"/>
    <w:rsid w:val="00980E33"/>
    <w:rsid w:val="009812FA"/>
    <w:rsid w:val="00981645"/>
    <w:rsid w:val="00981F0C"/>
    <w:rsid w:val="00985E1F"/>
    <w:rsid w:val="00987B5B"/>
    <w:rsid w:val="00990574"/>
    <w:rsid w:val="00990825"/>
    <w:rsid w:val="00990DF8"/>
    <w:rsid w:val="00992DE3"/>
    <w:rsid w:val="00993AC9"/>
    <w:rsid w:val="00994BB2"/>
    <w:rsid w:val="00995526"/>
    <w:rsid w:val="00995891"/>
    <w:rsid w:val="009960FC"/>
    <w:rsid w:val="00996250"/>
    <w:rsid w:val="009A331C"/>
    <w:rsid w:val="009A5CF5"/>
    <w:rsid w:val="009A6FA4"/>
    <w:rsid w:val="009A7B9A"/>
    <w:rsid w:val="009B08D4"/>
    <w:rsid w:val="009B33DE"/>
    <w:rsid w:val="009B42F2"/>
    <w:rsid w:val="009B4BD3"/>
    <w:rsid w:val="009B56B3"/>
    <w:rsid w:val="009C0B92"/>
    <w:rsid w:val="009C1B3E"/>
    <w:rsid w:val="009C1FF1"/>
    <w:rsid w:val="009C7D7C"/>
    <w:rsid w:val="009D05A8"/>
    <w:rsid w:val="009D0716"/>
    <w:rsid w:val="009D0C8A"/>
    <w:rsid w:val="009D1DE0"/>
    <w:rsid w:val="009D2B74"/>
    <w:rsid w:val="009D2FED"/>
    <w:rsid w:val="009D33B7"/>
    <w:rsid w:val="009D5E0A"/>
    <w:rsid w:val="009D6F48"/>
    <w:rsid w:val="009E0CCF"/>
    <w:rsid w:val="009E17AB"/>
    <w:rsid w:val="009E30B7"/>
    <w:rsid w:val="009E333C"/>
    <w:rsid w:val="009E376B"/>
    <w:rsid w:val="009E43D2"/>
    <w:rsid w:val="009E671E"/>
    <w:rsid w:val="009E70BC"/>
    <w:rsid w:val="009F00BD"/>
    <w:rsid w:val="009F0774"/>
    <w:rsid w:val="009F1310"/>
    <w:rsid w:val="009F5D20"/>
    <w:rsid w:val="009F6637"/>
    <w:rsid w:val="009F669E"/>
    <w:rsid w:val="009F78CD"/>
    <w:rsid w:val="009F7EBB"/>
    <w:rsid w:val="00A0080B"/>
    <w:rsid w:val="00A011DA"/>
    <w:rsid w:val="00A030DE"/>
    <w:rsid w:val="00A0405B"/>
    <w:rsid w:val="00A05A7A"/>
    <w:rsid w:val="00A05F87"/>
    <w:rsid w:val="00A068E9"/>
    <w:rsid w:val="00A06F88"/>
    <w:rsid w:val="00A07829"/>
    <w:rsid w:val="00A11751"/>
    <w:rsid w:val="00A11B96"/>
    <w:rsid w:val="00A120AA"/>
    <w:rsid w:val="00A13343"/>
    <w:rsid w:val="00A14438"/>
    <w:rsid w:val="00A21E40"/>
    <w:rsid w:val="00A2376B"/>
    <w:rsid w:val="00A23C12"/>
    <w:rsid w:val="00A25F4E"/>
    <w:rsid w:val="00A26F82"/>
    <w:rsid w:val="00A31242"/>
    <w:rsid w:val="00A318AD"/>
    <w:rsid w:val="00A324BE"/>
    <w:rsid w:val="00A32783"/>
    <w:rsid w:val="00A34098"/>
    <w:rsid w:val="00A36925"/>
    <w:rsid w:val="00A36FC0"/>
    <w:rsid w:val="00A37E95"/>
    <w:rsid w:val="00A40D09"/>
    <w:rsid w:val="00A40E85"/>
    <w:rsid w:val="00A41FB4"/>
    <w:rsid w:val="00A42809"/>
    <w:rsid w:val="00A444EB"/>
    <w:rsid w:val="00A4466A"/>
    <w:rsid w:val="00A460CC"/>
    <w:rsid w:val="00A46A98"/>
    <w:rsid w:val="00A51AAD"/>
    <w:rsid w:val="00A51D64"/>
    <w:rsid w:val="00A53EF6"/>
    <w:rsid w:val="00A542CC"/>
    <w:rsid w:val="00A54F89"/>
    <w:rsid w:val="00A55518"/>
    <w:rsid w:val="00A570E0"/>
    <w:rsid w:val="00A6046F"/>
    <w:rsid w:val="00A60BF9"/>
    <w:rsid w:val="00A613B5"/>
    <w:rsid w:val="00A62829"/>
    <w:rsid w:val="00A6348D"/>
    <w:rsid w:val="00A64BDC"/>
    <w:rsid w:val="00A673E7"/>
    <w:rsid w:val="00A67CA7"/>
    <w:rsid w:val="00A67E62"/>
    <w:rsid w:val="00A71103"/>
    <w:rsid w:val="00A735D6"/>
    <w:rsid w:val="00A73934"/>
    <w:rsid w:val="00A74175"/>
    <w:rsid w:val="00A8027A"/>
    <w:rsid w:val="00A810A3"/>
    <w:rsid w:val="00A839D0"/>
    <w:rsid w:val="00A84003"/>
    <w:rsid w:val="00A84277"/>
    <w:rsid w:val="00A84484"/>
    <w:rsid w:val="00A84B07"/>
    <w:rsid w:val="00A851A8"/>
    <w:rsid w:val="00A85B81"/>
    <w:rsid w:val="00A85C2D"/>
    <w:rsid w:val="00A86DC3"/>
    <w:rsid w:val="00A8725B"/>
    <w:rsid w:val="00A873F4"/>
    <w:rsid w:val="00A91F19"/>
    <w:rsid w:val="00A935F1"/>
    <w:rsid w:val="00A953BB"/>
    <w:rsid w:val="00A95DF2"/>
    <w:rsid w:val="00A96679"/>
    <w:rsid w:val="00AA1AF3"/>
    <w:rsid w:val="00AA2024"/>
    <w:rsid w:val="00AA5011"/>
    <w:rsid w:val="00AA50A2"/>
    <w:rsid w:val="00AA5413"/>
    <w:rsid w:val="00AA555A"/>
    <w:rsid w:val="00AA561E"/>
    <w:rsid w:val="00AA5B3C"/>
    <w:rsid w:val="00AA6613"/>
    <w:rsid w:val="00AA6C29"/>
    <w:rsid w:val="00AA7597"/>
    <w:rsid w:val="00AB0E59"/>
    <w:rsid w:val="00AB19B9"/>
    <w:rsid w:val="00AB428C"/>
    <w:rsid w:val="00AB4524"/>
    <w:rsid w:val="00AB4703"/>
    <w:rsid w:val="00AB4753"/>
    <w:rsid w:val="00AB66AE"/>
    <w:rsid w:val="00AB689B"/>
    <w:rsid w:val="00AC05D4"/>
    <w:rsid w:val="00AC1F22"/>
    <w:rsid w:val="00AC2A93"/>
    <w:rsid w:val="00AC353C"/>
    <w:rsid w:val="00AD00AE"/>
    <w:rsid w:val="00AD081B"/>
    <w:rsid w:val="00AD14CA"/>
    <w:rsid w:val="00AD32A4"/>
    <w:rsid w:val="00AD4B1A"/>
    <w:rsid w:val="00AD5751"/>
    <w:rsid w:val="00AD67A8"/>
    <w:rsid w:val="00AD700F"/>
    <w:rsid w:val="00AD757A"/>
    <w:rsid w:val="00AE0636"/>
    <w:rsid w:val="00AE0FB7"/>
    <w:rsid w:val="00AE2CEF"/>
    <w:rsid w:val="00AE3373"/>
    <w:rsid w:val="00AE4170"/>
    <w:rsid w:val="00AE41F0"/>
    <w:rsid w:val="00AE4D4D"/>
    <w:rsid w:val="00AE5068"/>
    <w:rsid w:val="00AE76A9"/>
    <w:rsid w:val="00AF0EE8"/>
    <w:rsid w:val="00AF0F4D"/>
    <w:rsid w:val="00AF34B9"/>
    <w:rsid w:val="00AF4098"/>
    <w:rsid w:val="00AF6321"/>
    <w:rsid w:val="00AF63E5"/>
    <w:rsid w:val="00AF6D39"/>
    <w:rsid w:val="00AF7646"/>
    <w:rsid w:val="00B01D8E"/>
    <w:rsid w:val="00B01E91"/>
    <w:rsid w:val="00B02C20"/>
    <w:rsid w:val="00B0717D"/>
    <w:rsid w:val="00B110CF"/>
    <w:rsid w:val="00B11878"/>
    <w:rsid w:val="00B12062"/>
    <w:rsid w:val="00B1317F"/>
    <w:rsid w:val="00B136CC"/>
    <w:rsid w:val="00B14213"/>
    <w:rsid w:val="00B14CB0"/>
    <w:rsid w:val="00B14EB6"/>
    <w:rsid w:val="00B15403"/>
    <w:rsid w:val="00B17882"/>
    <w:rsid w:val="00B2064B"/>
    <w:rsid w:val="00B20695"/>
    <w:rsid w:val="00B20E06"/>
    <w:rsid w:val="00B228AB"/>
    <w:rsid w:val="00B230B4"/>
    <w:rsid w:val="00B233D7"/>
    <w:rsid w:val="00B246A1"/>
    <w:rsid w:val="00B2600B"/>
    <w:rsid w:val="00B26F25"/>
    <w:rsid w:val="00B27070"/>
    <w:rsid w:val="00B270F7"/>
    <w:rsid w:val="00B27E85"/>
    <w:rsid w:val="00B3293E"/>
    <w:rsid w:val="00B33F39"/>
    <w:rsid w:val="00B33F8F"/>
    <w:rsid w:val="00B34358"/>
    <w:rsid w:val="00B35D0E"/>
    <w:rsid w:val="00B36FDB"/>
    <w:rsid w:val="00B401F7"/>
    <w:rsid w:val="00B404B8"/>
    <w:rsid w:val="00B415F8"/>
    <w:rsid w:val="00B42105"/>
    <w:rsid w:val="00B431E6"/>
    <w:rsid w:val="00B45C85"/>
    <w:rsid w:val="00B50823"/>
    <w:rsid w:val="00B52BC2"/>
    <w:rsid w:val="00B532D8"/>
    <w:rsid w:val="00B54012"/>
    <w:rsid w:val="00B56CD2"/>
    <w:rsid w:val="00B56F69"/>
    <w:rsid w:val="00B60037"/>
    <w:rsid w:val="00B61BFC"/>
    <w:rsid w:val="00B62594"/>
    <w:rsid w:val="00B6268A"/>
    <w:rsid w:val="00B6286C"/>
    <w:rsid w:val="00B64528"/>
    <w:rsid w:val="00B64D3D"/>
    <w:rsid w:val="00B65A1F"/>
    <w:rsid w:val="00B66402"/>
    <w:rsid w:val="00B70127"/>
    <w:rsid w:val="00B703F5"/>
    <w:rsid w:val="00B71683"/>
    <w:rsid w:val="00B726CC"/>
    <w:rsid w:val="00B733D7"/>
    <w:rsid w:val="00B7522D"/>
    <w:rsid w:val="00B76DD8"/>
    <w:rsid w:val="00B77F58"/>
    <w:rsid w:val="00B80601"/>
    <w:rsid w:val="00B80649"/>
    <w:rsid w:val="00B80715"/>
    <w:rsid w:val="00B8209E"/>
    <w:rsid w:val="00B82F94"/>
    <w:rsid w:val="00B839DE"/>
    <w:rsid w:val="00B84C48"/>
    <w:rsid w:val="00B84CA7"/>
    <w:rsid w:val="00B869E0"/>
    <w:rsid w:val="00B871A7"/>
    <w:rsid w:val="00B87ADA"/>
    <w:rsid w:val="00B90650"/>
    <w:rsid w:val="00B91C17"/>
    <w:rsid w:val="00B92BC0"/>
    <w:rsid w:val="00B94C30"/>
    <w:rsid w:val="00B951D7"/>
    <w:rsid w:val="00B96947"/>
    <w:rsid w:val="00BA0836"/>
    <w:rsid w:val="00BA08CD"/>
    <w:rsid w:val="00BA1129"/>
    <w:rsid w:val="00BA20FD"/>
    <w:rsid w:val="00BA3B27"/>
    <w:rsid w:val="00BA41F9"/>
    <w:rsid w:val="00BA47A8"/>
    <w:rsid w:val="00BA58FB"/>
    <w:rsid w:val="00BB04EA"/>
    <w:rsid w:val="00BB1555"/>
    <w:rsid w:val="00BB165C"/>
    <w:rsid w:val="00BB2199"/>
    <w:rsid w:val="00BB425C"/>
    <w:rsid w:val="00BB5489"/>
    <w:rsid w:val="00BB691B"/>
    <w:rsid w:val="00BC0828"/>
    <w:rsid w:val="00BC086E"/>
    <w:rsid w:val="00BC1B46"/>
    <w:rsid w:val="00BC20D4"/>
    <w:rsid w:val="00BC2298"/>
    <w:rsid w:val="00BC2638"/>
    <w:rsid w:val="00BC399C"/>
    <w:rsid w:val="00BC41E0"/>
    <w:rsid w:val="00BC51E1"/>
    <w:rsid w:val="00BC6268"/>
    <w:rsid w:val="00BD11F6"/>
    <w:rsid w:val="00BD2325"/>
    <w:rsid w:val="00BD2355"/>
    <w:rsid w:val="00BD5A02"/>
    <w:rsid w:val="00BE052B"/>
    <w:rsid w:val="00BE2A04"/>
    <w:rsid w:val="00BE2CFA"/>
    <w:rsid w:val="00BE381E"/>
    <w:rsid w:val="00BE3EE6"/>
    <w:rsid w:val="00BE4173"/>
    <w:rsid w:val="00BE6912"/>
    <w:rsid w:val="00BE764F"/>
    <w:rsid w:val="00BF0EE1"/>
    <w:rsid w:val="00BF2B5E"/>
    <w:rsid w:val="00BF4326"/>
    <w:rsid w:val="00BF4CA6"/>
    <w:rsid w:val="00BF5AA7"/>
    <w:rsid w:val="00BF662F"/>
    <w:rsid w:val="00BF6E29"/>
    <w:rsid w:val="00BF6E72"/>
    <w:rsid w:val="00BF7D02"/>
    <w:rsid w:val="00C0030E"/>
    <w:rsid w:val="00C00E1D"/>
    <w:rsid w:val="00C02093"/>
    <w:rsid w:val="00C03420"/>
    <w:rsid w:val="00C03B7F"/>
    <w:rsid w:val="00C0522A"/>
    <w:rsid w:val="00C05BA2"/>
    <w:rsid w:val="00C064FE"/>
    <w:rsid w:val="00C06662"/>
    <w:rsid w:val="00C07C29"/>
    <w:rsid w:val="00C10758"/>
    <w:rsid w:val="00C1103F"/>
    <w:rsid w:val="00C116F9"/>
    <w:rsid w:val="00C1180E"/>
    <w:rsid w:val="00C11B5E"/>
    <w:rsid w:val="00C14AA5"/>
    <w:rsid w:val="00C162B8"/>
    <w:rsid w:val="00C17427"/>
    <w:rsid w:val="00C2300E"/>
    <w:rsid w:val="00C239F2"/>
    <w:rsid w:val="00C26537"/>
    <w:rsid w:val="00C27F9B"/>
    <w:rsid w:val="00C332A8"/>
    <w:rsid w:val="00C353E3"/>
    <w:rsid w:val="00C37B2E"/>
    <w:rsid w:val="00C41B05"/>
    <w:rsid w:val="00C427D0"/>
    <w:rsid w:val="00C44FE4"/>
    <w:rsid w:val="00C45BE5"/>
    <w:rsid w:val="00C45F82"/>
    <w:rsid w:val="00C468A7"/>
    <w:rsid w:val="00C47321"/>
    <w:rsid w:val="00C476C7"/>
    <w:rsid w:val="00C503D3"/>
    <w:rsid w:val="00C52BCA"/>
    <w:rsid w:val="00C552F6"/>
    <w:rsid w:val="00C55479"/>
    <w:rsid w:val="00C56B9A"/>
    <w:rsid w:val="00C56DB3"/>
    <w:rsid w:val="00C6330D"/>
    <w:rsid w:val="00C6348B"/>
    <w:rsid w:val="00C64709"/>
    <w:rsid w:val="00C65BEE"/>
    <w:rsid w:val="00C662CA"/>
    <w:rsid w:val="00C67501"/>
    <w:rsid w:val="00C72267"/>
    <w:rsid w:val="00C7271A"/>
    <w:rsid w:val="00C72DC7"/>
    <w:rsid w:val="00C7439D"/>
    <w:rsid w:val="00C751D5"/>
    <w:rsid w:val="00C75362"/>
    <w:rsid w:val="00C77B19"/>
    <w:rsid w:val="00C80346"/>
    <w:rsid w:val="00C8100B"/>
    <w:rsid w:val="00C8134C"/>
    <w:rsid w:val="00C81A4B"/>
    <w:rsid w:val="00C8305B"/>
    <w:rsid w:val="00C8326E"/>
    <w:rsid w:val="00C83826"/>
    <w:rsid w:val="00C83C07"/>
    <w:rsid w:val="00C84480"/>
    <w:rsid w:val="00C87FC3"/>
    <w:rsid w:val="00C90565"/>
    <w:rsid w:val="00C905CE"/>
    <w:rsid w:val="00C905D7"/>
    <w:rsid w:val="00C91406"/>
    <w:rsid w:val="00C9327C"/>
    <w:rsid w:val="00C9388D"/>
    <w:rsid w:val="00C9574D"/>
    <w:rsid w:val="00C959DF"/>
    <w:rsid w:val="00C95B6F"/>
    <w:rsid w:val="00C95E52"/>
    <w:rsid w:val="00C9613B"/>
    <w:rsid w:val="00C96568"/>
    <w:rsid w:val="00C97AD0"/>
    <w:rsid w:val="00CA13D7"/>
    <w:rsid w:val="00CA1890"/>
    <w:rsid w:val="00CA3FAF"/>
    <w:rsid w:val="00CA5D6B"/>
    <w:rsid w:val="00CA5ED8"/>
    <w:rsid w:val="00CA63FE"/>
    <w:rsid w:val="00CA7F5B"/>
    <w:rsid w:val="00CB4B7A"/>
    <w:rsid w:val="00CB5306"/>
    <w:rsid w:val="00CB6079"/>
    <w:rsid w:val="00CC3B81"/>
    <w:rsid w:val="00CC3E68"/>
    <w:rsid w:val="00CC436C"/>
    <w:rsid w:val="00CD0E63"/>
    <w:rsid w:val="00CD2FD3"/>
    <w:rsid w:val="00CD3C0B"/>
    <w:rsid w:val="00CD53F9"/>
    <w:rsid w:val="00CD7CD7"/>
    <w:rsid w:val="00CE1FC4"/>
    <w:rsid w:val="00CE3744"/>
    <w:rsid w:val="00CE44C9"/>
    <w:rsid w:val="00CE5713"/>
    <w:rsid w:val="00CE5851"/>
    <w:rsid w:val="00CE6245"/>
    <w:rsid w:val="00CE694C"/>
    <w:rsid w:val="00CE6DF6"/>
    <w:rsid w:val="00CE7063"/>
    <w:rsid w:val="00CE72CD"/>
    <w:rsid w:val="00CE772A"/>
    <w:rsid w:val="00CE775D"/>
    <w:rsid w:val="00CE7F91"/>
    <w:rsid w:val="00CF126E"/>
    <w:rsid w:val="00CF1D00"/>
    <w:rsid w:val="00CF4DE7"/>
    <w:rsid w:val="00CF55C2"/>
    <w:rsid w:val="00CF57A5"/>
    <w:rsid w:val="00CF7B37"/>
    <w:rsid w:val="00CF7BAF"/>
    <w:rsid w:val="00D00A30"/>
    <w:rsid w:val="00D0218A"/>
    <w:rsid w:val="00D02575"/>
    <w:rsid w:val="00D02BD9"/>
    <w:rsid w:val="00D03B38"/>
    <w:rsid w:val="00D03B4D"/>
    <w:rsid w:val="00D04734"/>
    <w:rsid w:val="00D06111"/>
    <w:rsid w:val="00D0627D"/>
    <w:rsid w:val="00D064CB"/>
    <w:rsid w:val="00D10237"/>
    <w:rsid w:val="00D108D2"/>
    <w:rsid w:val="00D11879"/>
    <w:rsid w:val="00D12695"/>
    <w:rsid w:val="00D12C4E"/>
    <w:rsid w:val="00D13110"/>
    <w:rsid w:val="00D13261"/>
    <w:rsid w:val="00D13315"/>
    <w:rsid w:val="00D16CCD"/>
    <w:rsid w:val="00D213B9"/>
    <w:rsid w:val="00D2148A"/>
    <w:rsid w:val="00D21DC1"/>
    <w:rsid w:val="00D22BC3"/>
    <w:rsid w:val="00D23EB5"/>
    <w:rsid w:val="00D24692"/>
    <w:rsid w:val="00D247D6"/>
    <w:rsid w:val="00D257F0"/>
    <w:rsid w:val="00D25B08"/>
    <w:rsid w:val="00D26B2C"/>
    <w:rsid w:val="00D33CB6"/>
    <w:rsid w:val="00D347D9"/>
    <w:rsid w:val="00D4257C"/>
    <w:rsid w:val="00D4284A"/>
    <w:rsid w:val="00D436C3"/>
    <w:rsid w:val="00D43E15"/>
    <w:rsid w:val="00D44C61"/>
    <w:rsid w:val="00D44E67"/>
    <w:rsid w:val="00D453AE"/>
    <w:rsid w:val="00D459AB"/>
    <w:rsid w:val="00D46A06"/>
    <w:rsid w:val="00D504C5"/>
    <w:rsid w:val="00D507CF"/>
    <w:rsid w:val="00D513F2"/>
    <w:rsid w:val="00D51773"/>
    <w:rsid w:val="00D53191"/>
    <w:rsid w:val="00D532FF"/>
    <w:rsid w:val="00D545B7"/>
    <w:rsid w:val="00D551B6"/>
    <w:rsid w:val="00D55931"/>
    <w:rsid w:val="00D55A9C"/>
    <w:rsid w:val="00D6012A"/>
    <w:rsid w:val="00D60D2F"/>
    <w:rsid w:val="00D60D89"/>
    <w:rsid w:val="00D61F44"/>
    <w:rsid w:val="00D62222"/>
    <w:rsid w:val="00D627DD"/>
    <w:rsid w:val="00D62C98"/>
    <w:rsid w:val="00D63230"/>
    <w:rsid w:val="00D636B9"/>
    <w:rsid w:val="00D63D97"/>
    <w:rsid w:val="00D642E9"/>
    <w:rsid w:val="00D64BB9"/>
    <w:rsid w:val="00D657A6"/>
    <w:rsid w:val="00D679B6"/>
    <w:rsid w:val="00D7046A"/>
    <w:rsid w:val="00D70634"/>
    <w:rsid w:val="00D70F08"/>
    <w:rsid w:val="00D718D4"/>
    <w:rsid w:val="00D71DB4"/>
    <w:rsid w:val="00D722B9"/>
    <w:rsid w:val="00D724D4"/>
    <w:rsid w:val="00D72827"/>
    <w:rsid w:val="00D72A0E"/>
    <w:rsid w:val="00D72FB5"/>
    <w:rsid w:val="00D74ABD"/>
    <w:rsid w:val="00D74C51"/>
    <w:rsid w:val="00D75759"/>
    <w:rsid w:val="00D7596C"/>
    <w:rsid w:val="00D7762E"/>
    <w:rsid w:val="00D8027F"/>
    <w:rsid w:val="00D80311"/>
    <w:rsid w:val="00D80ADA"/>
    <w:rsid w:val="00D819C0"/>
    <w:rsid w:val="00D835AA"/>
    <w:rsid w:val="00D84A81"/>
    <w:rsid w:val="00D84B76"/>
    <w:rsid w:val="00D84E36"/>
    <w:rsid w:val="00D863F4"/>
    <w:rsid w:val="00D91A14"/>
    <w:rsid w:val="00D92095"/>
    <w:rsid w:val="00D9310F"/>
    <w:rsid w:val="00D933B5"/>
    <w:rsid w:val="00D93408"/>
    <w:rsid w:val="00D94816"/>
    <w:rsid w:val="00D95710"/>
    <w:rsid w:val="00D96760"/>
    <w:rsid w:val="00D971D2"/>
    <w:rsid w:val="00D97586"/>
    <w:rsid w:val="00DA3A68"/>
    <w:rsid w:val="00DA5072"/>
    <w:rsid w:val="00DA5484"/>
    <w:rsid w:val="00DA56AC"/>
    <w:rsid w:val="00DA5A1E"/>
    <w:rsid w:val="00DA61BC"/>
    <w:rsid w:val="00DA779E"/>
    <w:rsid w:val="00DB08BF"/>
    <w:rsid w:val="00DB119C"/>
    <w:rsid w:val="00DB1222"/>
    <w:rsid w:val="00DB13ED"/>
    <w:rsid w:val="00DB2BE8"/>
    <w:rsid w:val="00DB3B5C"/>
    <w:rsid w:val="00DB4AE1"/>
    <w:rsid w:val="00DB4D7C"/>
    <w:rsid w:val="00DB5E93"/>
    <w:rsid w:val="00DB605C"/>
    <w:rsid w:val="00DB70AD"/>
    <w:rsid w:val="00DC23F4"/>
    <w:rsid w:val="00DC5444"/>
    <w:rsid w:val="00DC640A"/>
    <w:rsid w:val="00DD024A"/>
    <w:rsid w:val="00DD095B"/>
    <w:rsid w:val="00DD1440"/>
    <w:rsid w:val="00DD5736"/>
    <w:rsid w:val="00DD7815"/>
    <w:rsid w:val="00DE0144"/>
    <w:rsid w:val="00DE0E57"/>
    <w:rsid w:val="00DE17A6"/>
    <w:rsid w:val="00DE1C54"/>
    <w:rsid w:val="00DE1D45"/>
    <w:rsid w:val="00DE3404"/>
    <w:rsid w:val="00DE38AE"/>
    <w:rsid w:val="00DE4A58"/>
    <w:rsid w:val="00DE4E50"/>
    <w:rsid w:val="00DE52C8"/>
    <w:rsid w:val="00DE648B"/>
    <w:rsid w:val="00DE6566"/>
    <w:rsid w:val="00DE6F77"/>
    <w:rsid w:val="00DF2279"/>
    <w:rsid w:val="00DF2910"/>
    <w:rsid w:val="00DF2C8B"/>
    <w:rsid w:val="00DF4C37"/>
    <w:rsid w:val="00DF54D0"/>
    <w:rsid w:val="00E01283"/>
    <w:rsid w:val="00E01407"/>
    <w:rsid w:val="00E01E74"/>
    <w:rsid w:val="00E03672"/>
    <w:rsid w:val="00E044F7"/>
    <w:rsid w:val="00E056FB"/>
    <w:rsid w:val="00E06288"/>
    <w:rsid w:val="00E076DB"/>
    <w:rsid w:val="00E1355A"/>
    <w:rsid w:val="00E138D5"/>
    <w:rsid w:val="00E1423D"/>
    <w:rsid w:val="00E170FD"/>
    <w:rsid w:val="00E17962"/>
    <w:rsid w:val="00E22F10"/>
    <w:rsid w:val="00E23771"/>
    <w:rsid w:val="00E24165"/>
    <w:rsid w:val="00E25F5E"/>
    <w:rsid w:val="00E26D99"/>
    <w:rsid w:val="00E277B2"/>
    <w:rsid w:val="00E33E04"/>
    <w:rsid w:val="00E36208"/>
    <w:rsid w:val="00E378A0"/>
    <w:rsid w:val="00E4271C"/>
    <w:rsid w:val="00E44C28"/>
    <w:rsid w:val="00E47438"/>
    <w:rsid w:val="00E4763E"/>
    <w:rsid w:val="00E47B2C"/>
    <w:rsid w:val="00E50739"/>
    <w:rsid w:val="00E55654"/>
    <w:rsid w:val="00E5582E"/>
    <w:rsid w:val="00E57AEE"/>
    <w:rsid w:val="00E60213"/>
    <w:rsid w:val="00E60ABD"/>
    <w:rsid w:val="00E61148"/>
    <w:rsid w:val="00E618B4"/>
    <w:rsid w:val="00E62EA1"/>
    <w:rsid w:val="00E62F73"/>
    <w:rsid w:val="00E65CA8"/>
    <w:rsid w:val="00E704CE"/>
    <w:rsid w:val="00E70C36"/>
    <w:rsid w:val="00E71517"/>
    <w:rsid w:val="00E71F1A"/>
    <w:rsid w:val="00E74F06"/>
    <w:rsid w:val="00E754B2"/>
    <w:rsid w:val="00E76735"/>
    <w:rsid w:val="00E76FDA"/>
    <w:rsid w:val="00E8105A"/>
    <w:rsid w:val="00E81A42"/>
    <w:rsid w:val="00E835F4"/>
    <w:rsid w:val="00E864B1"/>
    <w:rsid w:val="00E87D85"/>
    <w:rsid w:val="00E90DA3"/>
    <w:rsid w:val="00E90E22"/>
    <w:rsid w:val="00E91E91"/>
    <w:rsid w:val="00E94E6D"/>
    <w:rsid w:val="00E97011"/>
    <w:rsid w:val="00E97E71"/>
    <w:rsid w:val="00EA0770"/>
    <w:rsid w:val="00EA1078"/>
    <w:rsid w:val="00EA4AE2"/>
    <w:rsid w:val="00EA4CCE"/>
    <w:rsid w:val="00EA4D5D"/>
    <w:rsid w:val="00EA6C5F"/>
    <w:rsid w:val="00EA72EA"/>
    <w:rsid w:val="00EA7EB0"/>
    <w:rsid w:val="00EA7F74"/>
    <w:rsid w:val="00EB33A1"/>
    <w:rsid w:val="00EB3C99"/>
    <w:rsid w:val="00EB49E1"/>
    <w:rsid w:val="00EB4BE1"/>
    <w:rsid w:val="00EB4D5E"/>
    <w:rsid w:val="00EB687C"/>
    <w:rsid w:val="00EC06DF"/>
    <w:rsid w:val="00EC270A"/>
    <w:rsid w:val="00EC6663"/>
    <w:rsid w:val="00EC694C"/>
    <w:rsid w:val="00EC7881"/>
    <w:rsid w:val="00ED0D2E"/>
    <w:rsid w:val="00ED2542"/>
    <w:rsid w:val="00ED776C"/>
    <w:rsid w:val="00ED7B1E"/>
    <w:rsid w:val="00EE1B35"/>
    <w:rsid w:val="00EE23F0"/>
    <w:rsid w:val="00EE2D27"/>
    <w:rsid w:val="00EE36E2"/>
    <w:rsid w:val="00EE3D48"/>
    <w:rsid w:val="00EE438D"/>
    <w:rsid w:val="00EE4E09"/>
    <w:rsid w:val="00EE505B"/>
    <w:rsid w:val="00EE5399"/>
    <w:rsid w:val="00EE5B3B"/>
    <w:rsid w:val="00EE65FD"/>
    <w:rsid w:val="00EE6BE6"/>
    <w:rsid w:val="00EE72D3"/>
    <w:rsid w:val="00EF04F3"/>
    <w:rsid w:val="00EF0C78"/>
    <w:rsid w:val="00EF0EF5"/>
    <w:rsid w:val="00EF3AF2"/>
    <w:rsid w:val="00EF5B62"/>
    <w:rsid w:val="00EF5F7D"/>
    <w:rsid w:val="00EF68AF"/>
    <w:rsid w:val="00EF7EA8"/>
    <w:rsid w:val="00F00B79"/>
    <w:rsid w:val="00F029C0"/>
    <w:rsid w:val="00F03FD2"/>
    <w:rsid w:val="00F0547F"/>
    <w:rsid w:val="00F06D4E"/>
    <w:rsid w:val="00F06F46"/>
    <w:rsid w:val="00F0723A"/>
    <w:rsid w:val="00F105D3"/>
    <w:rsid w:val="00F11DD4"/>
    <w:rsid w:val="00F128F8"/>
    <w:rsid w:val="00F12AC9"/>
    <w:rsid w:val="00F134C7"/>
    <w:rsid w:val="00F15A49"/>
    <w:rsid w:val="00F230D0"/>
    <w:rsid w:val="00F2466C"/>
    <w:rsid w:val="00F26AC2"/>
    <w:rsid w:val="00F30568"/>
    <w:rsid w:val="00F30BB2"/>
    <w:rsid w:val="00F32C7C"/>
    <w:rsid w:val="00F33EFC"/>
    <w:rsid w:val="00F3480F"/>
    <w:rsid w:val="00F34DFC"/>
    <w:rsid w:val="00F379AC"/>
    <w:rsid w:val="00F4009C"/>
    <w:rsid w:val="00F402A0"/>
    <w:rsid w:val="00F406B1"/>
    <w:rsid w:val="00F414DB"/>
    <w:rsid w:val="00F4257C"/>
    <w:rsid w:val="00F42F54"/>
    <w:rsid w:val="00F446E5"/>
    <w:rsid w:val="00F44832"/>
    <w:rsid w:val="00F449BB"/>
    <w:rsid w:val="00F4522A"/>
    <w:rsid w:val="00F455B2"/>
    <w:rsid w:val="00F45FC9"/>
    <w:rsid w:val="00F46EBB"/>
    <w:rsid w:val="00F46FE7"/>
    <w:rsid w:val="00F513DF"/>
    <w:rsid w:val="00F5219E"/>
    <w:rsid w:val="00F5296A"/>
    <w:rsid w:val="00F54544"/>
    <w:rsid w:val="00F552FC"/>
    <w:rsid w:val="00F55A08"/>
    <w:rsid w:val="00F55F1B"/>
    <w:rsid w:val="00F573AD"/>
    <w:rsid w:val="00F574C3"/>
    <w:rsid w:val="00F61379"/>
    <w:rsid w:val="00F6162D"/>
    <w:rsid w:val="00F61AA0"/>
    <w:rsid w:val="00F625C0"/>
    <w:rsid w:val="00F62F91"/>
    <w:rsid w:val="00F64A23"/>
    <w:rsid w:val="00F64BE2"/>
    <w:rsid w:val="00F65452"/>
    <w:rsid w:val="00F65AAE"/>
    <w:rsid w:val="00F707D1"/>
    <w:rsid w:val="00F72DAE"/>
    <w:rsid w:val="00F772FC"/>
    <w:rsid w:val="00F853E3"/>
    <w:rsid w:val="00F86960"/>
    <w:rsid w:val="00F87023"/>
    <w:rsid w:val="00F90BC9"/>
    <w:rsid w:val="00F9152B"/>
    <w:rsid w:val="00F920B7"/>
    <w:rsid w:val="00F92F1F"/>
    <w:rsid w:val="00F93D5F"/>
    <w:rsid w:val="00F951F0"/>
    <w:rsid w:val="00FA00BF"/>
    <w:rsid w:val="00FA0202"/>
    <w:rsid w:val="00FA1882"/>
    <w:rsid w:val="00FA653F"/>
    <w:rsid w:val="00FA68CC"/>
    <w:rsid w:val="00FA6BDC"/>
    <w:rsid w:val="00FB03D2"/>
    <w:rsid w:val="00FB14B6"/>
    <w:rsid w:val="00FB1A52"/>
    <w:rsid w:val="00FB4178"/>
    <w:rsid w:val="00FB5D07"/>
    <w:rsid w:val="00FB6DA9"/>
    <w:rsid w:val="00FC08E5"/>
    <w:rsid w:val="00FC0B5B"/>
    <w:rsid w:val="00FC1650"/>
    <w:rsid w:val="00FC1BBF"/>
    <w:rsid w:val="00FC65F8"/>
    <w:rsid w:val="00FD0527"/>
    <w:rsid w:val="00FD1EB4"/>
    <w:rsid w:val="00FD2626"/>
    <w:rsid w:val="00FD35B3"/>
    <w:rsid w:val="00FD4D7D"/>
    <w:rsid w:val="00FD68F5"/>
    <w:rsid w:val="00FD773A"/>
    <w:rsid w:val="00FE0010"/>
    <w:rsid w:val="00FE215B"/>
    <w:rsid w:val="00FE5965"/>
    <w:rsid w:val="00FE6EC6"/>
    <w:rsid w:val="00FE7803"/>
    <w:rsid w:val="00FF064F"/>
    <w:rsid w:val="00FF0B90"/>
    <w:rsid w:val="00FF14BD"/>
    <w:rsid w:val="00FF326C"/>
    <w:rsid w:val="00FF3F2C"/>
    <w:rsid w:val="00FF5BEB"/>
    <w:rsid w:val="00FF70E2"/>
    <w:rsid w:val="00FF7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9CEB"/>
  <w15:docId w15:val="{DF0F4997-466F-40B4-B61D-AF0BF2B4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F4"/>
    <w:rPr>
      <w:rFonts w:eastAsia="Times New Roman"/>
      <w:lang w:eastAsia="en-GB"/>
    </w:rPr>
  </w:style>
  <w:style w:type="paragraph" w:styleId="Heading1">
    <w:name w:val="heading 1"/>
    <w:basedOn w:val="Normal"/>
    <w:next w:val="Normal"/>
    <w:link w:val="Heading1Char"/>
    <w:uiPriority w:val="9"/>
    <w:qFormat/>
    <w:rsid w:val="00D627DD"/>
    <w:pPr>
      <w:keepNext/>
      <w:keepLines/>
      <w:pageBreakBefore/>
      <w:spacing w:after="240"/>
      <w:outlineLvl w:val="0"/>
    </w:pPr>
    <w:rPr>
      <w:rFonts w:asciiTheme="minorHAnsi" w:eastAsiaTheme="majorEastAsia" w:hAnsiTheme="minorHAnsi" w:cstheme="majorBidi"/>
      <w:b/>
      <w:bCs/>
      <w:szCs w:val="32"/>
      <w:lang w:eastAsia="en-US"/>
    </w:rPr>
  </w:style>
  <w:style w:type="paragraph" w:styleId="Heading2">
    <w:name w:val="heading 2"/>
    <w:basedOn w:val="Normal"/>
    <w:next w:val="Normal"/>
    <w:link w:val="Heading2Char"/>
    <w:uiPriority w:val="9"/>
    <w:unhideWhenUsed/>
    <w:qFormat/>
    <w:rsid w:val="00D627DD"/>
    <w:pPr>
      <w:keepNext/>
      <w:keepLines/>
      <w:spacing w:before="240" w:after="120"/>
      <w:outlineLvl w:val="1"/>
    </w:pPr>
    <w:rPr>
      <w:rFonts w:ascii="Calibri" w:eastAsiaTheme="majorEastAsia" w:hAnsi="Calibri" w:cstheme="majorBidi"/>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DD"/>
    <w:rPr>
      <w:rFonts w:asciiTheme="minorHAnsi" w:eastAsiaTheme="majorEastAsia" w:hAnsiTheme="minorHAnsi" w:cstheme="majorBidi"/>
      <w:b/>
      <w:bCs/>
      <w:szCs w:val="32"/>
    </w:rPr>
  </w:style>
  <w:style w:type="character" w:customStyle="1" w:styleId="Heading2Char">
    <w:name w:val="Heading 2 Char"/>
    <w:basedOn w:val="DefaultParagraphFont"/>
    <w:link w:val="Heading2"/>
    <w:uiPriority w:val="9"/>
    <w:rsid w:val="00D627DD"/>
    <w:rPr>
      <w:rFonts w:ascii="Calibri" w:eastAsiaTheme="majorEastAsia" w:hAnsi="Calibri" w:cstheme="majorBidi"/>
      <w:b/>
      <w:bCs/>
      <w:sz w:val="22"/>
      <w:szCs w:val="26"/>
    </w:rPr>
  </w:style>
  <w:style w:type="paragraph" w:styleId="Footer">
    <w:name w:val="footer"/>
    <w:basedOn w:val="Normal"/>
    <w:link w:val="FooterChar"/>
    <w:uiPriority w:val="99"/>
    <w:unhideWhenUsed/>
    <w:rsid w:val="00872DDF"/>
    <w:pPr>
      <w:tabs>
        <w:tab w:val="center" w:pos="4680"/>
        <w:tab w:val="right" w:pos="9360"/>
      </w:tabs>
    </w:pPr>
    <w:rPr>
      <w:rFonts w:eastAsiaTheme="minorHAnsi"/>
      <w:lang w:eastAsia="en-US"/>
    </w:rPr>
  </w:style>
  <w:style w:type="character" w:customStyle="1" w:styleId="FooterChar">
    <w:name w:val="Footer Char"/>
    <w:basedOn w:val="DefaultParagraphFont"/>
    <w:link w:val="Footer"/>
    <w:uiPriority w:val="99"/>
    <w:rsid w:val="00872DDF"/>
  </w:style>
  <w:style w:type="character" w:styleId="PageNumber">
    <w:name w:val="page number"/>
    <w:basedOn w:val="DefaultParagraphFont"/>
    <w:uiPriority w:val="99"/>
    <w:semiHidden/>
    <w:unhideWhenUsed/>
    <w:rsid w:val="00872DDF"/>
  </w:style>
  <w:style w:type="character" w:styleId="Hyperlink">
    <w:name w:val="Hyperlink"/>
    <w:basedOn w:val="DefaultParagraphFont"/>
    <w:uiPriority w:val="99"/>
    <w:unhideWhenUsed/>
    <w:rsid w:val="009F1310"/>
    <w:rPr>
      <w:color w:val="0563C1" w:themeColor="hyperlink"/>
      <w:u w:val="single"/>
    </w:rPr>
  </w:style>
  <w:style w:type="character" w:customStyle="1" w:styleId="UnresolvedMention1">
    <w:name w:val="Unresolved Mention1"/>
    <w:basedOn w:val="DefaultParagraphFont"/>
    <w:uiPriority w:val="99"/>
    <w:semiHidden/>
    <w:unhideWhenUsed/>
    <w:rsid w:val="009F1310"/>
    <w:rPr>
      <w:color w:val="605E5C"/>
      <w:shd w:val="clear" w:color="auto" w:fill="E1DFDD"/>
    </w:rPr>
  </w:style>
  <w:style w:type="paragraph" w:styleId="ListParagraph">
    <w:name w:val="List Paragraph"/>
    <w:basedOn w:val="Normal"/>
    <w:uiPriority w:val="34"/>
    <w:qFormat/>
    <w:rsid w:val="00D627DD"/>
    <w:pPr>
      <w:spacing w:after="120"/>
      <w:ind w:left="720"/>
      <w:contextualSpacing/>
    </w:pPr>
    <w:rPr>
      <w:rFonts w:asciiTheme="minorHAnsi" w:eastAsia="Calibri" w:hAnsiTheme="minorHAnsi"/>
      <w:sz w:val="22"/>
      <w:szCs w:val="22"/>
      <w:lang w:eastAsia="en-US"/>
    </w:rPr>
  </w:style>
  <w:style w:type="paragraph" w:styleId="FootnoteText">
    <w:name w:val="footnote text"/>
    <w:basedOn w:val="Normal"/>
    <w:link w:val="FootnoteTextChar"/>
    <w:uiPriority w:val="99"/>
    <w:unhideWhenUsed/>
    <w:rsid w:val="00D627DD"/>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D627DD"/>
    <w:rPr>
      <w:rFonts w:asciiTheme="minorHAnsi" w:hAnsiTheme="minorHAnsi" w:cstheme="minorBidi"/>
      <w:sz w:val="20"/>
    </w:rPr>
  </w:style>
  <w:style w:type="character" w:styleId="FootnoteReference">
    <w:name w:val="footnote reference"/>
    <w:basedOn w:val="DefaultParagraphFont"/>
    <w:uiPriority w:val="99"/>
    <w:unhideWhenUsed/>
    <w:rsid w:val="00D627DD"/>
    <w:rPr>
      <w:vertAlign w:val="superscript"/>
    </w:rPr>
  </w:style>
  <w:style w:type="paragraph" w:styleId="Revision">
    <w:name w:val="Revision"/>
    <w:hidden/>
    <w:uiPriority w:val="99"/>
    <w:semiHidden/>
    <w:rsid w:val="00300626"/>
  </w:style>
  <w:style w:type="character" w:styleId="CommentReference">
    <w:name w:val="annotation reference"/>
    <w:basedOn w:val="DefaultParagraphFont"/>
    <w:uiPriority w:val="99"/>
    <w:semiHidden/>
    <w:unhideWhenUsed/>
    <w:rsid w:val="00717606"/>
    <w:rPr>
      <w:sz w:val="16"/>
      <w:szCs w:val="16"/>
    </w:rPr>
  </w:style>
  <w:style w:type="paragraph" w:styleId="CommentText">
    <w:name w:val="annotation text"/>
    <w:basedOn w:val="Normal"/>
    <w:link w:val="CommentTextChar"/>
    <w:uiPriority w:val="99"/>
    <w:unhideWhenUsed/>
    <w:rsid w:val="00717606"/>
    <w:rPr>
      <w:rFonts w:eastAsiaTheme="minorHAnsi"/>
      <w:sz w:val="20"/>
      <w:szCs w:val="20"/>
      <w:lang w:eastAsia="en-US"/>
    </w:rPr>
  </w:style>
  <w:style w:type="character" w:customStyle="1" w:styleId="CommentTextChar">
    <w:name w:val="Comment Text Char"/>
    <w:basedOn w:val="DefaultParagraphFont"/>
    <w:link w:val="CommentText"/>
    <w:uiPriority w:val="99"/>
    <w:rsid w:val="00717606"/>
    <w:rPr>
      <w:sz w:val="20"/>
      <w:szCs w:val="20"/>
    </w:rPr>
  </w:style>
  <w:style w:type="paragraph" w:styleId="CommentSubject">
    <w:name w:val="annotation subject"/>
    <w:basedOn w:val="CommentText"/>
    <w:next w:val="CommentText"/>
    <w:link w:val="CommentSubjectChar"/>
    <w:uiPriority w:val="99"/>
    <w:semiHidden/>
    <w:unhideWhenUsed/>
    <w:rsid w:val="00717606"/>
    <w:rPr>
      <w:b/>
      <w:bCs/>
    </w:rPr>
  </w:style>
  <w:style w:type="character" w:customStyle="1" w:styleId="CommentSubjectChar">
    <w:name w:val="Comment Subject Char"/>
    <w:basedOn w:val="CommentTextChar"/>
    <w:link w:val="CommentSubject"/>
    <w:uiPriority w:val="99"/>
    <w:semiHidden/>
    <w:rsid w:val="00717606"/>
    <w:rPr>
      <w:b/>
      <w:bCs/>
      <w:sz w:val="20"/>
      <w:szCs w:val="20"/>
    </w:rPr>
  </w:style>
  <w:style w:type="paragraph" w:styleId="BalloonText">
    <w:name w:val="Balloon Text"/>
    <w:basedOn w:val="Normal"/>
    <w:link w:val="BalloonTextChar"/>
    <w:uiPriority w:val="99"/>
    <w:semiHidden/>
    <w:unhideWhenUsed/>
    <w:rsid w:val="0071760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17606"/>
    <w:rPr>
      <w:rFonts w:ascii="Tahoma" w:hAnsi="Tahoma" w:cs="Tahoma"/>
      <w:sz w:val="16"/>
      <w:szCs w:val="16"/>
    </w:rPr>
  </w:style>
  <w:style w:type="table" w:styleId="TableGrid">
    <w:name w:val="Table Grid"/>
    <w:basedOn w:val="TableNormal"/>
    <w:uiPriority w:val="39"/>
    <w:rsid w:val="00F4257C"/>
    <w:rPr>
      <w:rFonts w:eastAsia="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57C"/>
    <w:pPr>
      <w:tabs>
        <w:tab w:val="center" w:pos="4513"/>
        <w:tab w:val="right" w:pos="9026"/>
      </w:tabs>
      <w:spacing w:after="200" w:line="276" w:lineRule="auto"/>
    </w:pPr>
    <w:rPr>
      <w:rFonts w:eastAsia="Calibri"/>
      <w:szCs w:val="22"/>
      <w:lang w:eastAsia="en-US"/>
    </w:rPr>
  </w:style>
  <w:style w:type="character" w:customStyle="1" w:styleId="HeaderChar">
    <w:name w:val="Header Char"/>
    <w:basedOn w:val="DefaultParagraphFont"/>
    <w:link w:val="Header"/>
    <w:uiPriority w:val="99"/>
    <w:rsid w:val="00F4257C"/>
    <w:rPr>
      <w:rFonts w:eastAsia="Calibri"/>
      <w:szCs w:val="22"/>
    </w:rPr>
  </w:style>
  <w:style w:type="character" w:customStyle="1" w:styleId="normaltextrun">
    <w:name w:val="normaltextrun"/>
    <w:basedOn w:val="DefaultParagraphFont"/>
    <w:rsid w:val="00A26F82"/>
  </w:style>
  <w:style w:type="paragraph" w:customStyle="1" w:styleId="paragraph">
    <w:name w:val="paragraph"/>
    <w:basedOn w:val="Normal"/>
    <w:rsid w:val="00451E02"/>
    <w:pPr>
      <w:spacing w:before="100" w:beforeAutospacing="1" w:after="100" w:afterAutospacing="1"/>
    </w:pPr>
  </w:style>
  <w:style w:type="character" w:customStyle="1" w:styleId="eop">
    <w:name w:val="eop"/>
    <w:basedOn w:val="DefaultParagraphFont"/>
    <w:rsid w:val="00451E02"/>
  </w:style>
  <w:style w:type="character" w:styleId="FollowedHyperlink">
    <w:name w:val="FollowedHyperlink"/>
    <w:basedOn w:val="DefaultParagraphFont"/>
    <w:uiPriority w:val="99"/>
    <w:semiHidden/>
    <w:unhideWhenUsed/>
    <w:rsid w:val="00A839D0"/>
    <w:rPr>
      <w:color w:val="954F72" w:themeColor="followedHyperlink"/>
      <w:u w:val="single"/>
    </w:rPr>
  </w:style>
  <w:style w:type="character" w:customStyle="1" w:styleId="accordion-tabbedtab-mobile">
    <w:name w:val="accordion-tabbed__tab-mobile"/>
    <w:basedOn w:val="DefaultParagraphFont"/>
    <w:rsid w:val="00602AF4"/>
  </w:style>
  <w:style w:type="character" w:customStyle="1" w:styleId="comma-separator">
    <w:name w:val="comma-separator"/>
    <w:basedOn w:val="DefaultParagraphFont"/>
    <w:rsid w:val="00602AF4"/>
  </w:style>
  <w:style w:type="paragraph" w:styleId="NormalWeb">
    <w:name w:val="Normal (Web)"/>
    <w:basedOn w:val="Normal"/>
    <w:uiPriority w:val="99"/>
    <w:semiHidden/>
    <w:unhideWhenUsed/>
    <w:rsid w:val="003B1A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6263">
      <w:bodyDiv w:val="1"/>
      <w:marLeft w:val="0"/>
      <w:marRight w:val="0"/>
      <w:marTop w:val="0"/>
      <w:marBottom w:val="0"/>
      <w:divBdr>
        <w:top w:val="none" w:sz="0" w:space="0" w:color="auto"/>
        <w:left w:val="none" w:sz="0" w:space="0" w:color="auto"/>
        <w:bottom w:val="none" w:sz="0" w:space="0" w:color="auto"/>
        <w:right w:val="none" w:sz="0" w:space="0" w:color="auto"/>
      </w:divBdr>
    </w:div>
    <w:div w:id="475991449">
      <w:bodyDiv w:val="1"/>
      <w:marLeft w:val="0"/>
      <w:marRight w:val="0"/>
      <w:marTop w:val="0"/>
      <w:marBottom w:val="0"/>
      <w:divBdr>
        <w:top w:val="none" w:sz="0" w:space="0" w:color="auto"/>
        <w:left w:val="none" w:sz="0" w:space="0" w:color="auto"/>
        <w:bottom w:val="none" w:sz="0" w:space="0" w:color="auto"/>
        <w:right w:val="none" w:sz="0" w:space="0" w:color="auto"/>
      </w:divBdr>
      <w:divsChild>
        <w:div w:id="367296054">
          <w:marLeft w:val="734"/>
          <w:marRight w:val="0"/>
          <w:marTop w:val="400"/>
          <w:marBottom w:val="0"/>
          <w:divBdr>
            <w:top w:val="none" w:sz="0" w:space="0" w:color="auto"/>
            <w:left w:val="none" w:sz="0" w:space="0" w:color="auto"/>
            <w:bottom w:val="none" w:sz="0" w:space="0" w:color="auto"/>
            <w:right w:val="none" w:sz="0" w:space="0" w:color="auto"/>
          </w:divBdr>
        </w:div>
      </w:divsChild>
    </w:div>
    <w:div w:id="539365255">
      <w:bodyDiv w:val="1"/>
      <w:marLeft w:val="0"/>
      <w:marRight w:val="0"/>
      <w:marTop w:val="0"/>
      <w:marBottom w:val="0"/>
      <w:divBdr>
        <w:top w:val="none" w:sz="0" w:space="0" w:color="auto"/>
        <w:left w:val="none" w:sz="0" w:space="0" w:color="auto"/>
        <w:bottom w:val="none" w:sz="0" w:space="0" w:color="auto"/>
        <w:right w:val="none" w:sz="0" w:space="0" w:color="auto"/>
      </w:divBdr>
    </w:div>
    <w:div w:id="982319410">
      <w:bodyDiv w:val="1"/>
      <w:marLeft w:val="0"/>
      <w:marRight w:val="0"/>
      <w:marTop w:val="0"/>
      <w:marBottom w:val="0"/>
      <w:divBdr>
        <w:top w:val="none" w:sz="0" w:space="0" w:color="auto"/>
        <w:left w:val="none" w:sz="0" w:space="0" w:color="auto"/>
        <w:bottom w:val="none" w:sz="0" w:space="0" w:color="auto"/>
        <w:right w:val="none" w:sz="0" w:space="0" w:color="auto"/>
      </w:divBdr>
    </w:div>
    <w:div w:id="1072043150">
      <w:bodyDiv w:val="1"/>
      <w:marLeft w:val="0"/>
      <w:marRight w:val="0"/>
      <w:marTop w:val="0"/>
      <w:marBottom w:val="0"/>
      <w:divBdr>
        <w:top w:val="none" w:sz="0" w:space="0" w:color="auto"/>
        <w:left w:val="none" w:sz="0" w:space="0" w:color="auto"/>
        <w:bottom w:val="none" w:sz="0" w:space="0" w:color="auto"/>
        <w:right w:val="none" w:sz="0" w:space="0" w:color="auto"/>
      </w:divBdr>
      <w:divsChild>
        <w:div w:id="253172805">
          <w:marLeft w:val="0"/>
          <w:marRight w:val="0"/>
          <w:marTop w:val="0"/>
          <w:marBottom w:val="0"/>
          <w:divBdr>
            <w:top w:val="none" w:sz="0" w:space="0" w:color="auto"/>
            <w:left w:val="none" w:sz="0" w:space="0" w:color="auto"/>
            <w:bottom w:val="none" w:sz="0" w:space="0" w:color="auto"/>
            <w:right w:val="none" w:sz="0" w:space="0" w:color="auto"/>
          </w:divBdr>
        </w:div>
        <w:div w:id="458258670">
          <w:marLeft w:val="0"/>
          <w:marRight w:val="0"/>
          <w:marTop w:val="0"/>
          <w:marBottom w:val="0"/>
          <w:divBdr>
            <w:top w:val="none" w:sz="0" w:space="0" w:color="auto"/>
            <w:left w:val="none" w:sz="0" w:space="0" w:color="auto"/>
            <w:bottom w:val="none" w:sz="0" w:space="0" w:color="auto"/>
            <w:right w:val="none" w:sz="0" w:space="0" w:color="auto"/>
          </w:divBdr>
        </w:div>
        <w:div w:id="627735756">
          <w:marLeft w:val="0"/>
          <w:marRight w:val="0"/>
          <w:marTop w:val="0"/>
          <w:marBottom w:val="0"/>
          <w:divBdr>
            <w:top w:val="none" w:sz="0" w:space="0" w:color="auto"/>
            <w:left w:val="none" w:sz="0" w:space="0" w:color="auto"/>
            <w:bottom w:val="none" w:sz="0" w:space="0" w:color="auto"/>
            <w:right w:val="none" w:sz="0" w:space="0" w:color="auto"/>
          </w:divBdr>
        </w:div>
        <w:div w:id="1168403686">
          <w:marLeft w:val="0"/>
          <w:marRight w:val="0"/>
          <w:marTop w:val="0"/>
          <w:marBottom w:val="0"/>
          <w:divBdr>
            <w:top w:val="none" w:sz="0" w:space="0" w:color="auto"/>
            <w:left w:val="none" w:sz="0" w:space="0" w:color="auto"/>
            <w:bottom w:val="none" w:sz="0" w:space="0" w:color="auto"/>
            <w:right w:val="none" w:sz="0" w:space="0" w:color="auto"/>
          </w:divBdr>
        </w:div>
        <w:div w:id="1537235749">
          <w:marLeft w:val="0"/>
          <w:marRight w:val="0"/>
          <w:marTop w:val="0"/>
          <w:marBottom w:val="0"/>
          <w:divBdr>
            <w:top w:val="none" w:sz="0" w:space="0" w:color="auto"/>
            <w:left w:val="none" w:sz="0" w:space="0" w:color="auto"/>
            <w:bottom w:val="none" w:sz="0" w:space="0" w:color="auto"/>
            <w:right w:val="none" w:sz="0" w:space="0" w:color="auto"/>
          </w:divBdr>
        </w:div>
        <w:div w:id="1599605114">
          <w:marLeft w:val="0"/>
          <w:marRight w:val="0"/>
          <w:marTop w:val="0"/>
          <w:marBottom w:val="0"/>
          <w:divBdr>
            <w:top w:val="none" w:sz="0" w:space="0" w:color="auto"/>
            <w:left w:val="none" w:sz="0" w:space="0" w:color="auto"/>
            <w:bottom w:val="none" w:sz="0" w:space="0" w:color="auto"/>
            <w:right w:val="none" w:sz="0" w:space="0" w:color="auto"/>
          </w:divBdr>
        </w:div>
      </w:divsChild>
    </w:div>
    <w:div w:id="1167553116">
      <w:bodyDiv w:val="1"/>
      <w:marLeft w:val="0"/>
      <w:marRight w:val="0"/>
      <w:marTop w:val="0"/>
      <w:marBottom w:val="0"/>
      <w:divBdr>
        <w:top w:val="none" w:sz="0" w:space="0" w:color="auto"/>
        <w:left w:val="none" w:sz="0" w:space="0" w:color="auto"/>
        <w:bottom w:val="none" w:sz="0" w:space="0" w:color="auto"/>
        <w:right w:val="none" w:sz="0" w:space="0" w:color="auto"/>
      </w:divBdr>
    </w:div>
    <w:div w:id="1651058056">
      <w:bodyDiv w:val="1"/>
      <w:marLeft w:val="0"/>
      <w:marRight w:val="0"/>
      <w:marTop w:val="0"/>
      <w:marBottom w:val="0"/>
      <w:divBdr>
        <w:top w:val="none" w:sz="0" w:space="0" w:color="auto"/>
        <w:left w:val="none" w:sz="0" w:space="0" w:color="auto"/>
        <w:bottom w:val="none" w:sz="0" w:space="0" w:color="auto"/>
        <w:right w:val="none" w:sz="0" w:space="0" w:color="auto"/>
      </w:divBdr>
    </w:div>
    <w:div w:id="1926525146">
      <w:bodyDiv w:val="1"/>
      <w:marLeft w:val="0"/>
      <w:marRight w:val="0"/>
      <w:marTop w:val="0"/>
      <w:marBottom w:val="0"/>
      <w:divBdr>
        <w:top w:val="none" w:sz="0" w:space="0" w:color="auto"/>
        <w:left w:val="none" w:sz="0" w:space="0" w:color="auto"/>
        <w:bottom w:val="none" w:sz="0" w:space="0" w:color="auto"/>
        <w:right w:val="none" w:sz="0" w:space="0" w:color="auto"/>
      </w:divBdr>
      <w:divsChild>
        <w:div w:id="3291199">
          <w:marLeft w:val="0"/>
          <w:marRight w:val="0"/>
          <w:marTop w:val="0"/>
          <w:marBottom w:val="0"/>
          <w:divBdr>
            <w:top w:val="none" w:sz="0" w:space="0" w:color="auto"/>
            <w:left w:val="none" w:sz="0" w:space="0" w:color="auto"/>
            <w:bottom w:val="none" w:sz="0" w:space="0" w:color="auto"/>
            <w:right w:val="none" w:sz="0" w:space="0" w:color="auto"/>
          </w:divBdr>
          <w:divsChild>
            <w:div w:id="1378706015">
              <w:marLeft w:val="0"/>
              <w:marRight w:val="0"/>
              <w:marTop w:val="0"/>
              <w:marBottom w:val="0"/>
              <w:divBdr>
                <w:top w:val="none" w:sz="0" w:space="0" w:color="auto"/>
                <w:left w:val="none" w:sz="0" w:space="0" w:color="auto"/>
                <w:bottom w:val="none" w:sz="0" w:space="0" w:color="auto"/>
                <w:right w:val="none" w:sz="0" w:space="0" w:color="auto"/>
              </w:divBdr>
              <w:divsChild>
                <w:div w:id="13423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utnick@kcl.ac.u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A480D-E1B5-44C6-A299-64C564E1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17144</Words>
  <Characters>97727</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114642</CharactersWithSpaces>
  <SharedDoc>false</SharedDoc>
  <HLinks>
    <vt:vector size="36" baseType="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2752519</vt:i4>
      </vt:variant>
      <vt:variant>
        <vt:i4>0</vt:i4>
      </vt:variant>
      <vt:variant>
        <vt:i4>0</vt:i4>
      </vt:variant>
      <vt:variant>
        <vt:i4>5</vt:i4>
      </vt:variant>
      <vt:variant>
        <vt:lpwstr>mailto:peter.kutnick@kcl.ac.uk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Kutnick, Peter</dc:creator>
  <cp:keywords/>
  <cp:lastModifiedBy>Awan, Fatimah</cp:lastModifiedBy>
  <cp:revision>2</cp:revision>
  <cp:lastPrinted>2021-06-24T00:44:00Z</cp:lastPrinted>
  <dcterms:created xsi:type="dcterms:W3CDTF">2022-03-28T11:37:00Z</dcterms:created>
  <dcterms:modified xsi:type="dcterms:W3CDTF">2022-03-28T11:37:00Z</dcterms:modified>
</cp:coreProperties>
</file>