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EA54" w14:textId="093AAED4" w:rsidR="00B86CA3" w:rsidRPr="00A07067" w:rsidRDefault="00B86CA3" w:rsidP="00A07067">
      <w:pPr>
        <w:jc w:val="center"/>
        <w:rPr>
          <w:b/>
          <w:color w:val="FF0000"/>
          <w:sz w:val="32"/>
          <w:szCs w:val="32"/>
        </w:rPr>
      </w:pPr>
      <w:r w:rsidRPr="00A07067">
        <w:rPr>
          <w:b/>
          <w:sz w:val="32"/>
          <w:szCs w:val="32"/>
        </w:rPr>
        <w:t>Infection profile of immune-modulatory drugs used in autoimmune diseases: Analysis of summary of product characteristic data</w:t>
      </w:r>
      <w:r w:rsidR="00165361" w:rsidRPr="00A07067">
        <w:rPr>
          <w:b/>
          <w:sz w:val="32"/>
          <w:szCs w:val="32"/>
        </w:rPr>
        <w:t xml:space="preserve"> </w:t>
      </w:r>
    </w:p>
    <w:p w14:paraId="1B1809BA" w14:textId="3C4D07D5" w:rsidR="00A07067" w:rsidRPr="001005F8" w:rsidRDefault="00A07067" w:rsidP="00A07067">
      <w:pPr>
        <w:jc w:val="center"/>
        <w:rPr>
          <w:b/>
          <w:color w:val="FF0000"/>
        </w:rPr>
      </w:pPr>
      <w:r w:rsidRPr="001005F8">
        <w:t>M Dey</w:t>
      </w:r>
      <w:r w:rsidRPr="001005F8">
        <w:rPr>
          <w:vertAlign w:val="superscript"/>
        </w:rPr>
        <w:t>1,2</w:t>
      </w:r>
      <w:r w:rsidRPr="001005F8">
        <w:t>, Katie Bechman</w:t>
      </w:r>
      <w:r w:rsidRPr="001005F8">
        <w:rPr>
          <w:vertAlign w:val="superscript"/>
        </w:rPr>
        <w:t>3</w:t>
      </w:r>
      <w:r w:rsidRPr="001005F8">
        <w:t xml:space="preserve">, </w:t>
      </w:r>
      <w:proofErr w:type="spellStart"/>
      <w:r w:rsidR="00270A0B" w:rsidRPr="001005F8">
        <w:t>Sizheng</w:t>
      </w:r>
      <w:proofErr w:type="spellEnd"/>
      <w:r w:rsidR="00270A0B" w:rsidRPr="001005F8">
        <w:t xml:space="preserve"> Steven Zhao</w:t>
      </w:r>
      <w:r w:rsidR="00270A0B" w:rsidRPr="001005F8">
        <w:rPr>
          <w:vertAlign w:val="superscript"/>
        </w:rPr>
        <w:t>4</w:t>
      </w:r>
      <w:r w:rsidR="00270A0B" w:rsidRPr="001005F8">
        <w:t>, George E. Fragoulis</w:t>
      </w:r>
      <w:r w:rsidR="00270A0B" w:rsidRPr="001005F8">
        <w:rPr>
          <w:vertAlign w:val="superscript"/>
        </w:rPr>
        <w:t>5</w:t>
      </w:r>
      <w:r w:rsidR="00172BB5">
        <w:rPr>
          <w:vertAlign w:val="superscript"/>
        </w:rPr>
        <w:t>,6</w:t>
      </w:r>
      <w:r w:rsidR="00270A0B" w:rsidRPr="001005F8">
        <w:t xml:space="preserve">, </w:t>
      </w:r>
      <w:r w:rsidRPr="001005F8">
        <w:t>Catherine H Smith</w:t>
      </w:r>
      <w:r w:rsidR="00172BB5">
        <w:rPr>
          <w:vertAlign w:val="superscript"/>
        </w:rPr>
        <w:t>7</w:t>
      </w:r>
      <w:r w:rsidRPr="001005F8">
        <w:t>, Andrew P Cope</w:t>
      </w:r>
      <w:r w:rsidR="00535ADA" w:rsidRPr="001005F8">
        <w:rPr>
          <w:vertAlign w:val="superscript"/>
        </w:rPr>
        <w:t>3</w:t>
      </w:r>
      <w:r w:rsidRPr="001005F8">
        <w:t>, Elena Nikiphorou</w:t>
      </w:r>
      <w:r w:rsidR="00535ADA" w:rsidRPr="001005F8">
        <w:rPr>
          <w:vertAlign w:val="superscript"/>
        </w:rPr>
        <w:t>3</w:t>
      </w:r>
      <w:r w:rsidRPr="001005F8">
        <w:t xml:space="preserve">, </w:t>
      </w:r>
      <w:proofErr w:type="spellStart"/>
      <w:r w:rsidRPr="001005F8">
        <w:t>Kimme</w:t>
      </w:r>
      <w:proofErr w:type="spellEnd"/>
      <w:r w:rsidRPr="001005F8">
        <w:t xml:space="preserve"> Hyrich</w:t>
      </w:r>
      <w:r w:rsidR="00270A0B" w:rsidRPr="001005F8">
        <w:rPr>
          <w:vertAlign w:val="superscript"/>
        </w:rPr>
        <w:t>4</w:t>
      </w:r>
      <w:r w:rsidR="00DD66B6" w:rsidRPr="001005F8">
        <w:rPr>
          <w:vertAlign w:val="superscript"/>
        </w:rPr>
        <w:t>,</w:t>
      </w:r>
      <w:r w:rsidR="00172BB5">
        <w:rPr>
          <w:vertAlign w:val="superscript"/>
        </w:rPr>
        <w:t>8</w:t>
      </w:r>
      <w:r w:rsidRPr="001005F8">
        <w:t>, James B Galloway</w:t>
      </w:r>
      <w:r w:rsidR="00535ADA" w:rsidRPr="001005F8">
        <w:rPr>
          <w:vertAlign w:val="superscript"/>
        </w:rPr>
        <w:t>3</w:t>
      </w:r>
      <w:r w:rsidRPr="001005F8">
        <w:rPr>
          <w:b/>
          <w:color w:val="FF0000"/>
        </w:rPr>
        <w:t xml:space="preserve"> </w:t>
      </w:r>
    </w:p>
    <w:p w14:paraId="6082984C" w14:textId="77777777" w:rsidR="00A07067" w:rsidRPr="001005F8" w:rsidRDefault="00A07067" w:rsidP="00A07067">
      <w:pPr>
        <w:jc w:val="center"/>
        <w:rPr>
          <w:rFonts w:cstheme="minorHAnsi"/>
        </w:rPr>
      </w:pPr>
      <w:r w:rsidRPr="001005F8">
        <w:rPr>
          <w:rFonts w:cstheme="minorHAnsi"/>
          <w:vertAlign w:val="superscript"/>
        </w:rPr>
        <w:t>1</w:t>
      </w:r>
      <w:r w:rsidRPr="001005F8">
        <w:rPr>
          <w:rFonts w:cstheme="minorHAnsi"/>
        </w:rPr>
        <w:t>Institute of Life Course and Medical Sciences, University of Liverpool, Brownlow Hill, Liverpool, L69 3BX, UK</w:t>
      </w:r>
    </w:p>
    <w:p w14:paraId="0D199479" w14:textId="17D29A36" w:rsidR="00A07067" w:rsidRPr="001005F8" w:rsidRDefault="00A07067" w:rsidP="00A07067">
      <w:pPr>
        <w:jc w:val="center"/>
        <w:rPr>
          <w:rFonts w:cstheme="minorHAnsi"/>
        </w:rPr>
      </w:pPr>
      <w:r w:rsidRPr="001005F8">
        <w:rPr>
          <w:rFonts w:cstheme="minorHAnsi"/>
          <w:vertAlign w:val="superscript"/>
        </w:rPr>
        <w:t>2</w:t>
      </w:r>
      <w:r w:rsidRPr="001005F8">
        <w:rPr>
          <w:rFonts w:cstheme="minorHAnsi"/>
        </w:rPr>
        <w:t>Department of Rheumatology, Countess of Chester Hospital NHS Foundation Trust, Liverpool Road, Chester, CH2 1UL, UK</w:t>
      </w:r>
    </w:p>
    <w:p w14:paraId="4CF977F7" w14:textId="2A20C9E1" w:rsidR="00535ADA" w:rsidRPr="001005F8" w:rsidRDefault="00535ADA" w:rsidP="00535ADA">
      <w:pPr>
        <w:jc w:val="center"/>
        <w:rPr>
          <w:rFonts w:cstheme="minorHAnsi"/>
          <w:lang w:val="en-US"/>
        </w:rPr>
      </w:pPr>
      <w:r w:rsidRPr="001005F8">
        <w:rPr>
          <w:rFonts w:cstheme="minorHAnsi"/>
          <w:vertAlign w:val="superscript"/>
        </w:rPr>
        <w:t xml:space="preserve">3 </w:t>
      </w:r>
      <w:r w:rsidRPr="001005F8">
        <w:rPr>
          <w:rFonts w:cstheme="minorHAnsi"/>
          <w:lang w:val="en-US"/>
        </w:rPr>
        <w:t>Department of Inflammation Biology, Centre for Rheumatic Diseases, King's College London, London SE5 9RJ, UK</w:t>
      </w:r>
    </w:p>
    <w:p w14:paraId="46ED7708" w14:textId="71A4D351" w:rsidR="00270A0B" w:rsidRPr="001005F8" w:rsidRDefault="001005F8" w:rsidP="00535ADA">
      <w:pPr>
        <w:jc w:val="center"/>
        <w:rPr>
          <w:rFonts w:cstheme="minorHAnsi"/>
        </w:rPr>
      </w:pPr>
      <w:r w:rsidRPr="001005F8">
        <w:rPr>
          <w:rFonts w:cstheme="minorHAnsi"/>
          <w:vertAlign w:val="superscript"/>
        </w:rPr>
        <w:t>4</w:t>
      </w:r>
      <w:r w:rsidRPr="001005F8">
        <w:rPr>
          <w:rFonts w:cstheme="minorHAnsi"/>
        </w:rPr>
        <w:t>Versus Arthritis</w:t>
      </w:r>
      <w:r w:rsidRPr="001005F8">
        <w:rPr>
          <w:rFonts w:cstheme="minorHAnsi"/>
          <w:vertAlign w:val="superscript"/>
        </w:rPr>
        <w:t xml:space="preserve"> </w:t>
      </w:r>
      <w:r w:rsidR="00270A0B" w:rsidRPr="001005F8">
        <w:rPr>
          <w:rFonts w:cstheme="minorHAnsi"/>
        </w:rPr>
        <w:t xml:space="preserve">Centre for Epidemiology, </w:t>
      </w:r>
      <w:r w:rsidRPr="001005F8">
        <w:rPr>
          <w:rFonts w:cstheme="minorHAnsi"/>
        </w:rPr>
        <w:t>Centre for Musculoskeletal Research, The University of Manchester, Manchester, M13 9PL, UK</w:t>
      </w:r>
    </w:p>
    <w:p w14:paraId="43A6DAC9" w14:textId="501D3D5D" w:rsidR="00535ADA" w:rsidRPr="00172BB5" w:rsidRDefault="00535ADA" w:rsidP="00535ADA">
      <w:pPr>
        <w:jc w:val="center"/>
      </w:pPr>
      <w:r w:rsidRPr="001005F8">
        <w:rPr>
          <w:vertAlign w:val="superscript"/>
        </w:rPr>
        <w:t>5</w:t>
      </w:r>
      <w:r w:rsidR="00172BB5" w:rsidRPr="00172BB5">
        <w:t xml:space="preserve">Joint </w:t>
      </w:r>
      <w:r w:rsidR="00172BB5">
        <w:t>A</w:t>
      </w:r>
      <w:r w:rsidR="00172BB5" w:rsidRPr="00172BB5">
        <w:t xml:space="preserve">cademic </w:t>
      </w:r>
      <w:r w:rsidR="00172BB5">
        <w:t>R</w:t>
      </w:r>
      <w:r w:rsidR="00172BB5" w:rsidRPr="00172BB5">
        <w:t xml:space="preserve">heumatology </w:t>
      </w:r>
      <w:r w:rsidR="00172BB5">
        <w:t>P</w:t>
      </w:r>
      <w:r w:rsidR="00172BB5" w:rsidRPr="00172BB5">
        <w:t xml:space="preserve">rogram, First Department of Propaedeutic Internal Medicine, National and </w:t>
      </w:r>
      <w:proofErr w:type="spellStart"/>
      <w:r w:rsidR="00172BB5" w:rsidRPr="00172BB5">
        <w:t>Kapodistrian</w:t>
      </w:r>
      <w:proofErr w:type="spellEnd"/>
      <w:r w:rsidR="00172BB5" w:rsidRPr="00172BB5">
        <w:t xml:space="preserve"> University of Athens, Athens, Greece</w:t>
      </w:r>
    </w:p>
    <w:p w14:paraId="0BF20BE9" w14:textId="44EB555C" w:rsidR="00172BB5" w:rsidRPr="00172BB5" w:rsidRDefault="00270A0B" w:rsidP="00270A0B">
      <w:pPr>
        <w:jc w:val="center"/>
        <w:rPr>
          <w:shd w:val="clear" w:color="auto" w:fill="FFFFFF"/>
        </w:rPr>
      </w:pPr>
      <w:r w:rsidRPr="00172BB5">
        <w:rPr>
          <w:shd w:val="clear" w:color="auto" w:fill="FFFFFF"/>
          <w:vertAlign w:val="superscript"/>
        </w:rPr>
        <w:t>6</w:t>
      </w:r>
      <w:r w:rsidR="00172BB5" w:rsidRPr="00172BB5">
        <w:rPr>
          <w:shd w:val="clear" w:color="auto" w:fill="FFFFFF"/>
        </w:rPr>
        <w:t xml:space="preserve">Institute of Infection, Immunity &amp; Inflammation, University of Glasgow, Glasgow, </w:t>
      </w:r>
      <w:r w:rsidR="00172BB5">
        <w:rPr>
          <w:shd w:val="clear" w:color="auto" w:fill="FFFFFF"/>
        </w:rPr>
        <w:t>UK</w:t>
      </w:r>
    </w:p>
    <w:p w14:paraId="54ADC9BA" w14:textId="54DE3F31" w:rsidR="00270A0B" w:rsidRPr="001005F8" w:rsidRDefault="00172BB5" w:rsidP="00270A0B">
      <w:pPr>
        <w:jc w:val="center"/>
        <w:rPr>
          <w:shd w:val="clear" w:color="auto" w:fill="FFFFFF"/>
        </w:rPr>
      </w:pPr>
      <w:r w:rsidRPr="00172BB5">
        <w:rPr>
          <w:shd w:val="clear" w:color="auto" w:fill="FFFFFF"/>
          <w:vertAlign w:val="superscript"/>
        </w:rPr>
        <w:t>7</w:t>
      </w:r>
      <w:r w:rsidR="00270A0B" w:rsidRPr="001005F8">
        <w:rPr>
          <w:shd w:val="clear" w:color="auto" w:fill="FFFFFF"/>
        </w:rPr>
        <w:t>St John’s Institute of Dermatology, King’s College London, London, UK</w:t>
      </w:r>
    </w:p>
    <w:p w14:paraId="65FBD133" w14:textId="28E347D4" w:rsidR="001005F8" w:rsidRPr="001005F8" w:rsidRDefault="00172BB5" w:rsidP="00270A0B">
      <w:pPr>
        <w:jc w:val="center"/>
        <w:rPr>
          <w:shd w:val="clear" w:color="auto" w:fill="FFFFFF"/>
        </w:rPr>
      </w:pPr>
      <w:r w:rsidRPr="00172BB5">
        <w:rPr>
          <w:rFonts w:cstheme="minorHAnsi"/>
          <w:vertAlign w:val="superscript"/>
        </w:rPr>
        <w:t>8</w:t>
      </w:r>
      <w:r w:rsidR="001005F8" w:rsidRPr="001005F8">
        <w:rPr>
          <w:rFonts w:cstheme="minorHAnsi"/>
        </w:rPr>
        <w:t>NIHR Manchester Biomedical Research Centre, Manchester University NHS Foundation Trust, Manchester Academic Health Sciences Centre, Manchester, UK</w:t>
      </w:r>
    </w:p>
    <w:p w14:paraId="69F5750E" w14:textId="77777777" w:rsidR="00734366" w:rsidRPr="00591B6A" w:rsidRDefault="00734366" w:rsidP="00734366">
      <w:pPr>
        <w:jc w:val="center"/>
      </w:pPr>
      <w:r>
        <w:rPr>
          <w:b/>
        </w:rPr>
        <w:t xml:space="preserve">Corresponding author: </w:t>
      </w:r>
      <w:hyperlink r:id="rId11" w:history="1">
        <w:r w:rsidRPr="00591B6A">
          <w:rPr>
            <w:rStyle w:val="Hyperlink"/>
          </w:rPr>
          <w:t>Mrinalini.dey@nhs.net</w:t>
        </w:r>
      </w:hyperlink>
      <w:r w:rsidRPr="00591B6A">
        <w:t xml:space="preserve"> ; Institute of Life Course and Medical Sciences, University of Liverpool, Brownlow Hill, Liverpool, L69 3BX, UK</w:t>
      </w:r>
    </w:p>
    <w:p w14:paraId="116A5544" w14:textId="77777777" w:rsidR="00535ADA" w:rsidRPr="00535ADA" w:rsidRDefault="00535ADA" w:rsidP="00535ADA">
      <w:pPr>
        <w:jc w:val="center"/>
      </w:pPr>
    </w:p>
    <w:p w14:paraId="6FF298B7" w14:textId="1DB4A86E" w:rsidR="00A07067" w:rsidRPr="00A07067" w:rsidRDefault="00A07067" w:rsidP="00A07067">
      <w:pPr>
        <w:jc w:val="center"/>
      </w:pPr>
      <w:r>
        <w:t xml:space="preserve">Word count: </w:t>
      </w:r>
      <w:r w:rsidRPr="00A07067">
        <w:t>2</w:t>
      </w:r>
      <w:r w:rsidR="00CD3601">
        <w:t>96</w:t>
      </w:r>
      <w:r w:rsidR="002430F4">
        <w:t>0</w:t>
      </w:r>
    </w:p>
    <w:p w14:paraId="3A3914FF" w14:textId="77777777" w:rsidR="00A07067" w:rsidRDefault="00A07067">
      <w:pPr>
        <w:rPr>
          <w:b/>
        </w:rPr>
      </w:pPr>
      <w:r>
        <w:rPr>
          <w:b/>
        </w:rPr>
        <w:br w:type="page"/>
      </w:r>
    </w:p>
    <w:p w14:paraId="134A61E1" w14:textId="06DF1682" w:rsidR="00C06480" w:rsidRPr="003035D5" w:rsidRDefault="00C06480" w:rsidP="003035D5">
      <w:pPr>
        <w:rPr>
          <w:b/>
        </w:rPr>
      </w:pPr>
      <w:r>
        <w:rPr>
          <w:b/>
        </w:rPr>
        <w:lastRenderedPageBreak/>
        <w:t>Abstract</w:t>
      </w:r>
    </w:p>
    <w:p w14:paraId="5086A954" w14:textId="0B0CB285" w:rsidR="00133702" w:rsidRPr="00133702" w:rsidRDefault="00133702" w:rsidP="00C06480">
      <w:pPr>
        <w:jc w:val="both"/>
        <w:rPr>
          <w:i/>
        </w:rPr>
      </w:pPr>
      <w:bookmarkStart w:id="0" w:name="_Hlk62759400"/>
      <w:r>
        <w:rPr>
          <w:i/>
        </w:rPr>
        <w:t>Objective</w:t>
      </w:r>
    </w:p>
    <w:p w14:paraId="563D1B7E" w14:textId="36AAC650" w:rsidR="00C06480" w:rsidRPr="003035D5" w:rsidRDefault="00FF4A66" w:rsidP="00C06480">
      <w:pPr>
        <w:jc w:val="both"/>
      </w:pPr>
      <w:r>
        <w:t xml:space="preserve">Serious infection remains a concern </w:t>
      </w:r>
      <w:r w:rsidR="000B2B52">
        <w:t>when prescribing</w:t>
      </w:r>
      <w:r>
        <w:t xml:space="preserve"> immune-modulatory drugs for immune-mediated inflammatory diseases. </w:t>
      </w:r>
      <w:r w:rsidR="00C06480">
        <w:t>The “summary of product characteristics” (</w:t>
      </w:r>
      <w:proofErr w:type="spellStart"/>
      <w:r w:rsidR="00C06480">
        <w:t>SmPC</w:t>
      </w:r>
      <w:r w:rsidR="006F7FCA">
        <w:t>s</w:t>
      </w:r>
      <w:proofErr w:type="spellEnd"/>
      <w:r w:rsidR="00C06480">
        <w:t xml:space="preserve">) </w:t>
      </w:r>
      <w:r w:rsidR="006F7FCA">
        <w:t>provide</w:t>
      </w:r>
      <w:r w:rsidR="00C06480">
        <w:t xml:space="preserve"> information on adverse events e.g. infections, from clinical trials and post-marketing pharmacovigilance. </w:t>
      </w:r>
      <w:bookmarkEnd w:id="0"/>
    </w:p>
    <w:p w14:paraId="2F663D19" w14:textId="60E3BE33" w:rsidR="00C06480" w:rsidRPr="003035D5" w:rsidRDefault="003035D5" w:rsidP="00C06480">
      <w:pPr>
        <w:jc w:val="both"/>
      </w:pPr>
      <w:bookmarkStart w:id="1" w:name="_Hlk62759428"/>
      <w:r>
        <w:t>This review aimed t</w:t>
      </w:r>
      <w:r w:rsidR="00C06480">
        <w:t xml:space="preserve">o compare infection frequency, site and type across immune-modulatory drugs, </w:t>
      </w:r>
      <w:r w:rsidR="006F7FCA">
        <w:t>reported in</w:t>
      </w:r>
      <w:r w:rsidR="00C06480">
        <w:t xml:space="preserve"> </w:t>
      </w:r>
      <w:proofErr w:type="spellStart"/>
      <w:r w:rsidR="00C06480">
        <w:t>SmPCs</w:t>
      </w:r>
      <w:proofErr w:type="spellEnd"/>
      <w:r w:rsidR="00C06480">
        <w:t>.</w:t>
      </w:r>
      <w:bookmarkEnd w:id="1"/>
    </w:p>
    <w:p w14:paraId="2B6118FC" w14:textId="68FE1DE4" w:rsidR="00133702" w:rsidRPr="00133702" w:rsidRDefault="00133702" w:rsidP="00C06480">
      <w:pPr>
        <w:jc w:val="both"/>
        <w:rPr>
          <w:i/>
          <w:shd w:val="clear" w:color="auto" w:fill="FFFFFF"/>
        </w:rPr>
      </w:pPr>
      <w:bookmarkStart w:id="2" w:name="_Hlk62759448"/>
      <w:r>
        <w:rPr>
          <w:i/>
          <w:shd w:val="clear" w:color="auto" w:fill="FFFFFF"/>
        </w:rPr>
        <w:t>Methods</w:t>
      </w:r>
    </w:p>
    <w:p w14:paraId="0042AABC" w14:textId="01296054" w:rsidR="00C06480" w:rsidRDefault="004E02A3" w:rsidP="00C06480">
      <w:pPr>
        <w:jc w:val="both"/>
      </w:pPr>
      <w:r w:rsidRPr="008A071A">
        <w:rPr>
          <w:shd w:val="clear" w:color="auto" w:fill="FFFFFF"/>
        </w:rPr>
        <w:t xml:space="preserve">The </w:t>
      </w:r>
      <w:r>
        <w:rPr>
          <w:shd w:val="clear" w:color="auto" w:fill="FFFFFF"/>
        </w:rPr>
        <w:t>Electronic Medicines Compendium was searched for commonly</w:t>
      </w:r>
      <w:r w:rsidR="00674CE0">
        <w:rPr>
          <w:shd w:val="clear" w:color="auto" w:fill="FFFFFF"/>
        </w:rPr>
        <w:t>-</w:t>
      </w:r>
      <w:r>
        <w:rPr>
          <w:shd w:val="clear" w:color="auto" w:fill="FFFFFF"/>
        </w:rPr>
        <w:t>prescribed immune-modulatory drugs used for</w:t>
      </w:r>
      <w:r w:rsidR="00C06480">
        <w:t>: rheumatoid arthritis, spondyloarthritis, connective tissue disease, autoimmune vasculitis, autoinflammatory syndromes, inflammatory bowel disease</w:t>
      </w:r>
      <w:r w:rsidR="00FF4A66">
        <w:t xml:space="preserve">, </w:t>
      </w:r>
      <w:r w:rsidR="00C06480">
        <w:t xml:space="preserve">psoriasis, multiple sclerosis </w:t>
      </w:r>
      <w:r w:rsidR="006F7FCA">
        <w:t>and/or</w:t>
      </w:r>
      <w:r w:rsidR="00C06480">
        <w:t xml:space="preserve"> other rarer conditions.</w:t>
      </w:r>
    </w:p>
    <w:p w14:paraId="51969BE6" w14:textId="77777777" w:rsidR="003035D5" w:rsidRDefault="004E02A3" w:rsidP="00C06480">
      <w:pPr>
        <w:jc w:val="both"/>
      </w:pPr>
      <w:r>
        <w:rPr>
          <w:shd w:val="clear" w:color="auto" w:fill="FFFFFF"/>
        </w:rPr>
        <w:t>I</w:t>
      </w:r>
      <w:r w:rsidR="00C06480">
        <w:rPr>
          <w:shd w:val="clear" w:color="auto" w:fill="FFFFFF"/>
        </w:rPr>
        <w:t xml:space="preserve">nformation </w:t>
      </w:r>
      <w:r>
        <w:rPr>
          <w:shd w:val="clear" w:color="auto" w:fill="FFFFFF"/>
        </w:rPr>
        <w:t xml:space="preserve">was </w:t>
      </w:r>
      <w:r w:rsidR="00FF4A66">
        <w:rPr>
          <w:shd w:val="clear" w:color="auto" w:fill="FFFFFF"/>
        </w:rPr>
        <w:t xml:space="preserve">extracted </w:t>
      </w:r>
      <w:r w:rsidR="00C06480">
        <w:rPr>
          <w:shd w:val="clear" w:color="auto" w:fill="FFFFFF"/>
        </w:rPr>
        <w:t>on infection frequency</w:t>
      </w:r>
      <w:r w:rsidR="00FF4A66">
        <w:rPr>
          <w:shd w:val="clear" w:color="auto" w:fill="FFFFFF"/>
        </w:rPr>
        <w:t>, site and organisms</w:t>
      </w:r>
      <w:r w:rsidR="00C06480">
        <w:rPr>
          <w:shd w:val="clear" w:color="auto" w:fill="FFFFFF"/>
        </w:rPr>
        <w:t xml:space="preserve">. </w:t>
      </w:r>
      <w:r w:rsidR="00674CE0">
        <w:rPr>
          <w:shd w:val="clear" w:color="auto" w:fill="FFFFFF"/>
        </w:rPr>
        <w:t>F</w:t>
      </w:r>
      <w:r w:rsidR="00C06480">
        <w:rPr>
          <w:shd w:val="clear" w:color="auto" w:fill="FFFFFF"/>
        </w:rPr>
        <w:t xml:space="preserve">requency was recorded as per </w:t>
      </w:r>
      <w:r>
        <w:rPr>
          <w:shd w:val="clear" w:color="auto" w:fill="FFFFFF"/>
        </w:rPr>
        <w:t>the</w:t>
      </w:r>
      <w:r w:rsidR="00C06480">
        <w:rPr>
          <w:shd w:val="clear" w:color="auto" w:fill="FFFFFF"/>
        </w:rPr>
        <w:t xml:space="preserve"> </w:t>
      </w:r>
      <w:proofErr w:type="spellStart"/>
      <w:r w:rsidR="00C06480">
        <w:rPr>
          <w:shd w:val="clear" w:color="auto" w:fill="FFFFFF"/>
        </w:rPr>
        <w:t>SmPC</w:t>
      </w:r>
      <w:r w:rsidR="00FF4A66">
        <w:rPr>
          <w:shd w:val="clear" w:color="auto" w:fill="FFFFFF"/>
        </w:rPr>
        <w:t>s</w:t>
      </w:r>
      <w:proofErr w:type="spellEnd"/>
      <w:r w:rsidR="00C06480">
        <w:rPr>
          <w:shd w:val="clear" w:color="auto" w:fill="FFFFFF"/>
        </w:rPr>
        <w:t>: v</w:t>
      </w:r>
      <w:r w:rsidR="00C06480" w:rsidRPr="00B970EA">
        <w:rPr>
          <w:shd w:val="clear" w:color="auto" w:fill="FFFFFF"/>
        </w:rPr>
        <w:t xml:space="preserve">ery </w:t>
      </w:r>
      <w:proofErr w:type="gramStart"/>
      <w:r w:rsidR="00C06480" w:rsidRPr="00B970EA">
        <w:rPr>
          <w:shd w:val="clear" w:color="auto" w:fill="FFFFFF"/>
        </w:rPr>
        <w:t>common(</w:t>
      </w:r>
      <w:proofErr w:type="gramEnd"/>
      <w:r w:rsidR="00C06480" w:rsidRPr="00B970EA">
        <w:rPr>
          <w:shd w:val="clear" w:color="auto" w:fill="FFFFFF"/>
        </w:rPr>
        <w:t>≥1/10); common(≥1/100 to &lt;1/10); uncommon(≥1/1,000 to &lt;1/100); rare(≥1/10,000 to &lt;1/1,000); very rare(&lt;1/10,000)</w:t>
      </w:r>
      <w:r w:rsidR="00C06480">
        <w:rPr>
          <w:shd w:val="clear" w:color="auto" w:fill="FFFFFF"/>
        </w:rPr>
        <w:t>.</w:t>
      </w:r>
      <w:bookmarkEnd w:id="2"/>
    </w:p>
    <w:p w14:paraId="26F6C5CF" w14:textId="6314DF25" w:rsidR="00133702" w:rsidRPr="00133702" w:rsidRDefault="00133702" w:rsidP="00C06480">
      <w:pPr>
        <w:jc w:val="both"/>
        <w:rPr>
          <w:i/>
          <w:shd w:val="clear" w:color="auto" w:fill="FFFFFF"/>
        </w:rPr>
      </w:pPr>
      <w:bookmarkStart w:id="3" w:name="_Hlk62759507"/>
      <w:r>
        <w:rPr>
          <w:i/>
          <w:shd w:val="clear" w:color="auto" w:fill="FFFFFF"/>
        </w:rPr>
        <w:t>Results</w:t>
      </w:r>
    </w:p>
    <w:p w14:paraId="050D62DA" w14:textId="77CDA318" w:rsidR="00C06480" w:rsidRPr="003035D5" w:rsidRDefault="00C06480" w:rsidP="00C06480">
      <w:pPr>
        <w:jc w:val="both"/>
      </w:pPr>
      <w:r>
        <w:rPr>
          <w:shd w:val="clear" w:color="auto" w:fill="FFFFFF"/>
        </w:rPr>
        <w:t>39 drugs were included, across 20 indications: nine conventional synthetic disease-modifying anti-rheumatic drugs (csDMARDs), six targeted synthetic DMARDs</w:t>
      </w:r>
      <w:r w:rsidR="00674CE0">
        <w:rPr>
          <w:shd w:val="clear" w:color="auto" w:fill="FFFFFF"/>
        </w:rPr>
        <w:t xml:space="preserve">, </w:t>
      </w:r>
      <w:r>
        <w:rPr>
          <w:shd w:val="clear" w:color="auto" w:fill="FFFFFF"/>
        </w:rPr>
        <w:t xml:space="preserve">24 biologic </w:t>
      </w:r>
      <w:r w:rsidR="00E44AFD">
        <w:rPr>
          <w:shd w:val="clear" w:color="auto" w:fill="FFFFFF"/>
        </w:rPr>
        <w:t>(b)</w:t>
      </w:r>
      <w:r>
        <w:rPr>
          <w:shd w:val="clear" w:color="auto" w:fill="FFFFFF"/>
        </w:rPr>
        <w:t>DMARDs</w:t>
      </w:r>
      <w:r w:rsidRPr="00FC3C88">
        <w:rPr>
          <w:shd w:val="clear" w:color="auto" w:fill="FFFFFF"/>
        </w:rPr>
        <w:t>.</w:t>
      </w:r>
    </w:p>
    <w:p w14:paraId="6D960183" w14:textId="6630D95C" w:rsidR="00C06480" w:rsidRDefault="00C06480" w:rsidP="00C06480">
      <w:pPr>
        <w:jc w:val="both"/>
        <w:rPr>
          <w:shd w:val="clear" w:color="auto" w:fill="FFFFFF"/>
        </w:rPr>
      </w:pPr>
      <w:r>
        <w:rPr>
          <w:shd w:val="clear" w:color="auto" w:fill="FFFFFF"/>
        </w:rPr>
        <w:t xml:space="preserve">Twelve </w:t>
      </w:r>
      <w:r w:rsidR="00FF4A66">
        <w:rPr>
          <w:shd w:val="clear" w:color="auto" w:fill="FFFFFF"/>
        </w:rPr>
        <w:t xml:space="preserve">infection </w:t>
      </w:r>
      <w:r>
        <w:rPr>
          <w:shd w:val="clear" w:color="auto" w:fill="FFFFFF"/>
        </w:rPr>
        <w:t>sites were recorded. Minimal</w:t>
      </w:r>
      <w:r w:rsidR="000B2B52">
        <w:rPr>
          <w:shd w:val="clear" w:color="auto" w:fill="FFFFFF"/>
        </w:rPr>
        <w:t>/</w:t>
      </w:r>
      <w:r>
        <w:rPr>
          <w:shd w:val="clear" w:color="auto" w:fill="FFFFFF"/>
        </w:rPr>
        <w:t>no site information was available for most csDMARDs, certolizumab pegol and rituximab. Upper respiratory tract was the most common site, especially with bDMARDs. Lower respiratory, ear/nose/throat</w:t>
      </w:r>
      <w:r w:rsidR="004E02A3">
        <w:rPr>
          <w:shd w:val="clear" w:color="auto" w:fill="FFFFFF"/>
        </w:rPr>
        <w:t xml:space="preserve"> </w:t>
      </w:r>
      <w:r>
        <w:rPr>
          <w:shd w:val="clear" w:color="auto" w:fill="FFFFFF"/>
        </w:rPr>
        <w:t>and urinary tract infections were moderately common, with clustering within drug groups.</w:t>
      </w:r>
    </w:p>
    <w:p w14:paraId="0874CCAA" w14:textId="585A257D" w:rsidR="00C06480" w:rsidRPr="003035D5" w:rsidRDefault="007153C4" w:rsidP="00C06480">
      <w:pPr>
        <w:jc w:val="both"/>
        <w:rPr>
          <w:shd w:val="clear" w:color="auto" w:fill="FFFFFF"/>
        </w:rPr>
      </w:pPr>
      <w:r>
        <w:rPr>
          <w:shd w:val="clear" w:color="auto" w:fill="FFFFFF"/>
        </w:rPr>
        <w:t>D</w:t>
      </w:r>
      <w:r w:rsidR="00C06480">
        <w:rPr>
          <w:shd w:val="clear" w:color="auto" w:fill="FFFFFF"/>
        </w:rPr>
        <w:t>ata for 27 pathogens were recorded, majority viruses</w:t>
      </w:r>
      <w:r w:rsidR="003549A2">
        <w:rPr>
          <w:shd w:val="clear" w:color="auto" w:fill="FFFFFF"/>
        </w:rPr>
        <w:t>, with h</w:t>
      </w:r>
      <w:r w:rsidR="00C06480">
        <w:rPr>
          <w:shd w:val="clear" w:color="auto" w:fill="FFFFFF"/>
        </w:rPr>
        <w:t>erpes simplex and zoster</w:t>
      </w:r>
      <w:r w:rsidR="000B2B52">
        <w:rPr>
          <w:shd w:val="clear" w:color="auto" w:fill="FFFFFF"/>
        </w:rPr>
        <w:t xml:space="preserve"> </w:t>
      </w:r>
      <w:r w:rsidR="00FF4A66">
        <w:rPr>
          <w:shd w:val="clear" w:color="auto" w:fill="FFFFFF"/>
        </w:rPr>
        <w:t>and influenza</w:t>
      </w:r>
      <w:r w:rsidR="00C06480">
        <w:rPr>
          <w:shd w:val="clear" w:color="auto" w:fill="FFFFFF"/>
        </w:rPr>
        <w:t xml:space="preserve"> most frequent. Variable</w:t>
      </w:r>
      <w:r w:rsidR="00207F3A">
        <w:rPr>
          <w:shd w:val="clear" w:color="auto" w:fill="FFFFFF"/>
        </w:rPr>
        <w:t>/</w:t>
      </w:r>
      <w:r w:rsidR="00C06480">
        <w:rPr>
          <w:shd w:val="clear" w:color="auto" w:fill="FFFFFF"/>
        </w:rPr>
        <w:t xml:space="preserve">absent reporting was noted for opportunistic and certain high-prevalence </w:t>
      </w:r>
      <w:r>
        <w:rPr>
          <w:shd w:val="clear" w:color="auto" w:fill="FFFFFF"/>
        </w:rPr>
        <w:t>infections</w:t>
      </w:r>
      <w:r w:rsidR="00C06480">
        <w:rPr>
          <w:shd w:val="clear" w:color="auto" w:fill="FFFFFF"/>
        </w:rPr>
        <w:t xml:space="preserve"> e.g. Epstein-Barr. </w:t>
      </w:r>
      <w:bookmarkEnd w:id="3"/>
    </w:p>
    <w:p w14:paraId="435126BB" w14:textId="50869E1D" w:rsidR="00133702" w:rsidRPr="00133702" w:rsidRDefault="00133702" w:rsidP="006F7FCA">
      <w:pPr>
        <w:jc w:val="both"/>
        <w:rPr>
          <w:i/>
        </w:rPr>
      </w:pPr>
      <w:r>
        <w:rPr>
          <w:i/>
        </w:rPr>
        <w:t>Conclusion</w:t>
      </w:r>
    </w:p>
    <w:p w14:paraId="46830CC3" w14:textId="2E2D47E4" w:rsidR="002C0EC6" w:rsidRDefault="00E3731F" w:rsidP="006F7FCA">
      <w:pPr>
        <w:jc w:val="both"/>
      </w:pPr>
      <w:bookmarkStart w:id="4" w:name="_Hlk113209544"/>
      <w:r>
        <w:t>Our</w:t>
      </w:r>
      <w:r w:rsidR="00C06480">
        <w:t xml:space="preserve"> findings </w:t>
      </w:r>
      <w:r w:rsidR="00FD6717">
        <w:t>show</w:t>
      </w:r>
      <w:r w:rsidR="00C06480">
        <w:t xml:space="preserve"> differences </w:t>
      </w:r>
      <w:r w:rsidR="003549A2">
        <w:t>between drugs</w:t>
      </w:r>
      <w:r w:rsidR="00207F3A">
        <w:t>,</w:t>
      </w:r>
      <w:r w:rsidR="003549A2">
        <w:t xml:space="preserve"> </w:t>
      </w:r>
      <w:r w:rsidR="00C06480">
        <w:t xml:space="preserve">and </w:t>
      </w:r>
      <w:r w:rsidR="00FD6717">
        <w:t xml:space="preserve">can </w:t>
      </w:r>
      <w:r w:rsidR="00C06480">
        <w:t>aid treatment decisions</w:t>
      </w:r>
      <w:r w:rsidR="00FD6717">
        <w:t xml:space="preserve"> alongside </w:t>
      </w:r>
      <w:r w:rsidR="00C06480">
        <w:t xml:space="preserve">real-world safety data. </w:t>
      </w:r>
      <w:r w:rsidR="00FD6717">
        <w:t>However, d</w:t>
      </w:r>
      <w:r w:rsidR="00C06480">
        <w:t>ata are likely skewed by trial selection criteria</w:t>
      </w:r>
      <w:r w:rsidR="003549A2">
        <w:t xml:space="preserve"> and </w:t>
      </w:r>
      <w:r w:rsidR="00C06480">
        <w:t>varying number of trials per drug</w:t>
      </w:r>
      <w:r w:rsidR="00207F3A">
        <w:t xml:space="preserve">, and </w:t>
      </w:r>
      <w:r w:rsidR="00C06480">
        <w:t>highlight the need for robust post-marketing pharmacovigilance.</w:t>
      </w:r>
    </w:p>
    <w:bookmarkEnd w:id="4"/>
    <w:p w14:paraId="4BCA1921" w14:textId="77777777" w:rsidR="002C0EC6" w:rsidRDefault="002C0EC6" w:rsidP="006F7FCA">
      <w:pPr>
        <w:jc w:val="both"/>
        <w:rPr>
          <w:b/>
        </w:rPr>
      </w:pPr>
    </w:p>
    <w:p w14:paraId="5F8EEA83" w14:textId="77777777" w:rsidR="00734366" w:rsidRDefault="00734366">
      <w:pPr>
        <w:rPr>
          <w:b/>
        </w:rPr>
      </w:pPr>
      <w:r>
        <w:rPr>
          <w:b/>
        </w:rPr>
        <w:br w:type="page"/>
      </w:r>
    </w:p>
    <w:p w14:paraId="79D0D08D" w14:textId="42234EB2" w:rsidR="002C0EC6" w:rsidRPr="002C0EC6" w:rsidRDefault="002C0EC6" w:rsidP="006F7FCA">
      <w:pPr>
        <w:jc w:val="both"/>
        <w:rPr>
          <w:b/>
        </w:rPr>
      </w:pPr>
      <w:r w:rsidRPr="002C0EC6">
        <w:rPr>
          <w:b/>
        </w:rPr>
        <w:lastRenderedPageBreak/>
        <w:t>Key messages</w:t>
      </w:r>
    </w:p>
    <w:p w14:paraId="1CE44E45" w14:textId="77777777" w:rsidR="002C0EC6" w:rsidRPr="002C0EC6" w:rsidRDefault="002C0EC6" w:rsidP="002C0EC6">
      <w:pPr>
        <w:jc w:val="both"/>
        <w:rPr>
          <w:i/>
        </w:rPr>
      </w:pPr>
      <w:r w:rsidRPr="002C0EC6">
        <w:rPr>
          <w:i/>
        </w:rPr>
        <w:t>What is already known about this subject?</w:t>
      </w:r>
    </w:p>
    <w:p w14:paraId="13CAFCB6" w14:textId="2908FF16" w:rsidR="002C0EC6" w:rsidRDefault="002C0EC6" w:rsidP="002C0EC6">
      <w:pPr>
        <w:pStyle w:val="ListParagraph"/>
        <w:numPr>
          <w:ilvl w:val="0"/>
          <w:numId w:val="2"/>
        </w:numPr>
        <w:jc w:val="both"/>
      </w:pPr>
      <w:r w:rsidRPr="002C0EC6">
        <w:t xml:space="preserve">Serious infection </w:t>
      </w:r>
      <w:r>
        <w:t>is a concern</w:t>
      </w:r>
      <w:r w:rsidRPr="002C0EC6">
        <w:t xml:space="preserve"> when prescribing immune-modulatory drugs for immune-mediated inflammatory diseases</w:t>
      </w:r>
      <w:r>
        <w:t xml:space="preserve"> (IMIDs)</w:t>
      </w:r>
      <w:r w:rsidRPr="002C0EC6">
        <w:t>.</w:t>
      </w:r>
    </w:p>
    <w:p w14:paraId="31BAD71E" w14:textId="2A7D1324" w:rsidR="002C0EC6" w:rsidRPr="002C0EC6" w:rsidRDefault="002C0EC6" w:rsidP="002C0EC6">
      <w:pPr>
        <w:pStyle w:val="ListParagraph"/>
        <w:numPr>
          <w:ilvl w:val="0"/>
          <w:numId w:val="2"/>
        </w:numPr>
        <w:jc w:val="both"/>
      </w:pPr>
      <w:r w:rsidRPr="002C0EC6">
        <w:t>The European Medicines Agency “summary of product characteristics”</w:t>
      </w:r>
      <w:r>
        <w:t xml:space="preserve"> (</w:t>
      </w:r>
      <w:proofErr w:type="spellStart"/>
      <w:r>
        <w:t>SmPCs</w:t>
      </w:r>
      <w:proofErr w:type="spellEnd"/>
      <w:r>
        <w:t>) data provides information on adverse events including infections; however, n</w:t>
      </w:r>
      <w:r w:rsidRPr="002C0EC6">
        <w:t xml:space="preserve">o comparison has been undertaken on reported infection frequencies across </w:t>
      </w:r>
      <w:proofErr w:type="spellStart"/>
      <w:r w:rsidRPr="002C0EC6">
        <w:t>SmPCs</w:t>
      </w:r>
      <w:proofErr w:type="spellEnd"/>
      <w:r w:rsidRPr="002C0EC6">
        <w:t xml:space="preserve"> for immune-modulators.</w:t>
      </w:r>
    </w:p>
    <w:p w14:paraId="7D9B6E07" w14:textId="67827B8F" w:rsidR="002C0EC6" w:rsidRPr="002C0EC6" w:rsidRDefault="002C0EC6" w:rsidP="002C0EC6">
      <w:pPr>
        <w:jc w:val="both"/>
        <w:rPr>
          <w:i/>
        </w:rPr>
      </w:pPr>
      <w:r w:rsidRPr="002C0EC6">
        <w:rPr>
          <w:i/>
        </w:rPr>
        <w:t>What does this study add?</w:t>
      </w:r>
    </w:p>
    <w:p w14:paraId="03BE76E3" w14:textId="3282A4AF" w:rsidR="002C0EC6" w:rsidRPr="002C0EC6" w:rsidRDefault="002C0EC6" w:rsidP="002C0EC6">
      <w:pPr>
        <w:pStyle w:val="ListParagraph"/>
        <w:numPr>
          <w:ilvl w:val="0"/>
          <w:numId w:val="3"/>
        </w:numPr>
        <w:jc w:val="both"/>
      </w:pPr>
      <w:r>
        <w:t xml:space="preserve">We undertook a summary analysis of the </w:t>
      </w:r>
      <w:proofErr w:type="spellStart"/>
      <w:r>
        <w:t>SmPCs</w:t>
      </w:r>
      <w:proofErr w:type="spellEnd"/>
      <w:r>
        <w:t xml:space="preserve"> using a novel methodological approach to help clinicians visualise infection risk patterns across treatment strategies.</w:t>
      </w:r>
    </w:p>
    <w:p w14:paraId="3AED1485" w14:textId="77777777" w:rsidR="002C0EC6" w:rsidRDefault="002C0EC6" w:rsidP="002C0EC6">
      <w:pPr>
        <w:jc w:val="both"/>
        <w:rPr>
          <w:i/>
        </w:rPr>
      </w:pPr>
      <w:r w:rsidRPr="002C0EC6">
        <w:rPr>
          <w:i/>
        </w:rPr>
        <w:t>How might this impact on clinical practice?</w:t>
      </w:r>
    </w:p>
    <w:p w14:paraId="16078791" w14:textId="295878E9" w:rsidR="00C06480" w:rsidRPr="002C0EC6" w:rsidRDefault="002C0EC6" w:rsidP="002C0EC6">
      <w:pPr>
        <w:pStyle w:val="ListParagraph"/>
        <w:numPr>
          <w:ilvl w:val="0"/>
          <w:numId w:val="3"/>
        </w:numPr>
        <w:jc w:val="both"/>
      </w:pPr>
      <w:r w:rsidRPr="002C0EC6">
        <w:t>Our findings can be used to visualise differences</w:t>
      </w:r>
      <w:r>
        <w:t xml:space="preserve"> between drug infection risk profiles</w:t>
      </w:r>
      <w:r w:rsidRPr="002C0EC6">
        <w:t xml:space="preserve"> and aid treatment decisions</w:t>
      </w:r>
      <w:r>
        <w:t xml:space="preserve">, and highlights the need for </w:t>
      </w:r>
      <w:r w:rsidR="00734366">
        <w:t>robust post-marketing pharmacovigilance studies with real-world safety data</w:t>
      </w:r>
      <w:r w:rsidRPr="002C0EC6">
        <w:t>.</w:t>
      </w:r>
      <w:r w:rsidR="00C06480" w:rsidRPr="002C0EC6">
        <w:br w:type="page"/>
      </w:r>
    </w:p>
    <w:p w14:paraId="0F4458CF" w14:textId="00AD5E4E" w:rsidR="00011AD8" w:rsidRDefault="00011AD8" w:rsidP="00011AD8">
      <w:pPr>
        <w:jc w:val="both"/>
        <w:rPr>
          <w:b/>
        </w:rPr>
      </w:pPr>
      <w:r>
        <w:rPr>
          <w:b/>
        </w:rPr>
        <w:lastRenderedPageBreak/>
        <w:t>Introduction</w:t>
      </w:r>
    </w:p>
    <w:p w14:paraId="7D0C8686" w14:textId="3D4EBCBC" w:rsidR="00DC38A2" w:rsidRDefault="00BF1512" w:rsidP="00011AD8">
      <w:pPr>
        <w:jc w:val="both"/>
      </w:pPr>
      <w:r>
        <w:t xml:space="preserve">Serious infection remains a risk in </w:t>
      </w:r>
      <w:r w:rsidR="002A59A9">
        <w:t>people with</w:t>
      </w:r>
      <w:r>
        <w:t xml:space="preserve"> </w:t>
      </w:r>
      <w:r w:rsidR="00011AD8">
        <w:t>immune-mediated inflammatory diseases (IMIDs)</w:t>
      </w:r>
      <w:r>
        <w:t xml:space="preserve">. </w:t>
      </w:r>
      <w:r w:rsidR="00DC38A2">
        <w:t>One of the great challenges of contemporary disease care is balancing risk and benefit of immune</w:t>
      </w:r>
      <w:r>
        <w:t>-</w:t>
      </w:r>
      <w:r w:rsidR="00DC38A2">
        <w:t>modulat</w:t>
      </w:r>
      <w:r>
        <w:t>ory therapies</w:t>
      </w:r>
      <w:r w:rsidR="00DC38A2">
        <w:t xml:space="preserve">. </w:t>
      </w:r>
      <w:r>
        <w:t xml:space="preserve">For most patients, these drugs provide a safe and effective method of disease control </w:t>
      </w:r>
      <w:r>
        <w:fldChar w:fldCharType="begin" w:fldLock="1"/>
      </w:r>
      <w:r>
        <w:instrText>ADDIN CSL_CITATION {"citationItems":[{"id":"ITEM-1","itemData":{"DOI":"10.1136/annrheumdis-2017-212825","ISSN":"0003-4967","abstract":"Objectives: To compare the incidence of serious infection (SI) across biologic drugs used to treat rheumatoid arthritis (RA) using data from the British Society for Rheumatology Biologics Register for Rheumatoid Arthritis (BSRBR-RA). Methods: The BSRBR-RA is a prospective observational cohort study. This analysis included patients with RA starting a new biologic. The primary outcome was SI defined as an infectious event requiring admission to hospital, intravenous antibiotics or resulting in death. Event rates were calculated and compared across biologics using Cox proportional hazards with adjustment for potential confounders. Secondary outcomes were the rate of infection by organ class and 30-day mortality following infection. Results: This analysis included 19 282 patients with 46 771 years of follow-up. The incidence of SI was 5.51 cases per 100 patient years for the entire cohort (95% CI 5.29 to 5.71). Compared with etanercept, tocilizumab had a higher risk of SI (HR 1.22, 95% CI 1.02 to 1.47) and certolizumab pegol a lower risk of SI (HR 0.75, 95% CI 0.58 to 0.97) in the fully adjusted model. The 30-day mortality following SI was 10.4% (95% CI 9.2% to 11.6%). Conclusions: The rate of SI was lower with certolizumab pegol than etanercept in the primary analysis but the result was no longer significant in several sensitivity analyses performed suggesting residual confounding may account for the observed difference. From these results, it would be wrong to conclude that certolizumab pegol has a lower rate of SI than other biologics; however, the risk does not appear to be significantly higher as has previously been suggested.","author":[{"dropping-particle":"","family":"Rutherford","given":"Andrew I.","non-dropping-particle":"","parse-names":false,"suffix":""},{"dropping-particle":"","family":"Subesinghe","given":"Sujith","non-dropping-particle":"","parse-names":false,"suffix":""},{"dropping-particle":"","family":"Hyrich","given":"Kimme L.","non-dropping-particle":"","parse-names":false,"suffix":""},{"dropping-particle":"","family":"Galloway","given":"James B.","non-dropping-particle":"","parse-names":false,"suffix":""}],"container-title":"Annals of the Rheumatic Diseases","id":"ITEM-1","issue":"6","issued":{"date-parts":[["2018","3","28"]]},"page":"annrheumdis-2017-212825","publisher":"BMJ Publishing Group","title":"Serious infection across biologic-treated patients with rheumatoid arthritis: results from the British Society for Rheumatology Biologics Register for Rheumatoid Arthritis","type":"article-journal","volume":"77"},"uris":["http://www.mendeley.com/documents/?uuid=ed02d6b0-1b57-3738-9a27-83a2e1a3ca7a"]}],"mendeley":{"formattedCitation":"(1)","plainTextFormattedCitation":"(1)","previouslyFormattedCitation":"(1)"},"properties":{"noteIndex":0},"schema":"https://github.com/citation-style-language/schema/raw/master/csl-citation.json"}</w:instrText>
      </w:r>
      <w:r>
        <w:fldChar w:fldCharType="separate"/>
      </w:r>
      <w:r w:rsidRPr="00EF03DC">
        <w:rPr>
          <w:noProof/>
        </w:rPr>
        <w:t>(1)</w:t>
      </w:r>
      <w:r>
        <w:fldChar w:fldCharType="end"/>
      </w:r>
      <w:r>
        <w:t xml:space="preserve">. </w:t>
      </w:r>
      <w:r w:rsidR="00DC38A2">
        <w:t xml:space="preserve">Advances in targeted therapies for autoimmune diseases have been accompanied by </w:t>
      </w:r>
      <w:r w:rsidR="00517735">
        <w:t>a growing</w:t>
      </w:r>
      <w:r w:rsidR="00DC38A2">
        <w:t xml:space="preserve"> awareness of the potential to change infection risk.</w:t>
      </w:r>
    </w:p>
    <w:p w14:paraId="790A430D" w14:textId="05448AAE" w:rsidR="00DC38A2" w:rsidRDefault="002A59A9" w:rsidP="00011AD8">
      <w:pPr>
        <w:jc w:val="both"/>
      </w:pPr>
      <w:r>
        <w:t xml:space="preserve">Quantifying </w:t>
      </w:r>
      <w:r w:rsidR="00270A0B">
        <w:t>the risk</w:t>
      </w:r>
      <w:r>
        <w:t xml:space="preserve"> of serious infection can be challenging, as </w:t>
      </w:r>
      <w:r w:rsidR="00270A0B">
        <w:t>they</w:t>
      </w:r>
      <w:r>
        <w:t xml:space="preserve"> are relatively rare events. Primary clinical trials are not scrutinised and long-term extension data rarely focus on safety. We instead rely on real-world data, such as registries. An example is the </w:t>
      </w:r>
      <w:r w:rsidR="00011AD8">
        <w:t>increased risk of serious infection in patients taking inhibitors of tumour necrosis factor (</w:t>
      </w:r>
      <w:proofErr w:type="spellStart"/>
      <w:r w:rsidR="00011AD8">
        <w:t>TNFis</w:t>
      </w:r>
      <w:proofErr w:type="spellEnd"/>
      <w:r w:rsidR="00011AD8">
        <w:t xml:space="preserve">), </w:t>
      </w:r>
      <w:r>
        <w:t>demonstrated through studies of registry data in</w:t>
      </w:r>
      <w:r w:rsidR="00011AD8">
        <w:t xml:space="preserve"> </w:t>
      </w:r>
      <w:r w:rsidR="002430F4">
        <w:t>rheumatoid arthritis (</w:t>
      </w:r>
      <w:r w:rsidR="00011AD8">
        <w:t>RA</w:t>
      </w:r>
      <w:r w:rsidR="002430F4">
        <w:t>)</w:t>
      </w:r>
      <w:r w:rsidR="00011AD8">
        <w:t xml:space="preserve">, psoriasis and inflammatory bowel disease (IBD) </w:t>
      </w:r>
      <w:r w:rsidR="00011AD8">
        <w:fldChar w:fldCharType="begin" w:fldLock="1"/>
      </w:r>
      <w:r w:rsidR="00C93547">
        <w:instrText>ADDIN CSL_CITATION {"citationItems":[{"id":"ITEM-1","itemData":{"DOI":"10.1136/ard.2006.062760","ISSN":"00034967","PMID":"17261532","abstract":"Objectives: The degree to which treatment with tumour necrosis factor (TNF) antagonists may be associated with increased risks for serious infections is unclear. An observational cohort study was performed using prospectively collected data from the Swedish Biologics Register (ARTIS) and other national Swedish registers. Methods: First, in the ARTIS, all 4167 rheumatoid arthritis (RA) patients starting TNF antagonist treatment between 1999 and 2003 were identified. Secondly, in the Swedish Inpatient Register, all individuals hospitalised for any reason and who also carried a diagnosis of RA, between 1964 and 2003 (n = 44 946 of whom 2692 also occurred in ARTIS), were identified. Thirdly, in the Swedish Inpatient Register, all hospitalisations listing an infection between 1999 and 2003 were identified. By cross-referencing these three data sets, RRs for hospitalisation with infection associated with TNF antagonist treatment were calculated within the cohort of 44 946 RA patients, using Cox regression taking sex, age, geography, co-morbidity and use of inpatient care into account. Results: Among the 4167 patients treated with TNF antagonists, 367 hospitalisations with infections occurred during 7776 person-years. Within the cohort of 44 496 RA patients, the RR for infection associated with TNF antagonists was 1.43 (95% Cl 1.18 to 1.73) during the first year of treatment, 1.15 (95% Cl 0.88 to 1.51) during the second year of treatment, and 0.82 (95% Cl 0.62 to 1.08) for subjects remaining on their first TNF antagonist treatment after 2 years. Conclusion: Treatment with TNF antagonists may be associated with a small to moderate increase in risk of hospitalisation with infection, which disappears with increasing treatment duration.","author":[{"dropping-particle":"","family":"Askling","given":"Johan","non-dropping-particle":"","parse-names":false,"suffix":""},{"dropping-particle":"","family":"Fored","given":"C. Michael","non-dropping-particle":"","parse-names":false,"suffix":""},{"dropping-particle":"","family":"Brandt","given":"Lena","non-dropping-particle":"","parse-names":false,"suffix":""},{"dropping-particle":"","family":"Baecklund","given":"Eva","non-dropping-particle":"","parse-names":false,"suffix":""},{"dropping-particle":"","family":"Bertilsson","given":"Lennart","non-dropping-particle":"","parse-names":false,"suffix":""},{"dropping-particle":"","family":"Feltelius","given":"Nils","non-dropping-particle":"","parse-names":false,"suffix":""},{"dropping-particle":"","family":"Cöster","given":"Lars","non-dropping-particle":"","parse-names":false,"suffix":""},{"dropping-particle":"","family":"Geborek","given":"Pierre","non-dropping-particle":"","parse-names":false,"suffix":""},{"dropping-particle":"","family":"Jacobsson","given":"Lennart T.","non-dropping-particle":"","parse-names":false,"suffix":""},{"dropping-particle":"","family":"Lindblad","given":"Staffan","non-dropping-particle":"","parse-names":false,"suffix":""},{"dropping-particle":"","family":"Lysholm","given":"Jörgen","non-dropping-particle":"","parse-names":false,"suffix":""},{"dropping-particle":"","family":"Rantapää-Dahlqvist","given":"Solbritt","non-dropping-particle":"","parse-names":false,"suffix":""},{"dropping-particle":"","family":"Saxne","given":"Tore","non-dropping-particle":"","parse-names":false,"suffix":""},{"dropping-particle":"","family":"Vollenhoven","given":"Ronald F.","non-dropping-particle":"Van","parse-names":false,"suffix":""},{"dropping-particle":"","family":"Klareskog","given":"Lars","non-dropping-particle":"","parse-names":false,"suffix":""}],"container-title":"Annals of the Rheumatic Diseases","id":"ITEM-1","issue":"10","issued":{"date-parts":[["2007","10"]]},"page":"1339-1344","publisher":"Ann Rheum Dis","title":"Time-dependent increase in risk of hospitalisation with infection among Swedish RA patients treated with TNF antagonists","type":"article-journal","volume":"66"},"uris":["http://www.mendeley.com/documents/?uuid=cdbdcb22-1083-39ec-bb4f-cc58e10b61e1"]},{"id":"ITEM-2","itemData":{"DOI":"10.1093/rheumatology/keq242","abstract":"Objectives. To evaluate the risk of serious infections (SIs) in patients with RA treated with anti-TNF therapy with emphasis on the risk across different ages. Methods. Using data from the British Society for Rheumatology Biologics Register, a prospective observational study, we compared the risk of SI between 11 798 anti-TNF-treated patients and 3598 non-biologic DMARD (nbDMARD)-treated patients. Results. A total of 1808 patients had at least one SI (anti-TNF: 1512; nbDMARD: 296). Incidence rates were: anti-TNF 42/1000 patient-years of follow-up (95% CI 40, 44) and nbDMARD 32/1000 patient-years of follow-up (95% CI 28, 36). The adjusted hazard ratio (adjHR) for SI in the anti-TNF cohort was 1.2 (95% CI 1.1, 1.5). The risk did not differ significantly between the three agents adalimumab, etanercept and infliximab. The risk was highest during the first 6 months of therapy [adjHR 1.8 (95% CI 1.3, 2.6)]. Although increasing age was an independent risk factor for SI in both cohorts, there was no difference in relative risk of infection in patients on anti-TNF therapy in the older population. There was no difference in hospital stay for SI between cohorts. Mortality within 30 days of SI was 50% lower in the anti-TNF cohort [odds ratio 0.5 (95% CI 0.3, 0.8)]. Conclusions. These data add to currently available evidence suggesting that anti-TNF therapy is associated with a small but significant overall risk of SI. This must be balanced against the risks associated with poor disease control or alternative treatments.","author":[{"dropping-particle":"","family":"Galloway","given":"James B","non-dropping-particle":"","parse-names":false,"suffix":""},{"dropping-particle":"","family":"Hyrich","given":"Kimme L","non-dropping-particle":"","parse-names":false,"suffix":""},{"dropping-particle":"","family":"Mercer","given":"Louise K","non-dropping-particle":"","parse-names":false,"suffix":""},{"dropping-particle":"","family":"Dixon","given":"William G","non-dropping-particle":"","parse-names":false,"suffix":""},{"dropping-particle":"","family":"Fu","given":"Bo","non-dropping-particle":"","parse-names":false,"suffix":""},{"dropping-particle":"","family":"Ustianowski","given":"Andrew P","non-dropping-particle":"","parse-names":false,"suffix":""},{"dropping-particle":"","family":"Watson","given":"Kath D","non-dropping-particle":"","parse-names":false,"suffix":""},{"dropping-particle":"","family":"Lunt","given":"Mark","non-dropping-particle":"","parse-names":false,"suffix":""}],"container-title":"Rheumatology (Oxford, England)","id":"ITEM-2","issue":"1","issued":{"date-parts":[["2011"]]},"page":"124–131","title":"Anti-TNF therapy is associated with an increased risk of serious infections in patients with rheumatoid arthritis especially in the first 6 months of treatment: updated results from the British Society for Rheumatology Biologics Register with special emph","type":"article-journal","volume":"50"},"uris":["http://www.mendeley.com/documents/?uuid=c8d318cf-65fa-33f7-91eb-534165a25d0e"]},{"id":"ITEM-3","itemData":{"DOI":"10.1136/bmj.h2809","ISSN":"17561833","PMID":"26048617","abstract":"OBJECTIVE: To investigate whether people with inflammatory bowel disease treated with tumour necrosis factor-α(TNF-α) inhibitors are at increased risk of serious infections. DESIGN: Nationwide register based propensity score matched cohort study. SETTING: Denmark, 2002-12. PARTICIPANTS: The background cohort eligible for matching comprised 52 392 people with inflammatory bowel disease, aged 15 to 75 years, of whom 4300 were treated with TNF-α inhibitors. To limit confounding, a two stage matching method was applied; firstly matching on age, sex, disease duration, and inflammatory bowel disease subtype, and secondly matching on propensity scores (1:1 ratio); this yielded 1543 people treated with TNF-α inhibitors and 1543 untreated to be included in the analyses. MAIN OUTCOME MEASURES: The main outcome was any serious infection, defined as a diagnosis of infection associated with hospital admission. Cox regression was used to estimate hazard ratios for two risk periods (90 and 365 days after the start of TNF-α inhibitor treatment). Hazard ratios of site specific serious infections were obtained solely for the 365 days risk period. RESULTS: Within the 90 days risk period, 51 cases of infection were observed in users of TNF-α inhibitors (incidence rate 14/100 person years), compared with 33 cases in non-users (9/100 person years), yielding a hazard ratio of 1.63 (95% confidence interval 1.01 to 2.63). Within the risk period of 365 days, the hazard ratio was 1.27 (0.92 to 1.75). In analyses of site specific infections, the hazard ratio was above 2 for several of the subgroups but only reached statistical significance for skin and soft tissue infections (2.51, 1.23 to 5.12). CONCLUSIONS: This nationwide propensity score matched cohort study suggests an increased risk of serious infections associated with use of TNF-α inhibitors within the first 90 days of starting treatment and a subsequent decline in risk. This calls for increased clinical awareness of potential infectious complications among people with inflammatory bowel disease using these drugs, especially early in the course of treatment.","author":[{"dropping-particle":"","family":"Andersen","given":"Nynne Nyboe","non-dropping-particle":"","parse-names":false,"suffix":""},{"dropping-particle":"","family":"Pasternak","given":"Björn","non-dropping-particle":"","parse-names":false,"suffix":""},{"dropping-particle":"","family":"Friis-Møller","given":"Nina","non-dropping-particle":"","parse-names":false,"suffix":""},{"dropping-particle":"","family":"Andersson","given":"Mikael","non-dropping-particle":"","parse-names":false,"suffix":""},{"dropping-particle":"","family":"Jess","given":"Tine","non-dropping-particle":"","parse-names":false,"suffix":""}],"container-title":"BMJ (Online)","id":"ITEM-3","issued":{"date-parts":[["2015","6","5"]]},"publisher":"BMJ Publishing Group","title":"Association between tumour necrosis factor-α inhibitors and risk of serious infections in people with inflammatory bowel disease: Nationwide Danish cohort study","type":"article-journal","volume":"350"},"uris":["http://www.mendeley.com/documents/?uuid=f8fff018-ac2d-381e-9fe3-9379d5e8dcea"]},{"id":"ITEM-4","itemData":{"DOI":"10.1097/MIB.0000000000001049","ISSN":"15364844","PMID":"28230558","abstract":"Background: The overall risk for infection with contemporary biological agents in treating Crohn's disease (CD) and ulcerative colitis (UC) has not been systematically assessed. Methods: We performed a PubMed and Cochrane database literature search to evaluate randomized, placebo-controlled trials of biologics in treating UC and CD. Meta-analysis was performed using a DerSimonian and Laird random effects model. We determined relative risk (RR) of harm against placebo; number needed to harm (NNH) was reported when appropriate. Heterogeneity and publication bias were assessed. Results: Fourteen trials (6 UC and 8 CD) evaluating 5107 patients were included. For anti-tumor necrosis factor agents used in the treatment of UC, golimumab {NNH of 9.3, RR = 1.4 (95% confidence interval [CI], 1.04-1.8)} and pooled studies of infliximab and adalimumab (NNH = 17.2, RR = 1.2 [95% CI, 1.0-1.3]) had a statistically significant higher risk for any infection versus placebo. Risk was not significantly increased in anti-tumor necrosis factor trials in CD (RR = 1.1 [95% CI, 0.8-1.5]). By contrast, anti-integrin agents in UC (RR = 1.0 [95% CI, 0.9-1.2]) or CD (RR = 1.1 [95% CI, 0.97-1.3]) did not confer a statistically significant excess risk of infection versus placebo. Conclusions: Anti-tumor necrosis factor therapy but not anti-integrin therapy is associated with a greater infection risk than placebo in treating UC. Neither class of therapy is associated with increased infection risk over placebo in treating CD. Our findings can help guide patient-centered discussions regarding the risk for infection with biological agents.","author":[{"dropping-particle":"","family":"Shah","given":"Eric D.","non-dropping-particle":"","parse-names":false,"suffix":""},{"dropping-particle":"","family":"Farida","given":"Jeremy P.","non-dropping-particle":"","parse-names":false,"suffix":""},{"dropping-particle":"","family":"Siegel","given":"Corey A.","non-dropping-particle":"","parse-names":false,"suffix":""},{"dropping-particle":"","family":"Chong","given":"Kelly","non-dropping-particle":"","parse-names":false,"suffix":""},{"dropping-particle":"","family":"Melmed","given":"Gil Y.","non-dropping-particle":"","parse-names":false,"suffix":""}],"container-title":"Inflammatory Bowel Diseases","id":"ITEM-4","issue":"4","issued":{"date-parts":[["2017","4","1"]]},"page":"570-577","publisher":"Lippincott Williams and Wilkins","title":"Risk for Overall Infection with Anti-TNF and Anti-integrin Agents Used in IBD: A Systematic Review and Meta-analysis","type":"article","volume":"23"},"uris":["http://www.mendeley.com/documents/?uuid=022a9eda-131c-3d4e-a85c-a9e90ebd6501"]}],"mendeley":{"formattedCitation":"(2–5)","plainTextFormattedCitation":"(2–5)","previouslyFormattedCitation":"(2–5)"},"properties":{"noteIndex":0},"schema":"https://github.com/citation-style-language/schema/raw/master/csl-citation.json"}</w:instrText>
      </w:r>
      <w:r w:rsidR="00011AD8">
        <w:fldChar w:fldCharType="separate"/>
      </w:r>
      <w:r w:rsidR="00A12427" w:rsidRPr="00A12427">
        <w:rPr>
          <w:noProof/>
        </w:rPr>
        <w:t>(2–5)</w:t>
      </w:r>
      <w:r w:rsidR="00011AD8">
        <w:fldChar w:fldCharType="end"/>
      </w:r>
      <w:r w:rsidR="00011AD8">
        <w:t xml:space="preserve">. Similar infection risks </w:t>
      </w:r>
      <w:r>
        <w:t xml:space="preserve">have also been shown with </w:t>
      </w:r>
      <w:r w:rsidR="00011AD8">
        <w:t xml:space="preserve">non-TNFi biologics, such as rituximab and tocilizumab, the latter being associated with serious bacterial skin and soft tissue infections </w:t>
      </w:r>
      <w:r w:rsidR="00011AD8">
        <w:fldChar w:fldCharType="begin" w:fldLock="1"/>
      </w:r>
      <w:r w:rsidR="00C93547">
        <w:instrText>ADDIN CSL_CITATION {"citationItems":[{"id":"ITEM-1","itemData":{"DOI":"10.1136/annrheumdis-2018-214367","ISSN":"14682060","PMID":"30679153","abstract":"Objective To investigate the rate of serious bacterial, viral or opportunistic infection in patients with rheumatoid arthritis (RA) starting tocilizumab (TCZ) versus tumour necrosis factor inhibitors (TNFi) or abatacept. Methods Using claims data from US Medicare from 2010 to 2015, and IMS and MarketScan from 2011 to 2015, we identified adults with RA who initiated TCZ or TNFi (primary comparator)/abatacept (secondary comparator) with prior use of ≥1 different biologic drug or tofacitinib. The primary outcome was hospitalised serious infection (SI), including bacterial, viral or opportunistic infection. To control for &gt;70 confounders, TCZ initiators were propensity score (PS)-matched to TNFi or abatacept initiators. Database-specific HRs were combined by a meta-analysis. Results The primary cohort included 16 074 TCZ PS-matched to 33 109 TNFi initiators. The risk of composite SI was not different between TCZ and TNFi initiators (combined HR 1.05, 95% CI 0.95 to 1.16). However, TCZ was associated with an increased risk of serious bacterial infection (HR 1.19, 95% CI 1.07 to 1.33), skin and soft tissue infections (HR 2.38, 95% CI 1.47 to 3.86), and diverticulitis (HR 2.34, 95% CI 1.64 to 3.34) versus TNFi. An increased risk of composite SI, serious bacterial infection, diverticulitis, pneumonia/upper respiratory tract infection and septicaemia/bacteraemia was observed in TCZ versus abatacept users. Conclusions This large multidatabase cohort study found no difference in composite SI risk in patients with RA initiating TCZ versus TNFi after failing ≥1 biologic drug or tofacitinib. However, the risk of serious bacterial infection, skin and soft tissue infections, and diverticulitis was higher in TCZ versus TNFi initiators. The risk of composite SI was higher in TCZ initiators versus abatacept.","author":[{"dropping-particle":"","family":"Pawar","given":"Ajinkya","non-dropping-particle":"","parse-names":false,"suffix":""},{"dropping-particle":"","family":"Desai","given":"Rishi J.","non-dropping-particle":"","parse-names":false,"suffix":""},{"dropping-particle":"","family":"Solomon","given":"Daniel H.","non-dropping-particle":"","parse-names":false,"suffix":""},{"dropping-particle":"","family":"Santiago Ortiz","given":"Adrian J.","non-dropping-particle":"","parse-names":false,"suffix":""},{"dropping-particle":"","family":"Gale","given":"Sara","non-dropping-particle":"","parse-names":false,"suffix":""},{"dropping-particle":"","family":"Bao","given":"Min","non-dropping-particle":"","parse-names":false,"suffix":""},{"dropping-particle":"","family":"Sarsour","given":"Khaled","non-dropping-particle":"","parse-names":false,"suffix":""},{"dropping-particle":"","family":"Schneeweiss","given":"Sebastian","non-dropping-particle":"","parse-names":false,"suffix":""},{"dropping-particle":"","family":"Kim","given":"Seoyoung C.","non-dropping-particle":"","parse-names":false,"suffix":""}],"container-title":"Annals of the Rheumatic Diseases","id":"ITEM-1","issue":"4","issued":{"date-parts":[["2019","4","1"]]},"page":"456-464","publisher":"BMJ Publishing Group","title":"Risk of serious infections in tocilizumab versus other biologic drugs in patients with rheumatoid arthritis: A multidatabase cohort study","type":"article-journal","volume":"78"},"uris":["http://www.mendeley.com/documents/?uuid=fbd361f9-90dd-34f3-b080-61e2cc16faea"]},{"id":"ITEM-2","itemData":{"DOI":"10.1093/rheumatology/kez530","ISSN":"14620332","PMID":"31764977","abstract":"OBJECTIVES: Most infections in patients with RA are treated in primary care with antibiotics. A small fraction require hospitalization. Only a few studies exist regarding the overall risk of infection (i.e. prescription of antibiotics or hospitalization due to infection) in patients initiating non-TNF-inhibitor therapy. In Danish RA patients initiating abatacept, rituximab and tocilizumab treatment in routine care, the aims were to compare adjusted incidence rates (IR) of infections and to estimate relative risk of infections across the drugs during 0-12 and 0-24 months. METHODS: This was an observational cohort study including all RA patients in the DANBIO registry starting a non-TNF-inhibitor from 2010 to 2017. Infections were defined as a prescription of antibiotics or hospitalization due to infection. Prescriptions, comorbidities and infections were captured through linkage to national registries. IRs of infections (age, gender adjusted) and rate ratios (as estimates of RR (relative risk)), adjusted for additional covariates) (Poisson regression) were calculated. RESULTS: We identified 3696 treatment episodes (abatacept 1115, rituximab 1017, tocilizumab 1564). At baseline, rituximab users were older and had more previous cancer. During 0-12 months, 1747 infections occurred. Age and gender-adjusted IRs per 100 person-years were as follows: abatacept: 76 (95% CI: 69, 84); rituximab: 87 (95% CI: 79, 96); tocilizumab: 77 (95% CI: 71, 84). Adjusted RRs were 0.94 (95% CI: 0.81, 1.08) for abatacept and 0.94 (95% CI: 0.81, 1.03) for tocilizumab compared with rituximab and 1.00 (95% CI: 0.88, 1.14) for abatacept compared with tocilizumab. RRs around 1 were observed after 24 months. Switchers and ever smokers had higher risk compared with biologic-naïve and never smokers, respectively. CONCLUSION: Overall infections were common in non-TNF-inhibitor-treated RA patients, with a tendency towards rituximab having the highest risk, but CIs were wide in all analyses. Confounding by indication may at least partly explain any differences.","author":[{"dropping-particle":"","family":"Grøn","given":"Kathrine L.","non-dropping-particle":"","parse-names":false,"suffix":""},{"dropping-particle":"","family":"Glintborg","given":"Bente","non-dropping-particle":"","parse-names":false,"suffix":""},{"dropping-particle":"","family":"Nørgaard","given":"Mette","non-dropping-particle":"","parse-names":false,"suffix":""},{"dropping-particle":"","family":"Mehnert","given":"Frank","non-dropping-particle":"","parse-names":false,"suffix":""},{"dropping-particle":"","family":"Østergaard","given":"Mikkel","non-dropping-particle":"","parse-names":false,"suffix":""},{"dropping-particle":"","family":"Dreyer","given":"Lene","non-dropping-particle":"","parse-names":false,"suffix":""},{"dropping-particle":"","family":"Krogh","given":"Niels S.","non-dropping-particle":"","parse-names":false,"suffix":""},{"dropping-particle":"","family":"Hetland","given":"Merete L.","non-dropping-particle":"","parse-names":false,"suffix":""}],"container-title":"Rheumatology (Oxford, England)","id":"ITEM-2","issue":"8","issued":{"date-parts":[["2020","8","1"]]},"page":"1949-1956","publisher":"NLM (Medline)","title":"Overall infection risk in rheumatoid arthritis during treatment with abatacept, rituximab and tocilizumab; an observational cohort study","type":"article-journal","volume":"59"},"uris":["http://www.mendeley.com/documents/?uuid=6c60a34f-dadf-35a6-972e-3eadd664ed12"]}],"mendeley":{"formattedCitation":"(6,7)","plainTextFormattedCitation":"(6,7)","previouslyFormattedCitation":"(6,7)"},"properties":{"noteIndex":0},"schema":"https://github.com/citation-style-language/schema/raw/master/csl-citation.json"}</w:instrText>
      </w:r>
      <w:r w:rsidR="00011AD8">
        <w:fldChar w:fldCharType="separate"/>
      </w:r>
      <w:r w:rsidR="00A12427" w:rsidRPr="00A12427">
        <w:rPr>
          <w:noProof/>
        </w:rPr>
        <w:t>(6,7)</w:t>
      </w:r>
      <w:r w:rsidR="00011AD8">
        <w:fldChar w:fldCharType="end"/>
      </w:r>
      <w:r w:rsidR="00011AD8">
        <w:t>.</w:t>
      </w:r>
    </w:p>
    <w:p w14:paraId="187FAADF" w14:textId="3B6FDE97" w:rsidR="00DC38A2" w:rsidRDefault="00F1158F" w:rsidP="00011AD8">
      <w:pPr>
        <w:jc w:val="both"/>
      </w:pPr>
      <w:r>
        <w:t>However,</w:t>
      </w:r>
      <w:r w:rsidR="00DC38A2">
        <w:t xml:space="preserve"> registry data are undermined by channelling bias and unmeasured confounding. </w:t>
      </w:r>
      <w:r w:rsidR="00C043D9">
        <w:t>Examining trial</w:t>
      </w:r>
      <w:r w:rsidR="00DC38A2">
        <w:t xml:space="preserve"> and long-term extension data combined would </w:t>
      </w:r>
      <w:r>
        <w:t>provide</w:t>
      </w:r>
      <w:r w:rsidR="00DC38A2">
        <w:t xml:space="preserve"> more power and overcome concerns around bias and confounding. </w:t>
      </w:r>
    </w:p>
    <w:p w14:paraId="2E65EB79" w14:textId="4840F875" w:rsidR="00F1158F" w:rsidRDefault="00011AD8" w:rsidP="00F1158F">
      <w:pPr>
        <w:jc w:val="both"/>
      </w:pPr>
      <w:r>
        <w:t xml:space="preserve">The European Medicines Agency (EMA) </w:t>
      </w:r>
      <w:r w:rsidR="00732D97">
        <w:t>publishes</w:t>
      </w:r>
      <w:r>
        <w:t xml:space="preserve"> a “summary of product characteristics” (SmPC) for each drug on the European market</w:t>
      </w:r>
      <w:r w:rsidR="00732D97">
        <w:t>, produced by the drug manufacturer</w:t>
      </w:r>
      <w:r w:rsidR="00DC38A2">
        <w:t>.</w:t>
      </w:r>
      <w:r>
        <w:t xml:space="preserve"> </w:t>
      </w:r>
      <w:bookmarkStart w:id="5" w:name="_Hlk113201411"/>
      <w:r w:rsidR="00732D97">
        <w:t xml:space="preserve">Stringent guidelines exist on the format and content of </w:t>
      </w:r>
      <w:proofErr w:type="spellStart"/>
      <w:r w:rsidR="00732D97">
        <w:t>SmPCs</w:t>
      </w:r>
      <w:proofErr w:type="spellEnd"/>
      <w:r w:rsidR="00732D97">
        <w:t xml:space="preserve"> </w:t>
      </w:r>
      <w:r w:rsidR="00732D97">
        <w:fldChar w:fldCharType="begin" w:fldLock="1"/>
      </w:r>
      <w:r w:rsidR="000728C8">
        <w:instrText>ADDIN CSL_CITATION {"citationItems":[{"id":"ITEM-1","itemData":{"id":"ITEM-1","issued":{"date-parts":[["2008"]]},"title":"A GUIDELINE ON SUMMARY OF PRODUCT CHARACTERISTICS MODULE 1.3 SUMMARY OF PRODUCT CHARACTERISTICS","type":"report"},"uris":["http://www.mendeley.com/documents/?uuid=11e1405c-34f1-3b45-a644-dc2a3e864c2d"]},{"id":"ITEM-2","itemData":{"author":[{"dropping-particle":"","family":"Medicines Agency","given":"European","non-dropping-particle":"","parse-names":false,"suffix":""}],"id":"ITEM-2","issued":{"date-parts":[["0"]]},"title":"Section 4.8 Undesirable effects","type":"article-journal"},"uris":["http://www.mendeley.com/documents/?uuid=118e22a0-8c94-37f1-9904-f8172fc55e56"]}],"mendeley":{"formattedCitation":"(8,9)","plainTextFormattedCitation":"(8,9)","previouslyFormattedCitation":"(8,9)"},"properties":{"noteIndex":0},"schema":"https://github.com/citation-style-language/schema/raw/master/csl-citation.json"}</w:instrText>
      </w:r>
      <w:r w:rsidR="00732D97">
        <w:fldChar w:fldCharType="separate"/>
      </w:r>
      <w:r w:rsidR="00732D97" w:rsidRPr="00732D97">
        <w:rPr>
          <w:noProof/>
        </w:rPr>
        <w:t>(8,9)</w:t>
      </w:r>
      <w:r w:rsidR="00732D97">
        <w:fldChar w:fldCharType="end"/>
      </w:r>
      <w:r w:rsidR="00732D97">
        <w:t xml:space="preserve">. </w:t>
      </w:r>
      <w:r w:rsidR="00DC38A2">
        <w:t>EMA require</w:t>
      </w:r>
      <w:r w:rsidR="00F1158F">
        <w:t>s</w:t>
      </w:r>
      <w:r w:rsidR="00DC38A2">
        <w:t xml:space="preserve"> patient-level data from both clinical trials and long-term extension data to be submitted and reviewed.</w:t>
      </w:r>
      <w:r w:rsidR="00D80CA3">
        <w:t xml:space="preserve"> </w:t>
      </w:r>
      <w:bookmarkStart w:id="6" w:name="_Hlk113209708"/>
      <w:r w:rsidR="00D80CA3">
        <w:t>D</w:t>
      </w:r>
      <w:r w:rsidR="00A35668">
        <w:t xml:space="preserve">ata informing risk </w:t>
      </w:r>
      <w:r w:rsidR="00FD6717">
        <w:t>are</w:t>
      </w:r>
      <w:r w:rsidR="00D80CA3">
        <w:t xml:space="preserve"> also gathered from spontaneous reporting, directly by regulators or indirectly via the marketing authorisation holder (MAH).</w:t>
      </w:r>
      <w:bookmarkEnd w:id="6"/>
      <w:r w:rsidR="00D80CA3">
        <w:t xml:space="preserve"> </w:t>
      </w:r>
      <w:bookmarkEnd w:id="5"/>
      <w:r w:rsidR="00D80CA3">
        <w:t xml:space="preserve">Altogether these inform risk profiling, as detailed in the </w:t>
      </w:r>
      <w:proofErr w:type="spellStart"/>
      <w:r w:rsidR="00D80CA3">
        <w:t>SmPCs</w:t>
      </w:r>
      <w:proofErr w:type="spellEnd"/>
      <w:r w:rsidR="00D80CA3">
        <w:t>, through estimated event rates.</w:t>
      </w:r>
      <w:r w:rsidR="00D80CA3" w:rsidDel="00D80CA3">
        <w:t xml:space="preserve"> </w:t>
      </w:r>
      <w:r>
        <w:t xml:space="preserve"> </w:t>
      </w:r>
      <w:r>
        <w:fldChar w:fldCharType="begin" w:fldLock="1"/>
      </w:r>
      <w:r w:rsidR="00C93547">
        <w:instrText>ADDIN CSL_CITATION {"citationItems":[{"id":"ITEM-1","itemData":{"id":"ITEM-1","issued":{"date-parts":[["2008"]]},"title":"A GUIDELINE ON SUMMARY OF PRODUCT CHARACTERISTICS MODULE 1.3 SUMMARY OF PRODUCT CHARACTERISTICS","type":"report"},"uris":["http://www.mendeley.com/documents/?uuid=11e1405c-34f1-3b45-a644-dc2a3e864c2d"]}],"mendeley":{"formattedCitation":"(8)","plainTextFormattedCitation":"(8)","previouslyFormattedCitation":"(8)"},"properties":{"noteIndex":0},"schema":"https://github.com/citation-style-language/schema/raw/master/csl-citation.json"}</w:instrText>
      </w:r>
      <w:r>
        <w:fldChar w:fldCharType="separate"/>
      </w:r>
      <w:r w:rsidR="00A12427" w:rsidRPr="00A12427">
        <w:rPr>
          <w:noProof/>
        </w:rPr>
        <w:t>(8)</w:t>
      </w:r>
      <w:r>
        <w:fldChar w:fldCharType="end"/>
      </w:r>
      <w:r>
        <w:t xml:space="preserve">. </w:t>
      </w:r>
      <w:bookmarkStart w:id="7" w:name="_Hlk113201512"/>
      <w:r w:rsidR="00361F23">
        <w:t xml:space="preserve">Information within the </w:t>
      </w:r>
      <w:proofErr w:type="spellStart"/>
      <w:r w:rsidR="00361F23">
        <w:t>SmPCs</w:t>
      </w:r>
      <w:proofErr w:type="spellEnd"/>
      <w:r w:rsidR="00361F23">
        <w:t xml:space="preserve"> is reviewed regularly (at least annually) and updated as and when new data becomes available.</w:t>
      </w:r>
      <w:bookmarkEnd w:id="7"/>
      <w:r w:rsidR="00361F23">
        <w:t xml:space="preserve"> </w:t>
      </w:r>
      <w:proofErr w:type="spellStart"/>
      <w:r w:rsidR="00F1158F">
        <w:t>SmPCs</w:t>
      </w:r>
      <w:proofErr w:type="spellEnd"/>
      <w:r w:rsidR="00F1158F">
        <w:t xml:space="preserve"> are a crucial source of safety information for prescribers. However, to our knowledge, there has to date been no comparison undertaken on infection risk in immune-modulatory drug use, across </w:t>
      </w:r>
      <w:proofErr w:type="spellStart"/>
      <w:r w:rsidR="00F1158F">
        <w:t>SmPCs</w:t>
      </w:r>
      <w:proofErr w:type="spellEnd"/>
      <w:r w:rsidR="00C043D9">
        <w:t>. Immune-modulatory drugs encompass conventional synthetic (cs), biologic (b) and targeted-synthetic (</w:t>
      </w:r>
      <w:proofErr w:type="spellStart"/>
      <w:r w:rsidR="00C043D9">
        <w:t>ts</w:t>
      </w:r>
      <w:proofErr w:type="spellEnd"/>
      <w:r w:rsidR="00C043D9">
        <w:t>) disease modifying antirheumatic drugs (DMARDs).</w:t>
      </w:r>
    </w:p>
    <w:p w14:paraId="410F2E76" w14:textId="6BA8E0F7" w:rsidR="00011AD8" w:rsidRDefault="00DC38A2" w:rsidP="00011AD8">
      <w:pPr>
        <w:jc w:val="both"/>
      </w:pPr>
      <w:r>
        <w:t xml:space="preserve">We sought to undertake a summary analysis of the </w:t>
      </w:r>
      <w:proofErr w:type="spellStart"/>
      <w:r>
        <w:t>SmPCs</w:t>
      </w:r>
      <w:proofErr w:type="spellEnd"/>
      <w:r>
        <w:t xml:space="preserve"> using a novel methodological approach to help clinicians visualise infection risk patterns across treatment strategies. </w:t>
      </w:r>
    </w:p>
    <w:p w14:paraId="48CB66B4" w14:textId="3AC31586" w:rsidR="00DD466A" w:rsidRPr="00F1158F" w:rsidRDefault="00DD466A" w:rsidP="00011AD8">
      <w:pPr>
        <w:jc w:val="both"/>
      </w:pPr>
      <w:r>
        <w:t xml:space="preserve">The rationale for this work was to be able to compare the information, provided by regulators, as detailed in the </w:t>
      </w:r>
      <w:proofErr w:type="spellStart"/>
      <w:r>
        <w:t>SmPCs</w:t>
      </w:r>
      <w:proofErr w:type="spellEnd"/>
      <w:r>
        <w:t xml:space="preserve">. </w:t>
      </w:r>
      <w:proofErr w:type="spellStart"/>
      <w:r>
        <w:t>SmPCs</w:t>
      </w:r>
      <w:proofErr w:type="spellEnd"/>
      <w:r>
        <w:t xml:space="preserve"> follow a common format and requirements, enabling comparability across agents. </w:t>
      </w:r>
    </w:p>
    <w:p w14:paraId="7E764D17" w14:textId="77777777" w:rsidR="00011AD8" w:rsidRDefault="00011AD8" w:rsidP="00011AD8">
      <w:pPr>
        <w:jc w:val="both"/>
        <w:rPr>
          <w:b/>
        </w:rPr>
      </w:pPr>
      <w:r>
        <w:rPr>
          <w:b/>
        </w:rPr>
        <w:t>Methods</w:t>
      </w:r>
    </w:p>
    <w:p w14:paraId="1B785E99" w14:textId="27078B10" w:rsidR="0086421A" w:rsidRDefault="00011AD8" w:rsidP="00011AD8">
      <w:pPr>
        <w:jc w:val="both"/>
      </w:pPr>
      <w:r>
        <w:t>The search question</w:t>
      </w:r>
      <w:r w:rsidR="00B63FC3">
        <w:t xml:space="preserve"> </w:t>
      </w:r>
      <w:r>
        <w:t>was as follows: What is the frequency and nature of infection in patients with IMIDs taking immunomodulatory medication, as reported in the SmPC literature</w:t>
      </w:r>
      <w:r w:rsidR="004D1625">
        <w:t>?</w:t>
      </w:r>
    </w:p>
    <w:p w14:paraId="53EAC3CF" w14:textId="77777777" w:rsidR="00011AD8" w:rsidRDefault="00011AD8" w:rsidP="00011AD8">
      <w:pPr>
        <w:jc w:val="both"/>
        <w:rPr>
          <w:i/>
        </w:rPr>
      </w:pPr>
      <w:r>
        <w:rPr>
          <w:i/>
        </w:rPr>
        <w:t>Participants</w:t>
      </w:r>
    </w:p>
    <w:p w14:paraId="7066AE3E" w14:textId="568B27D4" w:rsidR="00011AD8" w:rsidRDefault="00011AD8" w:rsidP="00011AD8">
      <w:pPr>
        <w:jc w:val="both"/>
      </w:pPr>
      <w:r>
        <w:t xml:space="preserve">An SmPC for a given drug </w:t>
      </w:r>
      <w:r w:rsidR="007077C8">
        <w:t>was</w:t>
      </w:r>
      <w:r>
        <w:t xml:space="preserve"> included if the drug is licensed in Europe for the treatment of an IMID. </w:t>
      </w:r>
      <w:r w:rsidR="00DD466A">
        <w:t>This comprised rheumatic diseases such as:</w:t>
      </w:r>
      <w:r>
        <w:t xml:space="preserve"> inflammatory arthritis (including rheumatoid arthritis, axial spondyloarthropathy</w:t>
      </w:r>
      <w:r w:rsidR="00DD466A">
        <w:t>, psoriatic arthritis</w:t>
      </w:r>
      <w:r>
        <w:t>), gout, connective tissue disease</w:t>
      </w:r>
      <w:r w:rsidR="00DD466A">
        <w:t xml:space="preserve"> (e.g. systemic lupus erythematosus, scleroderma, dermatomyositis)</w:t>
      </w:r>
      <w:r>
        <w:t>, autoimmune vasculitis, autoinflammatory syndromes</w:t>
      </w:r>
      <w:r w:rsidR="00D60BC5">
        <w:t>, juvenile idiopathic arthritis</w:t>
      </w:r>
      <w:r>
        <w:t>. Non-rheumatic diseases include</w:t>
      </w:r>
      <w:r w:rsidR="00DD466A">
        <w:t>d</w:t>
      </w:r>
      <w:r>
        <w:t>: inflammatory bowel disease (Crohn’s and ulcerative colitis), psoriasis, multiple sclerosis, and other rarer conditions.</w:t>
      </w:r>
    </w:p>
    <w:p w14:paraId="2E377CC2" w14:textId="77777777" w:rsidR="00011AD8" w:rsidRDefault="00011AD8" w:rsidP="00011AD8">
      <w:pPr>
        <w:jc w:val="both"/>
        <w:rPr>
          <w:i/>
        </w:rPr>
      </w:pPr>
      <w:r>
        <w:rPr>
          <w:i/>
        </w:rPr>
        <w:lastRenderedPageBreak/>
        <w:t>Intervention</w:t>
      </w:r>
    </w:p>
    <w:p w14:paraId="21B9D840" w14:textId="77777777" w:rsidR="00011AD8" w:rsidRDefault="00011AD8" w:rsidP="00011AD8">
      <w:pPr>
        <w:jc w:val="both"/>
      </w:pPr>
      <w:r>
        <w:t xml:space="preserve">The intervention is use of an immune-modulatory drug for the treatment of IMIDs. Information on infections as an adverse event secondary to the use of the drug, as described in the SmPC, </w:t>
      </w:r>
      <w:r w:rsidR="00141B60">
        <w:t>was</w:t>
      </w:r>
      <w:r>
        <w:t xml:space="preserve"> extracted and analysed.</w:t>
      </w:r>
    </w:p>
    <w:p w14:paraId="71A9C472" w14:textId="77777777" w:rsidR="00011AD8" w:rsidRDefault="00011AD8" w:rsidP="00011AD8">
      <w:pPr>
        <w:jc w:val="both"/>
      </w:pPr>
      <w:r>
        <w:rPr>
          <w:i/>
        </w:rPr>
        <w:t>Comparator</w:t>
      </w:r>
    </w:p>
    <w:p w14:paraId="18E24845" w14:textId="77F18B40" w:rsidR="00011AD8" w:rsidRDefault="00011AD8" w:rsidP="00011AD8">
      <w:pPr>
        <w:jc w:val="both"/>
      </w:pPr>
      <w:r>
        <w:t>A comparator or control is not directly relevant to this review, although patients with an IMID and not taking the immune-modulatory drugs under study could be considered as such.</w:t>
      </w:r>
    </w:p>
    <w:p w14:paraId="3BFB4679" w14:textId="77777777" w:rsidR="00011AD8" w:rsidRDefault="00011AD8" w:rsidP="00011AD8">
      <w:pPr>
        <w:jc w:val="both"/>
        <w:rPr>
          <w:i/>
        </w:rPr>
      </w:pPr>
      <w:r w:rsidRPr="00250457">
        <w:rPr>
          <w:i/>
        </w:rPr>
        <w:t>Outcomes</w:t>
      </w:r>
    </w:p>
    <w:p w14:paraId="31CB6DC5" w14:textId="77777777" w:rsidR="00011AD8" w:rsidRPr="0066298D" w:rsidRDefault="00011AD8" w:rsidP="00011AD8">
      <w:pPr>
        <w:jc w:val="both"/>
        <w:rPr>
          <w:shd w:val="clear" w:color="auto" w:fill="FFFFFF"/>
        </w:rPr>
      </w:pPr>
      <w:r>
        <w:rPr>
          <w:shd w:val="clear" w:color="auto" w:fill="FFFFFF"/>
        </w:rPr>
        <w:t>Infection risk and frequency based on each immunomodulatory drug under study were recorded, described by infection site (e.g. respiratory, urinary tract, skin etc), and by type (e.g. bacterial, viral, fungal etc).</w:t>
      </w:r>
    </w:p>
    <w:p w14:paraId="643EE1ED" w14:textId="77777777" w:rsidR="00011AD8" w:rsidRDefault="00011AD8" w:rsidP="00011AD8">
      <w:pPr>
        <w:jc w:val="both"/>
        <w:rPr>
          <w:i/>
        </w:rPr>
      </w:pPr>
    </w:p>
    <w:p w14:paraId="5B6E2640" w14:textId="77777777" w:rsidR="00011AD8" w:rsidRDefault="00011AD8" w:rsidP="00011AD8">
      <w:pPr>
        <w:jc w:val="both"/>
        <w:rPr>
          <w:b/>
        </w:rPr>
      </w:pPr>
      <w:r>
        <w:rPr>
          <w:b/>
        </w:rPr>
        <w:t>Study selection, data extraction and synthesis</w:t>
      </w:r>
    </w:p>
    <w:p w14:paraId="2BBE4755" w14:textId="66C9407E" w:rsidR="006E74CA" w:rsidRDefault="00011AD8" w:rsidP="006E74CA">
      <w:pPr>
        <w:jc w:val="both"/>
      </w:pPr>
      <w:r w:rsidRPr="008A071A">
        <w:rPr>
          <w:shd w:val="clear" w:color="auto" w:fill="FFFFFF"/>
        </w:rPr>
        <w:t xml:space="preserve">The </w:t>
      </w:r>
      <w:r>
        <w:rPr>
          <w:shd w:val="clear" w:color="auto" w:fill="FFFFFF"/>
        </w:rPr>
        <w:t>Electronic Medicines Compendium (EMC) was searched for the most commonly</w:t>
      </w:r>
      <w:r w:rsidR="00DD466A">
        <w:rPr>
          <w:shd w:val="clear" w:color="auto" w:fill="FFFFFF"/>
        </w:rPr>
        <w:t xml:space="preserve">-used </w:t>
      </w:r>
      <w:r>
        <w:rPr>
          <w:shd w:val="clear" w:color="auto" w:fill="FFFFFF"/>
        </w:rPr>
        <w:t xml:space="preserve">immune-modulatory drugs in the treatment of IMIDs. </w:t>
      </w:r>
      <w:r w:rsidR="006E74CA">
        <w:t xml:space="preserve">The search and data extraction were performed on </w:t>
      </w:r>
      <w:r w:rsidR="00614C6F">
        <w:t>28</w:t>
      </w:r>
      <w:r w:rsidR="006E74CA" w:rsidRPr="0086421A">
        <w:rPr>
          <w:vertAlign w:val="superscript"/>
        </w:rPr>
        <w:t>th</w:t>
      </w:r>
      <w:r w:rsidR="006E74CA">
        <w:t xml:space="preserve"> September 2020.</w:t>
      </w:r>
    </w:p>
    <w:p w14:paraId="05583AA4" w14:textId="5CB86B2A" w:rsidR="00F1158F" w:rsidRDefault="00011AD8" w:rsidP="00011AD8">
      <w:pPr>
        <w:jc w:val="both"/>
        <w:rPr>
          <w:shd w:val="clear" w:color="auto" w:fill="FFFFFF"/>
        </w:rPr>
      </w:pPr>
      <w:r>
        <w:rPr>
          <w:shd w:val="clear" w:color="auto" w:fill="FFFFFF"/>
        </w:rPr>
        <w:t>Drugs were selected and agreed by all authors. Full length SmPC documents were manually search</w:t>
      </w:r>
      <w:r w:rsidR="006E74CA">
        <w:rPr>
          <w:shd w:val="clear" w:color="auto" w:fill="FFFFFF"/>
        </w:rPr>
        <w:t>ed</w:t>
      </w:r>
      <w:r>
        <w:rPr>
          <w:shd w:val="clear" w:color="auto" w:fill="FFFFFF"/>
        </w:rPr>
        <w:t xml:space="preserve"> for relevant information on infection risk and frequency, which was subsequently extracted from sections 4.4 and 4.8. </w:t>
      </w:r>
      <w:r w:rsidR="00F1158F">
        <w:t>Section 4.4, entitled “Special warnings and precautions for use,” includes data on serious adverse reactions, including infections, and consideration of at-risk groups. Section 4.8, “Undesirable effects,” contains details of infections from clinical trials, post-authorisation safety studies and spontaneous reporting, in which there is at least a reasonable possibility that these are as a consequence of the medicinal product.</w:t>
      </w:r>
      <w:r w:rsidR="00D80CA3">
        <w:t xml:space="preserve"> </w:t>
      </w:r>
      <w:r w:rsidR="00D60BC5">
        <w:t xml:space="preserve">It is important to note that decisions on what is included in the SmPC can be subjective, and may be the result of a consensus decision determined by the relevant committee upon evaluation of the available data. </w:t>
      </w:r>
      <w:r w:rsidR="00F1158F">
        <w:t>In addition to in-depth data and description of these adverse events, details on frequency of subtypes of event (e.g. site and type of infection) were extracted.</w:t>
      </w:r>
    </w:p>
    <w:p w14:paraId="0A3290E9" w14:textId="50F760FA" w:rsidR="0086421A" w:rsidRPr="00C22207" w:rsidRDefault="00011AD8" w:rsidP="00011AD8">
      <w:pPr>
        <w:jc w:val="both"/>
      </w:pPr>
      <w:r>
        <w:rPr>
          <w:shd w:val="clear" w:color="auto" w:fill="FFFFFF"/>
        </w:rPr>
        <w:t xml:space="preserve">25% of included </w:t>
      </w:r>
      <w:proofErr w:type="spellStart"/>
      <w:r>
        <w:rPr>
          <w:shd w:val="clear" w:color="auto" w:fill="FFFFFF"/>
        </w:rPr>
        <w:t>SmPCs</w:t>
      </w:r>
      <w:proofErr w:type="spellEnd"/>
      <w:r>
        <w:rPr>
          <w:shd w:val="clear" w:color="auto" w:fill="FFFFFF"/>
        </w:rPr>
        <w:t xml:space="preserve"> were screened and extracted by a second reviewer, using a purpose-built data extraction table.</w:t>
      </w:r>
      <w:r>
        <w:t xml:space="preserve"> Disagreements were discussed until a consensus was agreed, with a third reviewer involved as needed. No papers, or additional data or supplementary material </w:t>
      </w:r>
      <w:r w:rsidR="00D60BC5">
        <w:t>were</w:t>
      </w:r>
      <w:r>
        <w:t xml:space="preserve"> required from authors.</w:t>
      </w:r>
    </w:p>
    <w:p w14:paraId="50EDE55A" w14:textId="0DA8AEB9" w:rsidR="00011AD8" w:rsidRDefault="00011AD8" w:rsidP="00011AD8">
      <w:pPr>
        <w:jc w:val="both"/>
        <w:rPr>
          <w:shd w:val="clear" w:color="auto" w:fill="FFFFFF"/>
        </w:rPr>
      </w:pPr>
      <w:r>
        <w:rPr>
          <w:shd w:val="clear" w:color="auto" w:fill="FFFFFF"/>
        </w:rPr>
        <w:t>Information on frequency of infection was recorded as per the convention in the SmPC documentation: v</w:t>
      </w:r>
      <w:r w:rsidRPr="00B970EA">
        <w:rPr>
          <w:shd w:val="clear" w:color="auto" w:fill="FFFFFF"/>
        </w:rPr>
        <w:t>ery common (≥1/10); common (≥1/100 to &lt;1/10); uncommon (≥1/1,000 to &lt;1/100); rare (≥1/10,000 to &lt;1/1,000); very rare (&lt;1/10,000)</w:t>
      </w:r>
      <w:r>
        <w:rPr>
          <w:shd w:val="clear" w:color="auto" w:fill="FFFFFF"/>
        </w:rPr>
        <w:t xml:space="preserve"> </w:t>
      </w:r>
      <w:r>
        <w:rPr>
          <w:shd w:val="clear" w:color="auto" w:fill="FFFFFF"/>
        </w:rPr>
        <w:fldChar w:fldCharType="begin" w:fldLock="1"/>
      </w:r>
      <w:r w:rsidR="00C93547">
        <w:rPr>
          <w:shd w:val="clear" w:color="auto" w:fill="FFFFFF"/>
        </w:rPr>
        <w:instrText>ADDIN CSL_CITATION {"citationItems":[{"id":"ITEM-1","itemData":{"id":"ITEM-1","issued":{"date-parts":[["2008"]]},"title":"A GUIDELINE ON SUMMARY OF PRODUCT CHARACTERISTICS MODULE 1.3 SUMMARY OF PRODUCT CHARACTERISTICS","type":"report"},"uris":["http://www.mendeley.com/documents/?uuid=11e1405c-34f1-3b45-a644-dc2a3e864c2d"]}],"mendeley":{"formattedCitation":"(8)","plainTextFormattedCitation":"(8)","previouslyFormattedCitation":"(8)"},"properties":{"noteIndex":0},"schema":"https://github.com/citation-style-language/schema/raw/master/csl-citation.json"}</w:instrText>
      </w:r>
      <w:r>
        <w:rPr>
          <w:shd w:val="clear" w:color="auto" w:fill="FFFFFF"/>
        </w:rPr>
        <w:fldChar w:fldCharType="separate"/>
      </w:r>
      <w:r w:rsidR="00A12427" w:rsidRPr="00A12427">
        <w:rPr>
          <w:noProof/>
          <w:shd w:val="clear" w:color="auto" w:fill="FFFFFF"/>
        </w:rPr>
        <w:t>(8)</w:t>
      </w:r>
      <w:r>
        <w:rPr>
          <w:shd w:val="clear" w:color="auto" w:fill="FFFFFF"/>
        </w:rPr>
        <w:fldChar w:fldCharType="end"/>
      </w:r>
      <w:r>
        <w:rPr>
          <w:shd w:val="clear" w:color="auto" w:fill="FFFFFF"/>
        </w:rPr>
        <w:t>.</w:t>
      </w:r>
      <w:r w:rsidR="00152928">
        <w:rPr>
          <w:shd w:val="clear" w:color="auto" w:fill="FFFFFF"/>
        </w:rPr>
        <w:t xml:space="preserve"> Of note, not all “very rare” infections may be included in a given SmPC- the threshold for inclusion may be subjective and be based, for example, on clinical importance of the infection.</w:t>
      </w:r>
      <w:r>
        <w:rPr>
          <w:shd w:val="clear" w:color="auto" w:fill="FFFFFF"/>
        </w:rPr>
        <w:t xml:space="preserve"> Any additional information was recorded within the extraction table with adequate referencing to the relevant SmPC. </w:t>
      </w:r>
      <w:r w:rsidR="007A022E">
        <w:rPr>
          <w:shd w:val="clear" w:color="auto" w:fill="FFFFFF"/>
        </w:rPr>
        <w:t>Information, w</w:t>
      </w:r>
      <w:r w:rsidR="00F1779D">
        <w:rPr>
          <w:shd w:val="clear" w:color="auto" w:fill="FFFFFF"/>
        </w:rPr>
        <w:t>h</w:t>
      </w:r>
      <w:r w:rsidR="007A022E">
        <w:rPr>
          <w:shd w:val="clear" w:color="auto" w:fill="FFFFFF"/>
        </w:rPr>
        <w:t xml:space="preserve">ere available, on </w:t>
      </w:r>
      <w:r w:rsidR="00F1779D">
        <w:rPr>
          <w:shd w:val="clear" w:color="auto" w:fill="FFFFFF"/>
        </w:rPr>
        <w:t>infection site (e.g. respiratory, skin etc), type (e.g. bacterial, viral etc) and individual pathogenic organisms was also extracted.</w:t>
      </w:r>
    </w:p>
    <w:p w14:paraId="51849C10" w14:textId="77777777" w:rsidR="00F1779D" w:rsidRDefault="00F1779D" w:rsidP="00011AD8">
      <w:pPr>
        <w:jc w:val="both"/>
        <w:rPr>
          <w:b/>
          <w:shd w:val="clear" w:color="auto" w:fill="FFFFFF"/>
        </w:rPr>
      </w:pPr>
    </w:p>
    <w:p w14:paraId="67640101" w14:textId="77777777" w:rsidR="00F1779D" w:rsidRDefault="00F1779D" w:rsidP="00011AD8">
      <w:pPr>
        <w:jc w:val="both"/>
        <w:rPr>
          <w:b/>
          <w:shd w:val="clear" w:color="auto" w:fill="FFFFFF"/>
        </w:rPr>
      </w:pPr>
      <w:r>
        <w:rPr>
          <w:b/>
          <w:shd w:val="clear" w:color="auto" w:fill="FFFFFF"/>
        </w:rPr>
        <w:t>Results</w:t>
      </w:r>
    </w:p>
    <w:p w14:paraId="0287727C" w14:textId="5C66B7E0" w:rsidR="00F1779D" w:rsidRDefault="00F1779D" w:rsidP="00F1779D">
      <w:pPr>
        <w:jc w:val="both"/>
        <w:rPr>
          <w:shd w:val="clear" w:color="auto" w:fill="FFFFFF"/>
        </w:rPr>
      </w:pPr>
      <w:r>
        <w:rPr>
          <w:shd w:val="clear" w:color="auto" w:fill="FFFFFF"/>
        </w:rPr>
        <w:lastRenderedPageBreak/>
        <w:t xml:space="preserve">In total, 39 drugs were </w:t>
      </w:r>
      <w:r w:rsidR="0037728A">
        <w:rPr>
          <w:shd w:val="clear" w:color="auto" w:fill="FFFFFF"/>
        </w:rPr>
        <w:t>identified</w:t>
      </w:r>
      <w:r>
        <w:rPr>
          <w:shd w:val="clear" w:color="auto" w:fill="FFFFFF"/>
        </w:rPr>
        <w:t xml:space="preserve">, used across 20 indications, </w:t>
      </w:r>
      <w:r w:rsidR="0028751A">
        <w:rPr>
          <w:shd w:val="clear" w:color="auto" w:fill="FFFFFF"/>
        </w:rPr>
        <w:t>including</w:t>
      </w:r>
      <w:r>
        <w:rPr>
          <w:shd w:val="clear" w:color="auto" w:fill="FFFFFF"/>
        </w:rPr>
        <w:t xml:space="preserve"> nine </w:t>
      </w:r>
      <w:r w:rsidR="00DD466A">
        <w:rPr>
          <w:shd w:val="clear" w:color="auto" w:fill="FFFFFF"/>
        </w:rPr>
        <w:t>cs</w:t>
      </w:r>
      <w:r>
        <w:rPr>
          <w:shd w:val="clear" w:color="auto" w:fill="FFFFFF"/>
        </w:rPr>
        <w:t>DMARDs, six tsDMARDs</w:t>
      </w:r>
      <w:r w:rsidR="00E864DE">
        <w:rPr>
          <w:shd w:val="clear" w:color="auto" w:fill="FFFFFF"/>
        </w:rPr>
        <w:t xml:space="preserve"> (</w:t>
      </w:r>
      <w:r>
        <w:rPr>
          <w:shd w:val="clear" w:color="auto" w:fill="FFFFFF"/>
        </w:rPr>
        <w:t>four Janus kinase [JAK] inhibitors, two s</w:t>
      </w:r>
      <w:r w:rsidRPr="008855B7">
        <w:rPr>
          <w:shd w:val="clear" w:color="auto" w:fill="FFFFFF"/>
        </w:rPr>
        <w:t>phingosine 1-phosphate receptor modulator</w:t>
      </w:r>
      <w:r>
        <w:rPr>
          <w:shd w:val="clear" w:color="auto" w:fill="FFFFFF"/>
        </w:rPr>
        <w:t xml:space="preserve">s) and 24 </w:t>
      </w:r>
      <w:r w:rsidR="00DD466A">
        <w:rPr>
          <w:shd w:val="clear" w:color="auto" w:fill="FFFFFF"/>
        </w:rPr>
        <w:t>b</w:t>
      </w:r>
      <w:r>
        <w:rPr>
          <w:shd w:val="clear" w:color="auto" w:fill="FFFFFF"/>
        </w:rPr>
        <w:t>DMARDs (17 cytokine-targeted</w:t>
      </w:r>
      <w:r w:rsidR="0063410D">
        <w:rPr>
          <w:shd w:val="clear" w:color="auto" w:fill="FFFFFF"/>
        </w:rPr>
        <w:t xml:space="preserve"> and</w:t>
      </w:r>
      <w:r>
        <w:rPr>
          <w:shd w:val="clear" w:color="auto" w:fill="FFFFFF"/>
        </w:rPr>
        <w:t xml:space="preserve"> sev</w:t>
      </w:r>
      <w:r w:rsidRPr="00FC3C88">
        <w:rPr>
          <w:shd w:val="clear" w:color="auto" w:fill="FFFFFF"/>
        </w:rPr>
        <w:t>en cell-targeted).</w:t>
      </w:r>
      <w:r w:rsidR="009801D3">
        <w:rPr>
          <w:shd w:val="clear" w:color="auto" w:fill="FFFFFF"/>
        </w:rPr>
        <w:t xml:space="preserve"> All drugs are listed by </w:t>
      </w:r>
      <w:r w:rsidR="0066298D">
        <w:rPr>
          <w:shd w:val="clear" w:color="auto" w:fill="FFFFFF"/>
        </w:rPr>
        <w:t>DM</w:t>
      </w:r>
      <w:r w:rsidR="009801D3">
        <w:rPr>
          <w:shd w:val="clear" w:color="auto" w:fill="FFFFFF"/>
        </w:rPr>
        <w:t>ARD category in Table 1.</w:t>
      </w:r>
      <w:r w:rsidR="00EC0AF5">
        <w:rPr>
          <w:shd w:val="clear" w:color="auto" w:fill="FFFFFF"/>
        </w:rPr>
        <w:t xml:space="preserve"> All included </w:t>
      </w:r>
      <w:proofErr w:type="spellStart"/>
      <w:r w:rsidR="00EC0AF5">
        <w:rPr>
          <w:shd w:val="clear" w:color="auto" w:fill="FFFFFF"/>
        </w:rPr>
        <w:t>SmPCs</w:t>
      </w:r>
      <w:proofErr w:type="spellEnd"/>
      <w:r w:rsidR="00EC0AF5">
        <w:rPr>
          <w:shd w:val="clear" w:color="auto" w:fill="FFFFFF"/>
        </w:rPr>
        <w:t xml:space="preserve"> had been updated within 18 months of the search date.</w:t>
      </w:r>
    </w:p>
    <w:p w14:paraId="2B90F007" w14:textId="4351BA79" w:rsidR="0023764B" w:rsidRPr="00FC3C88" w:rsidRDefault="0023764B" w:rsidP="00F1779D">
      <w:pPr>
        <w:jc w:val="both"/>
        <w:rPr>
          <w:shd w:val="clear" w:color="auto" w:fill="FFFFFF"/>
        </w:rPr>
      </w:pPr>
      <w:r>
        <w:rPr>
          <w:shd w:val="clear" w:color="auto" w:fill="FFFFFF"/>
        </w:rPr>
        <w:t xml:space="preserve">All </w:t>
      </w:r>
      <w:proofErr w:type="spellStart"/>
      <w:r>
        <w:rPr>
          <w:shd w:val="clear" w:color="auto" w:fill="FFFFFF"/>
        </w:rPr>
        <w:t>SmPCs</w:t>
      </w:r>
      <w:proofErr w:type="spellEnd"/>
      <w:r>
        <w:rPr>
          <w:shd w:val="clear" w:color="auto" w:fill="FFFFFF"/>
        </w:rPr>
        <w:t xml:space="preserve"> had areas of missing </w:t>
      </w:r>
      <w:r w:rsidR="003E3F7E">
        <w:rPr>
          <w:shd w:val="clear" w:color="auto" w:fill="FFFFFF"/>
        </w:rPr>
        <w:t xml:space="preserve">or unavailable </w:t>
      </w:r>
      <w:r>
        <w:rPr>
          <w:shd w:val="clear" w:color="auto" w:fill="FFFFFF"/>
        </w:rPr>
        <w:t>data</w:t>
      </w:r>
      <w:r w:rsidR="00D60BC5">
        <w:rPr>
          <w:shd w:val="clear" w:color="auto" w:fill="FFFFFF"/>
        </w:rPr>
        <w:t xml:space="preserve"> (i.e. not reported within the </w:t>
      </w:r>
      <w:proofErr w:type="spellStart"/>
      <w:r w:rsidR="00D60BC5">
        <w:rPr>
          <w:shd w:val="clear" w:color="auto" w:fill="FFFFFF"/>
        </w:rPr>
        <w:t>SmPCs</w:t>
      </w:r>
      <w:proofErr w:type="spellEnd"/>
      <w:r w:rsidR="00D60BC5">
        <w:rPr>
          <w:shd w:val="clear" w:color="auto" w:fill="FFFFFF"/>
        </w:rPr>
        <w:t>)</w:t>
      </w:r>
      <w:r w:rsidR="00967360">
        <w:rPr>
          <w:shd w:val="clear" w:color="auto" w:fill="FFFFFF"/>
        </w:rPr>
        <w:t>, possibly due to the rarity of events or rarest events not being reported</w:t>
      </w:r>
      <w:r>
        <w:rPr>
          <w:shd w:val="clear" w:color="auto" w:fill="FFFFFF"/>
        </w:rPr>
        <w:t xml:space="preserve">. For infection sites, this was most marked for cladribine, upadacitinib, </w:t>
      </w:r>
      <w:r w:rsidR="00EC0AF5">
        <w:rPr>
          <w:shd w:val="clear" w:color="auto" w:fill="FFFFFF"/>
        </w:rPr>
        <w:t xml:space="preserve">certolizumab pegol, </w:t>
      </w:r>
      <w:proofErr w:type="spellStart"/>
      <w:r>
        <w:rPr>
          <w:shd w:val="clear" w:color="auto" w:fill="FFFFFF"/>
        </w:rPr>
        <w:t>ravulizumab</w:t>
      </w:r>
      <w:proofErr w:type="spellEnd"/>
      <w:r>
        <w:rPr>
          <w:shd w:val="clear" w:color="auto" w:fill="FFFFFF"/>
        </w:rPr>
        <w:t>, natalizumab and dupilumab, which reported frequency of infection for a maximum of two sites. All drugs had large amounts of missing</w:t>
      </w:r>
      <w:r w:rsidR="00967360">
        <w:rPr>
          <w:shd w:val="clear" w:color="auto" w:fill="FFFFFF"/>
        </w:rPr>
        <w:t xml:space="preserve"> or unavailable data </w:t>
      </w:r>
      <w:r>
        <w:rPr>
          <w:shd w:val="clear" w:color="auto" w:fill="FFFFFF"/>
        </w:rPr>
        <w:t xml:space="preserve">for frequencies of infection with pathogen groups (e.g. bacteria, fungi), aside from viruses, where there were no missing data.  </w:t>
      </w:r>
      <w:r w:rsidR="006E5C17">
        <w:rPr>
          <w:shd w:val="clear" w:color="auto" w:fill="FFFFFF"/>
        </w:rPr>
        <w:t>With regards individual organisms a large amount of missing data was noted for most pathogens, especially opportunistic infections</w:t>
      </w:r>
      <w:r w:rsidR="00967360">
        <w:rPr>
          <w:shd w:val="clear" w:color="auto" w:fill="FFFFFF"/>
        </w:rPr>
        <w:t>, again due to low frequency of events</w:t>
      </w:r>
      <w:r w:rsidR="00EC0AF5">
        <w:rPr>
          <w:shd w:val="clear" w:color="auto" w:fill="FFFFFF"/>
        </w:rPr>
        <w:t>.</w:t>
      </w:r>
      <w:r w:rsidR="004200F3">
        <w:rPr>
          <w:shd w:val="clear" w:color="auto" w:fill="FFFFFF"/>
        </w:rPr>
        <w:t xml:space="preserve"> Infections were more likely to be listed by site than organism.</w:t>
      </w:r>
    </w:p>
    <w:p w14:paraId="213FC0D6" w14:textId="425DE52A" w:rsidR="00F1779D" w:rsidRDefault="00F1779D" w:rsidP="00F1779D">
      <w:pPr>
        <w:jc w:val="both"/>
        <w:rPr>
          <w:shd w:val="clear" w:color="auto" w:fill="FFFFFF"/>
        </w:rPr>
      </w:pPr>
      <w:r>
        <w:rPr>
          <w:shd w:val="clear" w:color="auto" w:fill="FFFFFF"/>
        </w:rPr>
        <w:t xml:space="preserve">Twelve sites of infection were recorded. Minimal or no site information was available for most csDMARDs and </w:t>
      </w:r>
      <w:proofErr w:type="spellStart"/>
      <w:r>
        <w:rPr>
          <w:shd w:val="clear" w:color="auto" w:fill="FFFFFF"/>
        </w:rPr>
        <w:t>siponimod</w:t>
      </w:r>
      <w:proofErr w:type="spellEnd"/>
      <w:r>
        <w:rPr>
          <w:shd w:val="clear" w:color="auto" w:fill="FFFFFF"/>
        </w:rPr>
        <w:t xml:space="preserve">, certolizumab pegol and rituximab. </w:t>
      </w:r>
      <w:r w:rsidR="00D83BE1">
        <w:rPr>
          <w:shd w:val="clear" w:color="auto" w:fill="FFFFFF"/>
        </w:rPr>
        <w:t>Figure 1 shows t</w:t>
      </w:r>
      <w:r>
        <w:rPr>
          <w:shd w:val="clear" w:color="auto" w:fill="FFFFFF"/>
        </w:rPr>
        <w:t>he most common sites of infection listed by drug group. Upper respiratory tract was the most common site</w:t>
      </w:r>
      <w:r w:rsidR="00D83BE1">
        <w:rPr>
          <w:shd w:val="clear" w:color="auto" w:fill="FFFFFF"/>
        </w:rPr>
        <w:t xml:space="preserve"> of infection</w:t>
      </w:r>
      <w:r>
        <w:rPr>
          <w:shd w:val="clear" w:color="auto" w:fill="FFFFFF"/>
        </w:rPr>
        <w:t>, especially with bDMARDs. Lower respiratory, ear/nose/throat (including sinusitis) and urinary tract infections were moderately common, with clustering within drug groups</w:t>
      </w:r>
      <w:r w:rsidR="00753A2B">
        <w:rPr>
          <w:shd w:val="clear" w:color="auto" w:fill="FFFFFF"/>
        </w:rPr>
        <w:t xml:space="preserve">, especially </w:t>
      </w:r>
      <w:proofErr w:type="spellStart"/>
      <w:r w:rsidR="00753A2B">
        <w:rPr>
          <w:shd w:val="clear" w:color="auto" w:fill="FFFFFF"/>
        </w:rPr>
        <w:t>TNF</w:t>
      </w:r>
      <w:r w:rsidR="008B26E0">
        <w:rPr>
          <w:shd w:val="clear" w:color="auto" w:fill="FFFFFF"/>
        </w:rPr>
        <w:t>is</w:t>
      </w:r>
      <w:proofErr w:type="spellEnd"/>
      <w:r>
        <w:rPr>
          <w:shd w:val="clear" w:color="auto" w:fill="FFFFFF"/>
        </w:rPr>
        <w:t xml:space="preserve">. No drugs reported </w:t>
      </w:r>
      <w:r w:rsidR="00D83BE1">
        <w:rPr>
          <w:shd w:val="clear" w:color="auto" w:fill="FFFFFF"/>
        </w:rPr>
        <w:t xml:space="preserve">the </w:t>
      </w:r>
      <w:r>
        <w:rPr>
          <w:shd w:val="clear" w:color="auto" w:fill="FFFFFF"/>
        </w:rPr>
        <w:t>risk of cardiac infections</w:t>
      </w:r>
      <w:r w:rsidR="00D83BE1">
        <w:rPr>
          <w:shd w:val="clear" w:color="auto" w:fill="FFFFFF"/>
        </w:rPr>
        <w:t>. T</w:t>
      </w:r>
      <w:r>
        <w:rPr>
          <w:shd w:val="clear" w:color="auto" w:fill="FFFFFF"/>
        </w:rPr>
        <w:t xml:space="preserve">he eye, musculoskeletal, neurological, oral and reproductive </w:t>
      </w:r>
      <w:r w:rsidR="00D83BE1">
        <w:rPr>
          <w:shd w:val="clear" w:color="auto" w:fill="FFFFFF"/>
        </w:rPr>
        <w:t xml:space="preserve">tract </w:t>
      </w:r>
      <w:r>
        <w:rPr>
          <w:shd w:val="clear" w:color="auto" w:fill="FFFFFF"/>
        </w:rPr>
        <w:t>sites were the least commonly</w:t>
      </w:r>
      <w:r w:rsidR="00D83BE1">
        <w:rPr>
          <w:shd w:val="clear" w:color="auto" w:fill="FFFFFF"/>
        </w:rPr>
        <w:t xml:space="preserve"> </w:t>
      </w:r>
      <w:r>
        <w:rPr>
          <w:shd w:val="clear" w:color="auto" w:fill="FFFFFF"/>
        </w:rPr>
        <w:t>reported sites of infection.</w:t>
      </w:r>
    </w:p>
    <w:p w14:paraId="0541B224" w14:textId="4814BF2B" w:rsidR="00383BFA" w:rsidRDefault="00F1779D" w:rsidP="00287996">
      <w:pPr>
        <w:jc w:val="both"/>
        <w:rPr>
          <w:shd w:val="clear" w:color="auto" w:fill="FFFFFF"/>
        </w:rPr>
      </w:pPr>
      <w:r>
        <w:rPr>
          <w:shd w:val="clear" w:color="auto" w:fill="FFFFFF"/>
        </w:rPr>
        <w:t xml:space="preserve">Infection data for 27 distinct pathogens were recorded, the majority viruses, especially with bDMARD use. </w:t>
      </w:r>
      <w:r w:rsidR="0066298D">
        <w:rPr>
          <w:shd w:val="clear" w:color="auto" w:fill="FFFFFF"/>
        </w:rPr>
        <w:t>Supplementary figure 1</w:t>
      </w:r>
      <w:r w:rsidR="00030C6A">
        <w:rPr>
          <w:shd w:val="clear" w:color="auto" w:fill="FFFFFF"/>
        </w:rPr>
        <w:t xml:space="preserve"> shows </w:t>
      </w:r>
      <w:r w:rsidR="00287996">
        <w:rPr>
          <w:shd w:val="clear" w:color="auto" w:fill="FFFFFF"/>
        </w:rPr>
        <w:t xml:space="preserve">the most common pathogen subtypes by drug (where information </w:t>
      </w:r>
      <w:r w:rsidR="008C3A9D">
        <w:rPr>
          <w:shd w:val="clear" w:color="auto" w:fill="FFFFFF"/>
        </w:rPr>
        <w:t>was</w:t>
      </w:r>
      <w:r w:rsidR="00287996">
        <w:rPr>
          <w:shd w:val="clear" w:color="auto" w:fill="FFFFFF"/>
        </w:rPr>
        <w:t xml:space="preserve"> available). Specifically, h</w:t>
      </w:r>
      <w:r>
        <w:rPr>
          <w:shd w:val="clear" w:color="auto" w:fill="FFFFFF"/>
        </w:rPr>
        <w:t>erpes simplex and zoster were the most frequently listed</w:t>
      </w:r>
      <w:r w:rsidR="00287996">
        <w:rPr>
          <w:shd w:val="clear" w:color="auto" w:fill="FFFFFF"/>
        </w:rPr>
        <w:t xml:space="preserve"> pathogens</w:t>
      </w:r>
      <w:r>
        <w:rPr>
          <w:shd w:val="clear" w:color="auto" w:fill="FFFFFF"/>
        </w:rPr>
        <w:t xml:space="preserve"> (mainly with bDMARDs and tsDMARDs</w:t>
      </w:r>
      <w:r w:rsidR="00DF1B8B">
        <w:rPr>
          <w:shd w:val="clear" w:color="auto" w:fill="FFFFFF"/>
        </w:rPr>
        <w:t xml:space="preserve">, </w:t>
      </w:r>
      <w:r w:rsidR="006D06DA">
        <w:rPr>
          <w:shd w:val="clear" w:color="auto" w:fill="FFFFFF"/>
        </w:rPr>
        <w:t>most</w:t>
      </w:r>
      <w:r w:rsidR="00DF1B8B">
        <w:rPr>
          <w:shd w:val="clear" w:color="auto" w:fill="FFFFFF"/>
        </w:rPr>
        <w:t xml:space="preserve"> classed as “common” in frequency</w:t>
      </w:r>
      <w:r>
        <w:rPr>
          <w:shd w:val="clear" w:color="auto" w:fill="FFFFFF"/>
        </w:rPr>
        <w:t>), followed by influenza</w:t>
      </w:r>
      <w:r w:rsidR="0045150D">
        <w:rPr>
          <w:shd w:val="clear" w:color="auto" w:fill="FFFFFF"/>
        </w:rPr>
        <w:t xml:space="preserve"> virus</w:t>
      </w:r>
      <w:r w:rsidR="00DF1B8B">
        <w:rPr>
          <w:shd w:val="clear" w:color="auto" w:fill="FFFFFF"/>
        </w:rPr>
        <w:t xml:space="preserve"> (common to very common with the use of several drugs across all categories; very common with the use of fingolimod, canakinumab, infliximab and ocrelizumab)</w:t>
      </w:r>
      <w:r>
        <w:rPr>
          <w:shd w:val="clear" w:color="auto" w:fill="FFFFFF"/>
        </w:rPr>
        <w:t>. Common non-viral causes of infection were candida and tinea species.</w:t>
      </w:r>
      <w:r w:rsidR="00287996">
        <w:rPr>
          <w:shd w:val="clear" w:color="auto" w:fill="FFFFFF"/>
        </w:rPr>
        <w:t xml:space="preserve"> </w:t>
      </w:r>
    </w:p>
    <w:p w14:paraId="25D597A8" w14:textId="46EC4018" w:rsidR="00F1779D" w:rsidRDefault="00F1779D" w:rsidP="00287996">
      <w:pPr>
        <w:jc w:val="both"/>
        <w:rPr>
          <w:shd w:val="clear" w:color="auto" w:fill="FFFFFF"/>
        </w:rPr>
      </w:pPr>
      <w:r>
        <w:rPr>
          <w:shd w:val="clear" w:color="auto" w:fill="FFFFFF"/>
        </w:rPr>
        <w:t>Variable or absent reporting was noted for opportunistic infections and certain viruses</w:t>
      </w:r>
      <w:r w:rsidR="0045150D">
        <w:rPr>
          <w:shd w:val="clear" w:color="auto" w:fill="FFFFFF"/>
        </w:rPr>
        <w:t xml:space="preserve"> with high prevalence in the general population</w:t>
      </w:r>
      <w:r>
        <w:rPr>
          <w:shd w:val="clear" w:color="auto" w:fill="FFFFFF"/>
        </w:rPr>
        <w:t xml:space="preserve"> e.g. Epstein-Barr.</w:t>
      </w:r>
      <w:r w:rsidR="00002FBB">
        <w:rPr>
          <w:shd w:val="clear" w:color="auto" w:fill="FFFFFF"/>
        </w:rPr>
        <w:t xml:space="preserve"> </w:t>
      </w:r>
      <w:bookmarkStart w:id="8" w:name="_Hlk113209975"/>
      <w:r w:rsidR="00002FBB">
        <w:rPr>
          <w:shd w:val="clear" w:color="auto" w:fill="FFFFFF"/>
        </w:rPr>
        <w:t xml:space="preserve">Infection frequencies for several opportunistic </w:t>
      </w:r>
      <w:r w:rsidR="00EC42AD">
        <w:rPr>
          <w:shd w:val="clear" w:color="auto" w:fill="FFFFFF"/>
        </w:rPr>
        <w:t>infections</w:t>
      </w:r>
      <w:r w:rsidR="00002FBB">
        <w:rPr>
          <w:shd w:val="clear" w:color="auto" w:fill="FFFFFF"/>
        </w:rPr>
        <w:t xml:space="preserve"> were reported, with variable amounts of missing data. </w:t>
      </w:r>
      <w:bookmarkEnd w:id="8"/>
      <w:r w:rsidR="00EC42AD">
        <w:rPr>
          <w:shd w:val="clear" w:color="auto" w:fill="FFFFFF"/>
        </w:rPr>
        <w:t>Frequencies of infection with fungi- especially candida and tinea species- had the least missing data.</w:t>
      </w:r>
      <w:r w:rsidR="00D01E7C">
        <w:rPr>
          <w:shd w:val="clear" w:color="auto" w:fill="FFFFFF"/>
        </w:rPr>
        <w:t xml:space="preserve"> </w:t>
      </w:r>
      <w:r w:rsidR="00002FBB">
        <w:rPr>
          <w:shd w:val="clear" w:color="auto" w:fill="FFFFFF"/>
        </w:rPr>
        <w:t xml:space="preserve">Infection frequency for mycobacterium tuberculosis (TB) was reported for eight of the 39 drugs. </w:t>
      </w:r>
      <w:r w:rsidR="00EC42AD">
        <w:rPr>
          <w:shd w:val="clear" w:color="auto" w:fill="FFFFFF"/>
        </w:rPr>
        <w:t xml:space="preserve">Frequencies for other mycobacterial infections, including mycobacterium avium complex, were available for five drugs. </w:t>
      </w:r>
      <w:r w:rsidR="00BA7946">
        <w:rPr>
          <w:shd w:val="clear" w:color="auto" w:fill="FFFFFF"/>
        </w:rPr>
        <w:t xml:space="preserve">Other </w:t>
      </w:r>
      <w:r w:rsidR="00725476">
        <w:rPr>
          <w:shd w:val="clear" w:color="auto" w:fill="FFFFFF"/>
        </w:rPr>
        <w:t xml:space="preserve">opportunistic infections, including histoplasma, blastomyces and aspergillus had frequencies reported for three or fewer drugs. </w:t>
      </w:r>
      <w:r w:rsidR="00D01E7C">
        <w:rPr>
          <w:shd w:val="clear" w:color="auto" w:fill="FFFFFF"/>
        </w:rPr>
        <w:t>The full list o</w:t>
      </w:r>
      <w:r w:rsidR="00E15203">
        <w:rPr>
          <w:shd w:val="clear" w:color="auto" w:fill="FFFFFF"/>
        </w:rPr>
        <w:t xml:space="preserve">f frequencies of infections with the individual pathogens, by drug, is found in </w:t>
      </w:r>
      <w:r w:rsidR="00682C45">
        <w:rPr>
          <w:shd w:val="clear" w:color="auto" w:fill="FFFFFF"/>
        </w:rPr>
        <w:t>Figure 2</w:t>
      </w:r>
      <w:r w:rsidR="00E15203">
        <w:rPr>
          <w:shd w:val="clear" w:color="auto" w:fill="FFFFFF"/>
        </w:rPr>
        <w:t>.</w:t>
      </w:r>
      <w:r w:rsidR="003F75D3">
        <w:rPr>
          <w:shd w:val="clear" w:color="auto" w:fill="FFFFFF"/>
        </w:rPr>
        <w:t xml:space="preserve"> Cells are left blank where there is no mention of the infection within the SmPC. Colours denote the frequency reported within the SmPC, including where it is reported as “unknown”.</w:t>
      </w:r>
    </w:p>
    <w:p w14:paraId="0E27BE35" w14:textId="77777777" w:rsidR="00164B7F" w:rsidRDefault="00164B7F" w:rsidP="00287996">
      <w:pPr>
        <w:jc w:val="both"/>
        <w:rPr>
          <w:lang w:val="en-US"/>
        </w:rPr>
      </w:pPr>
    </w:p>
    <w:p w14:paraId="25B8B73F" w14:textId="77777777" w:rsidR="00164B7F" w:rsidRDefault="00A872CE" w:rsidP="00287996">
      <w:pPr>
        <w:jc w:val="both"/>
        <w:rPr>
          <w:b/>
          <w:lang w:val="en-US"/>
        </w:rPr>
      </w:pPr>
      <w:r>
        <w:rPr>
          <w:b/>
          <w:lang w:val="en-US"/>
        </w:rPr>
        <w:t>Discussion</w:t>
      </w:r>
    </w:p>
    <w:p w14:paraId="3A5AA402" w14:textId="5F673177" w:rsidR="005F7EF0" w:rsidRDefault="005F7EF0" w:rsidP="005F7EF0">
      <w:pPr>
        <w:jc w:val="both"/>
      </w:pPr>
      <w:r>
        <w:t>The SmPC literature reports differences in infection risk, by site and pathogen, between immune-modulatory drugs</w:t>
      </w:r>
      <w:r w:rsidR="0045150D">
        <w:t>, albeit accounting for the lack of standardisation of reporting</w:t>
      </w:r>
      <w:r>
        <w:t xml:space="preserve">. </w:t>
      </w:r>
      <w:bookmarkStart w:id="9" w:name="_Hlk113731851"/>
      <w:r>
        <w:t xml:space="preserve">The findings can be used to visualise </w:t>
      </w:r>
      <w:r w:rsidR="00DC72EE">
        <w:t>risk estimates, in a format that is easily and quickly legible</w:t>
      </w:r>
      <w:r>
        <w:t xml:space="preserve">. </w:t>
      </w:r>
      <w:bookmarkStart w:id="10" w:name="_Hlk113210402"/>
      <w:r>
        <w:t xml:space="preserve">However, some of the patterns we have shown lack face-validity to clinicians familiar with real-world safety data. </w:t>
      </w:r>
      <w:r w:rsidR="00E70560">
        <w:t xml:space="preserve">Reasons for this include that the </w:t>
      </w:r>
      <w:r>
        <w:t>data are likely skewed</w:t>
      </w:r>
      <w:r w:rsidR="00FA5E1B">
        <w:t xml:space="preserve"> in some cases</w:t>
      </w:r>
      <w:r>
        <w:t xml:space="preserve"> by trial selection criteria, varying number of trials per drug</w:t>
      </w:r>
      <w:r w:rsidR="004926E2">
        <w:t>,</w:t>
      </w:r>
      <w:r>
        <w:t xml:space="preserve"> and quirks of individual study-reporting methodologies. </w:t>
      </w:r>
      <w:r w:rsidR="00E70560">
        <w:t xml:space="preserve">In addition, data used to build </w:t>
      </w:r>
      <w:proofErr w:type="spellStart"/>
      <w:r w:rsidR="00E70560">
        <w:lastRenderedPageBreak/>
        <w:t>SmPCs</w:t>
      </w:r>
      <w:proofErr w:type="spellEnd"/>
      <w:r w:rsidR="00E70560">
        <w:t xml:space="preserve"> may fail to capture risk of rare infections, which may be detected in observational studies and real-world data.</w:t>
      </w:r>
    </w:p>
    <w:bookmarkEnd w:id="9"/>
    <w:bookmarkEnd w:id="10"/>
    <w:p w14:paraId="4252BC70" w14:textId="704941D0" w:rsidR="007E0BA1" w:rsidRDefault="003A6A03" w:rsidP="005F7EF0">
      <w:pPr>
        <w:jc w:val="both"/>
      </w:pPr>
      <w:r>
        <w:t>To our knowledge, this is the first review comparing</w:t>
      </w:r>
      <w:r w:rsidR="00D0655B">
        <w:t xml:space="preserve"> infection risk profile </w:t>
      </w:r>
      <w:r w:rsidR="00886AA0">
        <w:t>of immune</w:t>
      </w:r>
      <w:r>
        <w:t>-modulatory drugs</w:t>
      </w:r>
      <w:r w:rsidR="00D0655B">
        <w:t xml:space="preserve">, as detailed in the </w:t>
      </w:r>
      <w:proofErr w:type="spellStart"/>
      <w:r w:rsidR="00D0655B">
        <w:t>SmPCs</w:t>
      </w:r>
      <w:proofErr w:type="spellEnd"/>
      <w:r>
        <w:t xml:space="preserve">. </w:t>
      </w:r>
      <w:r w:rsidR="00886AA0">
        <w:t>P</w:t>
      </w:r>
      <w:r>
        <w:t xml:space="preserve">revious studies have </w:t>
      </w:r>
      <w:r w:rsidR="001F4D23">
        <w:t xml:space="preserve">sought to compare other aspects of drug information reporting, such as drug interactions and contraindications in conditions other than the IMIDs </w:t>
      </w:r>
      <w:r w:rsidR="00480D30">
        <w:fldChar w:fldCharType="begin" w:fldLock="1"/>
      </w:r>
      <w:r w:rsidR="000728C8">
        <w:instrText>ADDIN CSL_CITATION {"citationItems":[{"id":"ITEM-1","itemData":{"DOI":"10.1007/S00228-005-0943-4","ISSN":"0031-6970","PMID":"15983822","abstract":"Objective: To compare comprehensiveness and accuracy of drug interaction information in the German summary of product characteristics (SPC) with current evidence from the literature and to evaluate the SPC's usefulness with respect to management of drug interactions. Methods: Information on clinically relevant drug interactions was compared between the SPC and three standard information sources on drug interactions (DRUGDEX, Hansten/Horn's Drug Interactions Analysis and Management, Stockley's Drug Interactions) according to five consecutive criteria (inclusion, appropriateness of class labelling, effect description, management recommendation, explicit dose adjustment). Using medication data of an outpatient population (n = 4,949), we determined what percentage of insufficiently characterized combinations indeed occurred in outpatients treated with combination drug therapy. Results: Only for 33% (192/579) of the evaluated combinations did SPCs provide drug interaction information equivalent to the evidence from the published literature. Of the clinically relevant drug interactions, 16% were completely missing and 51% were insufficiently characterized compared with standard sources. Explicit management recommendations were either missing or differed from standard sources in 18% of the evaluated pairs of compounds. Of these missing or insufficiently characterized combinations, 12% (47/387) were indeed prescribed to outpatients. Those drug combinations for which the interaction potential was not mentioned in the SPC were received by 0.6% (32/4,949) of patients, and 4% (192/4,949) of patients received combinations that had insufficiently characterized drug interactions. Conclusions: If physicians only rely on SPC information for drug interactions, adverse events due to lacking management recommendations may occur. To meet the SPCs claim of being the basis of information for health professionals on how to use medicinal products safely and effectively, information on drug interactions should be thoroughly up-dated and expanded. © Springer-Verlag 2005.","author":[{"dropping-particle":"","family":"Bergk","given":"V","non-dropping-particle":"","parse-names":false,"suffix":""},{"dropping-particle":"","family":"Haefeli","given":"WE","non-dropping-particle":"","parse-names":false,"suffix":""},{"dropping-particle":"","family":"Gasse","given":"C","non-dropping-particle":"","parse-names":false,"suffix":""},{"dropping-particle":"","family":"Brenner","given":"H","non-dropping-particle":"","parse-names":false,"suffix":""},{"dropping-particle":"","family":"Martin-Facklam","given":"M","non-dropping-particle":"","parse-names":false,"suffix":""}],"container-title":"European journal of clinical pharmacology","id":"ITEM-1","issue":"5-6","issued":{"date-parts":[["2005","7"]]},"page":"327-335","publisher":"Eur J Clin Pharmacol","title":"Information deficits in the summary of product characteristics preclude an optimal management of drug interactions: a comparison with evidence from the literature","type":"article-journal","volume":"61"},"uris":["http://www.mendeley.com/documents/?uuid=2faf89ab-b3cc-3918-b069-fdeb01e6cb90"]},{"id":"ITEM-2","itemData":{"DOI":"10.1038/CLPT.2014.156","ISSN":"1532-6535","PMID":"25062063","abstract":"The summary of product characteristics (SPC) should provide information for the safe prescription and use of a drug. We evaluated the consistency of critical interaction warnings, the quality of presentation of undesirable effects as well as concordance of critical information of representative drugs marketed in the United States, the UK, and Germany. Reciprocal warnings regarding drug-drug interactions that constitute contraindications were frequently missing in the SPCs of the drugs concerned (all countries &gt;40%). Most SPCs did not explicitly exclude adverse reactions considered not reasonably attributable to the use of the drug. Comparing SPCs of different generic brands of the same drug, only 60, 10, and 20% of the US, UK, and German SPCs, respectively, provided identical contraindications. Current SPCs contain inconsistencies and misleading data that are not compatible with the purpose of SPCs, which is to provide a basis for the safe prescription and use of drugs.","author":[{"dropping-particle":"","family":"Pfistermeister","given":"B","non-dropping-particle":"","parse-names":false,"suffix":""},{"dropping-particle":"","family":"Saß","given":"A","non-dropping-particle":"","parse-names":false,"suffix":""},{"dropping-particle":"","family":"Criegee-Rieck","given":"M","non-dropping-particle":"","parse-names":false,"suffix":""},{"dropping-particle":"","family":"Bürkle","given":"T","non-dropping-particle":"","parse-names":false,"suffix":""},{"dropping-particle":"","family":"Fromm","given":"MF","non-dropping-particle":"","parse-names":false,"suffix":""},{"dropping-particle":"","family":"Maas","given":"R","non-dropping-particle":"","parse-names":false,"suffix":""}],"container-title":"Clinical pharmacology and therapeutics","id":"ITEM-2","issue":"5","issued":{"date-parts":[["2014","9","3"]]},"page":"616-624","publisher":"Clin Pharmacol Ther","title":"Inconsistencies and misleading information in officially approved prescribing information from three major drug markets","type":"article-journal","volume":"96"},"uris":["http://www.mendeley.com/documents/?uuid=3b1dca07-699e-37b5-ac4e-7be817052de0"]},{"id":"ITEM-3","itemData":{"DOI":"10.1186/1753-2000-6-2","ISSN":"1753-2000","PMID":"22234242","abstract":"Background: The safety of paediatric medications is paramount and contraindications provide clear pragmatic advice. Further advice may be accessed through Summaries of Product Characteristics (SPCs) and relevant national guidelines. The SPC can be considered the ultimate independent guideline and is regularly updated. In 2008, the authors undertook a systematic review of the SPC contraindications of medications licensed in the United Kingdom (UK) for the treatment of Attention Deficit Hyperactivity Disorder (ADHD). At that time, there were fewer contraindications reported in the SPC for atomoxetine than methylphenidate and the specific contraindications varied considerably amongst methylphenidate formulations. In 2009, the European Medicines Agency (EMA) mandated harmonisation of methylphenidate SPCs. Between September and November 2011, there were three changes to the atomoxetine SPC that resulted in revised prescribing information. In addition, Clinical Guidance has also been produced by the National Institute for Health and Clinical Excellence (NICE) (2008), the Scottish Intercollegiate Guidelines Network (SIGN) (2009) and the British National Formulary for Children (BNFC).Methods: An updated systematic review of the Contraindications sections of the SPCs of all medications currently licensed for treatment of ADHD in the UK was undertaken and independent statements regarding contraindications and relevant warnings and precautions were then compared with UK national guidance with the aim of assessing any disparity and potential areas of confusion for prescribers.Results: As of November 2011, there were seven medications available in the UK for the treatment of ADHD. There are 15 contraindications for most formulations of methylphenidate, 14 for dexamfetamine and 5 for atomoxetine. Significant differences exist between the SPCs and national guidance part due to the ongoing reactive process of amending the former as new information becomes known. In addition, recommendations are made outside UK SPC licensed indications and a significant contraindication for methylphenidate (suicidal behaviours) is missing from both the NICE and SIGN guidelines. Particular disparity exists relating to monitoring for suicidal and psychiatric side effects. The BNFC has not yet been updated in line with the European Union (EU) Directive on methylphenidate; it does not include any contraindications for atomoxetine but describes contraindications for methylphenidate that are …","author":[{"dropping-particle":"","family":"N","given":"Savill","non-dropping-particle":"","parse-names":false,"suffix":""},{"dropping-particle":"","family":"CJ","given":"Bushe","non-dropping-particle":"","parse-names":false,"suffix":""}],"container-title":"Child and adolescent psychiatry and mental health","id":"ITEM-3","issue":"1","issued":{"date-parts":[["2012","1","10"]]},"publisher":"Child Adolesc Psychiatry Ment Health","title":"A systematic review of the safety information contained within the Summaries of Product Characteristics of medications licensed in the United Kingdom for Attention Deficit Hyperactivity Disorder. how does the safety prescribing advice compare with national guidance?","type":"article-journal","volume":"6"},"uris":["http://www.mendeley.com/documents/?uuid=0962221a-674c-33e4-9af7-71797cd887ae"]}],"mendeley":{"formattedCitation":"(10–12)","plainTextFormattedCitation":"(10–12)","previouslyFormattedCitation":"(10–12)"},"properties":{"noteIndex":0},"schema":"https://github.com/citation-style-language/schema/raw/master/csl-citation.json"}</w:instrText>
      </w:r>
      <w:r w:rsidR="00480D30">
        <w:fldChar w:fldCharType="separate"/>
      </w:r>
      <w:r w:rsidR="00732D97" w:rsidRPr="00732D97">
        <w:rPr>
          <w:noProof/>
        </w:rPr>
        <w:t>(10–12)</w:t>
      </w:r>
      <w:r w:rsidR="00480D30">
        <w:fldChar w:fldCharType="end"/>
      </w:r>
      <w:r w:rsidR="00480D30">
        <w:t>. Similar to our findings, these also identified inconsistencies in reporting, especially when compared to real-world data, and potentially misleading information due to absen</w:t>
      </w:r>
      <w:r w:rsidR="0007195A">
        <w:t>t</w:t>
      </w:r>
      <w:r w:rsidR="00480D30">
        <w:t xml:space="preserve"> or contradictory information.</w:t>
      </w:r>
      <w:r w:rsidR="009801D3">
        <w:t xml:space="preserve"> All studies highlight the need to consult other sources prior to prescribing, and not relying solely on SmPC literature</w:t>
      </w:r>
      <w:r w:rsidR="0045150D">
        <w:t>, e.g. outcomes from observational studies from large-scale datasets</w:t>
      </w:r>
      <w:r w:rsidR="009801D3">
        <w:t>.</w:t>
      </w:r>
    </w:p>
    <w:p w14:paraId="2A63B862" w14:textId="5C6A096B" w:rsidR="00FA5E1B" w:rsidRDefault="008F7409" w:rsidP="005F7EF0">
      <w:pPr>
        <w:jc w:val="both"/>
      </w:pPr>
      <w:bookmarkStart w:id="11" w:name="_Hlk113202939"/>
      <w:r>
        <w:t>The lack of reporting on rarer events, missing or unavailable data may in part be due to a lack of use of spontaneous adverse event reporting systems, such as the MHRA yellow card system</w:t>
      </w:r>
      <w:r w:rsidR="00FA5E1B">
        <w:t>, especially after a drug has been on the market for a period of time, leading to the Weber effect</w:t>
      </w:r>
      <w:r w:rsidR="00EE0BB0">
        <w:t xml:space="preserve"> </w:t>
      </w:r>
      <w:r w:rsidR="00EE0BB0">
        <w:fldChar w:fldCharType="begin" w:fldLock="1"/>
      </w:r>
      <w:r w:rsidR="000728C8">
        <w:instrText>ADDIN CSL_CITATION {"citationItems":[{"id":"ITEM-1","itemData":{"DOI":"10.1007/978-94-010-9772-7_2","abstract":"Anyone who examines the lists of suspected adverse drug reactions (ADRs) available on request by doctors, hospital pharmacists and pharmaceutical companies from the Medicines Division of the United Kingdom Department of Health, will become aware that drugs of similar...","author":[{"dropping-particle":"","family":"Weber","given":"J. C. P.","non-dropping-particle":"","parse-names":false,"suffix":""}],"id":"ITEM-1","issued":{"date-parts":[["1987"]]},"page":"27-35","publisher":"Springer, Dordrecht","title":"Epidemiology in the United Kingdom of adverse drug reactions from non-steroidal anti-inflammatory drugs","type":"article-journal"},"uris":["http://www.mendeley.com/documents/?uuid=3e88119b-5a88-3941-89f2-b5d9afafed0a"]}],"mendeley":{"formattedCitation":"(13)","plainTextFormattedCitation":"(13)","previouslyFormattedCitation":"(13)"},"properties":{"noteIndex":0},"schema":"https://github.com/citation-style-language/schema/raw/master/csl-citation.json"}</w:instrText>
      </w:r>
      <w:r w:rsidR="00EE0BB0">
        <w:fldChar w:fldCharType="separate"/>
      </w:r>
      <w:r w:rsidR="00732D97" w:rsidRPr="00732D97">
        <w:rPr>
          <w:noProof/>
        </w:rPr>
        <w:t>(13)</w:t>
      </w:r>
      <w:r w:rsidR="00EE0BB0">
        <w:fldChar w:fldCharType="end"/>
      </w:r>
      <w:r w:rsidR="00FA5E1B">
        <w:t xml:space="preserve">. This is the phenomenon of increased reporting of adverse events for new drugs in their first years of approval. </w:t>
      </w:r>
      <w:bookmarkStart w:id="12" w:name="_Hlk113222171"/>
      <w:bookmarkEnd w:id="11"/>
      <w:r w:rsidR="000728C8">
        <w:t xml:space="preserve"> </w:t>
      </w:r>
      <w:bookmarkStart w:id="13" w:name="_Hlk113731016"/>
      <w:r w:rsidR="000728C8">
        <w:t xml:space="preserve">The EMA guidance on the production of </w:t>
      </w:r>
      <w:proofErr w:type="spellStart"/>
      <w:r w:rsidR="000728C8">
        <w:t>SmPCs</w:t>
      </w:r>
      <w:proofErr w:type="spellEnd"/>
      <w:r w:rsidR="000728C8">
        <w:t xml:space="preserve"> requires information on adverse events to comprise both trial and real-world data </w:t>
      </w:r>
      <w:r w:rsidR="000728C8">
        <w:fldChar w:fldCharType="begin" w:fldLock="1"/>
      </w:r>
      <w:r w:rsidR="00CE520C">
        <w:instrText>ADDIN CSL_CITATION {"citationItems":[{"id":"ITEM-1","itemData":{"author":[{"dropping-particle":"","family":"Medicines Agency","given":"European","non-dropping-particle":"","parse-names":false,"suffix":""}],"id":"ITEM-1","issued":{"date-parts":[["0"]]},"title":"Section 4.8 Undesirable effects","type":"article-journal"},"uris":["http://www.mendeley.com/documents/?uuid=118e22a0-8c94-37f1-9904-f8172fc55e56"]},{"id":"ITEM-2","itemData":{"id":"ITEM-2","issued":{"date-parts":[["2008"]]},"title":"A GUIDELINE ON SUMMARY OF PRODUCT CHARACTERISTICS MODULE 1.3 SUMMARY OF PRODUCT CHARACTERISTICS","type":"report"},"uris":["http://www.mendeley.com/documents/?uuid=11e1405c-34f1-3b45-a644-dc2a3e864c2d"]}],"mendeley":{"formattedCitation":"(8,9)","plainTextFormattedCitation":"(8,9)","previouslyFormattedCitation":"(8,9)"},"properties":{"noteIndex":0},"schema":"https://github.com/citation-style-language/schema/raw/master/csl-citation.json"}</w:instrText>
      </w:r>
      <w:r w:rsidR="000728C8">
        <w:fldChar w:fldCharType="separate"/>
      </w:r>
      <w:r w:rsidR="000728C8" w:rsidRPr="000728C8">
        <w:rPr>
          <w:noProof/>
        </w:rPr>
        <w:t>(8,9)</w:t>
      </w:r>
      <w:r w:rsidR="000728C8">
        <w:fldChar w:fldCharType="end"/>
      </w:r>
      <w:r w:rsidR="006E3BFD">
        <w:t xml:space="preserve">. </w:t>
      </w:r>
      <w:proofErr w:type="spellStart"/>
      <w:r w:rsidR="006E3BFD">
        <w:t>SmPCs</w:t>
      </w:r>
      <w:proofErr w:type="spellEnd"/>
      <w:r w:rsidR="006E3BFD">
        <w:t xml:space="preserve"> for newer drugs are therefore likely to have their adverse event profile based upon trial data, whereas older drugs are more likely to have a greater real-world evidence base. </w:t>
      </w:r>
      <w:r w:rsidR="00FA5E1B">
        <w:t xml:space="preserve"> </w:t>
      </w:r>
      <w:bookmarkStart w:id="14" w:name="_Hlk113732711"/>
      <w:r w:rsidR="006E3BFD">
        <w:t xml:space="preserve">Nonetheless, rarer </w:t>
      </w:r>
      <w:r w:rsidR="00FA5E1B">
        <w:t xml:space="preserve">infections may </w:t>
      </w:r>
      <w:r w:rsidR="006E3BFD">
        <w:t xml:space="preserve">also </w:t>
      </w:r>
      <w:r w:rsidR="00FA5E1B">
        <w:t>be more likely to be reported with newer drugs such as tsDMARDs and IL-17 inhibitors, in comparison to drugs which have been on the market for longer</w:t>
      </w:r>
      <w:r w:rsidR="00E065EE">
        <w:t xml:space="preserve"> and there is therefore awareness</w:t>
      </w:r>
      <w:r w:rsidR="00C55576">
        <w:t xml:space="preserve"> and management</w:t>
      </w:r>
      <w:r w:rsidR="00E065EE">
        <w:t xml:space="preserve"> of risk</w:t>
      </w:r>
      <w:r w:rsidR="00FA5E1B">
        <w:t>, e.g. TNF inhibitors</w:t>
      </w:r>
      <w:r w:rsidR="00E065EE">
        <w:t xml:space="preserve"> and tuberculosis</w:t>
      </w:r>
      <w:r w:rsidR="00FA5E1B">
        <w:t xml:space="preserve">. </w:t>
      </w:r>
      <w:bookmarkEnd w:id="12"/>
      <w:bookmarkEnd w:id="13"/>
      <w:r w:rsidR="00FA5E1B">
        <w:t xml:space="preserve"> </w:t>
      </w:r>
      <w:bookmarkEnd w:id="14"/>
    </w:p>
    <w:p w14:paraId="54AA6148" w14:textId="15B888EC" w:rsidR="00886AA0" w:rsidRDefault="00E16304" w:rsidP="005F7EF0">
      <w:pPr>
        <w:jc w:val="both"/>
      </w:pPr>
      <w:r>
        <w:t xml:space="preserve">With regards sites of infection, upper respiratory tract infections (URTIs) were noted to be common with all drugs, except cladribine, indicating this is a poor discriminator for drug choice. In contrast, urinary tract infections (UTIs) varied much more in frequency, with less frequent reporting </w:t>
      </w:r>
      <w:r w:rsidR="003D3D41">
        <w:t>for classes</w:t>
      </w:r>
      <w:r>
        <w:t xml:space="preserve"> such as IL-17 inhibitors. </w:t>
      </w:r>
      <w:r w:rsidR="00A23E5D">
        <w:t xml:space="preserve">There is also within-drug variation in the frequency of infections at different sites, e.g.  for abatacept, gastrointestinal infections are classed as rare, compared to ENT and URTI which are very common. This is insightful as no studies to date have examined infection risk by site for a single drug. </w:t>
      </w:r>
      <w:bookmarkStart w:id="15" w:name="_Hlk113221245"/>
      <w:bookmarkStart w:id="16" w:name="_Hlk113735214"/>
      <w:r w:rsidR="00A23E5D">
        <w:t>Abatacept overall appears to be associated with infections at all sites</w:t>
      </w:r>
      <w:r w:rsidR="00EE0BB0">
        <w:t xml:space="preserve">. The SmPC data would therefore suggest that </w:t>
      </w:r>
      <w:r w:rsidR="00A23E5D">
        <w:t>it is not a good drug for patients at risk of infection</w:t>
      </w:r>
      <w:r w:rsidR="00EE0BB0">
        <w:t xml:space="preserve">. However, this is </w:t>
      </w:r>
      <w:r w:rsidR="009B5F11">
        <w:t xml:space="preserve">in contrast </w:t>
      </w:r>
      <w:r w:rsidR="00A23E5D">
        <w:t>to registry data</w:t>
      </w:r>
      <w:r w:rsidR="00A12427">
        <w:t xml:space="preserve"> which has generally reported a good infection safety profile compared to other biologics</w:t>
      </w:r>
      <w:r w:rsidR="009B5F11">
        <w:t xml:space="preserve"> such as the commonly-used TNF-inhibitors</w:t>
      </w:r>
      <w:r w:rsidR="00DC72EE">
        <w:t xml:space="preserve">, although the EMA SmPC guidance stipulates that this data should be used in the production of </w:t>
      </w:r>
      <w:proofErr w:type="spellStart"/>
      <w:r w:rsidR="00DC72EE">
        <w:t>SmPCs</w:t>
      </w:r>
      <w:proofErr w:type="spellEnd"/>
      <w:r w:rsidR="00A23E5D">
        <w:t xml:space="preserve"> </w:t>
      </w:r>
      <w:r w:rsidR="00A12427">
        <w:fldChar w:fldCharType="begin" w:fldLock="1"/>
      </w:r>
      <w:r w:rsidR="000728C8">
        <w:instrText>ADDIN CSL_CITATION {"citationItems":[{"id":"ITEM-1","itemData":{"DOI":"10.1136/ARD.2007.083188","ISSN":"0003-4967","PMID":"18203761","abstract":"Background: Tumour necrosis factor α blockers in rheumatoid arthritis are known to increase the risk of serious infections defined as life-threatening, requiring hospitalisation or intravenous antibiotics. Recently, new biological agents have become available. Their safety is an important issue.\n\nPurpose: To assess if biological agents, ie rituximab, abatacept and anakinra increase the risk of serious infections in patients with rheumatoid arthritis in published randomised controlled trials.\n\nData source: A systematic review of the literature using PUBMED, EMBASE, Cochrane library and abstracts databases (American College of Rheumatology and European League Against Rheumatism annual meetings) was performed up to October 2007. This search was completed with data from the Food and Drug Administration, the European Agency for the Evaluation of Medicinal Products and manufacturers.\n\nData extraction: Three fixed-effect meta-analyses were performed to compare serious infection rates between each biological agent and placebo. Pooled odds ratios (ORs) were calculated, using the Mantel–Haenszel method with a continuity correction.\n\nData synthesis: Twelve randomised controlled trials with data concerning serious infections were analysed (three for rituximab, five for abatacept and four for anakinra). They included 745 patients, 1960 patients, 2062 patients and 2112 patients treated by rituximab, abatacept, anakinra and placebo respectively. The overall pooled ORs did not reveal a statistically significant increased risk of serious infection for abatacept and rituximab; this risk was increased for high doses of anakinra (</w:instrText>
      </w:r>
      <w:r w:rsidR="000728C8">
        <w:rPr>
          <w:rFonts w:ascii="Cambria Math" w:hAnsi="Cambria Math" w:cs="Cambria Math"/>
        </w:rPr>
        <w:instrText>⩾</w:instrText>
      </w:r>
      <w:r w:rsidR="000728C8">
        <w:instrText>100 mg daily) versus low dose and placebo (ORs = 9.63 (95% CI, 1.31 to 70.91) and 3.40 (95% CI, 1.11 to 10.46) respectively).\n\nConclusions: These meta-analyses did not reveal a significant increase in the risk of serious infections during rituximab or abatacept treatments in patients with rheumatoid arthritis; however, high doses of anakinra may increase this risk, especially when patients have comorbidity factors. Large studies must be performed to confirm this safety profile in daily practice.","author":[{"dropping-particle":"","family":"Salliot","given":"C","non-dropping-particle":"","parse-names":false,"suffix":""},{"dropping-particle":"","family":"Dougados","given":"M","non-dropping-particle":"","parse-names":false,"suffix":""},{"dropping-particle":"","family":"Gossec","given":"L","non-dropping-particle":"","parse-names":false,"suffix":""}],"container-title":"Annals of the Rheumatic Diseases","id":"ITEM-1","issue":"1","issued":{"date-parts":[["2009","1","1"]]},"page":"25-32","publisher":"BMJ Publishing Group Ltd","title":"Risk of serious infections during rituximab, abatacept and anakinra treatments for rheumatoid arthritis: meta-analyses of randomised placebo-controlled trials","type":"article-journal","volume":"68"},"uris":["http://www.mendeley.com/documents/?uuid=1f14ab87-ac3a-3c7b-958b-947307f23719"]},{"id":"ITEM-2","itemData":{"DOI":"10.1093/rheumatology/kez530","ISSN":"14620332","PMID":"31764977","abstract":"OBJECTIVES: Most infections in patients with RA are treated in primary care with antibiotics. A small fraction require hospitalization. Only a few studies exist regarding the overall risk of infection (i.e. prescription of antibiotics or hospitalization due to infection) in patients initiating non-TNF-inhibitor therapy. In Danish RA patients initiating abatacept, rituximab and tocilizumab treatment in routine care, the aims were to compare adjusted incidence rates (IR) of infections and to estimate relative risk of infections across the drugs during 0-12 and 0-24 months. METHODS: This was an observational cohort study including all RA patients in the DANBIO registry starting a non-TNF-inhibitor from 2010 to 2017. Infections were defined as a prescription of antibiotics or hospitalization due to infection. Prescriptions, comorbidities and infections were captured through linkage to national registries. IRs of infections (age, gender adjusted) and rate ratios (as estimates of RR (relative risk)), adjusted for additional covariates) (Poisson regression) were calculated. RESULTS: We identified 3696 treatment episodes (abatacept 1115, rituximab 1017, tocilizumab 1564). At baseline, rituximab users were older and had more previous cancer. During 0-12 months, 1747 infections occurred. Age and gender-adjusted IRs per 100 person-years were as follows: abatacept: 76 (95% CI: 69, 84); rituximab: 87 (95% CI: 79, 96); tocilizumab: 77 (95% CI: 71, 84). Adjusted RRs were 0.94 (95% CI: 0.81, 1.08) for abatacept and 0.94 (95% CI: 0.81, 1.03) for tocilizumab compared with rituximab and 1.00 (95% CI: 0.88, 1.14) for abatacept compared with tocilizumab. RRs around 1 were observed after 24 months. Switchers and ever smokers had higher risk compared with biologic-naïve and never smokers, respectively. CONCLUSION: Overall infections were common in non-TNF-inhibitor-treated RA patients, with a tendency towards rituximab having the highest risk, but CIs were wide in all analyses. Confounding by indication may at least partly explain any differences.","author":[{"dropping-particle":"","family":"Grøn","given":"Kathrine L.","non-dropping-particle":"","parse-names":false,"suffix":""},{"dropping-particle":"","family":"Glintborg","given":"Bente","non-dropping-particle":"","parse-names":false,"suffix":""},{"dropping-particle":"","family":"Nørgaard","given":"Mette","non-dropping-particle":"","parse-names":false,"suffix":""},{"dropping-particle":"","family":"Mehnert","given":"Frank","non-dropping-particle":"","parse-names":false,"suffix":""},{"dropping-particle":"","family":"Østergaard","given":"Mikkel","non-dropping-particle":"","parse-names":false,"suffix":""},{"dropping-particle":"","family":"Dreyer","given":"Lene","non-dropping-particle":"","parse-names":false,"suffix":""},{"dropping-particle":"","family":"Krogh","given":"Niels S.","non-dropping-particle":"","parse-names":false,"suffix":""},{"dropping-particle":"","family":"Hetland","given":"Merete L.","non-dropping-particle":"","parse-names":false,"suffix":""}],"container-title":"Rheumatology (Oxford, England)","id":"ITEM-2","issue":"8","issued":{"date-parts":[["2020","8","1"]]},"page":"1949-1956","publisher":"NLM (Medline)","title":"Overall infection risk in rheumatoid arthritis during treatment with abatacept, rituximab and tocilizumab; an observational cohort study","type":"article-journal","volume":"59"},"uris":["http://www.mendeley.com/documents/?uuid=6c60a34f-dadf-35a6-972e-3eadd664ed12"]},{"id":"ITEM-3","itemData":{"DOI":"10.1002/ACR.23824","ISSN":"2151-4658","PMID":"30570833","abstract":"Objective: We aimed to evaluate the comparative risk of hospitalized infection among patients with rheumatoid arthritis (RA) who initiated abatacept versus a tumor necrosis factor inhibitor (TNFi). Methods: Using claims data from Truven MarketScan database (2006–2015), we identified patients with RA ages ≥18 years with ≥2 RA diagnoses who initiated treatment with abatacept or a TNFi. The primary outcome was a composite end point of any hospitalized infection. Secondary outcomes included bacterial infection, herpes zoster, and infections affecting different organ systems. We performed 1:1 propensity score (PS) matching between the groups in order to control for baseline confounders. We estimated incidence rates (IRs) and hazard ratios (HRs) with 95% confidence intervals (95% CIs) for hospitalized infection. Results: We identified 11,248 PS-matched pairs of patients who initiated treatment with abatacept and TNFi with a median age of 56 years (83% were women). The IR per 1,000 person-years for any hospitalized infection was 37 among patients who initiated treatment with abatacept and 47 in those who initiated treatment with TNFi. The HR for the risk of any hospitalized infection associated with abatacept versus TNFi was 0.78 (95% CI 0.64–0.95) and remained lower when compared to infliximab (HR 0.63 [95% CI 0.47–0.85]), while no significant difference was seen when compared to adalimumab and etanercept. The risk of secondary outcomes was lower for abatacept for pulmonary infections, and similar to TNFi for the remaining outcomes. Conclusion: In this large cohort of patients with RA who initiated treatment with abatacept or TNFi as a first- or second-line biologic agent, we found a lower risk of hospitalized infection after initiating abatacept versus TNFi, which was driven mostly by infliximab.","author":[{"dropping-particle":"","family":"Chen","given":"Sarah K.","non-dropping-particle":"","parse-names":false,"suffix":""},{"dropping-particle":"","family":"Liao","given":"Katherine P.","non-dropping-particle":"","parse-names":false,"suffix":""},{"dropping-particle":"","family":"Liu","given":"Jun","non-dropping-particle":"","parse-names":false,"suffix":""},{"dropping-particle":"","family":"Kim","given":"Seoyoung C.","non-dropping-particle":"","parse-names":false,"suffix":""}],"container-title":"Arthritis care &amp; research","id":"ITEM-3","issue":"1","issued":{"date-parts":[["2020","1","1"]]},"page":"9-17","publisher":"Arthritis Care Res (Hoboken)","title":"Risk of Hospitalized Infection and Initiation of Abatacept Versus Tumor Necrosis Factor Inhibitors Among Patients With Rheumatoid Arthritis: A Propensity Score-Matched Cohort Study","type":"article-journal","volume":"72"},"uris":["http://www.mendeley.com/documents/?uuid=6b74d26d-5ae6-3e68-9886-a015923ba67d"]}],"mendeley":{"formattedCitation":"(7,14,15)","plainTextFormattedCitation":"(7,14,15)","previouslyFormattedCitation":"(7,14,15)"},"properties":{"noteIndex":0},"schema":"https://github.com/citation-style-language/schema/raw/master/csl-citation.json"}</w:instrText>
      </w:r>
      <w:r w:rsidR="00A12427">
        <w:fldChar w:fldCharType="separate"/>
      </w:r>
      <w:r w:rsidR="00732D97" w:rsidRPr="00732D97">
        <w:rPr>
          <w:noProof/>
        </w:rPr>
        <w:t>(7,14,15)</w:t>
      </w:r>
      <w:r w:rsidR="00A12427">
        <w:fldChar w:fldCharType="end"/>
      </w:r>
      <w:r w:rsidR="00A12427">
        <w:t>.</w:t>
      </w:r>
      <w:r w:rsidR="009B5F11">
        <w:t xml:space="preserve"> The SmPC may report a greater number of infection sites for abatacept compared to other bDMARDs due to variations in trial data and reporting between drugs. This is a good example of the discordance between </w:t>
      </w:r>
      <w:proofErr w:type="spellStart"/>
      <w:r w:rsidR="009B5F11">
        <w:t>SmPCs</w:t>
      </w:r>
      <w:proofErr w:type="spellEnd"/>
      <w:r w:rsidR="009B5F11">
        <w:t xml:space="preserve"> and real-world registry data which will be familiar to clinicians prescribing biologic drugs in clinical practice.</w:t>
      </w:r>
      <w:bookmarkEnd w:id="15"/>
      <w:r w:rsidR="009B5F11">
        <w:t xml:space="preserve"> </w:t>
      </w:r>
      <w:r w:rsidR="00DC72EE">
        <w:t xml:space="preserve">It is also important to note that target populations for patients taking abatacept may be different to those taking TNFi (e.g. rheumatoid arthritis vs psoriasis and inflammatory bowel disease) and this will affect infection rates- in this example, infection rates are overall higher in rheumatoid arthritis compared to psoriasis and inflammatory bowel disease. This reflects a limitation of the </w:t>
      </w:r>
      <w:proofErr w:type="spellStart"/>
      <w:r w:rsidR="00DC72EE">
        <w:t>SmPCs</w:t>
      </w:r>
      <w:proofErr w:type="spellEnd"/>
      <w:r w:rsidR="00DC72EE">
        <w:t xml:space="preserve">, in that adverse events are not segregated by </w:t>
      </w:r>
      <w:r w:rsidR="00C55576">
        <w:t>disease.</w:t>
      </w:r>
      <w:r w:rsidR="00DC72EE">
        <w:t xml:space="preserve"> </w:t>
      </w:r>
      <w:bookmarkEnd w:id="16"/>
      <w:r w:rsidR="00A12427">
        <w:t xml:space="preserve"> </w:t>
      </w:r>
    </w:p>
    <w:p w14:paraId="0F5A09A1" w14:textId="1B74C00A" w:rsidR="00FD6C90" w:rsidRDefault="00FD6C90" w:rsidP="00FD6C90">
      <w:pPr>
        <w:jc w:val="both"/>
      </w:pPr>
      <w:r>
        <w:t>Variable or absent reporting was noted for most of the biologic DMARDs.</w:t>
      </w:r>
      <w:r w:rsidR="003E3F7E">
        <w:t xml:space="preserve"> This may be due to missing or unavailable data</w:t>
      </w:r>
      <w:r w:rsidR="008F7409">
        <w:t xml:space="preserve"> or</w:t>
      </w:r>
      <w:r w:rsidR="003E3F7E">
        <w:t xml:space="preserve"> due to numbers of patients being too low for very rare events to have occurred.</w:t>
      </w:r>
      <w:r w:rsidR="00967360">
        <w:t xml:space="preserve"> It may also be the case that </w:t>
      </w:r>
      <w:r w:rsidR="00F353FD">
        <w:t>even if an event did</w:t>
      </w:r>
      <w:r w:rsidR="00967360">
        <w:t xml:space="preserve"> occur, it simply was not reported in the SmPC document.</w:t>
      </w:r>
      <w:r w:rsidR="003E3F7E">
        <w:t xml:space="preserve"> </w:t>
      </w:r>
      <w:r>
        <w:t xml:space="preserve"> Rituximab is a commonly-used medication for the management of IMIDs such as rheumatoid arthritis and ANCA-vasculitis. However, SmPC literature, based on pharmacovigilance data, was only able to provide information on respiratory tract infections and few organisms. In contrast, real-world registry data has been able to assess incidence ratios of infections, serious infections and hospitalisations with the use of this drug, as well as of individual infections </w:t>
      </w:r>
      <w:r>
        <w:fldChar w:fldCharType="begin" w:fldLock="1"/>
      </w:r>
      <w:r w:rsidR="000728C8">
        <w:instrText>ADDIN CSL_CITATION {"citationItems":[{"id":"ITEM-1","itemData":{"DOI":"10.1186/AR3337","ISSN":"1478-6354","abstract":"Evidence from a number of open-label, uncontrolled studies has suggested that rituximab may benefit patients with autoimmune diseases who are refractory to standard-of-care. The objective of this study was to evaluate the safety and clinical outcomes of rituximab in several standard-of-care-refractory autoimmune diseases (within rheumatology, nephrology, dermatology and neurology) other than rheumatoid arthritis or non-Hodgkin's lymphoma in a real-life clinical setting. Patients who received rituximab having shown an inadequate response to standard-of-care had their safety and clinical outcomes data retrospectively analysed as part of the German Registry of Autoimmune Diseases. The main outcome measures were safety and clinical response, as judged at the discretion of the investigators. A total of 370 patients (299 patient-years) with various autoimmune diseases (23.0% with systemic lupus erythematosus, 15.7% antineutrophil cytoplasmic antibody-associated granulomatous vasculitides, 15.1% multiple sclerosis and 10.0% pemphigus) from 42 centres received a mean dose of 2,440 mg of rituximab over a median (range) of 194 (180 to 1,407) days. The overall rate of serious infections was 5.3 per 100 patient-years during rituximab therapy. Opportunistic infections were infrequent across the whole study population, and mostly occurred in patients with systemic lupus erythematosus. There were 11 deaths (3.0% of patients) after rituximab treatment (mean 11.6 months after first infusion, range 0.8 to 31.3 months), with most of the deaths caused by infections. Overall (n = 293), 13.3% of patients showed no response, 45.1% showed a partial response and 41.6% showed a complete response. Responses were also reflected by reduced use of glucocorticoids and various immunosuppressives during rituximab therapy and follow-up compared with before rituximab. Rituximab generally had a positive effect on patient well-being (physician's visual analogue scale; mean improvement from baseline of 12.1 mm). Data from this registry indicate that rituximab is a commonly employed, well-tolerated therapy with potential beneficial effects in standard of care-refractory autoimmune diseases, and support the results from other open-label, uncontrolled studies.","author":[{"dropping-particle":"","family":"Tony","given":"Hans-Peter","non-dropping-particle":"","parse-names":false,"suffix":""},{"dropping-particle":"","family":"Burmester","given":"Gerd","non-dropping-particle":"","parse-names":false,"suffix":""},{"dropping-particle":"","family":"Schulze-Koops","given":"Hendrik","non-dropping-particle":"","parse-names":false,"suffix":""},{"dropping-particle":"","family":"Grunke","given":"Mathias","non-dropping-particle":"","parse-names":false,"suffix":""},{"dropping-particle":"","family":"Henes","given":"Joerg","non-dropping-particle":"","parse-names":false,"suffix":""},{"dropping-particle":"","family":"Kötter","given":"Ina","non-dropping-particle":"","parse-names":false,"suffix":""},{"dropping-particle":"","family":"Haas","given":"Judith","non-dropping-particle":"","parse-names":false,"suffix":""},{"dropping-particle":"","family":"Unger","given":"Leonore","non-dropping-particle":"","parse-names":false,"suffix":""},{"dropping-particle":"","family":"Lovric","given":"Svjetlana","non-dropping-particle":"","parse-names":false,"suffix":""},{"dropping-particle":"","family":"Haubitz","given":"Marion","non-dropping-particle":"","parse-names":false,"suffix":""},{"dropping-particle":"","family":"Fischer-Betz","given":"Rebecca","non-dropping-particle":"","parse-names":false,"suffix":""},{"dropping-particle":"","family":"Chehab","given":"Gamal","non-dropping-particle":"","parse-names":false,"suffix":""},{"dropping-particle":"","family":"Rubbert-Roth","given":"Andrea","non-dropping-particle":"","parse-names":false,"suffix":""},{"dropping-particle":"","family":"Specker","given":"Christof","non-dropping-particle":"","parse-names":false,"suffix":""},{"dropping-particle":"","family":"Weinerth","given":"Jutta","non-dropping-particle":"","parse-names":false,"suffix":""},{"dropping-particle":"","family":"Holle","given":"Julia","non-dropping-particle":"","parse-names":false,"suffix":""},{"dropping-particle":"","family":"Müller-Ladner","given":"Ulf","non-dropping-particle":"","parse-names":false,"suffix":""},{"dropping-particle":"","family":"König","given":"Ramona","non-dropping-particle":"","parse-names":false,"suffix":""},{"dropping-particle":"","family":"Fiehn","given":"Christoph","non-dropping-particle":"","parse-names":false,"suffix":""},{"dropping-particle":"","family":"Burgwinkel","given":"Philip","non-dropping-particle":"","parse-names":false,"suffix":""},{"dropping-particle":"","family":"Budde","given":"Klemens","non-dropping-particle":"","parse-names":false,"suffix":""},{"dropping-particle":"","family":"Sörensen","given":"Helmut","non-dropping-particle":"","parse-names":false,"suffix":""},{"dropping-particle":"","family":"Meurer","given":"Michael","non-dropping-particle":"","parse-names":false,"suffix":""},{"dropping-particle":"","family":"Aringer","given":"Martin","non-dropping-particle":"","parse-names":false,"suffix":""},{"dropping-particle":"","family":"Kieseier","given":"Bernd","non-dropping-particle":"","parse-names":false,"suffix":""},{"dropping-particle":"","family":"Erfurt-Berge","given":"Cornelia","non-dropping-particle":"","parse-names":false,"suffix":""},{"dropping-particle":"","family":"Sticherling","given":"Michael","non-dropping-particle":"","parse-names":false,"suffix":""},{"dropping-particle":"","family":"Veelken","given":"Roland","non-dropping-particle":"","parse-names":false,"suffix":""},{"dropping-particle":"","family":"Ziemann","given":"Ulf","non-dropping-particle":"","parse-names":false,"suffix":""},{"dropping-particle":"","family":"Strutz","given":"Frank","non-dropping-particle":"","parse-names":false,"suffix":""},{"dropping-particle":"von","family":"Wussow","given":"Praxis","non-dropping-particle":"","parse-names":false,"suffix":""},{"dropping-particle":"","family":"Meier","given":"Florian MP","non-dropping-particle":"","parse-names":false,"suffix":""},{"dropping-particle":"","family":"Hunzelmann","given":"Nico","non-dropping-particle":"","parse-names":false,"suffix":""},{"dropping-particle":"","family":"Schmidt","given":"Enno","non-dropping-particle":"","parse-names":false,"suffix":""},{"dropping-particle":"","family":"Bergner","given":"Raoul","non-dropping-particle":"","parse-names":false,"suffix":""},{"dropping-particle":"","family":"Schwarting","given":"Andreas","non-dropping-particle":"","parse-names":false,"suffix":""},{"dropping-particle":"","family":"Eming","given":"Rüdiger","non-dropping-particle":"","parse-names":false,"suffix":""},{"dropping-particle":"","family":"Hertl","given":"Michael","non-dropping-particle":"","parse-names":false,"suffix":""},{"dropping-particle":"","family":"Stadler","given":"Rudolf","non-dropping-particle":"","parse-names":false,"suffix":""},{"dropping-particle":"","family":"Schwarz-Eywill","given":"Michael","non-dropping-particle":"","parse-names":false,"suffix":""},{"dropping-particle":"","family":"Wassenberg","given":"Siegfried","non-dropping-particle":"","parse-names":false,"suffix":""},{"dropping-particle":"","family":"Fleck","given":"Martin","non-dropping-particle":"","parse-names":false,"suffix":""},{"dropping-particle":"","family":"Metzler","given":"Claudia","non-dropping-particle":"","parse-names":false,"suffix":""},{"dropping-particle":"","family":"Zettl","given":"Uwe","non-dropping-particle":"","parse-names":false,"suffix":""},{"dropping-particle":"","family":"Westphal","given":"Jens","non-dropping-particle":"","parse-names":false,"suffix":""},{"dropping-particle":"","family":"Heitmann","given":"Stefan","non-dropping-particle":"","parse-names":false,"suffix":""},{"dropping-particle":"","family":"Herzog","given":"Anna L","non-dropping-particle":"","parse-names":false,"suffix":""},{"dropping-particle":"","family":"Wiendl","given":"Heinz","non-dropping-particle":"","parse-names":false,"suffix":""},{"dropping-particle":"","family":"Jakob","given":"Waltraud","non-dropping-particle":"","parse-names":false,"suffix":""},{"dropping-particle":"","family":"Schmidt","given":"Elvira","non-dropping-particle":"","parse-names":false,"suffix":""},{"dropping-particle":"","family":"Freivogel","given":"Klaus","non-dropping-particle":"","parse-names":false,"suffix":""},{"dropping-particle":"","family":"Dörner","given":"Thomas","non-dropping-particle":"","parse-names":false,"suffix":""}],"container-title":"Arthritis Research &amp; Therapy 2011 13:3","id":"ITEM-1","issue":"3","issued":{"date-parts":[["2011","5","13"]]},"page":"1-14","publisher":"BioMed Central","title":"Safety and clinical outcomes of rituximab therapy in patients with different autoimmune diseases: experience from a national registry (GRAID)","type":"article-journal","volume":"13"},"uris":["http://www.mendeley.com/documents/?uuid=87066f67-613a-32b8-8fde-7806accf33d2"]},{"id":"ITEM-2","itemData":{"DOI":"10.1093/rheumatology/kez530","ISSN":"14620332","PMID":"31764977","abstract":"OBJECTIVES: Most infections in patients with RA are treated in primary care with antibiotics. A small fraction require hospitalization. Only a few studies exist regarding the overall risk of infection (i.e. prescription of antibiotics or hospitalization due to infection) in patients initiating non-TNF-inhibitor therapy. In Danish RA patients initiating abatacept, rituximab and tocilizumab treatment in routine care, the aims were to compare adjusted incidence rates (IR) of infections and to estimate relative risk of infections across the drugs during 0-12 and 0-24 months. METHODS: This was an observational cohort study including all RA patients in the DANBIO registry starting a non-TNF-inhibitor from 2010 to 2017. Infections were defined as a prescription of antibiotics or hospitalization due to infection. Prescriptions, comorbidities and infections were captured through linkage to national registries. IRs of infections (age, gender adjusted) and rate ratios (as estimates of RR (relative risk)), adjusted for additional covariates) (Poisson regression) were calculated. RESULTS: We identified 3696 treatment episodes (abatacept 1115, rituximab 1017, tocilizumab 1564). At baseline, rituximab users were older and had more previous cancer. During 0-12 months, 1747 infections occurred. Age and gender-adjusted IRs per 100 person-years were as follows: abatacept: 76 (95% CI: 69, 84); rituximab: 87 (95% CI: 79, 96); tocilizumab: 77 (95% CI: 71, 84). Adjusted RRs were 0.94 (95% CI: 0.81, 1.08) for abatacept and 0.94 (95% CI: 0.81, 1.03) for tocilizumab compared with rituximab and 1.00 (95% CI: 0.88, 1.14) for abatacept compared with tocilizumab. RRs around 1 were observed after 24 months. Switchers and ever smokers had higher risk compared with biologic-naïve and never smokers, respectively. CONCLUSION: Overall infections were common in non-TNF-inhibitor-treated RA patients, with a tendency towards rituximab having the highest risk, but CIs were wide in all analyses. Confounding by indication may at least partly explain any differences.","author":[{"dropping-particle":"","family":"Grøn","given":"Kathrine L.","non-dropping-particle":"","parse-names":false,"suffix":""},{"dropping-particle":"","family":"Glintborg","given":"Bente","non-dropping-particle":"","parse-names":false,"suffix":""},{"dropping-particle":"","family":"Nørgaard","given":"Mette","non-dropping-particle":"","parse-names":false,"suffix":""},{"dropping-particle":"","family":"Mehnert","given":"Frank","non-dropping-particle":"","parse-names":false,"suffix":""},{"dropping-particle":"","family":"Østergaard","given":"Mikkel","non-dropping-particle":"","parse-names":false,"suffix":""},{"dropping-particle":"","family":"Dreyer","given":"Lene","non-dropping-particle":"","parse-names":false,"suffix":""},{"dropping-particle":"","family":"Krogh","given":"Niels S.","non-dropping-particle":"","parse-names":false,"suffix":""},{"dropping-particle":"","family":"Hetland","given":"Merete L.","non-dropping-particle":"","parse-names":false,"suffix":""}],"container-title":"Rheumatology (Oxford, England)","id":"ITEM-2","issue":"8","issued":{"date-parts":[["2020","8","1"]]},"page":"1949-1956","publisher":"NLM (Medline)","title":"Overall infection risk in rheumatoid arthritis during treatment with abatacept, rituximab and tocilizumab; an observational cohort study","type":"article-journal","volume":"59"},"uris":["http://www.mendeley.com/documents/?uuid=6c60a34f-dadf-35a6-972e-3eadd664ed12"]}],"mendeley":{"formattedCitation":"(7,16)","plainTextFormattedCitation":"(7,16)","previouslyFormattedCitation":"(7,16)"},"properties":{"noteIndex":0},"schema":"https://github.com/citation-style-language/schema/raw/master/csl-citation.json"}</w:instrText>
      </w:r>
      <w:r>
        <w:fldChar w:fldCharType="separate"/>
      </w:r>
      <w:r w:rsidR="00732D97" w:rsidRPr="00732D97">
        <w:rPr>
          <w:noProof/>
        </w:rPr>
        <w:t>(7,16)</w:t>
      </w:r>
      <w:r>
        <w:fldChar w:fldCharType="end"/>
      </w:r>
      <w:r>
        <w:t xml:space="preserve">. The same is true of other drugs with sparse infection frequency reporting in the </w:t>
      </w:r>
      <w:proofErr w:type="spellStart"/>
      <w:r>
        <w:t>SmPCs</w:t>
      </w:r>
      <w:proofErr w:type="spellEnd"/>
      <w:r>
        <w:t xml:space="preserve">, such as abatacept, </w:t>
      </w:r>
      <w:r>
        <w:lastRenderedPageBreak/>
        <w:t xml:space="preserve">tocilizumab and anakinra </w:t>
      </w:r>
      <w:r>
        <w:fldChar w:fldCharType="begin" w:fldLock="1"/>
      </w:r>
      <w:r w:rsidR="000728C8">
        <w:instrText>ADDIN CSL_CITATION {"citationItems":[{"id":"ITEM-1","itemData":{"DOI":"10.1093/RHEUMATOLOGY/KER146","ISSN":"1462-0324","author":[{"dropping-particle":"","family":"Galloway","given":"James B.","non-dropping-particle":"","parse-names":false,"suffix":""},{"dropping-particle":"","family":"Register","given":"on behalf of the British Society for Rheumatology Biologics","non-dropping-particle":"","parse-names":false,"suffix":""},{"dropping-particle":"","family":"Hyrich","given":"Kimme L.","non-dropping-particle":"","parse-names":false,"suffix":""},{"dropping-particle":"","family":"Register","given":"on behalf of the British Society for Rheumatology Biologics","non-dropping-particle":"","parse-names":false,"suffix":""},{"dropping-particle":"","family":"Mercer","given":"Louise K.","non-dropping-particle":"","parse-names":false,"suffix":""},{"dropping-particle":"","family":"Register","given":"on behalf of the British Society for Rheumatology Biologics","non-dropping-particle":"","parse-names":false,"suffix":""},{"dropping-particle":"","family":"Dixon","given":"William G.","non-dropping-particle":"","parse-names":false,"suffix":""},{"dropping-particle":"","family":"Register","given":"on behalf of the British Society for Rheumatology Biologics","non-dropping-particle":"","parse-names":false,"suffix":""},{"dropping-particle":"","family":"Watson","given":"Kath D.","non-dropping-particle":"","parse-names":false,"suffix":""},{"dropping-particle":"","family":"Register","given":"on behalf of the British Society for Rheumatology Biologics","non-dropping-particle":"","parse-names":false,"suffix":""},{"dropping-particle":"","family":"Lunt","given":"Mark","non-dropping-particle":"","parse-names":false,"suffix":""},{"dropping-particle":"","family":"Register","given":"on behalf of the British Society for Rheumatology Biologics","non-dropping-particle":"","parse-names":false,"suffix":""},{"dropping-particle":"","family":"Consortium","given":"BSRBR Control Centre","non-dropping-particle":"","parse-names":false,"suffix":""},{"dropping-particle":"","family":"Symmons","given":"Deborah P. M.","non-dropping-particle":"","parse-names":false,"suffix":""},{"dropping-particle":"","family":"Register","given":"on behalf of the British Society for Rheumatology Biologics","non-dropping-particle":"","parse-names":false,"suffix":""}],"container-title":"Rheumatology","id":"ITEM-1","issue":"7","issued":{"date-parts":[["2011","7","1"]]},"page":"1341-1342","publisher":"Oxford Academic","title":"The risk of serious infections in patients receiving anakinra for rheumatoid arthritis: results from the British Society for Rheumatology Biologics Register","type":"article-journal","volume":"50"},"uris":["http://www.mendeley.com/documents/?uuid=2f8e9e89-687d-345a-9311-3950ed2cbec3"]},{"id":"ITEM-2","itemData":{"DOI":"10.1093/rheumatology/kez530","ISSN":"14620332","PMID":"31764977","abstract":"OBJECTIVES: Most infections in patients with RA are treated in primary care with antibiotics. A small fraction require hospitalization. Only a few studies exist regarding the overall risk of infection (i.e. prescription of antibiotics or hospitalization due to infection) in patients initiating non-TNF-inhibitor therapy. In Danish RA patients initiating abatacept, rituximab and tocilizumab treatment in routine care, the aims were to compare adjusted incidence rates (IR) of infections and to estimate relative risk of infections across the drugs during 0-12 and 0-24 months. METHODS: This was an observational cohort study including all RA patients in the DANBIO registry starting a non-TNF-inhibitor from 2010 to 2017. Infections were defined as a prescription of antibiotics or hospitalization due to infection. Prescriptions, comorbidities and infections were captured through linkage to national registries. IRs of infections (age, gender adjusted) and rate ratios (as estimates of RR (relative risk)), adjusted for additional covariates) (Poisson regression) were calculated. RESULTS: We identified 3696 treatment episodes (abatacept 1115, rituximab 1017, tocilizumab 1564). At baseline, rituximab users were older and had more previous cancer. During 0-12 months, 1747 infections occurred. Age and gender-adjusted IRs per 100 person-years were as follows: abatacept: 76 (95% CI: 69, 84); rituximab: 87 (95% CI: 79, 96); tocilizumab: 77 (95% CI: 71, 84). Adjusted RRs were 0.94 (95% CI: 0.81, 1.08) for abatacept and 0.94 (95% CI: 0.81, 1.03) for tocilizumab compared with rituximab and 1.00 (95% CI: 0.88, 1.14) for abatacept compared with tocilizumab. RRs around 1 were observed after 24 months. Switchers and ever smokers had higher risk compared with biologic-naïve and never smokers, respectively. CONCLUSION: Overall infections were common in non-TNF-inhibitor-treated RA patients, with a tendency towards rituximab having the highest risk, but CIs were wide in all analyses. Confounding by indication may at least partly explain any differences.","author":[{"dropping-particle":"","family":"Grøn","given":"Kathrine L.","non-dropping-particle":"","parse-names":false,"suffix":""},{"dropping-particle":"","family":"Glintborg","given":"Bente","non-dropping-particle":"","parse-names":false,"suffix":""},{"dropping-particle":"","family":"Nørgaard","given":"Mette","non-dropping-particle":"","parse-names":false,"suffix":""},{"dropping-particle":"","family":"Mehnert","given":"Frank","non-dropping-particle":"","parse-names":false,"suffix":""},{"dropping-particle":"","family":"Østergaard","given":"Mikkel","non-dropping-particle":"","parse-names":false,"suffix":""},{"dropping-particle":"","family":"Dreyer","given":"Lene","non-dropping-particle":"","parse-names":false,"suffix":""},{"dropping-particle":"","family":"Krogh","given":"Niels S.","non-dropping-particle":"","parse-names":false,"suffix":""},{"dropping-particle":"","family":"Hetland","given":"Merete L.","non-dropping-particle":"","parse-names":false,"suffix":""}],"container-title":"Rheumatology (Oxford, England)","id":"ITEM-2","issue":"8","issued":{"date-parts":[["2020","8","1"]]},"page":"1949-1956","publisher":"NLM (Medline)","title":"Overall infection risk in rheumatoid arthritis during treatment with abatacept, rituximab and tocilizumab; an observational cohort study","type":"article-journal","volume":"59"},"uris":["http://www.mendeley.com/documents/?uuid=6c60a34f-dadf-35a6-972e-3eadd664ed12"]}],"mendeley":{"formattedCitation":"(7,17)","plainTextFormattedCitation":"(7,17)","previouslyFormattedCitation":"(7,17)"},"properties":{"noteIndex":0},"schema":"https://github.com/citation-style-language/schema/raw/master/csl-citation.json"}</w:instrText>
      </w:r>
      <w:r>
        <w:fldChar w:fldCharType="separate"/>
      </w:r>
      <w:r w:rsidR="00732D97" w:rsidRPr="00732D97">
        <w:rPr>
          <w:noProof/>
        </w:rPr>
        <w:t>(7,17)</w:t>
      </w:r>
      <w:r>
        <w:fldChar w:fldCharType="end"/>
      </w:r>
      <w:r>
        <w:t xml:space="preserve">. Interpretation of the SmPC data requires the user to appreciate that these could represent with no data or few data. For newer drugs, this is most likely explained by no or few events. For older drugs, it is likely to be due to true missing data, due to historical reporting methods in clinical trials and post-marketing pharmacovigilance. </w:t>
      </w:r>
      <w:r w:rsidR="00C93547">
        <w:t xml:space="preserve">Of note, only two drugs, tofacitinib and abatacept, report “rare” sites of infections, for skin and gastrointestinal infections respectively. </w:t>
      </w:r>
    </w:p>
    <w:p w14:paraId="2A63229D" w14:textId="4519D323" w:rsidR="00FD6C90" w:rsidRDefault="00FD6C90" w:rsidP="00FD6C90">
      <w:pPr>
        <w:jc w:val="both"/>
      </w:pPr>
      <w:r>
        <w:t xml:space="preserve">Reporting of infection frequencies within </w:t>
      </w:r>
      <w:r w:rsidR="002C35FC">
        <w:t xml:space="preserve">the table of adverse events in the </w:t>
      </w:r>
      <w:proofErr w:type="spellStart"/>
      <w:r w:rsidR="002C35FC">
        <w:t>SmPCs</w:t>
      </w:r>
      <w:proofErr w:type="spellEnd"/>
      <w:r>
        <w:t xml:space="preserve"> is not within the context of individual IMIDs. Information within them therefore requires</w:t>
      </w:r>
      <w:r w:rsidR="00AD6710">
        <w:t xml:space="preserve"> cautious</w:t>
      </w:r>
      <w:r>
        <w:t xml:space="preserve"> interpretation </w:t>
      </w:r>
      <w:r w:rsidR="00AD6710">
        <w:t>or the details of trial data which can be found for some indications, but not all, within the document</w:t>
      </w:r>
      <w:r>
        <w:t xml:space="preserve">. For example, infections at all sites are reported as “very common” for canakinumab, a drug used in the treatment of periodic fever syndromes. The reported infection profile may reflect the underlying disease state, rather than the side-effect of the drug.  </w:t>
      </w:r>
    </w:p>
    <w:p w14:paraId="0FB0478D" w14:textId="45971A27" w:rsidR="00E5198F" w:rsidRDefault="00AD6710" w:rsidP="00CE520C">
      <w:r>
        <w:t xml:space="preserve">There is some face validity to the results described, e.g. </w:t>
      </w:r>
      <w:r w:rsidR="00E1262E">
        <w:t>the risk of</w:t>
      </w:r>
      <w:r>
        <w:t xml:space="preserve"> lower respiratory tract infection</w:t>
      </w:r>
      <w:r w:rsidR="00C93547">
        <w:t>s</w:t>
      </w:r>
      <w:r>
        <w:t xml:space="preserve"> (LRTI)</w:t>
      </w:r>
      <w:r w:rsidR="00C93547">
        <w:t xml:space="preserve"> and skin and soft tissue infections appear to be more frequent with TNF inhibitors, mirroring real-world data </w:t>
      </w:r>
      <w:r w:rsidR="00C93547">
        <w:fldChar w:fldCharType="begin" w:fldLock="1"/>
      </w:r>
      <w:r w:rsidR="000728C8">
        <w:instrText>ADDIN CSL_CITATION {"citationItems":[{"id":"ITEM-1","itemData":{"DOI":"10.1136/annrheumdis-2011-201108","ISSN":"00034967","abstract":"Introduction: Anti-tumour necrosis factor (TNF) therapy is a mainstay of treatment in rheumatoid arthritis (RA). In 2001, BSRBR was established to evaluate the safety of these agents. This paper addresses the safety of anti-TNF therapy in RA with specific reference to serious skin and soft tissue infections (SSSI) and shingles. Methods: A cohort of anti-TNF-treated patients was recruited alongside a comparator group with active RA treated with non-biological disease-modifying antirheumatic drugs (nbDMARD). 11 881 anti-TNF and 3673 nbDMARD patients were analysed. Follow-up was by 6-monthly questionnaires to patients and clinicians. Analyses considered SSSI and shingles separately. Incidence rates (IR) were calculated and then compared using survival analyses. Results: The crude IR for SSSI were: anti-TNF 1.6/100 patient-years (95% CI 1.4 to 1.8); nbDMARD 0.7/100 patient-years (95% CI 0.5 to 1.0) and shingles: anti-TNF 1.6/100 patient-years (95% CI 1.3 to 2.0); nbDMARD 0.8/100 patient-years (95% CI 0.6 to 1.1). Adjusted HR were SSSI 1.4 (95% CI 0.9 to 2.4), shingles 1.8 (95% CI 1.2 to 2.8). For SSSI, no significant differences were seen between anti-TNF agents. For shingles, the lowest risk was observed for adalimumab (adjusted HR vs nbDMARD) 1.5 (95% CI 1.1 to 2.0) and highest for infliximab (HR 2.2; 95% CI 1.4 to 3.4)). Conclusion: A significantly increased risk of shingles was observed in the anti-TNF-treated cohort. The risk of SSSI tended towards being greater with anti-TNF treatment but was not statistically significant. As with any observational dataset cause and effect cannot be established with certainty as residual confounding may remain. This finding would support the evaluation of zoster vaccination in this population.","author":[{"dropping-particle":"","family":"Galloway","given":"James B.","non-dropping-particle":"","parse-names":false,"suffix":""},{"dropping-particle":"","family":"Mercer","given":"Louise K.","non-dropping-particle":"","parse-names":false,"suffix":""},{"dropping-particle":"","family":"Moseley","given":"Alison","non-dropping-particle":"","parse-names":false,"suffix":""},{"dropping-particle":"","family":"Dixon","given":"William G.","non-dropping-particle":"","parse-names":false,"suffix":""},{"dropping-particle":"","family":"Ustianowski","given":"Andrew P.","non-dropping-particle":"","parse-names":false,"suffix":""},{"dropping-particle":"","family":"Helbert","given":"Matthew","non-dropping-particle":"","parse-names":false,"suffix":""},{"dropping-particle":"","family":"Watson","given":"Kath D.","non-dropping-particle":"","parse-names":false,"suffix":""},{"dropping-particle":"","family":"Lunt","given":"Mark","non-dropping-particle":"","parse-names":false,"suffix":""},{"dropping-particle":"","family":"Hyrich","given":"Kimme L.","non-dropping-particle":"","parse-names":false,"suffix":""},{"dropping-particle":"","family":"Symmons","given":"Deborah P.M.","non-dropping-particle":"","parse-names":false,"suffix":""}],"container-title":"Annals of the Rheumatic Diseases","id":"ITEM-1","issue":"2","issued":{"date-parts":[["2013","2"]]},"page":"229-234","title":"Risk of skin and soft tissue infections (including shingles) in patients exposed to anti-tumour necrosis factor therapy: Results from the British Society for Rheumatology Biologics Register","type":"article-journal","volume":"72"},"uris":["http://www.mendeley.com/documents/?uuid=71f76ecc-cae0-3188-866f-88a81d0381df"]},{"id":"ITEM-2","itemData":{"DOI":"10.1093/rheumatology/keq242","abstract":"Objectives. To evaluate the risk of serious infections (SIs) in patients with RA treated with anti-TNF therapy with emphasis on the risk across different ages. Methods. Using data from the British Society for Rheumatology Biologics Register, a prospective observational study, we compared the risk of SI between 11 798 anti-TNF-treated patients and 3598 non-biologic DMARD (nbDMARD)-treated patients. Results. A total of 1808 patients had at least one SI (anti-TNF: 1512; nbDMARD: 296). Incidence rates were: anti-TNF 42/1000 patient-years of follow-up (95% CI 40, 44) and nbDMARD 32/1000 patient-years of follow-up (95% CI 28, 36). The adjusted hazard ratio (adjHR) for SI in the anti-TNF cohort was 1.2 (95% CI 1.1, 1.5). The risk did not differ significantly between the three agents adalimumab, etanercept and infliximab. The risk was highest during the first 6 months of therapy [adjHR 1.8 (95% CI 1.3, 2.6)]. Although increasing age was an independent risk factor for SI in both cohorts, there was no difference in relative risk of infection in patients on anti-TNF therapy in the older population. There was no difference in hospital stay for SI between cohorts. Mortality within 30 days of SI was 50% lower in the anti-TNF cohort [odds ratio 0.5 (95% CI 0.3, 0.8)]. Conclusions. These data add to currently available evidence suggesting that anti-TNF therapy is associated with a small but significant overall risk of SI. This must be balanced against the risks associated with poor disease control or alternative treatments.","author":[{"dropping-particle":"","family":"Galloway","given":"James B","non-dropping-particle":"","parse-names":false,"suffix":""},{"dropping-particle":"","family":"Hyrich","given":"Kimme L","non-dropping-particle":"","parse-names":false,"suffix":""},{"dropping-particle":"","family":"Mercer","given":"Louise K","non-dropping-particle":"","parse-names":false,"suffix":""},{"dropping-particle":"","family":"Dixon","given":"William G","non-dropping-particle":"","parse-names":false,"suffix":""},{"dropping-particle":"","family":"Fu","given":"Bo","non-dropping-particle":"","parse-names":false,"suffix":""},{"dropping-particle":"","family":"Ustianowski","given":"Andrew P","non-dropping-particle":"","parse-names":false,"suffix":""},{"dropping-particle":"","family":"Watson","given":"Kath D","non-dropping-particle":"","parse-names":false,"suffix":""},{"dropping-particle":"","family":"Lunt","given":"Mark","non-dropping-particle":"","parse-names":false,"suffix":""}],"container-title":"Rheumatology (Oxford, England)","id":"ITEM-2","issue":"1","issued":{"date-parts":[["2011"]]},"page":"124–131","title":"Anti-TNF therapy is associated with an increased risk of serious infections in patients with rheumatoid arthritis especially in the first 6 months of treatment: updated results from the British Society for Rheumatology Biologics Register with special emph","type":"article-journal","volume":"50"},"uris":["http://www.mendeley.com/documents/?uuid=c8d318cf-65fa-33f7-91eb-534165a25d0e"]},{"id":"ITEM-3","itemData":{"DOI":"10.1136/ard.2006.062760","ISSN":"00034967","PMID":"17261532","abstract":"Objectives: The degree to which treatment with tumour necrosis factor (TNF) antagonists may be associated with increased risks for serious infections is unclear. An observational cohort study was performed using prospectively collected data from the Swedish Biologics Register (ARTIS) and other national Swedish registers. Methods: First, in the ARTIS, all 4167 rheumatoid arthritis (RA) patients starting TNF antagonist treatment between 1999 and 2003 were identified. Secondly, in the Swedish Inpatient Register, all individuals hospitalised for any reason and who also carried a diagnosis of RA, between 1964 and 2003 (n = 44 946 of whom 2692 also occurred in ARTIS), were identified. Thirdly, in the Swedish Inpatient Register, all hospitalisations listing an infection between 1999 and 2003 were identified. By cross-referencing these three data sets, RRs for hospitalisation with infection associated with TNF antagonist treatment were calculated within the cohort of 44 946 RA patients, using Cox regression taking sex, age, geography, co-morbidity and use of inpatient care into account. Results: Among the 4167 patients treated with TNF antagonists, 367 hospitalisations with infections occurred during 7776 person-years. Within the cohort of 44 496 RA patients, the RR for infection associated with TNF antagonists was 1.43 (95% Cl 1.18 to 1.73) during the first year of treatment, 1.15 (95% Cl 0.88 to 1.51) during the second year of treatment, and 0.82 (95% Cl 0.62 to 1.08) for subjects remaining on their first TNF antagonist treatment after 2 years. Conclusion: Treatment with TNF antagonists may be associated with a small to moderate increase in risk of hospitalisation with infection, which disappears with increasing treatment duration.","author":[{"dropping-particle":"","family":"Askling","given":"Johan","non-dropping-particle":"","parse-names":false,"suffix":""},{"dropping-particle":"","family":"Fored","given":"C. Michael","non-dropping-particle":"","parse-names":false,"suffix":""},{"dropping-particle":"","family":"Brandt","given":"Lena","non-dropping-particle":"","parse-names":false,"suffix":""},{"dropping-particle":"","family":"Baecklund","given":"Eva","non-dropping-particle":"","parse-names":false,"suffix":""},{"dropping-particle":"","family":"Bertilsson","given":"Lennart","non-dropping-particle":"","parse-names":false,"suffix":""},{"dropping-particle":"","family":"Feltelius","given":"Nils","non-dropping-particle":"","parse-names":false,"suffix":""},{"dropping-particle":"","family":"Cöster","given":"Lars","non-dropping-particle":"","parse-names":false,"suffix":""},{"dropping-particle":"","family":"Geborek","given":"Pierre","non-dropping-particle":"","parse-names":false,"suffix":""},{"dropping-particle":"","family":"Jacobsson","given":"Lennart T.","non-dropping-particle":"","parse-names":false,"suffix":""},{"dropping-particle":"","family":"Lindblad","given":"Staffan","non-dropping-particle":"","parse-names":false,"suffix":""},{"dropping-particle":"","family":"Lysholm","given":"Jörgen","non-dropping-particle":"","parse-names":false,"suffix":""},{"dropping-particle":"","family":"Rantapää-Dahlqvist","given":"Solbritt","non-dropping-particle":"","parse-names":false,"suffix":""},{"dropping-particle":"","family":"Saxne","given":"Tore","non-dropping-particle":"","parse-names":false,"suffix":""},{"dropping-particle":"","family":"Vollenhoven","given":"Ronald F.","non-dropping-particle":"Van","parse-names":false,"suffix":""},{"dropping-particle":"","family":"Klareskog","given":"Lars","non-dropping-particle":"","parse-names":false,"suffix":""}],"container-title":"Annals of the Rheumatic Diseases","id":"ITEM-3","issue":"10","issued":{"date-parts":[["2007","10"]]},"page":"1339-1344","publisher":"Ann Rheum Dis","title":"Time-dependent increase in risk of hospitalisation with infection among Swedish RA patients treated with TNF antagonists","type":"article-journal","volume":"66"},"uris":["http://www.mendeley.com/documents/?uuid=cdbdcb22-1083-39ec-bb4f-cc58e10b61e1"]}],"mendeley":{"formattedCitation":"(2,3,18)","plainTextFormattedCitation":"(2,3,18)","previouslyFormattedCitation":"(2,3,18)"},"properties":{"noteIndex":0},"schema":"https://github.com/citation-style-language/schema/raw/master/csl-citation.json"}</w:instrText>
      </w:r>
      <w:r w:rsidR="00C93547">
        <w:fldChar w:fldCharType="separate"/>
      </w:r>
      <w:r w:rsidR="00732D97" w:rsidRPr="00732D97">
        <w:rPr>
          <w:noProof/>
        </w:rPr>
        <w:t>(2,3,18)</w:t>
      </w:r>
      <w:r w:rsidR="00C93547">
        <w:fldChar w:fldCharType="end"/>
      </w:r>
      <w:r w:rsidR="00C93547">
        <w:t xml:space="preserve">, whereas these infections are less common with the use of IL-23 inhibitors. </w:t>
      </w:r>
      <w:r w:rsidR="009669D5">
        <w:t xml:space="preserve">However, some of the </w:t>
      </w:r>
      <w:r w:rsidR="00AA64A2">
        <w:t xml:space="preserve">results from the </w:t>
      </w:r>
      <w:proofErr w:type="spellStart"/>
      <w:r w:rsidR="00AA64A2">
        <w:t>SmPCs</w:t>
      </w:r>
      <w:proofErr w:type="spellEnd"/>
      <w:r w:rsidR="00AA64A2">
        <w:t xml:space="preserve"> lack face validity. When considering individua</w:t>
      </w:r>
      <w:r w:rsidR="00B75D42">
        <w:t>l</w:t>
      </w:r>
      <w:r w:rsidR="00AA64A2">
        <w:t xml:space="preserve"> pathogenic organisms (</w:t>
      </w:r>
      <w:r w:rsidR="00682C45">
        <w:t>Figure</w:t>
      </w:r>
      <w:r w:rsidR="00AA64A2">
        <w:t xml:space="preserve"> 2)</w:t>
      </w:r>
      <w:r w:rsidR="00B75D42">
        <w:t xml:space="preserve">, certain infections are overrepresented compared to the time spent managing them in clinical practice, e.g. candida. </w:t>
      </w:r>
      <w:r w:rsidR="000544C4">
        <w:t xml:space="preserve">This may be due to certain infections being especially targeted or investigated, in comparison to infections with lower incidence. </w:t>
      </w:r>
      <w:r w:rsidR="00B75D42">
        <w:t xml:space="preserve">There is also no differentiation in this case as to whether this pertains to oral thrush or invasive candidiasis, two conditions with vastly different clinical features, management and prognosis. There are few missing data for organisms that are relatively </w:t>
      </w:r>
      <w:r w:rsidR="00141F3D">
        <w:t>prevalent</w:t>
      </w:r>
      <w:r w:rsidR="00B75D42">
        <w:t>, such as influenza</w:t>
      </w:r>
      <w:r w:rsidR="00141F3D">
        <w:t>, herpes zoster and herpes simplex. There is a relative underrepresentation of opportunistic infections, such as TB, given the importance of these for a patient’s clinical course and choice o</w:t>
      </w:r>
      <w:r w:rsidR="00517735">
        <w:t>f</w:t>
      </w:r>
      <w:r w:rsidR="00141F3D">
        <w:t xml:space="preserve"> immunosuppressant. </w:t>
      </w:r>
      <w:r w:rsidR="00517735">
        <w:t>There are also certain associations which appear to be absent from the SmPC data, e.g. natalizumab has association in clinical practice with progressive multifocal leukoencephalopathy (PML) secondary to JC virus. However, despite being discussed within the SmPC, its frequency is not reported as an adverse event.</w:t>
      </w:r>
      <w:r w:rsidR="0047770F">
        <w:t xml:space="preserve"> This </w:t>
      </w:r>
      <w:r w:rsidR="009D55A0">
        <w:t xml:space="preserve">is likely because the </w:t>
      </w:r>
      <w:r w:rsidR="008F7409">
        <w:t>e</w:t>
      </w:r>
      <w:r w:rsidR="009D55A0">
        <w:t>vent is too rare.</w:t>
      </w:r>
      <w:r w:rsidR="00517735">
        <w:t xml:space="preserve"> Similarly, trials on baric</w:t>
      </w:r>
      <w:r w:rsidR="00EB1771">
        <w:t>it</w:t>
      </w:r>
      <w:r w:rsidR="00517735">
        <w:t>inib included cryptococcus, but the frequency of this infection is not reported</w:t>
      </w:r>
      <w:r w:rsidR="00EB1771">
        <w:t xml:space="preserve"> in the SmPC, although it is for tofacitinib. </w:t>
      </w:r>
      <w:r w:rsidR="009D55A0">
        <w:t xml:space="preserve">It may therefore be prudent in future for drugs of a similar type or target to have a standardised template by which to report events </w:t>
      </w:r>
      <w:r w:rsidR="008F7409">
        <w:t>within</w:t>
      </w:r>
      <w:r w:rsidR="009D55A0">
        <w:t xml:space="preserve"> the </w:t>
      </w:r>
      <w:proofErr w:type="spellStart"/>
      <w:r w:rsidR="009D55A0">
        <w:t>SmPCs</w:t>
      </w:r>
      <w:proofErr w:type="spellEnd"/>
      <w:r w:rsidR="009D55A0">
        <w:t>.</w:t>
      </w:r>
      <w:r w:rsidR="00CE520C">
        <w:t xml:space="preserve"> It is important to note that the SmPC guidelines specifically state that the section on undesirable events should “also inform on adverse reactions with very low frequency or with delayed onset of symptoms which may not have been observed in relation to the product, but which are considered to be related to the same therapeutic, chemical or pharmacological class. The fact that this is a class attribution should be mentioned” </w:t>
      </w:r>
      <w:r w:rsidR="00CE520C">
        <w:fldChar w:fldCharType="begin" w:fldLock="1"/>
      </w:r>
      <w:r w:rsidR="00CE520C">
        <w:instrText>ADDIN CSL_CITATION {"citationItems":[{"id":"ITEM-1","itemData":{"id":"ITEM-1","issued":{"date-parts":[["2008"]]},"title":"A GUIDELINE ON SUMMARY OF PRODUCT CHARACTERISTICS MODULE 1.3 SUMMARY OF PRODUCT CHARACTERISTICS","type":"report"},"uris":["http://www.mendeley.com/documents/?uuid=11e1405c-34f1-3b45-a644-dc2a3e864c2d"]},{"id":"ITEM-2","itemData":{"author":[{"dropping-particle":"","family":"Medicines Agency","given":"European","non-dropping-particle":"","parse-names":false,"suffix":""}],"id":"ITEM-2","issued":{"date-parts":[["0"]]},"title":"Section 4.8 Undesirable effects","type":"article-journal"},"uris":["http://www.mendeley.com/documents/?uuid=118e22a0-8c94-37f1-9904-f8172fc55e56"]}],"mendeley":{"formattedCitation":"(8,9)","plainTextFormattedCitation":"(8,9)"},"properties":{"noteIndex":0},"schema":"https://github.com/citation-style-language/schema/raw/master/csl-citation.json"}</w:instrText>
      </w:r>
      <w:r w:rsidR="00CE520C">
        <w:fldChar w:fldCharType="separate"/>
      </w:r>
      <w:r w:rsidR="00CE520C" w:rsidRPr="00CE520C">
        <w:rPr>
          <w:noProof/>
        </w:rPr>
        <w:t>(8,9)</w:t>
      </w:r>
      <w:r w:rsidR="00CE520C">
        <w:fldChar w:fldCharType="end"/>
      </w:r>
      <w:r w:rsidR="00CE520C">
        <w:t>.</w:t>
      </w:r>
    </w:p>
    <w:p w14:paraId="63233770" w14:textId="05336D24" w:rsidR="00886AA0" w:rsidRDefault="00E5198F" w:rsidP="00B75D42">
      <w:r>
        <w:t>Finally, there is a discrepancy between reporting on sites of infection (Figure 1) and individual organisms (</w:t>
      </w:r>
      <w:r w:rsidR="00682C45">
        <w:t>Figure</w:t>
      </w:r>
      <w:r>
        <w:t xml:space="preserve"> 2). This is demonstrated by the C5 inhibitors, eculizumab and </w:t>
      </w:r>
      <w:proofErr w:type="spellStart"/>
      <w:r>
        <w:t>ravulizumab</w:t>
      </w:r>
      <w:proofErr w:type="spellEnd"/>
      <w:r>
        <w:t xml:space="preserve">. While </w:t>
      </w:r>
      <w:proofErr w:type="spellStart"/>
      <w:r>
        <w:t>ravulizumab</w:t>
      </w:r>
      <w:proofErr w:type="spellEnd"/>
      <w:r>
        <w:t xml:space="preserve"> is reported as being strongly associated with ENT and URT infections, there is a lack of reporting on individual organisms. In contrast, eculizumab lists all sites of infection as uncommon or common, but only reports frequency data for six specific organisms. </w:t>
      </w:r>
    </w:p>
    <w:p w14:paraId="48956CFD" w14:textId="37F802A6" w:rsidR="00676F6B" w:rsidRDefault="001F7222" w:rsidP="005F7EF0">
      <w:pPr>
        <w:jc w:val="both"/>
      </w:pPr>
      <w:r>
        <w:t xml:space="preserve">There are several limitations to this work. </w:t>
      </w:r>
      <w:r w:rsidR="00725476">
        <w:t>T</w:t>
      </w:r>
      <w:r w:rsidR="005167D1">
        <w:t>his is a secondary analysis of the data. Therefore, if there is an error in the reporting of data within the SmPC by the EMA, it will be carried forward as we were unable to review the original data. Safety signals that have emerged post-licensing will not necessarily be listed on the SmPC documents as there may be a lag in updating them.</w:t>
      </w:r>
      <w:r w:rsidR="00725476">
        <w:t xml:space="preserve"> The data within the </w:t>
      </w:r>
      <w:proofErr w:type="spellStart"/>
      <w:r w:rsidR="00725476">
        <w:t>SmPCs</w:t>
      </w:r>
      <w:proofErr w:type="spellEnd"/>
      <w:r w:rsidR="00725476">
        <w:t xml:space="preserve"> depend on the drug company and how the trials are designed to capture and report adverse events.</w:t>
      </w:r>
      <w:r w:rsidR="00CE520C">
        <w:t xml:space="preserve"> While there are EMA guidelines on the format and content of the </w:t>
      </w:r>
      <w:proofErr w:type="spellStart"/>
      <w:r w:rsidR="00CE520C">
        <w:t>SmPCs</w:t>
      </w:r>
      <w:proofErr w:type="spellEnd"/>
      <w:r w:rsidR="00CE520C">
        <w:t>,</w:t>
      </w:r>
      <w:r w:rsidR="004C0F9F">
        <w:t xml:space="preserve"> these are open to interpretation by drug companies producing them</w:t>
      </w:r>
      <w:r w:rsidR="00725476">
        <w:t xml:space="preserve">. </w:t>
      </w:r>
      <w:proofErr w:type="spellStart"/>
      <w:r w:rsidR="00725476">
        <w:t>SmPCs</w:t>
      </w:r>
      <w:proofErr w:type="spellEnd"/>
      <w:r w:rsidR="00725476">
        <w:t xml:space="preserve"> also report only generic drug information (i.e. </w:t>
      </w:r>
      <w:r w:rsidR="009348CE">
        <w:t xml:space="preserve">not </w:t>
      </w:r>
      <w:r w:rsidR="00CF5530">
        <w:t>specific to certain patient demographics or subgroups</w:t>
      </w:r>
      <w:r w:rsidR="00725476">
        <w:t xml:space="preserve">), influenced by sampling bias of clinical </w:t>
      </w:r>
      <w:r w:rsidR="00725476">
        <w:lastRenderedPageBreak/>
        <w:t xml:space="preserve">trial recruitment. </w:t>
      </w:r>
      <w:bookmarkStart w:id="17" w:name="_Hlk113205564"/>
      <w:r w:rsidR="00B2729A">
        <w:t xml:space="preserve">Patient numbers are not reported, so it is not possible to known the sample size upon which information on adverse events has been based. </w:t>
      </w:r>
      <w:bookmarkStart w:id="18" w:name="_Hlk113209253"/>
      <w:bookmarkEnd w:id="17"/>
      <w:r w:rsidR="00A629B7">
        <w:t>In addition,</w:t>
      </w:r>
      <w:r w:rsidR="00B85AB7">
        <w:t xml:space="preserve"> infection risk is affected by a number of factors including demographics such as age, the primary autoimmune diagnosis, as well as co-treatment with corticosteroids, which will be applicable to many patients taking these immune-modulatory drugs.</w:t>
      </w:r>
      <w:bookmarkEnd w:id="18"/>
    </w:p>
    <w:p w14:paraId="7EBDE36C" w14:textId="4C265FD8" w:rsidR="00E6645A" w:rsidRDefault="00725476" w:rsidP="005F7EF0">
      <w:pPr>
        <w:jc w:val="both"/>
      </w:pPr>
      <w:r>
        <w:t xml:space="preserve">While it is useful to compare data across </w:t>
      </w:r>
      <w:proofErr w:type="spellStart"/>
      <w:r>
        <w:t>SmPCs</w:t>
      </w:r>
      <w:proofErr w:type="spellEnd"/>
      <w:r>
        <w:t xml:space="preserve">, it is not possible to perform a “head-to-head” trial between them, due to the vast variation in trial designs and reporting methods. This will subsequently influence any between-drug differences.  </w:t>
      </w:r>
      <w:r w:rsidR="00E129FF">
        <w:t xml:space="preserve">Nonetheless, </w:t>
      </w:r>
      <w:r w:rsidR="00E6645A">
        <w:t xml:space="preserve">our comparisons have potential use in clinical practice. For patients with recurrent infections at a given site, clinicians can use the charts </w:t>
      </w:r>
      <w:r w:rsidR="00B43B26">
        <w:t xml:space="preserve">for cross-drug comparison, </w:t>
      </w:r>
      <w:r w:rsidR="00E6645A">
        <w:t>as a point of reference to choose drugs with less frequent infections</w:t>
      </w:r>
      <w:r w:rsidR="000544C4">
        <w:t>, albeit being mindful that absent or rare events may indicate less reporting of infection, not necessarily low frequency</w:t>
      </w:r>
      <w:r w:rsidR="00E6645A">
        <w:t xml:space="preserve">. Similarly, for patients with a history of infection with a specific organism or opportunism, visualisation of organism data can help select drugs with a weaker signal for these infections. However, to have sufficient face validity for comparisons between </w:t>
      </w:r>
      <w:proofErr w:type="spellStart"/>
      <w:r w:rsidR="00E6645A">
        <w:t>SmPCs</w:t>
      </w:r>
      <w:proofErr w:type="spellEnd"/>
      <w:r w:rsidR="00E6645A">
        <w:t xml:space="preserve"> to alter care, the EMA would need to </w:t>
      </w:r>
      <w:r w:rsidR="00B43B26">
        <w:t xml:space="preserve">ensure more detailed information on source data within the tables in the </w:t>
      </w:r>
      <w:proofErr w:type="spellStart"/>
      <w:r w:rsidR="00B43B26">
        <w:t>SmPCs</w:t>
      </w:r>
      <w:proofErr w:type="spellEnd"/>
      <w:r w:rsidR="00B43B26">
        <w:t>, especially with regard adverse events with drug use in different diseases</w:t>
      </w:r>
      <w:r w:rsidR="00E6645A">
        <w:t xml:space="preserve">. Ultimately, drug choice is individualised, dependent on both patient and clinician. </w:t>
      </w:r>
    </w:p>
    <w:p w14:paraId="6749BE0A" w14:textId="77777777" w:rsidR="005F7EF0" w:rsidRPr="00DB4A49" w:rsidRDefault="00616B4C" w:rsidP="005F7EF0">
      <w:r>
        <w:t xml:space="preserve">In conclusion, </w:t>
      </w:r>
      <w:r w:rsidR="005F4589">
        <w:t xml:space="preserve">the SmPC literature is an important source of information on infection frequency, including on individual types and infectious organism. Our comparison of </w:t>
      </w:r>
      <w:proofErr w:type="spellStart"/>
      <w:r w:rsidR="005F4589">
        <w:t>SmPCs</w:t>
      </w:r>
      <w:proofErr w:type="spellEnd"/>
      <w:r w:rsidR="005F4589">
        <w:t xml:space="preserve"> across immune-modulatory drugs show striking patterns, including the similarities and differences in infection, which can be used to guide prescribing decisions in this high-risk population. However, we have also highlighted</w:t>
      </w:r>
      <w:r w:rsidR="005F7EF0">
        <w:t xml:space="preserve"> the need for robust post-marketing pharmacovigilance studies</w:t>
      </w:r>
      <w:r w:rsidR="005F4589">
        <w:t>, and the importance of using SmPC data alongside other sources when assessing infection risk.</w:t>
      </w:r>
    </w:p>
    <w:p w14:paraId="130C85B0" w14:textId="08987E6B" w:rsidR="00A872CE" w:rsidRDefault="00A872CE" w:rsidP="00287996">
      <w:pPr>
        <w:jc w:val="both"/>
        <w:rPr>
          <w:lang w:val="en-US"/>
        </w:rPr>
      </w:pPr>
    </w:p>
    <w:p w14:paraId="49A6A320" w14:textId="31CFB67B" w:rsidR="00734366" w:rsidRPr="00734366" w:rsidRDefault="00734366" w:rsidP="00734366">
      <w:pPr>
        <w:rPr>
          <w:lang w:val="en-US"/>
        </w:rPr>
      </w:pPr>
      <w:r w:rsidRPr="00734366">
        <w:rPr>
          <w:b/>
          <w:lang w:val="en-US"/>
        </w:rPr>
        <w:t>Competing interests</w:t>
      </w:r>
      <w:r>
        <w:rPr>
          <w:b/>
          <w:lang w:val="en-US"/>
        </w:rPr>
        <w:t xml:space="preserve">: </w:t>
      </w:r>
      <w:r>
        <w:rPr>
          <w:lang w:val="en-US"/>
        </w:rPr>
        <w:t>none to declare.</w:t>
      </w:r>
    </w:p>
    <w:p w14:paraId="18CCE6CF" w14:textId="4822759F" w:rsidR="00734366" w:rsidRPr="00734366" w:rsidRDefault="00734366" w:rsidP="00734366">
      <w:pPr>
        <w:rPr>
          <w:lang w:val="en-US"/>
        </w:rPr>
      </w:pPr>
      <w:proofErr w:type="spellStart"/>
      <w:r w:rsidRPr="00734366">
        <w:rPr>
          <w:b/>
          <w:lang w:val="en-US"/>
        </w:rPr>
        <w:t>Contributorship</w:t>
      </w:r>
      <w:proofErr w:type="spellEnd"/>
      <w:r>
        <w:rPr>
          <w:lang w:val="en-US"/>
        </w:rPr>
        <w:t>: MD undertook the analysis and drafted the manuscript. KB undertook the analysis. MD, KB and JG developed the methods</w:t>
      </w:r>
      <w:r w:rsidR="00AA3056">
        <w:rPr>
          <w:lang w:val="en-US"/>
        </w:rPr>
        <w:t>. All authors actively contributed to the final content and structure of the manuscript.</w:t>
      </w:r>
    </w:p>
    <w:p w14:paraId="07BF410F" w14:textId="19B9A835" w:rsidR="00734366" w:rsidRPr="00AA3056" w:rsidRDefault="00734366" w:rsidP="00734366">
      <w:pPr>
        <w:rPr>
          <w:lang w:val="en-US"/>
        </w:rPr>
      </w:pPr>
      <w:r w:rsidRPr="00734366">
        <w:rPr>
          <w:b/>
          <w:lang w:val="en-US"/>
        </w:rPr>
        <w:t>Acknowledgements</w:t>
      </w:r>
      <w:r w:rsidR="00AA3056" w:rsidRPr="00AA3056">
        <w:rPr>
          <w:lang w:val="en-US"/>
        </w:rPr>
        <w:t>: none</w:t>
      </w:r>
    </w:p>
    <w:p w14:paraId="4F2F9638" w14:textId="73832891" w:rsidR="00734366" w:rsidRPr="0055081F" w:rsidRDefault="00734366" w:rsidP="0055081F">
      <w:pPr>
        <w:rPr>
          <w:lang w:val="en-US"/>
        </w:rPr>
      </w:pPr>
      <w:r w:rsidRPr="00734366">
        <w:rPr>
          <w:b/>
          <w:lang w:val="en-US"/>
        </w:rPr>
        <w:t>Funding</w:t>
      </w:r>
      <w:r w:rsidR="00AA3056">
        <w:rPr>
          <w:b/>
          <w:lang w:val="en-US"/>
        </w:rPr>
        <w:t xml:space="preserve">: </w:t>
      </w:r>
      <w:r w:rsidR="0055081F" w:rsidRPr="0055081F">
        <w:rPr>
          <w:lang w:val="en-US"/>
        </w:rPr>
        <w:t>KB has been supported by grant funding from the MRC and NIHR.</w:t>
      </w:r>
      <w:r w:rsidR="0055081F">
        <w:rPr>
          <w:lang w:val="en-US"/>
        </w:rPr>
        <w:t xml:space="preserve"> </w:t>
      </w:r>
      <w:r w:rsidR="0055081F" w:rsidRPr="0055081F">
        <w:rPr>
          <w:lang w:val="en-US"/>
        </w:rPr>
        <w:t>JG has grant income from Innovate UK, BSR, and NIHR.</w:t>
      </w:r>
    </w:p>
    <w:p w14:paraId="6FA2BDE7" w14:textId="121D5499" w:rsidR="00734366" w:rsidRPr="00AA3056" w:rsidRDefault="00734366" w:rsidP="00734366">
      <w:pPr>
        <w:rPr>
          <w:lang w:val="en-US"/>
        </w:rPr>
      </w:pPr>
      <w:r w:rsidRPr="00734366">
        <w:rPr>
          <w:b/>
          <w:lang w:val="en-US"/>
        </w:rPr>
        <w:t>Ethical approval</w:t>
      </w:r>
      <w:r w:rsidR="00AA3056">
        <w:rPr>
          <w:lang w:val="en-US"/>
        </w:rPr>
        <w:t>: not applicable</w:t>
      </w:r>
    </w:p>
    <w:p w14:paraId="515C45C5" w14:textId="2063CB46" w:rsidR="00734366" w:rsidRPr="00AA3056" w:rsidRDefault="00734366" w:rsidP="00734366">
      <w:pPr>
        <w:rPr>
          <w:lang w:val="en-US"/>
        </w:rPr>
      </w:pPr>
      <w:r w:rsidRPr="00734366">
        <w:rPr>
          <w:b/>
          <w:lang w:val="en-US"/>
        </w:rPr>
        <w:t>Data sharing statement</w:t>
      </w:r>
      <w:r w:rsidR="00AA3056">
        <w:rPr>
          <w:lang w:val="en-US"/>
        </w:rPr>
        <w:t>: Data available upon request. Original data is contained within the European Medicines Agency Summary of Product Characteristics data which is freely available online.</w:t>
      </w:r>
    </w:p>
    <w:p w14:paraId="627174AC" w14:textId="5E5B456F" w:rsidR="00A74597" w:rsidRDefault="00734366" w:rsidP="00734366">
      <w:pPr>
        <w:rPr>
          <w:b/>
          <w:lang w:val="en-US"/>
        </w:rPr>
      </w:pPr>
      <w:r w:rsidRPr="00734366">
        <w:rPr>
          <w:b/>
          <w:lang w:val="en-US"/>
        </w:rPr>
        <w:t>Patient and Public Involvement</w:t>
      </w:r>
      <w:r w:rsidR="00AA3056">
        <w:rPr>
          <w:b/>
          <w:lang w:val="en-US"/>
        </w:rPr>
        <w:t xml:space="preserve">: </w:t>
      </w:r>
      <w:r w:rsidR="00AA3056">
        <w:rPr>
          <w:lang w:val="en-US"/>
        </w:rPr>
        <w:t>not applicable</w:t>
      </w:r>
      <w:r w:rsidR="00A74597">
        <w:rPr>
          <w:b/>
          <w:lang w:val="en-US"/>
        </w:rPr>
        <w:br w:type="page"/>
      </w:r>
    </w:p>
    <w:tbl>
      <w:tblPr>
        <w:tblStyle w:val="TableGrid"/>
        <w:tblW w:w="11017" w:type="dxa"/>
        <w:jc w:val="center"/>
        <w:tblLook w:val="04A0" w:firstRow="1" w:lastRow="0" w:firstColumn="1" w:lastColumn="0" w:noHBand="0" w:noVBand="1"/>
      </w:tblPr>
      <w:tblGrid>
        <w:gridCol w:w="1846"/>
        <w:gridCol w:w="2827"/>
        <w:gridCol w:w="2977"/>
        <w:gridCol w:w="1566"/>
        <w:gridCol w:w="1801"/>
      </w:tblGrid>
      <w:tr w:rsidR="009C3E68" w:rsidRPr="00456A48" w14:paraId="30A92FA8" w14:textId="77777777" w:rsidTr="00B2729A">
        <w:trPr>
          <w:trHeight w:val="290"/>
          <w:jc w:val="center"/>
        </w:trPr>
        <w:tc>
          <w:tcPr>
            <w:tcW w:w="1846" w:type="dxa"/>
            <w:noWrap/>
            <w:hideMark/>
          </w:tcPr>
          <w:p w14:paraId="590E03C1" w14:textId="77777777" w:rsidR="009C3E68" w:rsidRPr="00456A48" w:rsidRDefault="009C3E68" w:rsidP="00B2729A">
            <w:pPr>
              <w:jc w:val="center"/>
              <w:rPr>
                <w:b/>
                <w:bCs/>
              </w:rPr>
            </w:pPr>
            <w:r w:rsidRPr="00456A48">
              <w:rPr>
                <w:b/>
                <w:bCs/>
              </w:rPr>
              <w:lastRenderedPageBreak/>
              <w:t>Drug</w:t>
            </w:r>
          </w:p>
        </w:tc>
        <w:tc>
          <w:tcPr>
            <w:tcW w:w="2827" w:type="dxa"/>
            <w:noWrap/>
            <w:hideMark/>
          </w:tcPr>
          <w:p w14:paraId="09B2E63F" w14:textId="77777777" w:rsidR="009C3E68" w:rsidRPr="00456A48" w:rsidRDefault="009C3E68" w:rsidP="00B2729A">
            <w:pPr>
              <w:jc w:val="center"/>
              <w:rPr>
                <w:b/>
                <w:bCs/>
              </w:rPr>
            </w:pPr>
            <w:r w:rsidRPr="00456A48">
              <w:rPr>
                <w:b/>
                <w:bCs/>
              </w:rPr>
              <w:t>Mode of action</w:t>
            </w:r>
          </w:p>
        </w:tc>
        <w:tc>
          <w:tcPr>
            <w:tcW w:w="2977" w:type="dxa"/>
            <w:noWrap/>
            <w:hideMark/>
          </w:tcPr>
          <w:p w14:paraId="2F37BE47" w14:textId="77777777" w:rsidR="009C3E68" w:rsidRPr="00456A48" w:rsidRDefault="009C3E68" w:rsidP="00B2729A">
            <w:pPr>
              <w:jc w:val="center"/>
              <w:rPr>
                <w:b/>
                <w:bCs/>
              </w:rPr>
            </w:pPr>
            <w:r w:rsidRPr="00456A48">
              <w:rPr>
                <w:b/>
                <w:bCs/>
              </w:rPr>
              <w:t>IMID licensed indication(s)</w:t>
            </w:r>
          </w:p>
        </w:tc>
        <w:tc>
          <w:tcPr>
            <w:tcW w:w="1566" w:type="dxa"/>
            <w:noWrap/>
            <w:hideMark/>
          </w:tcPr>
          <w:p w14:paraId="088B76E6" w14:textId="77777777" w:rsidR="009C3E68" w:rsidRPr="00456A48" w:rsidRDefault="009C3E68" w:rsidP="00B2729A">
            <w:pPr>
              <w:jc w:val="center"/>
              <w:rPr>
                <w:b/>
                <w:bCs/>
              </w:rPr>
            </w:pPr>
            <w:r w:rsidRPr="00456A48">
              <w:rPr>
                <w:b/>
                <w:bCs/>
              </w:rPr>
              <w:t>Mode of administration</w:t>
            </w:r>
          </w:p>
        </w:tc>
        <w:tc>
          <w:tcPr>
            <w:tcW w:w="1801" w:type="dxa"/>
            <w:noWrap/>
            <w:hideMark/>
          </w:tcPr>
          <w:p w14:paraId="695D0582" w14:textId="77777777" w:rsidR="009C3E68" w:rsidRPr="00456A48" w:rsidRDefault="009C3E68" w:rsidP="00B2729A">
            <w:pPr>
              <w:jc w:val="center"/>
              <w:rPr>
                <w:b/>
                <w:bCs/>
              </w:rPr>
            </w:pPr>
            <w:r w:rsidRPr="00456A48">
              <w:rPr>
                <w:b/>
                <w:bCs/>
              </w:rPr>
              <w:t>Date of last SmPC update at time of search</w:t>
            </w:r>
          </w:p>
        </w:tc>
      </w:tr>
      <w:tr w:rsidR="009C3E68" w:rsidRPr="00456A48" w14:paraId="4AA1EF3A" w14:textId="77777777" w:rsidTr="00B2729A">
        <w:trPr>
          <w:trHeight w:val="433"/>
          <w:jc w:val="center"/>
        </w:trPr>
        <w:tc>
          <w:tcPr>
            <w:tcW w:w="11017" w:type="dxa"/>
            <w:gridSpan w:val="5"/>
            <w:noWrap/>
            <w:hideMark/>
          </w:tcPr>
          <w:p w14:paraId="65961B4B" w14:textId="77777777" w:rsidR="009C3E68" w:rsidRPr="00456A48" w:rsidRDefault="009C3E68" w:rsidP="00B2729A">
            <w:pPr>
              <w:rPr>
                <w:b/>
              </w:rPr>
            </w:pPr>
            <w:r w:rsidRPr="00456A48">
              <w:rPr>
                <w:b/>
              </w:rPr>
              <w:t>csDMARDs</w:t>
            </w:r>
          </w:p>
        </w:tc>
      </w:tr>
      <w:tr w:rsidR="009C3E68" w:rsidRPr="00456A48" w14:paraId="39E5F33D" w14:textId="77777777" w:rsidTr="00B2729A">
        <w:trPr>
          <w:trHeight w:val="290"/>
          <w:jc w:val="center"/>
        </w:trPr>
        <w:tc>
          <w:tcPr>
            <w:tcW w:w="1846" w:type="dxa"/>
            <w:noWrap/>
            <w:hideMark/>
          </w:tcPr>
          <w:p w14:paraId="41635BE3" w14:textId="77777777" w:rsidR="009C3E68" w:rsidRPr="00456A48" w:rsidRDefault="009C3E68" w:rsidP="00B2729A">
            <w:r w:rsidRPr="00456A48">
              <w:t>Azathioprine</w:t>
            </w:r>
          </w:p>
        </w:tc>
        <w:tc>
          <w:tcPr>
            <w:tcW w:w="2827" w:type="dxa"/>
            <w:noWrap/>
            <w:hideMark/>
          </w:tcPr>
          <w:p w14:paraId="1BC8E8D0" w14:textId="77777777" w:rsidR="009C3E68" w:rsidRPr="00456A48" w:rsidRDefault="009C3E68" w:rsidP="00B2729A">
            <w:r w:rsidRPr="00456A48">
              <w:t>Purine synthesis inhibitor</w:t>
            </w:r>
          </w:p>
        </w:tc>
        <w:tc>
          <w:tcPr>
            <w:tcW w:w="2977" w:type="dxa"/>
            <w:noWrap/>
            <w:hideMark/>
          </w:tcPr>
          <w:p w14:paraId="059822C5" w14:textId="77777777" w:rsidR="009C3E68" w:rsidRPr="00456A48" w:rsidRDefault="009C3E68" w:rsidP="00B2729A">
            <w:r w:rsidRPr="00456A48">
              <w:t>Crohn's, UC, RA</w:t>
            </w:r>
          </w:p>
        </w:tc>
        <w:tc>
          <w:tcPr>
            <w:tcW w:w="1566" w:type="dxa"/>
            <w:noWrap/>
            <w:hideMark/>
          </w:tcPr>
          <w:p w14:paraId="387AA3AD" w14:textId="77777777" w:rsidR="009C3E68" w:rsidRPr="00456A48" w:rsidRDefault="009C3E68" w:rsidP="00B2729A">
            <w:r w:rsidRPr="00456A48">
              <w:t>Oral</w:t>
            </w:r>
          </w:p>
        </w:tc>
        <w:tc>
          <w:tcPr>
            <w:tcW w:w="1801" w:type="dxa"/>
            <w:noWrap/>
            <w:hideMark/>
          </w:tcPr>
          <w:p w14:paraId="53E601F5" w14:textId="77777777" w:rsidR="009C3E68" w:rsidRPr="00456A48" w:rsidRDefault="009C3E68" w:rsidP="00B2729A">
            <w:r w:rsidRPr="00456A48">
              <w:t>03/12/2019</w:t>
            </w:r>
          </w:p>
        </w:tc>
      </w:tr>
      <w:tr w:rsidR="009C3E68" w:rsidRPr="00456A48" w14:paraId="7394CD75" w14:textId="77777777" w:rsidTr="00B2729A">
        <w:trPr>
          <w:trHeight w:val="290"/>
          <w:jc w:val="center"/>
        </w:trPr>
        <w:tc>
          <w:tcPr>
            <w:tcW w:w="1846" w:type="dxa"/>
            <w:noWrap/>
            <w:hideMark/>
          </w:tcPr>
          <w:p w14:paraId="45B13FD4" w14:textId="77777777" w:rsidR="009C3E68" w:rsidRPr="00456A48" w:rsidRDefault="009C3E68" w:rsidP="00B2729A">
            <w:r w:rsidRPr="00456A48">
              <w:t>Ciclosporin</w:t>
            </w:r>
          </w:p>
        </w:tc>
        <w:tc>
          <w:tcPr>
            <w:tcW w:w="2827" w:type="dxa"/>
            <w:noWrap/>
            <w:hideMark/>
          </w:tcPr>
          <w:p w14:paraId="3BEA8B99" w14:textId="77777777" w:rsidR="009C3E68" w:rsidRPr="00456A48" w:rsidRDefault="009C3E68" w:rsidP="00B2729A">
            <w:r w:rsidRPr="00456A48">
              <w:t>Calcineurin inhibitor</w:t>
            </w:r>
          </w:p>
        </w:tc>
        <w:tc>
          <w:tcPr>
            <w:tcW w:w="2977" w:type="dxa"/>
            <w:noWrap/>
            <w:hideMark/>
          </w:tcPr>
          <w:p w14:paraId="2FFA2F6B" w14:textId="77777777" w:rsidR="009C3E68" w:rsidRPr="00456A48" w:rsidRDefault="009C3E68" w:rsidP="00B2729A">
            <w:r w:rsidRPr="00456A48">
              <w:t xml:space="preserve">UC, RA, </w:t>
            </w:r>
            <w:proofErr w:type="spellStart"/>
            <w:r w:rsidRPr="00456A48">
              <w:t>PsO</w:t>
            </w:r>
            <w:proofErr w:type="spellEnd"/>
            <w:r w:rsidRPr="00456A48">
              <w:t>, atopic dermatitis</w:t>
            </w:r>
          </w:p>
        </w:tc>
        <w:tc>
          <w:tcPr>
            <w:tcW w:w="1566" w:type="dxa"/>
            <w:noWrap/>
            <w:hideMark/>
          </w:tcPr>
          <w:p w14:paraId="2BF9F69C" w14:textId="77777777" w:rsidR="009C3E68" w:rsidRPr="00456A48" w:rsidRDefault="009C3E68" w:rsidP="00B2729A">
            <w:r w:rsidRPr="00456A48">
              <w:t>Oral</w:t>
            </w:r>
          </w:p>
        </w:tc>
        <w:tc>
          <w:tcPr>
            <w:tcW w:w="1801" w:type="dxa"/>
            <w:noWrap/>
            <w:hideMark/>
          </w:tcPr>
          <w:p w14:paraId="2F76973D" w14:textId="77777777" w:rsidR="009C3E68" w:rsidRPr="00456A48" w:rsidRDefault="009C3E68" w:rsidP="00B2729A">
            <w:r w:rsidRPr="00456A48">
              <w:t>10/03/2020</w:t>
            </w:r>
          </w:p>
        </w:tc>
      </w:tr>
      <w:tr w:rsidR="009C3E68" w:rsidRPr="00456A48" w14:paraId="1830A176" w14:textId="77777777" w:rsidTr="00B2729A">
        <w:trPr>
          <w:trHeight w:val="290"/>
          <w:jc w:val="center"/>
        </w:trPr>
        <w:tc>
          <w:tcPr>
            <w:tcW w:w="1846" w:type="dxa"/>
            <w:noWrap/>
            <w:hideMark/>
          </w:tcPr>
          <w:p w14:paraId="2E9AFA97" w14:textId="77777777" w:rsidR="009C3E68" w:rsidRPr="00456A48" w:rsidRDefault="009C3E68" w:rsidP="00B2729A">
            <w:r w:rsidRPr="00456A48">
              <w:t>Cladribine</w:t>
            </w:r>
          </w:p>
        </w:tc>
        <w:tc>
          <w:tcPr>
            <w:tcW w:w="2827" w:type="dxa"/>
            <w:noWrap/>
            <w:hideMark/>
          </w:tcPr>
          <w:p w14:paraId="0A8C3AB7" w14:textId="77777777" w:rsidR="009C3E68" w:rsidRPr="00456A48" w:rsidRDefault="009C3E68" w:rsidP="00B2729A">
            <w:r w:rsidRPr="00456A48">
              <w:t xml:space="preserve">Purine </w:t>
            </w:r>
            <w:proofErr w:type="spellStart"/>
            <w:r w:rsidRPr="00456A48">
              <w:t>analog</w:t>
            </w:r>
            <w:proofErr w:type="spellEnd"/>
          </w:p>
        </w:tc>
        <w:tc>
          <w:tcPr>
            <w:tcW w:w="2977" w:type="dxa"/>
            <w:noWrap/>
            <w:hideMark/>
          </w:tcPr>
          <w:p w14:paraId="40B53960" w14:textId="77777777" w:rsidR="009C3E68" w:rsidRPr="00456A48" w:rsidRDefault="009C3E68" w:rsidP="00B2729A">
            <w:r w:rsidRPr="00456A48">
              <w:t>MS</w:t>
            </w:r>
          </w:p>
        </w:tc>
        <w:tc>
          <w:tcPr>
            <w:tcW w:w="1566" w:type="dxa"/>
            <w:noWrap/>
            <w:hideMark/>
          </w:tcPr>
          <w:p w14:paraId="0366E8E0" w14:textId="77777777" w:rsidR="009C3E68" w:rsidRPr="00456A48" w:rsidRDefault="009C3E68" w:rsidP="00B2729A">
            <w:r w:rsidRPr="00456A48">
              <w:t>Oral</w:t>
            </w:r>
          </w:p>
        </w:tc>
        <w:tc>
          <w:tcPr>
            <w:tcW w:w="1801" w:type="dxa"/>
            <w:noWrap/>
            <w:hideMark/>
          </w:tcPr>
          <w:p w14:paraId="1E009A6A" w14:textId="77777777" w:rsidR="009C3E68" w:rsidRPr="00456A48" w:rsidRDefault="009C3E68" w:rsidP="00B2729A">
            <w:r w:rsidRPr="00456A48">
              <w:t>21/01/2020</w:t>
            </w:r>
          </w:p>
        </w:tc>
      </w:tr>
      <w:tr w:rsidR="009C3E68" w:rsidRPr="00456A48" w14:paraId="648B243D" w14:textId="77777777" w:rsidTr="00B2729A">
        <w:trPr>
          <w:trHeight w:val="290"/>
          <w:jc w:val="center"/>
        </w:trPr>
        <w:tc>
          <w:tcPr>
            <w:tcW w:w="1846" w:type="dxa"/>
            <w:noWrap/>
            <w:hideMark/>
          </w:tcPr>
          <w:p w14:paraId="1CAEF440" w14:textId="77777777" w:rsidR="009C3E68" w:rsidRPr="00456A48" w:rsidRDefault="009C3E68" w:rsidP="00B2729A">
            <w:r w:rsidRPr="00456A48">
              <w:t>Interferon beta</w:t>
            </w:r>
          </w:p>
        </w:tc>
        <w:tc>
          <w:tcPr>
            <w:tcW w:w="2827" w:type="dxa"/>
            <w:noWrap/>
            <w:hideMark/>
          </w:tcPr>
          <w:p w14:paraId="7EDD008E" w14:textId="38E3DD9C" w:rsidR="009C3E68" w:rsidRPr="00456A48" w:rsidRDefault="005D7675" w:rsidP="00B2729A">
            <w:r>
              <w:t>Unknown</w:t>
            </w:r>
          </w:p>
        </w:tc>
        <w:tc>
          <w:tcPr>
            <w:tcW w:w="2977" w:type="dxa"/>
            <w:noWrap/>
            <w:hideMark/>
          </w:tcPr>
          <w:p w14:paraId="7F6B4876" w14:textId="77777777" w:rsidR="009C3E68" w:rsidRPr="00456A48" w:rsidRDefault="009C3E68" w:rsidP="00B2729A">
            <w:r w:rsidRPr="00456A48">
              <w:t>MS</w:t>
            </w:r>
          </w:p>
        </w:tc>
        <w:tc>
          <w:tcPr>
            <w:tcW w:w="1566" w:type="dxa"/>
            <w:noWrap/>
            <w:hideMark/>
          </w:tcPr>
          <w:p w14:paraId="51C7C0E4" w14:textId="77777777" w:rsidR="009C3E68" w:rsidRPr="00456A48" w:rsidRDefault="009C3E68" w:rsidP="00B2729A">
            <w:r w:rsidRPr="00456A48">
              <w:t>SC, IM</w:t>
            </w:r>
          </w:p>
        </w:tc>
        <w:tc>
          <w:tcPr>
            <w:tcW w:w="1801" w:type="dxa"/>
            <w:noWrap/>
            <w:hideMark/>
          </w:tcPr>
          <w:p w14:paraId="773FC590" w14:textId="77777777" w:rsidR="009C3E68" w:rsidRPr="00456A48" w:rsidRDefault="009C3E68" w:rsidP="00B2729A">
            <w:r w:rsidRPr="00456A48">
              <w:t>23/10/2019</w:t>
            </w:r>
          </w:p>
        </w:tc>
      </w:tr>
      <w:tr w:rsidR="009C3E68" w:rsidRPr="00456A48" w14:paraId="1DE4B553" w14:textId="77777777" w:rsidTr="00B2729A">
        <w:trPr>
          <w:trHeight w:val="290"/>
          <w:jc w:val="center"/>
        </w:trPr>
        <w:tc>
          <w:tcPr>
            <w:tcW w:w="1846" w:type="dxa"/>
            <w:noWrap/>
            <w:hideMark/>
          </w:tcPr>
          <w:p w14:paraId="48FA2CF9" w14:textId="77777777" w:rsidR="009C3E68" w:rsidRPr="00456A48" w:rsidRDefault="009C3E68" w:rsidP="00B2729A">
            <w:r w:rsidRPr="00456A48">
              <w:t>Leflunomide</w:t>
            </w:r>
          </w:p>
        </w:tc>
        <w:tc>
          <w:tcPr>
            <w:tcW w:w="2827" w:type="dxa"/>
            <w:noWrap/>
            <w:hideMark/>
          </w:tcPr>
          <w:p w14:paraId="409C2D1D" w14:textId="77777777" w:rsidR="009C3E68" w:rsidRPr="00456A48" w:rsidRDefault="009C3E68" w:rsidP="00B2729A">
            <w:r w:rsidRPr="00456A48">
              <w:t>Pyrimidine synthesis inhibitor</w:t>
            </w:r>
          </w:p>
        </w:tc>
        <w:tc>
          <w:tcPr>
            <w:tcW w:w="2977" w:type="dxa"/>
            <w:noWrap/>
            <w:hideMark/>
          </w:tcPr>
          <w:p w14:paraId="427B9783" w14:textId="77777777" w:rsidR="009C3E68" w:rsidRPr="00456A48" w:rsidRDefault="009C3E68" w:rsidP="00B2729A">
            <w:r w:rsidRPr="00456A48">
              <w:t>RA, PsA</w:t>
            </w:r>
          </w:p>
        </w:tc>
        <w:tc>
          <w:tcPr>
            <w:tcW w:w="1566" w:type="dxa"/>
            <w:noWrap/>
            <w:hideMark/>
          </w:tcPr>
          <w:p w14:paraId="1A705E99" w14:textId="77777777" w:rsidR="009C3E68" w:rsidRPr="00456A48" w:rsidRDefault="009C3E68" w:rsidP="00B2729A">
            <w:r w:rsidRPr="00456A48">
              <w:t>Oral</w:t>
            </w:r>
          </w:p>
        </w:tc>
        <w:tc>
          <w:tcPr>
            <w:tcW w:w="1801" w:type="dxa"/>
            <w:noWrap/>
            <w:hideMark/>
          </w:tcPr>
          <w:p w14:paraId="63E9DD89" w14:textId="77777777" w:rsidR="009C3E68" w:rsidRPr="00456A48" w:rsidRDefault="009C3E68" w:rsidP="00B2729A">
            <w:r w:rsidRPr="00456A48">
              <w:t>15/08/2017</w:t>
            </w:r>
          </w:p>
        </w:tc>
      </w:tr>
      <w:tr w:rsidR="009C3E68" w:rsidRPr="00456A48" w14:paraId="1569C7A5" w14:textId="77777777" w:rsidTr="00B2729A">
        <w:trPr>
          <w:trHeight w:val="290"/>
          <w:jc w:val="center"/>
        </w:trPr>
        <w:tc>
          <w:tcPr>
            <w:tcW w:w="1846" w:type="dxa"/>
            <w:noWrap/>
            <w:hideMark/>
          </w:tcPr>
          <w:p w14:paraId="6A0D01D9" w14:textId="77777777" w:rsidR="009C3E68" w:rsidRPr="00456A48" w:rsidRDefault="009C3E68" w:rsidP="00B2729A">
            <w:r w:rsidRPr="00456A48">
              <w:t>Methotrexate</w:t>
            </w:r>
          </w:p>
        </w:tc>
        <w:tc>
          <w:tcPr>
            <w:tcW w:w="2827" w:type="dxa"/>
            <w:noWrap/>
            <w:hideMark/>
          </w:tcPr>
          <w:p w14:paraId="100CD3BA" w14:textId="77777777" w:rsidR="009C3E68" w:rsidRPr="00456A48" w:rsidRDefault="009C3E68" w:rsidP="00B2729A">
            <w:r w:rsidRPr="00456A48">
              <w:t>Dihydrofolate reductase inhibitor</w:t>
            </w:r>
          </w:p>
        </w:tc>
        <w:tc>
          <w:tcPr>
            <w:tcW w:w="2977" w:type="dxa"/>
            <w:noWrap/>
            <w:hideMark/>
          </w:tcPr>
          <w:p w14:paraId="57233DA4" w14:textId="77777777" w:rsidR="009C3E68" w:rsidRPr="00456A48" w:rsidRDefault="009C3E68" w:rsidP="00B2729A">
            <w:r w:rsidRPr="00456A48">
              <w:t xml:space="preserve">Crohn's, RA, </w:t>
            </w:r>
            <w:proofErr w:type="spellStart"/>
            <w:r w:rsidRPr="00456A48">
              <w:t>PsO</w:t>
            </w:r>
            <w:proofErr w:type="spellEnd"/>
          </w:p>
        </w:tc>
        <w:tc>
          <w:tcPr>
            <w:tcW w:w="1566" w:type="dxa"/>
            <w:noWrap/>
            <w:hideMark/>
          </w:tcPr>
          <w:p w14:paraId="7E00A9D2" w14:textId="77777777" w:rsidR="009C3E68" w:rsidRPr="00456A48" w:rsidRDefault="009C3E68" w:rsidP="00B2729A">
            <w:r w:rsidRPr="00456A48">
              <w:t>Oral, SC, IM</w:t>
            </w:r>
          </w:p>
        </w:tc>
        <w:tc>
          <w:tcPr>
            <w:tcW w:w="1801" w:type="dxa"/>
            <w:noWrap/>
            <w:hideMark/>
          </w:tcPr>
          <w:p w14:paraId="7A7FD70B" w14:textId="77777777" w:rsidR="009C3E68" w:rsidRPr="00456A48" w:rsidRDefault="009C3E68" w:rsidP="00B2729A">
            <w:r w:rsidRPr="00456A48">
              <w:t>23/01/2020</w:t>
            </w:r>
          </w:p>
        </w:tc>
      </w:tr>
      <w:tr w:rsidR="009C3E68" w:rsidRPr="00456A48" w14:paraId="54FE267D" w14:textId="77777777" w:rsidTr="00B2729A">
        <w:trPr>
          <w:trHeight w:val="290"/>
          <w:jc w:val="center"/>
        </w:trPr>
        <w:tc>
          <w:tcPr>
            <w:tcW w:w="1846" w:type="dxa"/>
            <w:noWrap/>
            <w:hideMark/>
          </w:tcPr>
          <w:p w14:paraId="161CC828" w14:textId="77777777" w:rsidR="009C3E68" w:rsidRPr="00456A48" w:rsidRDefault="009C3E68" w:rsidP="00B2729A">
            <w:r w:rsidRPr="00456A48">
              <w:t>Mycophenolate mofetil</w:t>
            </w:r>
          </w:p>
        </w:tc>
        <w:tc>
          <w:tcPr>
            <w:tcW w:w="2827" w:type="dxa"/>
            <w:noWrap/>
            <w:hideMark/>
          </w:tcPr>
          <w:p w14:paraId="69375762" w14:textId="77777777" w:rsidR="009C3E68" w:rsidRPr="00456A48" w:rsidRDefault="009C3E68" w:rsidP="00B2729A">
            <w:r w:rsidRPr="00456A48">
              <w:t>Inosine-5′-monophosphate dehydrogenase inhibitor</w:t>
            </w:r>
          </w:p>
        </w:tc>
        <w:tc>
          <w:tcPr>
            <w:tcW w:w="2977" w:type="dxa"/>
            <w:noWrap/>
            <w:hideMark/>
          </w:tcPr>
          <w:p w14:paraId="0B2034EE" w14:textId="77777777" w:rsidR="009C3E68" w:rsidRPr="00456A48" w:rsidRDefault="009C3E68" w:rsidP="00B2729A">
            <w:r w:rsidRPr="00456A48">
              <w:t>nil IMID</w:t>
            </w:r>
          </w:p>
        </w:tc>
        <w:tc>
          <w:tcPr>
            <w:tcW w:w="1566" w:type="dxa"/>
            <w:noWrap/>
            <w:hideMark/>
          </w:tcPr>
          <w:p w14:paraId="6D9B3845" w14:textId="77777777" w:rsidR="009C3E68" w:rsidRPr="00456A48" w:rsidRDefault="009C3E68" w:rsidP="00B2729A">
            <w:r w:rsidRPr="00456A48">
              <w:t>Oral</w:t>
            </w:r>
          </w:p>
        </w:tc>
        <w:tc>
          <w:tcPr>
            <w:tcW w:w="1801" w:type="dxa"/>
            <w:noWrap/>
            <w:hideMark/>
          </w:tcPr>
          <w:p w14:paraId="76CA968A" w14:textId="77777777" w:rsidR="009C3E68" w:rsidRPr="00456A48" w:rsidRDefault="009C3E68" w:rsidP="00B2729A">
            <w:r w:rsidRPr="00456A48">
              <w:t>25/11/2020</w:t>
            </w:r>
          </w:p>
        </w:tc>
      </w:tr>
      <w:tr w:rsidR="009C3E68" w:rsidRPr="00456A48" w14:paraId="556CF380" w14:textId="77777777" w:rsidTr="00B2729A">
        <w:trPr>
          <w:trHeight w:val="290"/>
          <w:jc w:val="center"/>
        </w:trPr>
        <w:tc>
          <w:tcPr>
            <w:tcW w:w="1846" w:type="dxa"/>
            <w:noWrap/>
            <w:hideMark/>
          </w:tcPr>
          <w:p w14:paraId="35177B14" w14:textId="77777777" w:rsidR="009C3E68" w:rsidRPr="00456A48" w:rsidRDefault="009C3E68" w:rsidP="00B2729A">
            <w:r w:rsidRPr="00456A48">
              <w:t>Sulfasalazine</w:t>
            </w:r>
          </w:p>
        </w:tc>
        <w:tc>
          <w:tcPr>
            <w:tcW w:w="2827" w:type="dxa"/>
            <w:noWrap/>
            <w:hideMark/>
          </w:tcPr>
          <w:p w14:paraId="60D976CB" w14:textId="7D0033CD" w:rsidR="009C3E68" w:rsidRPr="00456A48" w:rsidRDefault="005D7675" w:rsidP="00B2729A">
            <w:r>
              <w:t>Unknown</w:t>
            </w:r>
          </w:p>
        </w:tc>
        <w:tc>
          <w:tcPr>
            <w:tcW w:w="2977" w:type="dxa"/>
            <w:noWrap/>
            <w:hideMark/>
          </w:tcPr>
          <w:p w14:paraId="11AF435C" w14:textId="77777777" w:rsidR="009C3E68" w:rsidRPr="00456A48" w:rsidRDefault="009C3E68" w:rsidP="00B2729A">
            <w:r w:rsidRPr="00456A48">
              <w:t>Crohn's, UC, RA</w:t>
            </w:r>
          </w:p>
        </w:tc>
        <w:tc>
          <w:tcPr>
            <w:tcW w:w="1566" w:type="dxa"/>
            <w:noWrap/>
            <w:hideMark/>
          </w:tcPr>
          <w:p w14:paraId="0BB7CC55" w14:textId="77777777" w:rsidR="009C3E68" w:rsidRPr="00456A48" w:rsidRDefault="009C3E68" w:rsidP="00B2729A">
            <w:r w:rsidRPr="00456A48">
              <w:t>Oral</w:t>
            </w:r>
          </w:p>
        </w:tc>
        <w:tc>
          <w:tcPr>
            <w:tcW w:w="1801" w:type="dxa"/>
            <w:noWrap/>
            <w:hideMark/>
          </w:tcPr>
          <w:p w14:paraId="25269D4A" w14:textId="77777777" w:rsidR="009C3E68" w:rsidRPr="00456A48" w:rsidRDefault="009C3E68" w:rsidP="00B2729A">
            <w:r w:rsidRPr="00456A48">
              <w:t>15/10/2019</w:t>
            </w:r>
          </w:p>
        </w:tc>
      </w:tr>
      <w:tr w:rsidR="009C3E68" w:rsidRPr="00456A48" w14:paraId="4FC06E91" w14:textId="77777777" w:rsidTr="00B2729A">
        <w:trPr>
          <w:trHeight w:val="290"/>
          <w:jc w:val="center"/>
        </w:trPr>
        <w:tc>
          <w:tcPr>
            <w:tcW w:w="1846" w:type="dxa"/>
            <w:noWrap/>
            <w:hideMark/>
          </w:tcPr>
          <w:p w14:paraId="4FC66A9D" w14:textId="77777777" w:rsidR="009C3E68" w:rsidRPr="00456A48" w:rsidRDefault="009C3E68" w:rsidP="00B2729A">
            <w:r w:rsidRPr="00456A48">
              <w:t>Teriflunomide</w:t>
            </w:r>
          </w:p>
        </w:tc>
        <w:tc>
          <w:tcPr>
            <w:tcW w:w="2827" w:type="dxa"/>
            <w:noWrap/>
            <w:hideMark/>
          </w:tcPr>
          <w:p w14:paraId="09F4DF35" w14:textId="77777777" w:rsidR="009C3E68" w:rsidRPr="00456A48" w:rsidRDefault="009C3E68" w:rsidP="00B2729A">
            <w:r w:rsidRPr="00456A48">
              <w:t>Dihydro-orotate dehydrogenase inhibitor</w:t>
            </w:r>
          </w:p>
        </w:tc>
        <w:tc>
          <w:tcPr>
            <w:tcW w:w="2977" w:type="dxa"/>
            <w:noWrap/>
            <w:hideMark/>
          </w:tcPr>
          <w:p w14:paraId="1223A363" w14:textId="77777777" w:rsidR="009C3E68" w:rsidRPr="00456A48" w:rsidRDefault="009C3E68" w:rsidP="00B2729A">
            <w:r w:rsidRPr="00456A48">
              <w:t>MS</w:t>
            </w:r>
          </w:p>
        </w:tc>
        <w:tc>
          <w:tcPr>
            <w:tcW w:w="1566" w:type="dxa"/>
            <w:noWrap/>
            <w:hideMark/>
          </w:tcPr>
          <w:p w14:paraId="7C3FCA1A" w14:textId="77777777" w:rsidR="009C3E68" w:rsidRPr="00456A48" w:rsidRDefault="009C3E68" w:rsidP="00B2729A">
            <w:r w:rsidRPr="00456A48">
              <w:t>Oral</w:t>
            </w:r>
          </w:p>
        </w:tc>
        <w:tc>
          <w:tcPr>
            <w:tcW w:w="1801" w:type="dxa"/>
            <w:noWrap/>
            <w:hideMark/>
          </w:tcPr>
          <w:p w14:paraId="3639500A" w14:textId="77777777" w:rsidR="009C3E68" w:rsidRPr="00456A48" w:rsidRDefault="009C3E68" w:rsidP="00B2729A">
            <w:r w:rsidRPr="00456A48">
              <w:t>18/09/2020</w:t>
            </w:r>
          </w:p>
        </w:tc>
      </w:tr>
      <w:tr w:rsidR="009C3E68" w:rsidRPr="00456A48" w14:paraId="5AC0D271" w14:textId="77777777" w:rsidTr="00B2729A">
        <w:trPr>
          <w:trHeight w:val="290"/>
          <w:jc w:val="center"/>
        </w:trPr>
        <w:tc>
          <w:tcPr>
            <w:tcW w:w="11017" w:type="dxa"/>
            <w:gridSpan w:val="5"/>
            <w:noWrap/>
            <w:hideMark/>
          </w:tcPr>
          <w:p w14:paraId="245E8FD6" w14:textId="77777777" w:rsidR="009C3E68" w:rsidRPr="00456A48" w:rsidRDefault="009C3E68" w:rsidP="00B2729A">
            <w:pPr>
              <w:rPr>
                <w:b/>
              </w:rPr>
            </w:pPr>
            <w:r w:rsidRPr="00456A48">
              <w:rPr>
                <w:b/>
              </w:rPr>
              <w:t>tsDMARDs</w:t>
            </w:r>
          </w:p>
        </w:tc>
      </w:tr>
      <w:tr w:rsidR="009C3E68" w:rsidRPr="00456A48" w14:paraId="39C93BC6" w14:textId="77777777" w:rsidTr="00B2729A">
        <w:trPr>
          <w:trHeight w:val="290"/>
          <w:jc w:val="center"/>
        </w:trPr>
        <w:tc>
          <w:tcPr>
            <w:tcW w:w="1846" w:type="dxa"/>
            <w:noWrap/>
            <w:hideMark/>
          </w:tcPr>
          <w:p w14:paraId="325620C1" w14:textId="77777777" w:rsidR="009C3E68" w:rsidRPr="00456A48" w:rsidRDefault="009C3E68" w:rsidP="00B2729A">
            <w:r w:rsidRPr="00456A48">
              <w:t>Baricitinib</w:t>
            </w:r>
          </w:p>
        </w:tc>
        <w:tc>
          <w:tcPr>
            <w:tcW w:w="2827" w:type="dxa"/>
            <w:noWrap/>
            <w:hideMark/>
          </w:tcPr>
          <w:p w14:paraId="2D334E93" w14:textId="6C3DB5E2" w:rsidR="009C3E68" w:rsidRPr="00456A48" w:rsidRDefault="005D7675" w:rsidP="00B2729A">
            <w:r w:rsidRPr="005D7675">
              <w:t>JAK1 and JAK2</w:t>
            </w:r>
            <w:r>
              <w:t>; limited inhibition of</w:t>
            </w:r>
            <w:r w:rsidRPr="005D7675">
              <w:t xml:space="preserve"> TYK2)</w:t>
            </w:r>
          </w:p>
        </w:tc>
        <w:tc>
          <w:tcPr>
            <w:tcW w:w="2977" w:type="dxa"/>
            <w:noWrap/>
            <w:hideMark/>
          </w:tcPr>
          <w:p w14:paraId="245A3BAA" w14:textId="77777777" w:rsidR="009C3E68" w:rsidRPr="00456A48" w:rsidRDefault="009C3E68" w:rsidP="00B2729A">
            <w:r w:rsidRPr="00456A48">
              <w:t>RA</w:t>
            </w:r>
          </w:p>
        </w:tc>
        <w:tc>
          <w:tcPr>
            <w:tcW w:w="1566" w:type="dxa"/>
            <w:noWrap/>
            <w:hideMark/>
          </w:tcPr>
          <w:p w14:paraId="34AFAF91" w14:textId="77777777" w:rsidR="009C3E68" w:rsidRPr="00456A48" w:rsidRDefault="009C3E68" w:rsidP="00B2729A">
            <w:r w:rsidRPr="00456A48">
              <w:t>Oral</w:t>
            </w:r>
          </w:p>
        </w:tc>
        <w:tc>
          <w:tcPr>
            <w:tcW w:w="1801" w:type="dxa"/>
            <w:noWrap/>
            <w:hideMark/>
          </w:tcPr>
          <w:p w14:paraId="52EF1A1A" w14:textId="77777777" w:rsidR="009C3E68" w:rsidRPr="00456A48" w:rsidRDefault="009C3E68" w:rsidP="00B2729A">
            <w:r w:rsidRPr="00456A48">
              <w:t>26/11/2019</w:t>
            </w:r>
          </w:p>
        </w:tc>
      </w:tr>
      <w:tr w:rsidR="009C3E68" w:rsidRPr="00456A48" w14:paraId="62168E33" w14:textId="77777777" w:rsidTr="00B2729A">
        <w:trPr>
          <w:trHeight w:val="290"/>
          <w:jc w:val="center"/>
        </w:trPr>
        <w:tc>
          <w:tcPr>
            <w:tcW w:w="1846" w:type="dxa"/>
            <w:noWrap/>
            <w:hideMark/>
          </w:tcPr>
          <w:p w14:paraId="7806FD15" w14:textId="77777777" w:rsidR="009C3E68" w:rsidRPr="00456A48" w:rsidRDefault="009C3E68" w:rsidP="00B2729A">
            <w:r w:rsidRPr="00456A48">
              <w:t>Filgotinib</w:t>
            </w:r>
          </w:p>
        </w:tc>
        <w:tc>
          <w:tcPr>
            <w:tcW w:w="2827" w:type="dxa"/>
            <w:noWrap/>
            <w:hideMark/>
          </w:tcPr>
          <w:p w14:paraId="3F280CE2" w14:textId="16778CB9" w:rsidR="009C3E68" w:rsidRPr="00456A48" w:rsidRDefault="009C3E68" w:rsidP="00B2729A">
            <w:r w:rsidRPr="00456A48">
              <w:t>JAK</w:t>
            </w:r>
            <w:r w:rsidR="005D7675">
              <w:t>1</w:t>
            </w:r>
          </w:p>
        </w:tc>
        <w:tc>
          <w:tcPr>
            <w:tcW w:w="2977" w:type="dxa"/>
            <w:noWrap/>
            <w:hideMark/>
          </w:tcPr>
          <w:p w14:paraId="7E83167C" w14:textId="77777777" w:rsidR="009C3E68" w:rsidRPr="00456A48" w:rsidRDefault="009C3E68" w:rsidP="00B2729A">
            <w:r w:rsidRPr="00456A48">
              <w:t>RA</w:t>
            </w:r>
          </w:p>
        </w:tc>
        <w:tc>
          <w:tcPr>
            <w:tcW w:w="1566" w:type="dxa"/>
            <w:noWrap/>
            <w:hideMark/>
          </w:tcPr>
          <w:p w14:paraId="060291D4" w14:textId="77777777" w:rsidR="009C3E68" w:rsidRPr="00456A48" w:rsidRDefault="009C3E68" w:rsidP="00B2729A">
            <w:r w:rsidRPr="00456A48">
              <w:t>Oral</w:t>
            </w:r>
          </w:p>
        </w:tc>
        <w:tc>
          <w:tcPr>
            <w:tcW w:w="1801" w:type="dxa"/>
            <w:noWrap/>
            <w:hideMark/>
          </w:tcPr>
          <w:p w14:paraId="2BA13261" w14:textId="77777777" w:rsidR="009C3E68" w:rsidRPr="00456A48" w:rsidRDefault="009C3E68" w:rsidP="00B2729A">
            <w:r w:rsidRPr="00456A48">
              <w:t>24/09/2020</w:t>
            </w:r>
          </w:p>
        </w:tc>
      </w:tr>
      <w:tr w:rsidR="009C3E68" w:rsidRPr="00456A48" w14:paraId="04425185" w14:textId="77777777" w:rsidTr="00B2729A">
        <w:trPr>
          <w:trHeight w:val="290"/>
          <w:jc w:val="center"/>
        </w:trPr>
        <w:tc>
          <w:tcPr>
            <w:tcW w:w="1846" w:type="dxa"/>
            <w:noWrap/>
            <w:hideMark/>
          </w:tcPr>
          <w:p w14:paraId="165A2800" w14:textId="77777777" w:rsidR="009C3E68" w:rsidRPr="00456A48" w:rsidRDefault="009C3E68" w:rsidP="00B2729A">
            <w:r w:rsidRPr="00456A48">
              <w:t>Tofacitinib</w:t>
            </w:r>
          </w:p>
        </w:tc>
        <w:tc>
          <w:tcPr>
            <w:tcW w:w="2827" w:type="dxa"/>
            <w:noWrap/>
            <w:hideMark/>
          </w:tcPr>
          <w:p w14:paraId="1BBD49F0" w14:textId="035E6529" w:rsidR="009C3E68" w:rsidRPr="00456A48" w:rsidRDefault="005D7675" w:rsidP="00B2729A">
            <w:r w:rsidRPr="005D7675">
              <w:t>JAK3 and JAK1</w:t>
            </w:r>
            <w:r>
              <w:t xml:space="preserve">; </w:t>
            </w:r>
            <w:r w:rsidRPr="005D7675">
              <w:t>some affinity for JAK2</w:t>
            </w:r>
            <w:r>
              <w:t xml:space="preserve">; </w:t>
            </w:r>
            <w:r w:rsidRPr="005D7675">
              <w:t>limited affinity for TYK2</w:t>
            </w:r>
          </w:p>
        </w:tc>
        <w:tc>
          <w:tcPr>
            <w:tcW w:w="2977" w:type="dxa"/>
            <w:noWrap/>
            <w:hideMark/>
          </w:tcPr>
          <w:p w14:paraId="47CA5008" w14:textId="77777777" w:rsidR="009C3E68" w:rsidRPr="00456A48" w:rsidRDefault="009C3E68" w:rsidP="00B2729A">
            <w:r w:rsidRPr="00456A48">
              <w:t>RA</w:t>
            </w:r>
          </w:p>
        </w:tc>
        <w:tc>
          <w:tcPr>
            <w:tcW w:w="1566" w:type="dxa"/>
            <w:noWrap/>
            <w:hideMark/>
          </w:tcPr>
          <w:p w14:paraId="376D2690" w14:textId="77777777" w:rsidR="009C3E68" w:rsidRPr="00456A48" w:rsidRDefault="009C3E68" w:rsidP="00B2729A">
            <w:r w:rsidRPr="00456A48">
              <w:t>Oral</w:t>
            </w:r>
          </w:p>
        </w:tc>
        <w:tc>
          <w:tcPr>
            <w:tcW w:w="1801" w:type="dxa"/>
            <w:noWrap/>
            <w:hideMark/>
          </w:tcPr>
          <w:p w14:paraId="716D2C1D" w14:textId="77777777" w:rsidR="009C3E68" w:rsidRPr="00456A48" w:rsidRDefault="009C3E68" w:rsidP="00B2729A">
            <w:r w:rsidRPr="00456A48">
              <w:t>06/02/2020</w:t>
            </w:r>
          </w:p>
        </w:tc>
      </w:tr>
      <w:tr w:rsidR="009C3E68" w:rsidRPr="00456A48" w14:paraId="77743877" w14:textId="77777777" w:rsidTr="00B2729A">
        <w:trPr>
          <w:trHeight w:val="290"/>
          <w:jc w:val="center"/>
        </w:trPr>
        <w:tc>
          <w:tcPr>
            <w:tcW w:w="1846" w:type="dxa"/>
            <w:noWrap/>
            <w:hideMark/>
          </w:tcPr>
          <w:p w14:paraId="7F3E0DE4" w14:textId="77777777" w:rsidR="009C3E68" w:rsidRPr="00456A48" w:rsidRDefault="009C3E68" w:rsidP="00B2729A">
            <w:r w:rsidRPr="00456A48">
              <w:t>Upadacitinib</w:t>
            </w:r>
          </w:p>
        </w:tc>
        <w:tc>
          <w:tcPr>
            <w:tcW w:w="2827" w:type="dxa"/>
            <w:noWrap/>
            <w:hideMark/>
          </w:tcPr>
          <w:p w14:paraId="0AA7D4F9" w14:textId="575B821A" w:rsidR="009C3E68" w:rsidRPr="00456A48" w:rsidRDefault="009C3E68" w:rsidP="00B2729A">
            <w:r w:rsidRPr="00456A48">
              <w:t>JAK</w:t>
            </w:r>
            <w:r w:rsidR="005D7675">
              <w:t>1</w:t>
            </w:r>
          </w:p>
        </w:tc>
        <w:tc>
          <w:tcPr>
            <w:tcW w:w="2977" w:type="dxa"/>
            <w:noWrap/>
            <w:hideMark/>
          </w:tcPr>
          <w:p w14:paraId="63A212B8" w14:textId="77777777" w:rsidR="009C3E68" w:rsidRPr="00456A48" w:rsidRDefault="009C3E68" w:rsidP="00B2729A">
            <w:r w:rsidRPr="00456A48">
              <w:t>RA</w:t>
            </w:r>
          </w:p>
        </w:tc>
        <w:tc>
          <w:tcPr>
            <w:tcW w:w="1566" w:type="dxa"/>
            <w:noWrap/>
            <w:hideMark/>
          </w:tcPr>
          <w:p w14:paraId="5BB51ADF" w14:textId="77777777" w:rsidR="009C3E68" w:rsidRPr="00456A48" w:rsidRDefault="009C3E68" w:rsidP="00B2729A">
            <w:r w:rsidRPr="00456A48">
              <w:t>Oral</w:t>
            </w:r>
          </w:p>
        </w:tc>
        <w:tc>
          <w:tcPr>
            <w:tcW w:w="1801" w:type="dxa"/>
            <w:noWrap/>
            <w:hideMark/>
          </w:tcPr>
          <w:p w14:paraId="4DD4CAC8" w14:textId="77777777" w:rsidR="009C3E68" w:rsidRPr="00456A48" w:rsidRDefault="009C3E68" w:rsidP="00B2729A">
            <w:r w:rsidRPr="00456A48">
              <w:t>01/04/2020</w:t>
            </w:r>
          </w:p>
        </w:tc>
      </w:tr>
      <w:tr w:rsidR="009C3E68" w:rsidRPr="00456A48" w14:paraId="3CBAF834" w14:textId="77777777" w:rsidTr="00B2729A">
        <w:trPr>
          <w:trHeight w:val="290"/>
          <w:jc w:val="center"/>
        </w:trPr>
        <w:tc>
          <w:tcPr>
            <w:tcW w:w="1846" w:type="dxa"/>
            <w:noWrap/>
            <w:hideMark/>
          </w:tcPr>
          <w:p w14:paraId="40A716F4" w14:textId="77777777" w:rsidR="009C3E68" w:rsidRPr="00456A48" w:rsidRDefault="009C3E68" w:rsidP="00B2729A"/>
        </w:tc>
        <w:tc>
          <w:tcPr>
            <w:tcW w:w="2827" w:type="dxa"/>
            <w:noWrap/>
            <w:hideMark/>
          </w:tcPr>
          <w:p w14:paraId="652873DE" w14:textId="77777777" w:rsidR="009C3E68" w:rsidRPr="00456A48" w:rsidRDefault="009C3E68" w:rsidP="00B2729A"/>
        </w:tc>
        <w:tc>
          <w:tcPr>
            <w:tcW w:w="2977" w:type="dxa"/>
            <w:noWrap/>
            <w:hideMark/>
          </w:tcPr>
          <w:p w14:paraId="5BF1F4B2" w14:textId="77777777" w:rsidR="009C3E68" w:rsidRPr="00456A48" w:rsidRDefault="009C3E68" w:rsidP="00B2729A"/>
        </w:tc>
        <w:tc>
          <w:tcPr>
            <w:tcW w:w="1566" w:type="dxa"/>
            <w:noWrap/>
            <w:hideMark/>
          </w:tcPr>
          <w:p w14:paraId="6C4543D4" w14:textId="77777777" w:rsidR="009C3E68" w:rsidRPr="00456A48" w:rsidRDefault="009C3E68" w:rsidP="00B2729A"/>
        </w:tc>
        <w:tc>
          <w:tcPr>
            <w:tcW w:w="1801" w:type="dxa"/>
            <w:noWrap/>
            <w:hideMark/>
          </w:tcPr>
          <w:p w14:paraId="3847FCD3" w14:textId="77777777" w:rsidR="009C3E68" w:rsidRPr="00456A48" w:rsidRDefault="009C3E68" w:rsidP="00B2729A"/>
        </w:tc>
      </w:tr>
      <w:tr w:rsidR="009C3E68" w:rsidRPr="00456A48" w14:paraId="75340F6B" w14:textId="77777777" w:rsidTr="00B2729A">
        <w:trPr>
          <w:trHeight w:val="290"/>
          <w:jc w:val="center"/>
        </w:trPr>
        <w:tc>
          <w:tcPr>
            <w:tcW w:w="1846" w:type="dxa"/>
            <w:noWrap/>
            <w:hideMark/>
          </w:tcPr>
          <w:p w14:paraId="6BD0BCA7" w14:textId="77777777" w:rsidR="009C3E68" w:rsidRPr="00456A48" w:rsidRDefault="009C3E68" w:rsidP="00B2729A">
            <w:r w:rsidRPr="00456A48">
              <w:t>Fingolimod</w:t>
            </w:r>
          </w:p>
        </w:tc>
        <w:tc>
          <w:tcPr>
            <w:tcW w:w="2827" w:type="dxa"/>
            <w:noWrap/>
            <w:hideMark/>
          </w:tcPr>
          <w:p w14:paraId="41E243BC" w14:textId="77777777" w:rsidR="009C3E68" w:rsidRPr="00456A48" w:rsidRDefault="009C3E68" w:rsidP="00B2729A">
            <w:r w:rsidRPr="00456A48">
              <w:t>Sphingosine 1-phosphate receptor modulator</w:t>
            </w:r>
          </w:p>
        </w:tc>
        <w:tc>
          <w:tcPr>
            <w:tcW w:w="2977" w:type="dxa"/>
            <w:noWrap/>
            <w:hideMark/>
          </w:tcPr>
          <w:p w14:paraId="204D60E2" w14:textId="77777777" w:rsidR="009C3E68" w:rsidRPr="00456A48" w:rsidRDefault="009C3E68" w:rsidP="00B2729A">
            <w:r w:rsidRPr="00456A48">
              <w:t>MS</w:t>
            </w:r>
          </w:p>
        </w:tc>
        <w:tc>
          <w:tcPr>
            <w:tcW w:w="1566" w:type="dxa"/>
            <w:noWrap/>
            <w:hideMark/>
          </w:tcPr>
          <w:p w14:paraId="538A92EB" w14:textId="77777777" w:rsidR="009C3E68" w:rsidRPr="00456A48" w:rsidRDefault="009C3E68" w:rsidP="00B2729A">
            <w:r w:rsidRPr="00456A48">
              <w:t>Oral</w:t>
            </w:r>
          </w:p>
        </w:tc>
        <w:tc>
          <w:tcPr>
            <w:tcW w:w="1801" w:type="dxa"/>
            <w:noWrap/>
            <w:hideMark/>
          </w:tcPr>
          <w:p w14:paraId="063332E4" w14:textId="77777777" w:rsidR="009C3E68" w:rsidRPr="00456A48" w:rsidRDefault="009C3E68" w:rsidP="00B2729A">
            <w:r w:rsidRPr="00456A48">
              <w:t>16/01/2020</w:t>
            </w:r>
          </w:p>
        </w:tc>
      </w:tr>
      <w:tr w:rsidR="009C3E68" w:rsidRPr="00456A48" w14:paraId="10816C4B" w14:textId="77777777" w:rsidTr="00B2729A">
        <w:trPr>
          <w:trHeight w:val="290"/>
          <w:jc w:val="center"/>
        </w:trPr>
        <w:tc>
          <w:tcPr>
            <w:tcW w:w="1846" w:type="dxa"/>
            <w:noWrap/>
            <w:hideMark/>
          </w:tcPr>
          <w:p w14:paraId="69407DB8" w14:textId="77777777" w:rsidR="009C3E68" w:rsidRPr="00456A48" w:rsidRDefault="009C3E68" w:rsidP="00B2729A">
            <w:r w:rsidRPr="00456A48">
              <w:t>Siponimod</w:t>
            </w:r>
          </w:p>
        </w:tc>
        <w:tc>
          <w:tcPr>
            <w:tcW w:w="2827" w:type="dxa"/>
            <w:noWrap/>
            <w:hideMark/>
          </w:tcPr>
          <w:p w14:paraId="6A23F3CD" w14:textId="77777777" w:rsidR="009C3E68" w:rsidRPr="00456A48" w:rsidRDefault="009C3E68" w:rsidP="00B2729A">
            <w:r w:rsidRPr="00456A48">
              <w:t>Sphingosine 1-phosphate receptor modulator</w:t>
            </w:r>
          </w:p>
        </w:tc>
        <w:tc>
          <w:tcPr>
            <w:tcW w:w="2977" w:type="dxa"/>
            <w:noWrap/>
            <w:hideMark/>
          </w:tcPr>
          <w:p w14:paraId="004CF843" w14:textId="77777777" w:rsidR="009C3E68" w:rsidRPr="00456A48" w:rsidRDefault="009C3E68" w:rsidP="00B2729A">
            <w:r w:rsidRPr="00456A48">
              <w:t>MS</w:t>
            </w:r>
          </w:p>
        </w:tc>
        <w:tc>
          <w:tcPr>
            <w:tcW w:w="1566" w:type="dxa"/>
            <w:noWrap/>
            <w:hideMark/>
          </w:tcPr>
          <w:p w14:paraId="23DCCE53" w14:textId="77777777" w:rsidR="009C3E68" w:rsidRPr="00456A48" w:rsidRDefault="009C3E68" w:rsidP="00B2729A">
            <w:r w:rsidRPr="00456A48">
              <w:t>Oral</w:t>
            </w:r>
          </w:p>
        </w:tc>
        <w:tc>
          <w:tcPr>
            <w:tcW w:w="1801" w:type="dxa"/>
            <w:noWrap/>
            <w:hideMark/>
          </w:tcPr>
          <w:p w14:paraId="68E41188" w14:textId="77777777" w:rsidR="009C3E68" w:rsidRPr="00456A48" w:rsidRDefault="009C3E68" w:rsidP="00B2729A">
            <w:r w:rsidRPr="00456A48">
              <w:t>24/04/2020</w:t>
            </w:r>
          </w:p>
        </w:tc>
      </w:tr>
      <w:tr w:rsidR="009C3E68" w:rsidRPr="00456A48" w14:paraId="1A413F70" w14:textId="77777777" w:rsidTr="00B2729A">
        <w:trPr>
          <w:trHeight w:val="290"/>
          <w:jc w:val="center"/>
        </w:trPr>
        <w:tc>
          <w:tcPr>
            <w:tcW w:w="11017" w:type="dxa"/>
            <w:gridSpan w:val="5"/>
            <w:noWrap/>
            <w:hideMark/>
          </w:tcPr>
          <w:p w14:paraId="50244393" w14:textId="77777777" w:rsidR="009C3E68" w:rsidRPr="00456A48" w:rsidRDefault="009C3E68" w:rsidP="00B2729A">
            <w:pPr>
              <w:rPr>
                <w:b/>
              </w:rPr>
            </w:pPr>
            <w:r w:rsidRPr="00456A48">
              <w:rPr>
                <w:b/>
              </w:rPr>
              <w:t>bDMARDs </w:t>
            </w:r>
          </w:p>
        </w:tc>
      </w:tr>
      <w:tr w:rsidR="009C3E68" w:rsidRPr="00456A48" w14:paraId="2039310F" w14:textId="77777777" w:rsidTr="00B2729A">
        <w:trPr>
          <w:trHeight w:val="290"/>
          <w:jc w:val="center"/>
        </w:trPr>
        <w:tc>
          <w:tcPr>
            <w:tcW w:w="11017" w:type="dxa"/>
            <w:gridSpan w:val="5"/>
            <w:noWrap/>
            <w:hideMark/>
          </w:tcPr>
          <w:p w14:paraId="542B67C7" w14:textId="77777777" w:rsidR="009C3E68" w:rsidRPr="00456A48" w:rsidRDefault="009C3E68" w:rsidP="00B2729A">
            <w:pPr>
              <w:rPr>
                <w:i/>
              </w:rPr>
            </w:pPr>
            <w:r w:rsidRPr="00456A48">
              <w:rPr>
                <w:i/>
              </w:rPr>
              <w:t>Cytokine/Enzyme-targeted </w:t>
            </w:r>
          </w:p>
        </w:tc>
      </w:tr>
      <w:tr w:rsidR="009C3E68" w:rsidRPr="00456A48" w14:paraId="2AE7A003" w14:textId="77777777" w:rsidTr="00B2729A">
        <w:trPr>
          <w:trHeight w:val="290"/>
          <w:jc w:val="center"/>
        </w:trPr>
        <w:tc>
          <w:tcPr>
            <w:tcW w:w="1846" w:type="dxa"/>
            <w:noWrap/>
            <w:hideMark/>
          </w:tcPr>
          <w:p w14:paraId="4D1BD847" w14:textId="77777777" w:rsidR="009C3E68" w:rsidRPr="00456A48" w:rsidRDefault="009C3E68" w:rsidP="00B2729A">
            <w:r w:rsidRPr="00456A48">
              <w:t>Adalimumab</w:t>
            </w:r>
          </w:p>
        </w:tc>
        <w:tc>
          <w:tcPr>
            <w:tcW w:w="2827" w:type="dxa"/>
            <w:noWrap/>
            <w:hideMark/>
          </w:tcPr>
          <w:p w14:paraId="4044EEBD" w14:textId="77777777" w:rsidR="009C3E68" w:rsidRPr="00456A48" w:rsidRDefault="009C3E68" w:rsidP="00B2729A">
            <w:r w:rsidRPr="00456A48">
              <w:t>TNFα inhibitor</w:t>
            </w:r>
          </w:p>
        </w:tc>
        <w:tc>
          <w:tcPr>
            <w:tcW w:w="2977" w:type="dxa"/>
            <w:noWrap/>
            <w:hideMark/>
          </w:tcPr>
          <w:p w14:paraId="2F87A56C" w14:textId="77777777" w:rsidR="009C3E68" w:rsidRPr="00456A48" w:rsidRDefault="009C3E68" w:rsidP="00B2729A">
            <w:r w:rsidRPr="00456A48">
              <w:t xml:space="preserve">Crohn's, UC, RA, </w:t>
            </w:r>
            <w:proofErr w:type="spellStart"/>
            <w:r w:rsidRPr="00456A48">
              <w:t>PsO</w:t>
            </w:r>
            <w:proofErr w:type="spellEnd"/>
            <w:r w:rsidRPr="00456A48">
              <w:t xml:space="preserve">, </w:t>
            </w:r>
            <w:proofErr w:type="spellStart"/>
            <w:r w:rsidRPr="00456A48">
              <w:t>axSpA</w:t>
            </w:r>
            <w:proofErr w:type="spellEnd"/>
            <w:r w:rsidRPr="00456A48">
              <w:t>, nr-</w:t>
            </w:r>
            <w:proofErr w:type="spellStart"/>
            <w:r w:rsidRPr="00456A48">
              <w:t>axSpA</w:t>
            </w:r>
            <w:proofErr w:type="spellEnd"/>
          </w:p>
        </w:tc>
        <w:tc>
          <w:tcPr>
            <w:tcW w:w="1566" w:type="dxa"/>
            <w:noWrap/>
            <w:hideMark/>
          </w:tcPr>
          <w:p w14:paraId="01E1F522" w14:textId="77777777" w:rsidR="009C3E68" w:rsidRPr="00456A48" w:rsidRDefault="009C3E68" w:rsidP="00B2729A">
            <w:r w:rsidRPr="00456A48">
              <w:t>SC</w:t>
            </w:r>
          </w:p>
        </w:tc>
        <w:tc>
          <w:tcPr>
            <w:tcW w:w="1801" w:type="dxa"/>
            <w:noWrap/>
            <w:hideMark/>
          </w:tcPr>
          <w:p w14:paraId="5485C51C" w14:textId="77777777" w:rsidR="009C3E68" w:rsidRPr="00456A48" w:rsidRDefault="009C3E68" w:rsidP="00B2729A">
            <w:r w:rsidRPr="00456A48">
              <w:t>04/09/2020</w:t>
            </w:r>
          </w:p>
        </w:tc>
      </w:tr>
      <w:tr w:rsidR="009C3E68" w:rsidRPr="00456A48" w14:paraId="7EBC59C1" w14:textId="77777777" w:rsidTr="00B2729A">
        <w:trPr>
          <w:trHeight w:val="290"/>
          <w:jc w:val="center"/>
        </w:trPr>
        <w:tc>
          <w:tcPr>
            <w:tcW w:w="1846" w:type="dxa"/>
            <w:noWrap/>
            <w:hideMark/>
          </w:tcPr>
          <w:p w14:paraId="12F25F98" w14:textId="77777777" w:rsidR="009C3E68" w:rsidRPr="00456A48" w:rsidRDefault="009C3E68" w:rsidP="00B2729A">
            <w:r w:rsidRPr="00456A48">
              <w:t>Anakinra</w:t>
            </w:r>
          </w:p>
        </w:tc>
        <w:tc>
          <w:tcPr>
            <w:tcW w:w="2827" w:type="dxa"/>
            <w:noWrap/>
            <w:hideMark/>
          </w:tcPr>
          <w:p w14:paraId="774A0F26" w14:textId="77777777" w:rsidR="009C3E68" w:rsidRPr="00456A48" w:rsidRDefault="009C3E68" w:rsidP="00B2729A">
            <w:r w:rsidRPr="00456A48">
              <w:t>IL-1 receptor antagonist</w:t>
            </w:r>
          </w:p>
        </w:tc>
        <w:tc>
          <w:tcPr>
            <w:tcW w:w="2977" w:type="dxa"/>
            <w:noWrap/>
            <w:hideMark/>
          </w:tcPr>
          <w:p w14:paraId="6F342933" w14:textId="77777777" w:rsidR="009C3E68" w:rsidRPr="00456A48" w:rsidRDefault="009C3E68" w:rsidP="00B2729A">
            <w:r w:rsidRPr="00456A48">
              <w:t>RA, CAPS, Still's</w:t>
            </w:r>
          </w:p>
        </w:tc>
        <w:tc>
          <w:tcPr>
            <w:tcW w:w="1566" w:type="dxa"/>
            <w:noWrap/>
            <w:hideMark/>
          </w:tcPr>
          <w:p w14:paraId="3F1D883B" w14:textId="77777777" w:rsidR="009C3E68" w:rsidRPr="00456A48" w:rsidRDefault="009C3E68" w:rsidP="00B2729A">
            <w:r w:rsidRPr="00456A48">
              <w:t>SC</w:t>
            </w:r>
          </w:p>
        </w:tc>
        <w:tc>
          <w:tcPr>
            <w:tcW w:w="1801" w:type="dxa"/>
            <w:noWrap/>
            <w:hideMark/>
          </w:tcPr>
          <w:p w14:paraId="6B001F44" w14:textId="77777777" w:rsidR="009C3E68" w:rsidRPr="00456A48" w:rsidRDefault="009C3E68" w:rsidP="00B2729A">
            <w:r w:rsidRPr="00456A48">
              <w:t>28/05/2020</w:t>
            </w:r>
          </w:p>
        </w:tc>
      </w:tr>
      <w:tr w:rsidR="009C3E68" w:rsidRPr="00456A48" w14:paraId="0E12412E" w14:textId="77777777" w:rsidTr="00B2729A">
        <w:trPr>
          <w:trHeight w:val="290"/>
          <w:jc w:val="center"/>
        </w:trPr>
        <w:tc>
          <w:tcPr>
            <w:tcW w:w="1846" w:type="dxa"/>
            <w:noWrap/>
            <w:hideMark/>
          </w:tcPr>
          <w:p w14:paraId="1ACC2A3E" w14:textId="77777777" w:rsidR="009C3E68" w:rsidRPr="00456A48" w:rsidRDefault="009C3E68" w:rsidP="00B2729A">
            <w:r w:rsidRPr="00456A48">
              <w:t>Canakinumab</w:t>
            </w:r>
          </w:p>
        </w:tc>
        <w:tc>
          <w:tcPr>
            <w:tcW w:w="2827" w:type="dxa"/>
            <w:noWrap/>
            <w:hideMark/>
          </w:tcPr>
          <w:p w14:paraId="257D3A02" w14:textId="77777777" w:rsidR="009C3E68" w:rsidRPr="00456A48" w:rsidRDefault="009C3E68" w:rsidP="00B2729A">
            <w:r w:rsidRPr="00456A48">
              <w:t>IL-1β inhibitor</w:t>
            </w:r>
          </w:p>
        </w:tc>
        <w:tc>
          <w:tcPr>
            <w:tcW w:w="2977" w:type="dxa"/>
            <w:noWrap/>
            <w:hideMark/>
          </w:tcPr>
          <w:p w14:paraId="50271C04" w14:textId="77777777" w:rsidR="009C3E68" w:rsidRPr="00456A48" w:rsidRDefault="009C3E68" w:rsidP="00B2729A">
            <w:r w:rsidRPr="00456A48">
              <w:t>Gout, autoinflammatory syndromes, Still's</w:t>
            </w:r>
          </w:p>
        </w:tc>
        <w:tc>
          <w:tcPr>
            <w:tcW w:w="1566" w:type="dxa"/>
            <w:noWrap/>
            <w:hideMark/>
          </w:tcPr>
          <w:p w14:paraId="076AB5A0" w14:textId="77777777" w:rsidR="009C3E68" w:rsidRPr="00456A48" w:rsidRDefault="009C3E68" w:rsidP="00B2729A">
            <w:r w:rsidRPr="00456A48">
              <w:t>SC</w:t>
            </w:r>
          </w:p>
        </w:tc>
        <w:tc>
          <w:tcPr>
            <w:tcW w:w="1801" w:type="dxa"/>
            <w:noWrap/>
            <w:hideMark/>
          </w:tcPr>
          <w:p w14:paraId="23C66B62" w14:textId="77777777" w:rsidR="009C3E68" w:rsidRPr="00456A48" w:rsidRDefault="009C3E68" w:rsidP="00B2729A">
            <w:r w:rsidRPr="00456A48">
              <w:t>13/03/2020</w:t>
            </w:r>
          </w:p>
        </w:tc>
      </w:tr>
      <w:tr w:rsidR="009C3E68" w:rsidRPr="00456A48" w14:paraId="64030A8C" w14:textId="77777777" w:rsidTr="00B2729A">
        <w:trPr>
          <w:trHeight w:val="290"/>
          <w:jc w:val="center"/>
        </w:trPr>
        <w:tc>
          <w:tcPr>
            <w:tcW w:w="1846" w:type="dxa"/>
            <w:noWrap/>
            <w:hideMark/>
          </w:tcPr>
          <w:p w14:paraId="6D5B4C7D" w14:textId="77777777" w:rsidR="009C3E68" w:rsidRPr="00456A48" w:rsidRDefault="009C3E68" w:rsidP="00B2729A">
            <w:r w:rsidRPr="00456A48">
              <w:t>Certolizumab pegol</w:t>
            </w:r>
          </w:p>
        </w:tc>
        <w:tc>
          <w:tcPr>
            <w:tcW w:w="2827" w:type="dxa"/>
            <w:noWrap/>
            <w:hideMark/>
          </w:tcPr>
          <w:p w14:paraId="62923BE3" w14:textId="77777777" w:rsidR="009C3E68" w:rsidRPr="00456A48" w:rsidRDefault="009C3E68" w:rsidP="00B2729A">
            <w:r w:rsidRPr="00456A48">
              <w:t>TNFα inhibitor</w:t>
            </w:r>
          </w:p>
        </w:tc>
        <w:tc>
          <w:tcPr>
            <w:tcW w:w="2977" w:type="dxa"/>
            <w:noWrap/>
            <w:hideMark/>
          </w:tcPr>
          <w:p w14:paraId="1F1063A3" w14:textId="77777777" w:rsidR="009C3E68" w:rsidRPr="00456A48" w:rsidRDefault="009C3E68" w:rsidP="00B2729A">
            <w:r w:rsidRPr="00456A48">
              <w:t xml:space="preserve">RA, </w:t>
            </w:r>
            <w:proofErr w:type="spellStart"/>
            <w:r w:rsidRPr="00456A48">
              <w:t>PsO</w:t>
            </w:r>
            <w:proofErr w:type="spellEnd"/>
            <w:r w:rsidRPr="00456A48">
              <w:t xml:space="preserve">, </w:t>
            </w:r>
            <w:proofErr w:type="spellStart"/>
            <w:r w:rsidRPr="00456A48">
              <w:t>axSpA</w:t>
            </w:r>
            <w:proofErr w:type="spellEnd"/>
            <w:r w:rsidRPr="00456A48">
              <w:t>, PsA</w:t>
            </w:r>
          </w:p>
        </w:tc>
        <w:tc>
          <w:tcPr>
            <w:tcW w:w="1566" w:type="dxa"/>
            <w:noWrap/>
            <w:hideMark/>
          </w:tcPr>
          <w:p w14:paraId="52CB1478" w14:textId="77777777" w:rsidR="009C3E68" w:rsidRPr="00456A48" w:rsidRDefault="009C3E68" w:rsidP="00B2729A">
            <w:r w:rsidRPr="00456A48">
              <w:t>SC</w:t>
            </w:r>
          </w:p>
        </w:tc>
        <w:tc>
          <w:tcPr>
            <w:tcW w:w="1801" w:type="dxa"/>
            <w:noWrap/>
            <w:hideMark/>
          </w:tcPr>
          <w:p w14:paraId="53DD1888" w14:textId="77777777" w:rsidR="009C3E68" w:rsidRPr="00456A48" w:rsidRDefault="009C3E68" w:rsidP="00B2729A">
            <w:r w:rsidRPr="00456A48">
              <w:t>12/08/2020</w:t>
            </w:r>
          </w:p>
        </w:tc>
      </w:tr>
      <w:tr w:rsidR="009C3E68" w:rsidRPr="00456A48" w14:paraId="6FB06982" w14:textId="77777777" w:rsidTr="00B2729A">
        <w:trPr>
          <w:trHeight w:val="290"/>
          <w:jc w:val="center"/>
        </w:trPr>
        <w:tc>
          <w:tcPr>
            <w:tcW w:w="1846" w:type="dxa"/>
            <w:noWrap/>
            <w:hideMark/>
          </w:tcPr>
          <w:p w14:paraId="63B88156" w14:textId="77777777" w:rsidR="009C3E68" w:rsidRPr="00456A48" w:rsidRDefault="009C3E68" w:rsidP="00B2729A">
            <w:r w:rsidRPr="00456A48">
              <w:t>Dupilumab</w:t>
            </w:r>
          </w:p>
        </w:tc>
        <w:tc>
          <w:tcPr>
            <w:tcW w:w="2827" w:type="dxa"/>
            <w:noWrap/>
            <w:hideMark/>
          </w:tcPr>
          <w:p w14:paraId="3846B056" w14:textId="77777777" w:rsidR="009C3E68" w:rsidRPr="00456A48" w:rsidRDefault="009C3E68" w:rsidP="00B2729A">
            <w:r w:rsidRPr="00456A48">
              <w:t>IL-4 receptor antagonist</w:t>
            </w:r>
          </w:p>
        </w:tc>
        <w:tc>
          <w:tcPr>
            <w:tcW w:w="2977" w:type="dxa"/>
            <w:noWrap/>
            <w:hideMark/>
          </w:tcPr>
          <w:p w14:paraId="0AE7A2E5" w14:textId="77777777" w:rsidR="009C3E68" w:rsidRPr="00456A48" w:rsidRDefault="009C3E68" w:rsidP="00B2729A">
            <w:r w:rsidRPr="00456A48">
              <w:t>Mod-severe atopic dermatitis, severe asthma</w:t>
            </w:r>
          </w:p>
        </w:tc>
        <w:tc>
          <w:tcPr>
            <w:tcW w:w="1566" w:type="dxa"/>
            <w:noWrap/>
            <w:hideMark/>
          </w:tcPr>
          <w:p w14:paraId="7360E1E3" w14:textId="77777777" w:rsidR="009C3E68" w:rsidRPr="00456A48" w:rsidRDefault="009C3E68" w:rsidP="00B2729A">
            <w:r w:rsidRPr="00456A48">
              <w:t>SC</w:t>
            </w:r>
          </w:p>
        </w:tc>
        <w:tc>
          <w:tcPr>
            <w:tcW w:w="1801" w:type="dxa"/>
            <w:noWrap/>
            <w:hideMark/>
          </w:tcPr>
          <w:p w14:paraId="66C6B23B" w14:textId="77777777" w:rsidR="009C3E68" w:rsidRPr="00456A48" w:rsidRDefault="009C3E68" w:rsidP="00B2729A">
            <w:r w:rsidRPr="00456A48">
              <w:t>26/09/2017</w:t>
            </w:r>
          </w:p>
        </w:tc>
      </w:tr>
      <w:tr w:rsidR="009C3E68" w:rsidRPr="00456A48" w14:paraId="6AF96F6D" w14:textId="77777777" w:rsidTr="00B2729A">
        <w:trPr>
          <w:trHeight w:val="290"/>
          <w:jc w:val="center"/>
        </w:trPr>
        <w:tc>
          <w:tcPr>
            <w:tcW w:w="1846" w:type="dxa"/>
            <w:noWrap/>
            <w:hideMark/>
          </w:tcPr>
          <w:p w14:paraId="5DCC8587" w14:textId="77777777" w:rsidR="009C3E68" w:rsidRPr="00456A48" w:rsidRDefault="009C3E68" w:rsidP="00B2729A">
            <w:r w:rsidRPr="00456A48">
              <w:t>Eculizumab</w:t>
            </w:r>
          </w:p>
        </w:tc>
        <w:tc>
          <w:tcPr>
            <w:tcW w:w="2827" w:type="dxa"/>
            <w:noWrap/>
            <w:hideMark/>
          </w:tcPr>
          <w:p w14:paraId="0A2B7C10" w14:textId="77777777" w:rsidR="009C3E68" w:rsidRPr="00456A48" w:rsidRDefault="009C3E68" w:rsidP="00B2729A">
            <w:r w:rsidRPr="00456A48">
              <w:t>C5 complement inhibitor</w:t>
            </w:r>
          </w:p>
        </w:tc>
        <w:tc>
          <w:tcPr>
            <w:tcW w:w="2977" w:type="dxa"/>
            <w:noWrap/>
            <w:hideMark/>
          </w:tcPr>
          <w:p w14:paraId="41433A7E" w14:textId="77777777" w:rsidR="009C3E68" w:rsidRPr="00456A48" w:rsidRDefault="009C3E68" w:rsidP="00B2729A">
            <w:r w:rsidRPr="00456A48">
              <w:t>PNH</w:t>
            </w:r>
          </w:p>
        </w:tc>
        <w:tc>
          <w:tcPr>
            <w:tcW w:w="1566" w:type="dxa"/>
            <w:noWrap/>
            <w:hideMark/>
          </w:tcPr>
          <w:p w14:paraId="4B27D4F4" w14:textId="77777777" w:rsidR="009C3E68" w:rsidRPr="00456A48" w:rsidRDefault="009C3E68" w:rsidP="00B2729A">
            <w:r w:rsidRPr="00456A48">
              <w:t>IV</w:t>
            </w:r>
          </w:p>
        </w:tc>
        <w:tc>
          <w:tcPr>
            <w:tcW w:w="1801" w:type="dxa"/>
            <w:noWrap/>
            <w:hideMark/>
          </w:tcPr>
          <w:p w14:paraId="52218508" w14:textId="77777777" w:rsidR="009C3E68" w:rsidRPr="00456A48" w:rsidRDefault="009C3E68" w:rsidP="00B2729A">
            <w:r w:rsidRPr="00456A48">
              <w:t>29/06/2020</w:t>
            </w:r>
          </w:p>
        </w:tc>
      </w:tr>
      <w:tr w:rsidR="009C3E68" w:rsidRPr="00456A48" w14:paraId="2A428EC2" w14:textId="77777777" w:rsidTr="00B2729A">
        <w:trPr>
          <w:trHeight w:val="290"/>
          <w:jc w:val="center"/>
        </w:trPr>
        <w:tc>
          <w:tcPr>
            <w:tcW w:w="1846" w:type="dxa"/>
            <w:noWrap/>
            <w:hideMark/>
          </w:tcPr>
          <w:p w14:paraId="7E349B89" w14:textId="77777777" w:rsidR="009C3E68" w:rsidRPr="00456A48" w:rsidRDefault="009C3E68" w:rsidP="00B2729A">
            <w:r w:rsidRPr="00456A48">
              <w:t>Etanercept</w:t>
            </w:r>
          </w:p>
        </w:tc>
        <w:tc>
          <w:tcPr>
            <w:tcW w:w="2827" w:type="dxa"/>
            <w:noWrap/>
            <w:hideMark/>
          </w:tcPr>
          <w:p w14:paraId="433FC92F" w14:textId="77777777" w:rsidR="009C3E68" w:rsidRPr="00456A48" w:rsidRDefault="009C3E68" w:rsidP="00B2729A">
            <w:r w:rsidRPr="00456A48">
              <w:t>TNFα inhibitor</w:t>
            </w:r>
          </w:p>
        </w:tc>
        <w:tc>
          <w:tcPr>
            <w:tcW w:w="2977" w:type="dxa"/>
            <w:noWrap/>
            <w:hideMark/>
          </w:tcPr>
          <w:p w14:paraId="0115F801" w14:textId="77777777" w:rsidR="009C3E68" w:rsidRPr="00456A48" w:rsidRDefault="009C3E68" w:rsidP="00B2729A">
            <w:r w:rsidRPr="00456A48">
              <w:t xml:space="preserve">RA, </w:t>
            </w:r>
            <w:proofErr w:type="spellStart"/>
            <w:r w:rsidRPr="00456A48">
              <w:t>PsO</w:t>
            </w:r>
            <w:proofErr w:type="spellEnd"/>
            <w:r w:rsidRPr="00456A48">
              <w:t>, PsA, AS, nr-</w:t>
            </w:r>
            <w:proofErr w:type="spellStart"/>
            <w:r w:rsidRPr="00456A48">
              <w:t>axSpA</w:t>
            </w:r>
            <w:proofErr w:type="spellEnd"/>
          </w:p>
        </w:tc>
        <w:tc>
          <w:tcPr>
            <w:tcW w:w="1566" w:type="dxa"/>
            <w:noWrap/>
            <w:hideMark/>
          </w:tcPr>
          <w:p w14:paraId="42D7EF5E" w14:textId="77777777" w:rsidR="009C3E68" w:rsidRPr="00456A48" w:rsidRDefault="009C3E68" w:rsidP="00B2729A">
            <w:r w:rsidRPr="00456A48">
              <w:t>SC</w:t>
            </w:r>
          </w:p>
        </w:tc>
        <w:tc>
          <w:tcPr>
            <w:tcW w:w="1801" w:type="dxa"/>
            <w:noWrap/>
            <w:hideMark/>
          </w:tcPr>
          <w:p w14:paraId="7106BB0B" w14:textId="77777777" w:rsidR="009C3E68" w:rsidRPr="00456A48" w:rsidRDefault="009C3E68" w:rsidP="00B2729A">
            <w:r w:rsidRPr="00456A48">
              <w:t>14/09/2020</w:t>
            </w:r>
          </w:p>
        </w:tc>
      </w:tr>
      <w:tr w:rsidR="009C3E68" w:rsidRPr="00456A48" w14:paraId="6AC029BD" w14:textId="77777777" w:rsidTr="00B2729A">
        <w:trPr>
          <w:trHeight w:val="290"/>
          <w:jc w:val="center"/>
        </w:trPr>
        <w:tc>
          <w:tcPr>
            <w:tcW w:w="1846" w:type="dxa"/>
            <w:noWrap/>
            <w:hideMark/>
          </w:tcPr>
          <w:p w14:paraId="566B6265" w14:textId="77777777" w:rsidR="009C3E68" w:rsidRPr="00456A48" w:rsidRDefault="009C3E68" w:rsidP="00B2729A">
            <w:r w:rsidRPr="00456A48">
              <w:t>Golimumab</w:t>
            </w:r>
          </w:p>
        </w:tc>
        <w:tc>
          <w:tcPr>
            <w:tcW w:w="2827" w:type="dxa"/>
            <w:noWrap/>
            <w:hideMark/>
          </w:tcPr>
          <w:p w14:paraId="70AAA630" w14:textId="77777777" w:rsidR="009C3E68" w:rsidRPr="00456A48" w:rsidRDefault="009C3E68" w:rsidP="00B2729A">
            <w:r w:rsidRPr="00456A48">
              <w:t>TNFα inhibitor</w:t>
            </w:r>
          </w:p>
        </w:tc>
        <w:tc>
          <w:tcPr>
            <w:tcW w:w="2977" w:type="dxa"/>
            <w:noWrap/>
            <w:hideMark/>
          </w:tcPr>
          <w:p w14:paraId="5DB6760C" w14:textId="77777777" w:rsidR="009C3E68" w:rsidRPr="00456A48" w:rsidRDefault="009C3E68" w:rsidP="00B2729A">
            <w:r w:rsidRPr="00456A48">
              <w:t xml:space="preserve">UC, RA, </w:t>
            </w:r>
            <w:proofErr w:type="spellStart"/>
            <w:r w:rsidRPr="00456A48">
              <w:t>PsO</w:t>
            </w:r>
            <w:proofErr w:type="spellEnd"/>
            <w:r w:rsidRPr="00456A48">
              <w:t>, AS, nr-</w:t>
            </w:r>
            <w:proofErr w:type="spellStart"/>
            <w:r w:rsidRPr="00456A48">
              <w:t>axSpA</w:t>
            </w:r>
            <w:proofErr w:type="spellEnd"/>
          </w:p>
        </w:tc>
        <w:tc>
          <w:tcPr>
            <w:tcW w:w="1566" w:type="dxa"/>
            <w:noWrap/>
            <w:hideMark/>
          </w:tcPr>
          <w:p w14:paraId="3BDB98E1" w14:textId="77777777" w:rsidR="009C3E68" w:rsidRPr="00456A48" w:rsidRDefault="009C3E68" w:rsidP="00B2729A">
            <w:r w:rsidRPr="00456A48">
              <w:t>SC, IV</w:t>
            </w:r>
          </w:p>
        </w:tc>
        <w:tc>
          <w:tcPr>
            <w:tcW w:w="1801" w:type="dxa"/>
            <w:noWrap/>
            <w:hideMark/>
          </w:tcPr>
          <w:p w14:paraId="7284C681" w14:textId="77777777" w:rsidR="009C3E68" w:rsidRPr="00456A48" w:rsidRDefault="009C3E68" w:rsidP="00B2729A">
            <w:r w:rsidRPr="00456A48">
              <w:t>12/05/2020</w:t>
            </w:r>
          </w:p>
        </w:tc>
      </w:tr>
      <w:tr w:rsidR="009C3E68" w:rsidRPr="00456A48" w14:paraId="79ECF39A" w14:textId="77777777" w:rsidTr="00B2729A">
        <w:trPr>
          <w:trHeight w:val="290"/>
          <w:jc w:val="center"/>
        </w:trPr>
        <w:tc>
          <w:tcPr>
            <w:tcW w:w="1846" w:type="dxa"/>
            <w:noWrap/>
            <w:hideMark/>
          </w:tcPr>
          <w:p w14:paraId="690E20A2" w14:textId="77777777" w:rsidR="009C3E68" w:rsidRPr="00456A48" w:rsidRDefault="009C3E68" w:rsidP="00B2729A">
            <w:proofErr w:type="spellStart"/>
            <w:r w:rsidRPr="00456A48">
              <w:t>Guselkumab</w:t>
            </w:r>
            <w:proofErr w:type="spellEnd"/>
          </w:p>
        </w:tc>
        <w:tc>
          <w:tcPr>
            <w:tcW w:w="2827" w:type="dxa"/>
            <w:noWrap/>
            <w:hideMark/>
          </w:tcPr>
          <w:p w14:paraId="5E06D30C" w14:textId="77777777" w:rsidR="009C3E68" w:rsidRPr="00456A48" w:rsidRDefault="009C3E68" w:rsidP="00B2729A">
            <w:r w:rsidRPr="00456A48">
              <w:t>IL-23 inhibitor</w:t>
            </w:r>
          </w:p>
        </w:tc>
        <w:tc>
          <w:tcPr>
            <w:tcW w:w="2977" w:type="dxa"/>
            <w:noWrap/>
            <w:hideMark/>
          </w:tcPr>
          <w:p w14:paraId="46DB584A" w14:textId="77777777" w:rsidR="009C3E68" w:rsidRPr="00456A48" w:rsidRDefault="009C3E68" w:rsidP="00B2729A">
            <w:proofErr w:type="spellStart"/>
            <w:r w:rsidRPr="00456A48">
              <w:t>PsO</w:t>
            </w:r>
            <w:proofErr w:type="spellEnd"/>
          </w:p>
        </w:tc>
        <w:tc>
          <w:tcPr>
            <w:tcW w:w="1566" w:type="dxa"/>
            <w:noWrap/>
            <w:hideMark/>
          </w:tcPr>
          <w:p w14:paraId="67D6DC0F" w14:textId="77777777" w:rsidR="009C3E68" w:rsidRPr="00456A48" w:rsidRDefault="009C3E68" w:rsidP="00B2729A">
            <w:r w:rsidRPr="00456A48">
              <w:t>SC, IV</w:t>
            </w:r>
          </w:p>
        </w:tc>
        <w:tc>
          <w:tcPr>
            <w:tcW w:w="1801" w:type="dxa"/>
            <w:noWrap/>
            <w:hideMark/>
          </w:tcPr>
          <w:p w14:paraId="38C508BC" w14:textId="77777777" w:rsidR="009C3E68" w:rsidRPr="00456A48" w:rsidRDefault="009C3E68" w:rsidP="00B2729A">
            <w:r w:rsidRPr="00456A48">
              <w:t>29/06/2020</w:t>
            </w:r>
          </w:p>
        </w:tc>
      </w:tr>
      <w:tr w:rsidR="009C3E68" w:rsidRPr="00456A48" w14:paraId="512D5C4F" w14:textId="77777777" w:rsidTr="00B2729A">
        <w:trPr>
          <w:trHeight w:val="290"/>
          <w:jc w:val="center"/>
        </w:trPr>
        <w:tc>
          <w:tcPr>
            <w:tcW w:w="1846" w:type="dxa"/>
            <w:noWrap/>
            <w:hideMark/>
          </w:tcPr>
          <w:p w14:paraId="124A5CF3" w14:textId="77777777" w:rsidR="009C3E68" w:rsidRPr="00456A48" w:rsidRDefault="009C3E68" w:rsidP="00B2729A">
            <w:r w:rsidRPr="00456A48">
              <w:t>Infliximab</w:t>
            </w:r>
          </w:p>
        </w:tc>
        <w:tc>
          <w:tcPr>
            <w:tcW w:w="2827" w:type="dxa"/>
            <w:noWrap/>
            <w:hideMark/>
          </w:tcPr>
          <w:p w14:paraId="49DC8F73" w14:textId="77777777" w:rsidR="009C3E68" w:rsidRPr="00456A48" w:rsidRDefault="009C3E68" w:rsidP="00B2729A">
            <w:r w:rsidRPr="00456A48">
              <w:t>TNFα inhibitor</w:t>
            </w:r>
          </w:p>
        </w:tc>
        <w:tc>
          <w:tcPr>
            <w:tcW w:w="2977" w:type="dxa"/>
            <w:noWrap/>
            <w:hideMark/>
          </w:tcPr>
          <w:p w14:paraId="2D77F8F5" w14:textId="77777777" w:rsidR="009C3E68" w:rsidRPr="00456A48" w:rsidRDefault="009C3E68" w:rsidP="00B2729A">
            <w:r w:rsidRPr="00456A48">
              <w:t xml:space="preserve">Crohn's, UC, RA, AS, PsA, </w:t>
            </w:r>
            <w:proofErr w:type="spellStart"/>
            <w:r w:rsidRPr="00456A48">
              <w:t>PsO</w:t>
            </w:r>
            <w:proofErr w:type="spellEnd"/>
          </w:p>
        </w:tc>
        <w:tc>
          <w:tcPr>
            <w:tcW w:w="1566" w:type="dxa"/>
            <w:noWrap/>
            <w:hideMark/>
          </w:tcPr>
          <w:p w14:paraId="6E96A219" w14:textId="77777777" w:rsidR="009C3E68" w:rsidRPr="00456A48" w:rsidRDefault="009C3E68" w:rsidP="00B2729A">
            <w:r w:rsidRPr="00456A48">
              <w:t>SC, IV</w:t>
            </w:r>
          </w:p>
        </w:tc>
        <w:tc>
          <w:tcPr>
            <w:tcW w:w="1801" w:type="dxa"/>
            <w:noWrap/>
            <w:hideMark/>
          </w:tcPr>
          <w:p w14:paraId="23D583C8" w14:textId="77777777" w:rsidR="009C3E68" w:rsidRPr="00456A48" w:rsidRDefault="009C3E68" w:rsidP="00B2729A">
            <w:r w:rsidRPr="00456A48">
              <w:t>28/10/2019</w:t>
            </w:r>
          </w:p>
        </w:tc>
      </w:tr>
      <w:tr w:rsidR="009C3E68" w:rsidRPr="00456A48" w14:paraId="63B06A9D" w14:textId="77777777" w:rsidTr="00B2729A">
        <w:trPr>
          <w:trHeight w:val="290"/>
          <w:jc w:val="center"/>
        </w:trPr>
        <w:tc>
          <w:tcPr>
            <w:tcW w:w="1846" w:type="dxa"/>
            <w:noWrap/>
            <w:hideMark/>
          </w:tcPr>
          <w:p w14:paraId="543B1592" w14:textId="77777777" w:rsidR="009C3E68" w:rsidRPr="00456A48" w:rsidRDefault="009C3E68" w:rsidP="00B2729A">
            <w:r w:rsidRPr="00456A48">
              <w:t>Ixekizumab</w:t>
            </w:r>
          </w:p>
        </w:tc>
        <w:tc>
          <w:tcPr>
            <w:tcW w:w="2827" w:type="dxa"/>
            <w:noWrap/>
            <w:hideMark/>
          </w:tcPr>
          <w:p w14:paraId="79B757D4" w14:textId="77777777" w:rsidR="009C3E68" w:rsidRPr="00456A48" w:rsidRDefault="009C3E68" w:rsidP="00B2729A">
            <w:r w:rsidRPr="00456A48">
              <w:t>IL-17A inhibitor</w:t>
            </w:r>
          </w:p>
        </w:tc>
        <w:tc>
          <w:tcPr>
            <w:tcW w:w="2977" w:type="dxa"/>
            <w:noWrap/>
            <w:hideMark/>
          </w:tcPr>
          <w:p w14:paraId="09B15F66" w14:textId="77777777" w:rsidR="009C3E68" w:rsidRPr="00456A48" w:rsidRDefault="009C3E68" w:rsidP="00B2729A">
            <w:proofErr w:type="spellStart"/>
            <w:r w:rsidRPr="00456A48">
              <w:t>PsO</w:t>
            </w:r>
            <w:proofErr w:type="spellEnd"/>
            <w:r w:rsidRPr="00456A48">
              <w:t>, PsA</w:t>
            </w:r>
          </w:p>
        </w:tc>
        <w:tc>
          <w:tcPr>
            <w:tcW w:w="1566" w:type="dxa"/>
            <w:noWrap/>
            <w:hideMark/>
          </w:tcPr>
          <w:p w14:paraId="74A5776F" w14:textId="77777777" w:rsidR="009C3E68" w:rsidRPr="00456A48" w:rsidRDefault="009C3E68" w:rsidP="00B2729A">
            <w:r w:rsidRPr="00456A48">
              <w:t>SC</w:t>
            </w:r>
          </w:p>
        </w:tc>
        <w:tc>
          <w:tcPr>
            <w:tcW w:w="1801" w:type="dxa"/>
            <w:noWrap/>
            <w:hideMark/>
          </w:tcPr>
          <w:p w14:paraId="0AE3E40D" w14:textId="77777777" w:rsidR="009C3E68" w:rsidRPr="00456A48" w:rsidRDefault="009C3E68" w:rsidP="00B2729A">
            <w:r w:rsidRPr="00456A48">
              <w:t>16/07/2020</w:t>
            </w:r>
          </w:p>
        </w:tc>
      </w:tr>
      <w:tr w:rsidR="009C3E68" w:rsidRPr="00456A48" w14:paraId="17B2AD6D" w14:textId="77777777" w:rsidTr="00B2729A">
        <w:trPr>
          <w:trHeight w:val="290"/>
          <w:jc w:val="center"/>
        </w:trPr>
        <w:tc>
          <w:tcPr>
            <w:tcW w:w="1846" w:type="dxa"/>
            <w:noWrap/>
            <w:hideMark/>
          </w:tcPr>
          <w:p w14:paraId="01F6E31A" w14:textId="77777777" w:rsidR="009C3E68" w:rsidRPr="00456A48" w:rsidRDefault="009C3E68" w:rsidP="00B2729A">
            <w:r w:rsidRPr="00456A48">
              <w:t>Mitoxantrone</w:t>
            </w:r>
          </w:p>
        </w:tc>
        <w:tc>
          <w:tcPr>
            <w:tcW w:w="2827" w:type="dxa"/>
            <w:noWrap/>
            <w:hideMark/>
          </w:tcPr>
          <w:p w14:paraId="77731CA8" w14:textId="77777777" w:rsidR="009C3E68" w:rsidRPr="00456A48" w:rsidRDefault="009C3E68" w:rsidP="00B2729A">
            <w:r w:rsidRPr="00456A48">
              <w:t>Type II topoisomerase inhibitor</w:t>
            </w:r>
          </w:p>
        </w:tc>
        <w:tc>
          <w:tcPr>
            <w:tcW w:w="2977" w:type="dxa"/>
            <w:noWrap/>
            <w:hideMark/>
          </w:tcPr>
          <w:p w14:paraId="161F4C6D" w14:textId="77777777" w:rsidR="009C3E68" w:rsidRPr="00456A48" w:rsidRDefault="009C3E68" w:rsidP="00B2729A">
            <w:r w:rsidRPr="00456A48">
              <w:t>nil IMID</w:t>
            </w:r>
          </w:p>
        </w:tc>
        <w:tc>
          <w:tcPr>
            <w:tcW w:w="1566" w:type="dxa"/>
            <w:noWrap/>
            <w:hideMark/>
          </w:tcPr>
          <w:p w14:paraId="49C3B1A9" w14:textId="77777777" w:rsidR="009C3E68" w:rsidRPr="00456A48" w:rsidRDefault="009C3E68" w:rsidP="00B2729A">
            <w:r w:rsidRPr="00456A48">
              <w:t>IV</w:t>
            </w:r>
          </w:p>
        </w:tc>
        <w:tc>
          <w:tcPr>
            <w:tcW w:w="1801" w:type="dxa"/>
            <w:noWrap/>
            <w:hideMark/>
          </w:tcPr>
          <w:p w14:paraId="738385D8" w14:textId="77777777" w:rsidR="009C3E68" w:rsidRPr="00456A48" w:rsidRDefault="009C3E68" w:rsidP="00B2729A">
            <w:r w:rsidRPr="00456A48">
              <w:t>07/01/2020</w:t>
            </w:r>
          </w:p>
        </w:tc>
      </w:tr>
      <w:tr w:rsidR="009C3E68" w:rsidRPr="00456A48" w14:paraId="5B55AE50" w14:textId="77777777" w:rsidTr="00B2729A">
        <w:trPr>
          <w:trHeight w:val="290"/>
          <w:jc w:val="center"/>
        </w:trPr>
        <w:tc>
          <w:tcPr>
            <w:tcW w:w="1846" w:type="dxa"/>
            <w:noWrap/>
            <w:hideMark/>
          </w:tcPr>
          <w:p w14:paraId="3CB3EF1D" w14:textId="77777777" w:rsidR="009C3E68" w:rsidRPr="00456A48" w:rsidRDefault="009C3E68" w:rsidP="00B2729A">
            <w:proofErr w:type="spellStart"/>
            <w:r w:rsidRPr="00456A48">
              <w:lastRenderedPageBreak/>
              <w:t>Ravulizumab</w:t>
            </w:r>
            <w:proofErr w:type="spellEnd"/>
          </w:p>
        </w:tc>
        <w:tc>
          <w:tcPr>
            <w:tcW w:w="2827" w:type="dxa"/>
            <w:noWrap/>
            <w:hideMark/>
          </w:tcPr>
          <w:p w14:paraId="5DE8EE12" w14:textId="77777777" w:rsidR="009C3E68" w:rsidRPr="00456A48" w:rsidRDefault="009C3E68" w:rsidP="00B2729A">
            <w:r w:rsidRPr="00456A48">
              <w:t>C5 complement inhibitor</w:t>
            </w:r>
          </w:p>
        </w:tc>
        <w:tc>
          <w:tcPr>
            <w:tcW w:w="2977" w:type="dxa"/>
            <w:noWrap/>
            <w:hideMark/>
          </w:tcPr>
          <w:p w14:paraId="4C020DC4" w14:textId="77777777" w:rsidR="009C3E68" w:rsidRPr="00456A48" w:rsidRDefault="009C3E68" w:rsidP="00B2729A">
            <w:r w:rsidRPr="00456A48">
              <w:t>PNH</w:t>
            </w:r>
          </w:p>
        </w:tc>
        <w:tc>
          <w:tcPr>
            <w:tcW w:w="1566" w:type="dxa"/>
            <w:noWrap/>
            <w:hideMark/>
          </w:tcPr>
          <w:p w14:paraId="05D70142" w14:textId="77777777" w:rsidR="009C3E68" w:rsidRPr="00456A48" w:rsidRDefault="009C3E68" w:rsidP="00B2729A">
            <w:r w:rsidRPr="00456A48">
              <w:t>IV</w:t>
            </w:r>
          </w:p>
        </w:tc>
        <w:tc>
          <w:tcPr>
            <w:tcW w:w="1801" w:type="dxa"/>
            <w:noWrap/>
            <w:hideMark/>
          </w:tcPr>
          <w:p w14:paraId="2457E76B" w14:textId="77777777" w:rsidR="009C3E68" w:rsidRPr="00456A48" w:rsidRDefault="009C3E68" w:rsidP="00B2729A">
            <w:r w:rsidRPr="00456A48">
              <w:t>28/09/2020</w:t>
            </w:r>
          </w:p>
        </w:tc>
      </w:tr>
      <w:tr w:rsidR="009C3E68" w:rsidRPr="00456A48" w14:paraId="07919B82" w14:textId="77777777" w:rsidTr="00B2729A">
        <w:trPr>
          <w:trHeight w:val="290"/>
          <w:jc w:val="center"/>
        </w:trPr>
        <w:tc>
          <w:tcPr>
            <w:tcW w:w="1846" w:type="dxa"/>
            <w:noWrap/>
            <w:hideMark/>
          </w:tcPr>
          <w:p w14:paraId="010D26FB" w14:textId="77777777" w:rsidR="009C3E68" w:rsidRPr="00456A48" w:rsidRDefault="009C3E68" w:rsidP="00B2729A">
            <w:r w:rsidRPr="00456A48">
              <w:t>Sarilumab</w:t>
            </w:r>
          </w:p>
        </w:tc>
        <w:tc>
          <w:tcPr>
            <w:tcW w:w="2827" w:type="dxa"/>
            <w:noWrap/>
            <w:hideMark/>
          </w:tcPr>
          <w:p w14:paraId="709D1E95" w14:textId="77777777" w:rsidR="009C3E68" w:rsidRPr="00456A48" w:rsidRDefault="009C3E68" w:rsidP="00B2729A">
            <w:r w:rsidRPr="00456A48">
              <w:t>IL-6 receptor antagonist</w:t>
            </w:r>
          </w:p>
        </w:tc>
        <w:tc>
          <w:tcPr>
            <w:tcW w:w="2977" w:type="dxa"/>
            <w:noWrap/>
            <w:hideMark/>
          </w:tcPr>
          <w:p w14:paraId="56AB2B32" w14:textId="77777777" w:rsidR="009C3E68" w:rsidRPr="00456A48" w:rsidRDefault="009C3E68" w:rsidP="00B2729A">
            <w:r w:rsidRPr="00456A48">
              <w:t>RA</w:t>
            </w:r>
          </w:p>
        </w:tc>
        <w:tc>
          <w:tcPr>
            <w:tcW w:w="1566" w:type="dxa"/>
            <w:noWrap/>
            <w:hideMark/>
          </w:tcPr>
          <w:p w14:paraId="7FA50649" w14:textId="77777777" w:rsidR="009C3E68" w:rsidRPr="00456A48" w:rsidRDefault="009C3E68" w:rsidP="00B2729A">
            <w:r w:rsidRPr="00456A48">
              <w:t>SC</w:t>
            </w:r>
          </w:p>
        </w:tc>
        <w:tc>
          <w:tcPr>
            <w:tcW w:w="1801" w:type="dxa"/>
            <w:noWrap/>
            <w:hideMark/>
          </w:tcPr>
          <w:p w14:paraId="78EF18A6" w14:textId="77777777" w:rsidR="009C3E68" w:rsidRPr="00456A48" w:rsidRDefault="009C3E68" w:rsidP="00B2729A">
            <w:r w:rsidRPr="00456A48">
              <w:t>23/06/2017</w:t>
            </w:r>
          </w:p>
        </w:tc>
      </w:tr>
      <w:tr w:rsidR="009C3E68" w:rsidRPr="00456A48" w14:paraId="12C13640" w14:textId="77777777" w:rsidTr="00B2729A">
        <w:trPr>
          <w:trHeight w:val="290"/>
          <w:jc w:val="center"/>
        </w:trPr>
        <w:tc>
          <w:tcPr>
            <w:tcW w:w="1846" w:type="dxa"/>
            <w:noWrap/>
            <w:hideMark/>
          </w:tcPr>
          <w:p w14:paraId="78077FCC" w14:textId="77777777" w:rsidR="009C3E68" w:rsidRPr="00456A48" w:rsidRDefault="009C3E68" w:rsidP="00B2729A">
            <w:r w:rsidRPr="00456A48">
              <w:t>Secukinumab</w:t>
            </w:r>
          </w:p>
        </w:tc>
        <w:tc>
          <w:tcPr>
            <w:tcW w:w="2827" w:type="dxa"/>
            <w:noWrap/>
            <w:hideMark/>
          </w:tcPr>
          <w:p w14:paraId="52BEB071" w14:textId="77777777" w:rsidR="009C3E68" w:rsidRPr="00456A48" w:rsidRDefault="009C3E68" w:rsidP="00B2729A">
            <w:r w:rsidRPr="00456A48">
              <w:t>IL-17A inhibitor</w:t>
            </w:r>
          </w:p>
        </w:tc>
        <w:tc>
          <w:tcPr>
            <w:tcW w:w="2977" w:type="dxa"/>
            <w:noWrap/>
            <w:hideMark/>
          </w:tcPr>
          <w:p w14:paraId="7883B84A" w14:textId="77777777" w:rsidR="009C3E68" w:rsidRPr="00456A48" w:rsidRDefault="009C3E68" w:rsidP="00B2729A">
            <w:r w:rsidRPr="00456A48">
              <w:t xml:space="preserve">AS, PsA, </w:t>
            </w:r>
            <w:proofErr w:type="spellStart"/>
            <w:r w:rsidRPr="00456A48">
              <w:t>PsO</w:t>
            </w:r>
            <w:proofErr w:type="spellEnd"/>
          </w:p>
        </w:tc>
        <w:tc>
          <w:tcPr>
            <w:tcW w:w="1566" w:type="dxa"/>
            <w:noWrap/>
            <w:hideMark/>
          </w:tcPr>
          <w:p w14:paraId="7041D588" w14:textId="77777777" w:rsidR="009C3E68" w:rsidRPr="00456A48" w:rsidRDefault="009C3E68" w:rsidP="00B2729A">
            <w:r w:rsidRPr="00456A48">
              <w:t>SC</w:t>
            </w:r>
          </w:p>
        </w:tc>
        <w:tc>
          <w:tcPr>
            <w:tcW w:w="1801" w:type="dxa"/>
            <w:noWrap/>
            <w:hideMark/>
          </w:tcPr>
          <w:p w14:paraId="28A9BCEA" w14:textId="77777777" w:rsidR="009C3E68" w:rsidRPr="00456A48" w:rsidRDefault="009C3E68" w:rsidP="00B2729A">
            <w:r w:rsidRPr="00456A48">
              <w:t>19/08/2020</w:t>
            </w:r>
          </w:p>
        </w:tc>
      </w:tr>
      <w:tr w:rsidR="009C3E68" w:rsidRPr="00456A48" w14:paraId="0F5B9213" w14:textId="77777777" w:rsidTr="00B2729A">
        <w:trPr>
          <w:trHeight w:val="290"/>
          <w:jc w:val="center"/>
        </w:trPr>
        <w:tc>
          <w:tcPr>
            <w:tcW w:w="1846" w:type="dxa"/>
            <w:noWrap/>
            <w:hideMark/>
          </w:tcPr>
          <w:p w14:paraId="194AF58B" w14:textId="77777777" w:rsidR="009C3E68" w:rsidRPr="00456A48" w:rsidRDefault="009C3E68" w:rsidP="00B2729A">
            <w:r w:rsidRPr="00456A48">
              <w:t>Tocilizumab</w:t>
            </w:r>
          </w:p>
        </w:tc>
        <w:tc>
          <w:tcPr>
            <w:tcW w:w="2827" w:type="dxa"/>
            <w:noWrap/>
            <w:hideMark/>
          </w:tcPr>
          <w:p w14:paraId="6BBA8320" w14:textId="77777777" w:rsidR="009C3E68" w:rsidRPr="00456A48" w:rsidRDefault="009C3E68" w:rsidP="00B2729A">
            <w:r w:rsidRPr="00456A48">
              <w:t>IL-6 receptor antagonist</w:t>
            </w:r>
          </w:p>
        </w:tc>
        <w:tc>
          <w:tcPr>
            <w:tcW w:w="2977" w:type="dxa"/>
            <w:noWrap/>
            <w:hideMark/>
          </w:tcPr>
          <w:p w14:paraId="6D455437" w14:textId="77777777" w:rsidR="009C3E68" w:rsidRPr="00456A48" w:rsidRDefault="009C3E68" w:rsidP="00B2729A">
            <w:r w:rsidRPr="00456A48">
              <w:t>RA, GCA</w:t>
            </w:r>
          </w:p>
        </w:tc>
        <w:tc>
          <w:tcPr>
            <w:tcW w:w="1566" w:type="dxa"/>
            <w:noWrap/>
            <w:hideMark/>
          </w:tcPr>
          <w:p w14:paraId="17BCA9E9" w14:textId="77777777" w:rsidR="009C3E68" w:rsidRPr="00456A48" w:rsidRDefault="009C3E68" w:rsidP="00B2729A">
            <w:r w:rsidRPr="00456A48">
              <w:t>IV</w:t>
            </w:r>
          </w:p>
        </w:tc>
        <w:tc>
          <w:tcPr>
            <w:tcW w:w="1801" w:type="dxa"/>
            <w:noWrap/>
            <w:hideMark/>
          </w:tcPr>
          <w:p w14:paraId="3BCF00B9" w14:textId="77777777" w:rsidR="009C3E68" w:rsidRPr="00456A48" w:rsidRDefault="009C3E68" w:rsidP="00B2729A">
            <w:r w:rsidRPr="00456A48">
              <w:t>02/09/2020</w:t>
            </w:r>
          </w:p>
        </w:tc>
      </w:tr>
      <w:tr w:rsidR="009C3E68" w:rsidRPr="00456A48" w14:paraId="486C6269" w14:textId="77777777" w:rsidTr="00B2729A">
        <w:trPr>
          <w:trHeight w:val="290"/>
          <w:jc w:val="center"/>
        </w:trPr>
        <w:tc>
          <w:tcPr>
            <w:tcW w:w="1846" w:type="dxa"/>
            <w:noWrap/>
            <w:hideMark/>
          </w:tcPr>
          <w:p w14:paraId="46FFA6B6" w14:textId="77777777" w:rsidR="009C3E68" w:rsidRPr="00456A48" w:rsidRDefault="009C3E68" w:rsidP="00B2729A">
            <w:r w:rsidRPr="00456A48">
              <w:t>Ustekinumab</w:t>
            </w:r>
          </w:p>
        </w:tc>
        <w:tc>
          <w:tcPr>
            <w:tcW w:w="2827" w:type="dxa"/>
            <w:noWrap/>
            <w:hideMark/>
          </w:tcPr>
          <w:p w14:paraId="58AB7CB7" w14:textId="77777777" w:rsidR="009C3E68" w:rsidRPr="00456A48" w:rsidRDefault="009C3E68" w:rsidP="00B2729A">
            <w:r w:rsidRPr="00456A48">
              <w:t>IL-12/23 inhibitor</w:t>
            </w:r>
          </w:p>
        </w:tc>
        <w:tc>
          <w:tcPr>
            <w:tcW w:w="2977" w:type="dxa"/>
            <w:noWrap/>
            <w:hideMark/>
          </w:tcPr>
          <w:p w14:paraId="45DC6833" w14:textId="77777777" w:rsidR="009C3E68" w:rsidRPr="00456A48" w:rsidRDefault="009C3E68" w:rsidP="00B2729A">
            <w:r w:rsidRPr="00456A48">
              <w:t xml:space="preserve">Crohn's, UC, </w:t>
            </w:r>
            <w:proofErr w:type="spellStart"/>
            <w:r w:rsidRPr="00456A48">
              <w:t>PsO</w:t>
            </w:r>
            <w:proofErr w:type="spellEnd"/>
            <w:r w:rsidRPr="00456A48">
              <w:t>, PsA</w:t>
            </w:r>
          </w:p>
        </w:tc>
        <w:tc>
          <w:tcPr>
            <w:tcW w:w="1566" w:type="dxa"/>
            <w:noWrap/>
            <w:hideMark/>
          </w:tcPr>
          <w:p w14:paraId="33963FB3" w14:textId="77777777" w:rsidR="009C3E68" w:rsidRPr="00456A48" w:rsidRDefault="009C3E68" w:rsidP="00B2729A">
            <w:r w:rsidRPr="00456A48">
              <w:t>SC</w:t>
            </w:r>
          </w:p>
        </w:tc>
        <w:tc>
          <w:tcPr>
            <w:tcW w:w="1801" w:type="dxa"/>
            <w:noWrap/>
            <w:hideMark/>
          </w:tcPr>
          <w:p w14:paraId="26168155" w14:textId="77777777" w:rsidR="009C3E68" w:rsidRPr="00456A48" w:rsidRDefault="009C3E68" w:rsidP="00B2729A">
            <w:r w:rsidRPr="00456A48">
              <w:t>27/02/2020</w:t>
            </w:r>
          </w:p>
        </w:tc>
      </w:tr>
      <w:tr w:rsidR="009C3E68" w:rsidRPr="00456A48" w14:paraId="3128B39A" w14:textId="77777777" w:rsidTr="00B2729A">
        <w:trPr>
          <w:trHeight w:val="290"/>
          <w:jc w:val="center"/>
        </w:trPr>
        <w:tc>
          <w:tcPr>
            <w:tcW w:w="11017" w:type="dxa"/>
            <w:gridSpan w:val="5"/>
            <w:noWrap/>
            <w:hideMark/>
          </w:tcPr>
          <w:p w14:paraId="01082965" w14:textId="77777777" w:rsidR="009C3E68" w:rsidRPr="00456A48" w:rsidRDefault="009C3E68" w:rsidP="00B2729A">
            <w:pPr>
              <w:rPr>
                <w:i/>
              </w:rPr>
            </w:pPr>
            <w:r w:rsidRPr="00456A48">
              <w:rPr>
                <w:i/>
              </w:rPr>
              <w:t>Cell-targeted </w:t>
            </w:r>
          </w:p>
        </w:tc>
      </w:tr>
      <w:tr w:rsidR="009C3E68" w:rsidRPr="00456A48" w14:paraId="1BB11134" w14:textId="77777777" w:rsidTr="00B2729A">
        <w:trPr>
          <w:trHeight w:val="290"/>
          <w:jc w:val="center"/>
        </w:trPr>
        <w:tc>
          <w:tcPr>
            <w:tcW w:w="1846" w:type="dxa"/>
            <w:noWrap/>
            <w:hideMark/>
          </w:tcPr>
          <w:p w14:paraId="017EDF5C" w14:textId="77777777" w:rsidR="009C3E68" w:rsidRPr="00456A48" w:rsidRDefault="009C3E68" w:rsidP="00B2729A">
            <w:r w:rsidRPr="00456A48">
              <w:t>Abatacept</w:t>
            </w:r>
          </w:p>
        </w:tc>
        <w:tc>
          <w:tcPr>
            <w:tcW w:w="2827" w:type="dxa"/>
            <w:noWrap/>
            <w:hideMark/>
          </w:tcPr>
          <w:p w14:paraId="7B4B852D" w14:textId="77777777" w:rsidR="009C3E68" w:rsidRPr="00456A48" w:rsidRDefault="009C3E68" w:rsidP="00B2729A">
            <w:r w:rsidRPr="00456A48">
              <w:t>CTLA-4 inhibitor</w:t>
            </w:r>
          </w:p>
        </w:tc>
        <w:tc>
          <w:tcPr>
            <w:tcW w:w="2977" w:type="dxa"/>
            <w:noWrap/>
            <w:hideMark/>
          </w:tcPr>
          <w:p w14:paraId="1B41131D" w14:textId="77777777" w:rsidR="009C3E68" w:rsidRPr="00456A48" w:rsidRDefault="009C3E68" w:rsidP="00B2729A">
            <w:r w:rsidRPr="00456A48">
              <w:t>RA, PsA</w:t>
            </w:r>
          </w:p>
        </w:tc>
        <w:tc>
          <w:tcPr>
            <w:tcW w:w="1566" w:type="dxa"/>
            <w:noWrap/>
            <w:hideMark/>
          </w:tcPr>
          <w:p w14:paraId="2A86FB41" w14:textId="77777777" w:rsidR="009C3E68" w:rsidRPr="00456A48" w:rsidRDefault="009C3E68" w:rsidP="00B2729A">
            <w:r w:rsidRPr="00456A48">
              <w:t>SC, IV</w:t>
            </w:r>
          </w:p>
        </w:tc>
        <w:tc>
          <w:tcPr>
            <w:tcW w:w="1801" w:type="dxa"/>
            <w:noWrap/>
            <w:hideMark/>
          </w:tcPr>
          <w:p w14:paraId="1761BD8A" w14:textId="77777777" w:rsidR="009C3E68" w:rsidRPr="00456A48" w:rsidRDefault="009C3E68" w:rsidP="00B2729A">
            <w:r w:rsidRPr="00456A48">
              <w:t>10/06/2020</w:t>
            </w:r>
          </w:p>
        </w:tc>
      </w:tr>
      <w:tr w:rsidR="009C3E68" w:rsidRPr="00456A48" w14:paraId="5E362F59" w14:textId="77777777" w:rsidTr="00B2729A">
        <w:trPr>
          <w:trHeight w:val="290"/>
          <w:jc w:val="center"/>
        </w:trPr>
        <w:tc>
          <w:tcPr>
            <w:tcW w:w="1846" w:type="dxa"/>
            <w:noWrap/>
            <w:hideMark/>
          </w:tcPr>
          <w:p w14:paraId="72EDC8F6" w14:textId="77777777" w:rsidR="009C3E68" w:rsidRPr="00456A48" w:rsidRDefault="009C3E68" w:rsidP="00B2729A">
            <w:r w:rsidRPr="00456A48">
              <w:t>Alemtuzumab</w:t>
            </w:r>
          </w:p>
        </w:tc>
        <w:tc>
          <w:tcPr>
            <w:tcW w:w="2827" w:type="dxa"/>
            <w:noWrap/>
            <w:hideMark/>
          </w:tcPr>
          <w:p w14:paraId="274373BD" w14:textId="77777777" w:rsidR="009C3E68" w:rsidRPr="00456A48" w:rsidRDefault="009C3E68" w:rsidP="00B2729A">
            <w:r w:rsidRPr="00456A48">
              <w:t>CD52 antagonist</w:t>
            </w:r>
          </w:p>
        </w:tc>
        <w:tc>
          <w:tcPr>
            <w:tcW w:w="2977" w:type="dxa"/>
            <w:noWrap/>
            <w:hideMark/>
          </w:tcPr>
          <w:p w14:paraId="61BBE290" w14:textId="77777777" w:rsidR="009C3E68" w:rsidRPr="00456A48" w:rsidRDefault="009C3E68" w:rsidP="00B2729A">
            <w:r w:rsidRPr="00456A48">
              <w:t>MS</w:t>
            </w:r>
          </w:p>
        </w:tc>
        <w:tc>
          <w:tcPr>
            <w:tcW w:w="1566" w:type="dxa"/>
            <w:noWrap/>
            <w:hideMark/>
          </w:tcPr>
          <w:p w14:paraId="7FEFA465" w14:textId="77777777" w:rsidR="009C3E68" w:rsidRPr="00456A48" w:rsidRDefault="009C3E68" w:rsidP="00B2729A">
            <w:r w:rsidRPr="00456A48">
              <w:t>IV</w:t>
            </w:r>
          </w:p>
        </w:tc>
        <w:tc>
          <w:tcPr>
            <w:tcW w:w="1801" w:type="dxa"/>
            <w:noWrap/>
            <w:hideMark/>
          </w:tcPr>
          <w:p w14:paraId="2782C116" w14:textId="77777777" w:rsidR="009C3E68" w:rsidRPr="00456A48" w:rsidRDefault="009C3E68" w:rsidP="00B2729A">
            <w:r w:rsidRPr="00456A48">
              <w:t>16/09/2020</w:t>
            </w:r>
          </w:p>
        </w:tc>
      </w:tr>
      <w:tr w:rsidR="009C3E68" w:rsidRPr="00456A48" w14:paraId="690276E3" w14:textId="77777777" w:rsidTr="00B2729A">
        <w:trPr>
          <w:trHeight w:val="290"/>
          <w:jc w:val="center"/>
        </w:trPr>
        <w:tc>
          <w:tcPr>
            <w:tcW w:w="1846" w:type="dxa"/>
            <w:noWrap/>
            <w:hideMark/>
          </w:tcPr>
          <w:p w14:paraId="5FC358AD" w14:textId="77777777" w:rsidR="009C3E68" w:rsidRPr="00456A48" w:rsidRDefault="009C3E68" w:rsidP="00B2729A">
            <w:r w:rsidRPr="00456A48">
              <w:t>Belimumab</w:t>
            </w:r>
          </w:p>
        </w:tc>
        <w:tc>
          <w:tcPr>
            <w:tcW w:w="2827" w:type="dxa"/>
            <w:noWrap/>
            <w:hideMark/>
          </w:tcPr>
          <w:p w14:paraId="642DBB8A" w14:textId="77777777" w:rsidR="009C3E68" w:rsidRPr="00456A48" w:rsidRDefault="009C3E68" w:rsidP="00B2729A">
            <w:r w:rsidRPr="00456A48">
              <w:t>B-cell activating factor</w:t>
            </w:r>
          </w:p>
        </w:tc>
        <w:tc>
          <w:tcPr>
            <w:tcW w:w="2977" w:type="dxa"/>
            <w:noWrap/>
            <w:hideMark/>
          </w:tcPr>
          <w:p w14:paraId="49807D0A" w14:textId="77777777" w:rsidR="009C3E68" w:rsidRPr="00456A48" w:rsidRDefault="009C3E68" w:rsidP="00B2729A">
            <w:r w:rsidRPr="00456A48">
              <w:t>SLE</w:t>
            </w:r>
          </w:p>
        </w:tc>
        <w:tc>
          <w:tcPr>
            <w:tcW w:w="1566" w:type="dxa"/>
            <w:noWrap/>
            <w:hideMark/>
          </w:tcPr>
          <w:p w14:paraId="6149D5A7" w14:textId="77777777" w:rsidR="009C3E68" w:rsidRPr="00456A48" w:rsidRDefault="009C3E68" w:rsidP="00B2729A">
            <w:r w:rsidRPr="00456A48">
              <w:t>IV</w:t>
            </w:r>
          </w:p>
        </w:tc>
        <w:tc>
          <w:tcPr>
            <w:tcW w:w="1801" w:type="dxa"/>
            <w:noWrap/>
            <w:hideMark/>
          </w:tcPr>
          <w:p w14:paraId="68964C85" w14:textId="77777777" w:rsidR="009C3E68" w:rsidRPr="00456A48" w:rsidRDefault="009C3E68" w:rsidP="00B2729A">
            <w:r w:rsidRPr="00456A48">
              <w:t>28/09/2020</w:t>
            </w:r>
          </w:p>
        </w:tc>
      </w:tr>
      <w:tr w:rsidR="009C3E68" w:rsidRPr="00456A48" w14:paraId="797AF6C3" w14:textId="77777777" w:rsidTr="00B2729A">
        <w:trPr>
          <w:trHeight w:val="290"/>
          <w:jc w:val="center"/>
        </w:trPr>
        <w:tc>
          <w:tcPr>
            <w:tcW w:w="1846" w:type="dxa"/>
            <w:noWrap/>
            <w:hideMark/>
          </w:tcPr>
          <w:p w14:paraId="1E97C3E0" w14:textId="77777777" w:rsidR="009C3E68" w:rsidRPr="00456A48" w:rsidRDefault="009C3E68" w:rsidP="00B2729A">
            <w:r w:rsidRPr="00456A48">
              <w:t>Natalizumab</w:t>
            </w:r>
          </w:p>
        </w:tc>
        <w:tc>
          <w:tcPr>
            <w:tcW w:w="2827" w:type="dxa"/>
            <w:noWrap/>
            <w:hideMark/>
          </w:tcPr>
          <w:p w14:paraId="3F4220F2" w14:textId="77777777" w:rsidR="009C3E68" w:rsidRPr="00456A48" w:rsidRDefault="009C3E68" w:rsidP="00B2729A">
            <w:r w:rsidRPr="00456A48">
              <w:t>α4β1 integrin inhibitor</w:t>
            </w:r>
          </w:p>
        </w:tc>
        <w:tc>
          <w:tcPr>
            <w:tcW w:w="2977" w:type="dxa"/>
            <w:noWrap/>
            <w:hideMark/>
          </w:tcPr>
          <w:p w14:paraId="66F6C312" w14:textId="77777777" w:rsidR="009C3E68" w:rsidRPr="00456A48" w:rsidRDefault="009C3E68" w:rsidP="00B2729A">
            <w:r w:rsidRPr="00456A48">
              <w:t>MS</w:t>
            </w:r>
          </w:p>
        </w:tc>
        <w:tc>
          <w:tcPr>
            <w:tcW w:w="1566" w:type="dxa"/>
            <w:noWrap/>
            <w:hideMark/>
          </w:tcPr>
          <w:p w14:paraId="23A67D9B" w14:textId="77777777" w:rsidR="009C3E68" w:rsidRPr="00456A48" w:rsidRDefault="009C3E68" w:rsidP="00B2729A">
            <w:r w:rsidRPr="00456A48">
              <w:t>IV</w:t>
            </w:r>
          </w:p>
        </w:tc>
        <w:tc>
          <w:tcPr>
            <w:tcW w:w="1801" w:type="dxa"/>
            <w:noWrap/>
            <w:hideMark/>
          </w:tcPr>
          <w:p w14:paraId="452D64A5" w14:textId="77777777" w:rsidR="009C3E68" w:rsidRPr="00456A48" w:rsidRDefault="009C3E68" w:rsidP="00B2729A">
            <w:r w:rsidRPr="00456A48">
              <w:t>12/05/2020</w:t>
            </w:r>
          </w:p>
        </w:tc>
      </w:tr>
      <w:tr w:rsidR="009C3E68" w:rsidRPr="00456A48" w14:paraId="5718B280" w14:textId="77777777" w:rsidTr="00B2729A">
        <w:trPr>
          <w:trHeight w:val="290"/>
          <w:jc w:val="center"/>
        </w:trPr>
        <w:tc>
          <w:tcPr>
            <w:tcW w:w="1846" w:type="dxa"/>
            <w:noWrap/>
            <w:hideMark/>
          </w:tcPr>
          <w:p w14:paraId="7D599B76" w14:textId="77777777" w:rsidR="009C3E68" w:rsidRPr="00456A48" w:rsidRDefault="009C3E68" w:rsidP="00B2729A">
            <w:r w:rsidRPr="00456A48">
              <w:t>Ocrelizumab</w:t>
            </w:r>
          </w:p>
        </w:tc>
        <w:tc>
          <w:tcPr>
            <w:tcW w:w="2827" w:type="dxa"/>
            <w:noWrap/>
            <w:hideMark/>
          </w:tcPr>
          <w:p w14:paraId="71ADEB2F" w14:textId="77777777" w:rsidR="009C3E68" w:rsidRPr="00456A48" w:rsidRDefault="009C3E68" w:rsidP="00B2729A">
            <w:r w:rsidRPr="00456A48">
              <w:t>CD20 inhibitor</w:t>
            </w:r>
          </w:p>
        </w:tc>
        <w:tc>
          <w:tcPr>
            <w:tcW w:w="2977" w:type="dxa"/>
            <w:noWrap/>
            <w:hideMark/>
          </w:tcPr>
          <w:p w14:paraId="38246AE0" w14:textId="77777777" w:rsidR="009C3E68" w:rsidRPr="00456A48" w:rsidRDefault="009C3E68" w:rsidP="00B2729A">
            <w:r w:rsidRPr="00456A48">
              <w:t>MS</w:t>
            </w:r>
          </w:p>
        </w:tc>
        <w:tc>
          <w:tcPr>
            <w:tcW w:w="1566" w:type="dxa"/>
            <w:noWrap/>
            <w:hideMark/>
          </w:tcPr>
          <w:p w14:paraId="6824F681" w14:textId="77777777" w:rsidR="009C3E68" w:rsidRPr="00456A48" w:rsidRDefault="009C3E68" w:rsidP="00B2729A">
            <w:r w:rsidRPr="00456A48">
              <w:t>IV</w:t>
            </w:r>
          </w:p>
        </w:tc>
        <w:tc>
          <w:tcPr>
            <w:tcW w:w="1801" w:type="dxa"/>
            <w:noWrap/>
            <w:hideMark/>
          </w:tcPr>
          <w:p w14:paraId="6D11989D" w14:textId="77777777" w:rsidR="009C3E68" w:rsidRPr="00456A48" w:rsidRDefault="009C3E68" w:rsidP="00B2729A">
            <w:r w:rsidRPr="00456A48">
              <w:t>01/06/2020</w:t>
            </w:r>
          </w:p>
        </w:tc>
      </w:tr>
      <w:tr w:rsidR="009C3E68" w:rsidRPr="00456A48" w14:paraId="4BEEEDDA" w14:textId="77777777" w:rsidTr="00B2729A">
        <w:trPr>
          <w:trHeight w:val="290"/>
          <w:jc w:val="center"/>
        </w:trPr>
        <w:tc>
          <w:tcPr>
            <w:tcW w:w="1846" w:type="dxa"/>
            <w:noWrap/>
            <w:hideMark/>
          </w:tcPr>
          <w:p w14:paraId="6984AEE4" w14:textId="77777777" w:rsidR="009C3E68" w:rsidRPr="00456A48" w:rsidRDefault="009C3E68" w:rsidP="00B2729A">
            <w:r w:rsidRPr="00456A48">
              <w:t>Rituximab</w:t>
            </w:r>
          </w:p>
        </w:tc>
        <w:tc>
          <w:tcPr>
            <w:tcW w:w="2827" w:type="dxa"/>
            <w:noWrap/>
            <w:hideMark/>
          </w:tcPr>
          <w:p w14:paraId="22364B3A" w14:textId="77777777" w:rsidR="009C3E68" w:rsidRPr="00456A48" w:rsidRDefault="009C3E68" w:rsidP="00B2729A">
            <w:r w:rsidRPr="00456A48">
              <w:t>CD20 inhibitor</w:t>
            </w:r>
          </w:p>
        </w:tc>
        <w:tc>
          <w:tcPr>
            <w:tcW w:w="2977" w:type="dxa"/>
            <w:noWrap/>
            <w:hideMark/>
          </w:tcPr>
          <w:p w14:paraId="17F0C737" w14:textId="77777777" w:rsidR="009C3E68" w:rsidRPr="00456A48" w:rsidRDefault="009C3E68" w:rsidP="00B2729A">
            <w:r w:rsidRPr="00456A48">
              <w:t>RA, autoimmune vasculitis, pemphigus vulgaris</w:t>
            </w:r>
          </w:p>
        </w:tc>
        <w:tc>
          <w:tcPr>
            <w:tcW w:w="1566" w:type="dxa"/>
            <w:noWrap/>
            <w:hideMark/>
          </w:tcPr>
          <w:p w14:paraId="0B1745FA" w14:textId="77777777" w:rsidR="009C3E68" w:rsidRPr="00456A48" w:rsidRDefault="009C3E68" w:rsidP="00B2729A">
            <w:r w:rsidRPr="00456A48">
              <w:t>IV</w:t>
            </w:r>
          </w:p>
        </w:tc>
        <w:tc>
          <w:tcPr>
            <w:tcW w:w="1801" w:type="dxa"/>
            <w:noWrap/>
            <w:hideMark/>
          </w:tcPr>
          <w:p w14:paraId="16E435C1" w14:textId="77777777" w:rsidR="009C3E68" w:rsidRPr="00456A48" w:rsidRDefault="009C3E68" w:rsidP="00B2729A">
            <w:r w:rsidRPr="00456A48">
              <w:t>08/04/2020</w:t>
            </w:r>
          </w:p>
        </w:tc>
      </w:tr>
      <w:tr w:rsidR="009C3E68" w:rsidRPr="00456A48" w14:paraId="486D8255" w14:textId="77777777" w:rsidTr="00B2729A">
        <w:trPr>
          <w:trHeight w:val="290"/>
          <w:jc w:val="center"/>
        </w:trPr>
        <w:tc>
          <w:tcPr>
            <w:tcW w:w="1846" w:type="dxa"/>
            <w:noWrap/>
            <w:hideMark/>
          </w:tcPr>
          <w:p w14:paraId="28279BA3" w14:textId="77777777" w:rsidR="009C3E68" w:rsidRPr="00456A48" w:rsidRDefault="009C3E68" w:rsidP="00B2729A">
            <w:r w:rsidRPr="00456A48">
              <w:t>Vedolizumab</w:t>
            </w:r>
          </w:p>
        </w:tc>
        <w:tc>
          <w:tcPr>
            <w:tcW w:w="2827" w:type="dxa"/>
            <w:noWrap/>
            <w:hideMark/>
          </w:tcPr>
          <w:p w14:paraId="128A9515" w14:textId="77777777" w:rsidR="009C3E68" w:rsidRPr="00456A48" w:rsidRDefault="009C3E68" w:rsidP="00B2729A">
            <w:r w:rsidRPr="00456A48">
              <w:t>α4β7 integrin inhibitor</w:t>
            </w:r>
          </w:p>
        </w:tc>
        <w:tc>
          <w:tcPr>
            <w:tcW w:w="2977" w:type="dxa"/>
            <w:noWrap/>
            <w:hideMark/>
          </w:tcPr>
          <w:p w14:paraId="69860A70" w14:textId="77777777" w:rsidR="009C3E68" w:rsidRPr="00456A48" w:rsidRDefault="009C3E68" w:rsidP="00B2729A">
            <w:r w:rsidRPr="00456A48">
              <w:t>Crohn's, UC</w:t>
            </w:r>
          </w:p>
        </w:tc>
        <w:tc>
          <w:tcPr>
            <w:tcW w:w="1566" w:type="dxa"/>
            <w:noWrap/>
            <w:hideMark/>
          </w:tcPr>
          <w:p w14:paraId="564B5349" w14:textId="77777777" w:rsidR="009C3E68" w:rsidRPr="00456A48" w:rsidRDefault="009C3E68" w:rsidP="00B2729A">
            <w:r w:rsidRPr="00456A48">
              <w:t>SC, IV</w:t>
            </w:r>
          </w:p>
        </w:tc>
        <w:tc>
          <w:tcPr>
            <w:tcW w:w="1801" w:type="dxa"/>
            <w:noWrap/>
            <w:hideMark/>
          </w:tcPr>
          <w:p w14:paraId="22C7073D" w14:textId="77777777" w:rsidR="009C3E68" w:rsidRPr="00456A48" w:rsidRDefault="009C3E68" w:rsidP="00B2729A">
            <w:r w:rsidRPr="00456A48">
              <w:t>15/05/2020</w:t>
            </w:r>
          </w:p>
        </w:tc>
      </w:tr>
    </w:tbl>
    <w:p w14:paraId="613EC6E4" w14:textId="77777777" w:rsidR="00164B7F" w:rsidRDefault="00164B7F" w:rsidP="00287996">
      <w:pPr>
        <w:jc w:val="both"/>
        <w:rPr>
          <w:b/>
          <w:lang w:val="en-US"/>
        </w:rPr>
      </w:pPr>
    </w:p>
    <w:p w14:paraId="3C01F99E" w14:textId="32E3CE7D" w:rsidR="00F63BF6" w:rsidRDefault="00BB3C79" w:rsidP="009C3E68">
      <w:pPr>
        <w:jc w:val="center"/>
        <w:rPr>
          <w:lang w:val="en-US"/>
        </w:rPr>
      </w:pPr>
      <w:r w:rsidRPr="00682C45">
        <w:rPr>
          <w:b/>
          <w:lang w:val="en-US"/>
        </w:rPr>
        <w:t>Table 1</w:t>
      </w:r>
      <w:r w:rsidR="00073C36">
        <w:rPr>
          <w:lang w:val="en-US"/>
        </w:rPr>
        <w:t>:</w:t>
      </w:r>
      <w:r>
        <w:rPr>
          <w:lang w:val="en-US"/>
        </w:rPr>
        <w:t xml:space="preserve"> Summary of </w:t>
      </w:r>
      <w:r w:rsidR="00F63BF6">
        <w:rPr>
          <w:lang w:val="en-US"/>
        </w:rPr>
        <w:t>immune-modulatory drugs included in this analysis, including date of last update to the summary of product characteristic (SmPC) document at the time of the search and data extraction.</w:t>
      </w:r>
    </w:p>
    <w:p w14:paraId="727F4D9A" w14:textId="020CD005" w:rsidR="009C3E68" w:rsidRDefault="009C3E68">
      <w:pPr>
        <w:rPr>
          <w:lang w:val="en-US"/>
        </w:rPr>
      </w:pPr>
    </w:p>
    <w:p w14:paraId="4094F08F" w14:textId="037E1E0E" w:rsidR="00682C45" w:rsidRDefault="00682C45">
      <w:pPr>
        <w:rPr>
          <w:b/>
          <w:lang w:val="en-US"/>
        </w:rPr>
      </w:pPr>
      <w:r>
        <w:rPr>
          <w:b/>
          <w:lang w:val="en-US"/>
        </w:rPr>
        <w:t>Figure legends</w:t>
      </w:r>
    </w:p>
    <w:p w14:paraId="004CFC65" w14:textId="247B5847" w:rsidR="00682C45" w:rsidRDefault="00682C45" w:rsidP="00682C45">
      <w:r>
        <w:rPr>
          <w:lang w:val="en-US"/>
        </w:rPr>
        <w:t xml:space="preserve">Figure 1: </w:t>
      </w:r>
      <w:r>
        <w:t xml:space="preserve">Summary of common sites of infection for immune-modulatory drugs. Key: Very common </w:t>
      </w:r>
      <w:r>
        <w:rPr>
          <w:rFonts w:hAnsi="Webdings"/>
          <w:color w:val="FF0000"/>
        </w:rPr>
        <w:sym w:font="Webdings" w:char="F06E"/>
      </w:r>
      <w:r>
        <w:rPr>
          <w:color w:val="FF0000"/>
        </w:rPr>
        <w:t xml:space="preserve"> </w:t>
      </w:r>
      <w:r>
        <w:t>;</w:t>
      </w:r>
      <w:r>
        <w:rPr>
          <w:color w:val="FF0000"/>
        </w:rPr>
        <w:t xml:space="preserve"> </w:t>
      </w:r>
      <w:r>
        <w:t xml:space="preserve">Common </w:t>
      </w:r>
      <w:r>
        <w:rPr>
          <w:rFonts w:hAnsi="Webdings"/>
          <w:color w:val="FF962D"/>
        </w:rPr>
        <w:sym w:font="Webdings" w:char="F06E"/>
      </w:r>
      <w:r>
        <w:rPr>
          <w:color w:val="FF962D"/>
        </w:rPr>
        <w:t xml:space="preserve"> </w:t>
      </w:r>
      <w:r>
        <w:t xml:space="preserve">; Uncommon </w:t>
      </w:r>
      <w:r>
        <w:rPr>
          <w:rFonts w:hAnsi="Webdings"/>
          <w:color w:val="FCF600"/>
        </w:rPr>
        <w:sym w:font="Webdings" w:char="F06E"/>
      </w:r>
      <w:r>
        <w:rPr>
          <w:color w:val="FCF600"/>
        </w:rPr>
        <w:t xml:space="preserve"> </w:t>
      </w:r>
      <w:r>
        <w:t xml:space="preserve">; Rare </w:t>
      </w:r>
      <w:r>
        <w:rPr>
          <w:rFonts w:hAnsi="Webdings"/>
          <w:color w:val="00B050"/>
        </w:rPr>
        <w:sym w:font="Webdings" w:char="F06E"/>
      </w:r>
      <w:r>
        <w:rPr>
          <w:color w:val="00B050"/>
        </w:rPr>
        <w:t xml:space="preserve"> </w:t>
      </w:r>
      <w:r>
        <w:t xml:space="preserve">; Blank- no information available. Drugs with no frequencies reported for specific infection sites not included (azathioprine, ciclosporin, interferon beta, leflunomide, methotrexate, sulfasalazine, </w:t>
      </w:r>
      <w:proofErr w:type="spellStart"/>
      <w:r>
        <w:t>siponimod</w:t>
      </w:r>
      <w:proofErr w:type="spellEnd"/>
      <w:r>
        <w:t>, certolizumab pegol, dupilumab).</w:t>
      </w:r>
    </w:p>
    <w:p w14:paraId="6C22DED3" w14:textId="287C3971" w:rsidR="00682C45" w:rsidRDefault="00682C45" w:rsidP="00682C45">
      <w:r>
        <w:t xml:space="preserve">Figure 2: Summary of infection frequency with specific organisms for immune-modulatory drugs. Key: Very common </w:t>
      </w:r>
      <w:r>
        <w:rPr>
          <w:rFonts w:hAnsi="Webdings"/>
          <w:color w:val="FF0000"/>
        </w:rPr>
        <w:sym w:font="Webdings" w:char="F06E"/>
      </w:r>
      <w:r>
        <w:rPr>
          <w:color w:val="FF0000"/>
        </w:rPr>
        <w:t xml:space="preserve"> </w:t>
      </w:r>
      <w:r>
        <w:t>;</w:t>
      </w:r>
      <w:r>
        <w:rPr>
          <w:color w:val="FF0000"/>
        </w:rPr>
        <w:t xml:space="preserve"> </w:t>
      </w:r>
      <w:r>
        <w:t xml:space="preserve">Common </w:t>
      </w:r>
      <w:r>
        <w:rPr>
          <w:rFonts w:hAnsi="Webdings"/>
          <w:color w:val="FF962D"/>
        </w:rPr>
        <w:sym w:font="Webdings" w:char="F06E"/>
      </w:r>
      <w:r>
        <w:rPr>
          <w:color w:val="FF962D"/>
        </w:rPr>
        <w:t xml:space="preserve"> </w:t>
      </w:r>
      <w:r>
        <w:t xml:space="preserve">; Uncommon </w:t>
      </w:r>
      <w:r>
        <w:rPr>
          <w:rFonts w:hAnsi="Webdings"/>
          <w:color w:val="FCF600"/>
        </w:rPr>
        <w:sym w:font="Webdings" w:char="F06E"/>
      </w:r>
      <w:r>
        <w:rPr>
          <w:color w:val="FCF600"/>
        </w:rPr>
        <w:t xml:space="preserve"> </w:t>
      </w:r>
      <w:r>
        <w:t xml:space="preserve">; Rare </w:t>
      </w:r>
      <w:r>
        <w:rPr>
          <w:rFonts w:hAnsi="Webdings"/>
          <w:color w:val="00B050"/>
        </w:rPr>
        <w:sym w:font="Webdings" w:char="F06E"/>
      </w:r>
      <w:r>
        <w:rPr>
          <w:color w:val="00B050"/>
        </w:rPr>
        <w:t xml:space="preserve"> </w:t>
      </w:r>
      <w:r>
        <w:t xml:space="preserve">; Very rare </w:t>
      </w:r>
      <w:r w:rsidRPr="00073C36">
        <w:rPr>
          <w:rFonts w:hAnsi="Webdings"/>
          <w:color w:val="0070C0"/>
        </w:rPr>
        <w:sym w:font="Webdings" w:char="F06E"/>
      </w:r>
      <w:r w:rsidRPr="00073C36">
        <w:rPr>
          <w:rFonts w:hAnsi="Webdings"/>
        </w:rPr>
        <w:t>; Unknown</w:t>
      </w:r>
      <w:r>
        <w:rPr>
          <w:rFonts w:hAnsi="Webdings"/>
          <w:color w:val="0070C0"/>
        </w:rPr>
        <w:t xml:space="preserve"> </w:t>
      </w:r>
      <w:r w:rsidRPr="00073C36">
        <w:rPr>
          <w:rFonts w:hAnsi="Webdings"/>
          <w:color w:val="7030A0"/>
        </w:rPr>
        <w:sym w:font="Webdings" w:char="F06E"/>
      </w:r>
      <w:r w:rsidRPr="00073C36">
        <w:rPr>
          <w:rFonts w:hAnsi="Webdings"/>
        </w:rPr>
        <w:t>;</w:t>
      </w:r>
      <w:r>
        <w:rPr>
          <w:rFonts w:hAnsi="Webdings"/>
          <w:color w:val="0070C0"/>
        </w:rPr>
        <w:t xml:space="preserve"> </w:t>
      </w:r>
      <w:r>
        <w:t>Blank- no information available.</w:t>
      </w:r>
    </w:p>
    <w:p w14:paraId="5A8F564D" w14:textId="77777777" w:rsidR="00682C45" w:rsidRDefault="00682C45" w:rsidP="00682C45">
      <w:r>
        <w:t xml:space="preserve">Supplementary Figure 1: Summary of common infections by pathogen subtype. Key: Very common </w:t>
      </w:r>
      <w:r>
        <w:rPr>
          <w:rFonts w:hAnsi="Webdings"/>
          <w:color w:val="FF0000"/>
        </w:rPr>
        <w:sym w:font="Webdings" w:char="F06E"/>
      </w:r>
      <w:r>
        <w:rPr>
          <w:color w:val="FF0000"/>
        </w:rPr>
        <w:t xml:space="preserve"> </w:t>
      </w:r>
      <w:r>
        <w:t>;</w:t>
      </w:r>
      <w:r>
        <w:rPr>
          <w:color w:val="FF0000"/>
        </w:rPr>
        <w:t xml:space="preserve"> </w:t>
      </w:r>
      <w:r>
        <w:t xml:space="preserve">Common </w:t>
      </w:r>
      <w:r>
        <w:rPr>
          <w:rFonts w:hAnsi="Webdings"/>
          <w:color w:val="FF962D"/>
        </w:rPr>
        <w:sym w:font="Webdings" w:char="F06E"/>
      </w:r>
      <w:r>
        <w:rPr>
          <w:color w:val="FF962D"/>
        </w:rPr>
        <w:t xml:space="preserve"> </w:t>
      </w:r>
      <w:r>
        <w:t xml:space="preserve">; Uncommon </w:t>
      </w:r>
      <w:r>
        <w:rPr>
          <w:rFonts w:hAnsi="Webdings"/>
          <w:color w:val="FCF600"/>
        </w:rPr>
        <w:sym w:font="Webdings" w:char="F06E"/>
      </w:r>
      <w:r>
        <w:rPr>
          <w:color w:val="FCF600"/>
        </w:rPr>
        <w:t xml:space="preserve"> </w:t>
      </w:r>
      <w:r>
        <w:t xml:space="preserve">; Rare </w:t>
      </w:r>
      <w:r>
        <w:rPr>
          <w:rFonts w:hAnsi="Webdings"/>
          <w:color w:val="00B050"/>
        </w:rPr>
        <w:sym w:font="Webdings" w:char="F06E"/>
      </w:r>
      <w:r>
        <w:rPr>
          <w:color w:val="00B050"/>
        </w:rPr>
        <w:t xml:space="preserve"> </w:t>
      </w:r>
      <w:r>
        <w:t>; Blank- no information available.</w:t>
      </w:r>
      <w:r w:rsidRPr="007A010E">
        <w:t xml:space="preserve"> </w:t>
      </w:r>
      <w:r>
        <w:t xml:space="preserve">Drugs with no frequencies reported for specific infection sites not included (ciclosporin, interferon beta, leflunomide, methotrexate, sulfasalazine, </w:t>
      </w:r>
      <w:proofErr w:type="spellStart"/>
      <w:r>
        <w:t>siponimod</w:t>
      </w:r>
      <w:proofErr w:type="spellEnd"/>
      <w:r>
        <w:t xml:space="preserve">, anakinra, dupilumab, mitoxantrone, </w:t>
      </w:r>
      <w:proofErr w:type="spellStart"/>
      <w:r>
        <w:t>ravulizumab</w:t>
      </w:r>
      <w:proofErr w:type="spellEnd"/>
      <w:r>
        <w:t>, sarilumab, natalizumab).</w:t>
      </w:r>
    </w:p>
    <w:p w14:paraId="7FB1BE88" w14:textId="77777777" w:rsidR="009C3E68" w:rsidRDefault="009C3E68">
      <w:pPr>
        <w:sectPr w:rsidR="009C3E68" w:rsidSect="00DB5D66">
          <w:footerReference w:type="default" r:id="rId12"/>
          <w:pgSz w:w="11906" w:h="16838"/>
          <w:pgMar w:top="1417" w:right="1417" w:bottom="1134" w:left="1417" w:header="708" w:footer="708" w:gutter="0"/>
          <w:lnNumType w:countBy="1" w:restart="continuous"/>
          <w:cols w:space="708"/>
          <w:formProt w:val="0"/>
          <w:docGrid w:linePitch="360"/>
        </w:sectPr>
      </w:pPr>
    </w:p>
    <w:p w14:paraId="4EC46860" w14:textId="2F194E7F" w:rsidR="00F1779D" w:rsidRDefault="00682C45" w:rsidP="00011AD8">
      <w:pPr>
        <w:jc w:val="both"/>
        <w:rPr>
          <w:b/>
          <w:shd w:val="clear" w:color="auto" w:fill="FFFFFF"/>
        </w:rPr>
      </w:pPr>
      <w:r>
        <w:rPr>
          <w:b/>
          <w:shd w:val="clear" w:color="auto" w:fill="FFFFFF"/>
        </w:rPr>
        <w:lastRenderedPageBreak/>
        <w:t>Re</w:t>
      </w:r>
      <w:r w:rsidR="004831E8">
        <w:rPr>
          <w:b/>
          <w:shd w:val="clear" w:color="auto" w:fill="FFFFFF"/>
        </w:rPr>
        <w:t>ferences</w:t>
      </w:r>
    </w:p>
    <w:p w14:paraId="7E990F54" w14:textId="1CA3C4D3" w:rsidR="00CE520C" w:rsidRPr="00CE520C" w:rsidRDefault="004831E8" w:rsidP="00CE520C">
      <w:pPr>
        <w:widowControl w:val="0"/>
        <w:autoSpaceDE w:val="0"/>
        <w:autoSpaceDN w:val="0"/>
        <w:adjustRightInd w:val="0"/>
        <w:spacing w:line="240" w:lineRule="auto"/>
        <w:ind w:left="640" w:hanging="640"/>
        <w:rPr>
          <w:rFonts w:ascii="Calibri" w:hAnsi="Calibri" w:cs="Calibri"/>
          <w:noProof/>
          <w:szCs w:val="24"/>
        </w:rPr>
      </w:pPr>
      <w:r>
        <w:rPr>
          <w:shd w:val="clear" w:color="auto" w:fill="FFFFFF"/>
        </w:rPr>
        <w:fldChar w:fldCharType="begin" w:fldLock="1"/>
      </w:r>
      <w:r>
        <w:rPr>
          <w:shd w:val="clear" w:color="auto" w:fill="FFFFFF"/>
        </w:rPr>
        <w:instrText xml:space="preserve">ADDIN Mendeley Bibliography CSL_BIBLIOGRAPHY </w:instrText>
      </w:r>
      <w:r>
        <w:rPr>
          <w:shd w:val="clear" w:color="auto" w:fill="FFFFFF"/>
        </w:rPr>
        <w:fldChar w:fldCharType="separate"/>
      </w:r>
      <w:r w:rsidR="00CE520C" w:rsidRPr="00CE520C">
        <w:rPr>
          <w:rFonts w:ascii="Calibri" w:hAnsi="Calibri" w:cs="Calibri"/>
          <w:noProof/>
          <w:szCs w:val="24"/>
        </w:rPr>
        <w:t xml:space="preserve">1. </w:t>
      </w:r>
      <w:r w:rsidR="00CE520C" w:rsidRPr="00CE520C">
        <w:rPr>
          <w:rFonts w:ascii="Calibri" w:hAnsi="Calibri" w:cs="Calibri"/>
          <w:noProof/>
          <w:szCs w:val="24"/>
        </w:rPr>
        <w:tab/>
        <w:t>Rutherford AI, Subesinghe S, Hyrich KL, Galloway JB. Serious infection across biologic-treated patients with rheumatoid arthritis: results from the British Society for Rheumatology Biologics Register for Rheumatoid Arthritis. Ann Rheum Dis [Internet]. 2018 Mar 28 [cited 2019 Oct 26];77(6):annrheumdis-2017-212825. Available from: http://ard.bmj.com/lookup/doi/10.1136/annrheumdis-2017-212825</w:t>
      </w:r>
    </w:p>
    <w:p w14:paraId="50EE0DEA"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2. </w:t>
      </w:r>
      <w:r w:rsidRPr="00CE520C">
        <w:rPr>
          <w:rFonts w:ascii="Calibri" w:hAnsi="Calibri" w:cs="Calibri"/>
          <w:noProof/>
          <w:szCs w:val="24"/>
        </w:rPr>
        <w:tab/>
        <w:t>Askling J, Fored CM, Brandt L, Baecklund E, Bertilsson L, Feltelius N, et al. Time-dependent increase in risk of hospitalisation with infection among Swedish RA patients treated with TNF antagonists. Ann Rheum Dis [Internet]. 2007 Oct [cited 2020 Sep 2];66(10):1339–44. Available from: https://pubmed.ncbi.nlm.nih.gov/17261532/</w:t>
      </w:r>
    </w:p>
    <w:p w14:paraId="5798A259"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3. </w:t>
      </w:r>
      <w:r w:rsidRPr="00CE520C">
        <w:rPr>
          <w:rFonts w:ascii="Calibri" w:hAnsi="Calibri" w:cs="Calibri"/>
          <w:noProof/>
          <w:szCs w:val="24"/>
        </w:rPr>
        <w:tab/>
        <w:t>Galloway JB, Hyrich KL, Mercer LK, Dixon WG, Fu B, Ustianowski AP, et al. Anti-TNF therapy is associated with an increased risk of serious infections in patients with rheumatoid arthritis especially in the first 6 months of treatment: updated results from the British Society for Rheumatology Biologics Register with special emph. Rheumatology (Oxford) [Internet]. 2011 [cited 2020 Jun 13];50(1):124–131. Available from: https://academic.oup.com/rheumatology/article-abstract/50/1/124/1789740</w:t>
      </w:r>
    </w:p>
    <w:p w14:paraId="15991018"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4. </w:t>
      </w:r>
      <w:r w:rsidRPr="00CE520C">
        <w:rPr>
          <w:rFonts w:ascii="Calibri" w:hAnsi="Calibri" w:cs="Calibri"/>
          <w:noProof/>
          <w:szCs w:val="24"/>
        </w:rPr>
        <w:tab/>
        <w:t>Andersen NN, Pasternak B, Friis-Møller N, Andersson M, Jess T. Association between tumour necrosis factor-α inhibitors and risk of serious infections in people with inflammatory bowel disease: Nationwide Danish cohort study. BMJ [Internet]. 2015 Jun 5 [cited 2020 Sep 2];350. Available from: https://pubmed.ncbi.nlm.nih.gov/26048617/</w:t>
      </w:r>
    </w:p>
    <w:p w14:paraId="2C0B2171"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5. </w:t>
      </w:r>
      <w:r w:rsidRPr="00CE520C">
        <w:rPr>
          <w:rFonts w:ascii="Calibri" w:hAnsi="Calibri" w:cs="Calibri"/>
          <w:noProof/>
          <w:szCs w:val="24"/>
        </w:rPr>
        <w:tab/>
        <w:t>Shah ED, Farida JP, Siegel CA, Chong K, Melmed GY. Risk for Overall Infection with Anti-TNF and Anti-integrin Agents Used in IBD: A Systematic Review and Meta-analysis [Internet]. Vol. 23, Inflammatory Bowel Diseases. Lippincott Williams and Wilkins; 2017 [cited 2020 Aug 25]. p. 570–7. Available from: https://pubmed.ncbi.nlm.nih.gov/28230558/</w:t>
      </w:r>
    </w:p>
    <w:p w14:paraId="420EB2C9"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6. </w:t>
      </w:r>
      <w:r w:rsidRPr="00CE520C">
        <w:rPr>
          <w:rFonts w:ascii="Calibri" w:hAnsi="Calibri" w:cs="Calibri"/>
          <w:noProof/>
          <w:szCs w:val="24"/>
        </w:rPr>
        <w:tab/>
        <w:t>Pawar A, Desai RJ, Solomon DH, Santiago Ortiz AJ, Gale S, Bao M, et al. Risk of serious infections in tocilizumab versus other biologic drugs in patients with rheumatoid arthritis: A multidatabase cohort study. Ann Rheum Dis [Internet]. 2019 Apr 1 [cited 2020 Sep 2];78(4):456–64. Available from: https://pubmed.ncbi.nlm.nih.gov/30679153/</w:t>
      </w:r>
    </w:p>
    <w:p w14:paraId="48ED8E7A"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7. </w:t>
      </w:r>
      <w:r w:rsidRPr="00CE520C">
        <w:rPr>
          <w:rFonts w:ascii="Calibri" w:hAnsi="Calibri" w:cs="Calibri"/>
          <w:noProof/>
          <w:szCs w:val="24"/>
        </w:rPr>
        <w:tab/>
        <w:t>Grøn KL, Glintborg B, Nørgaard M, Mehnert F, Østergaard M, Dreyer L, et al. Overall infection risk in rheumatoid arthritis during treatment with abatacept, rituximab and tocilizumab; an observational cohort study. Rheumatology (Oxford) [Internet]. 2020 Aug 1 [cited 2020 Sep 2];59(8):1949–56. Available from: https://academic.oup.com/rheumatology</w:t>
      </w:r>
    </w:p>
    <w:p w14:paraId="5C7FC6C5"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8. </w:t>
      </w:r>
      <w:r w:rsidRPr="00CE520C">
        <w:rPr>
          <w:rFonts w:ascii="Calibri" w:hAnsi="Calibri" w:cs="Calibri"/>
          <w:noProof/>
          <w:szCs w:val="24"/>
        </w:rPr>
        <w:tab/>
        <w:t xml:space="preserve">A GUIDELINE ON SUMMARY OF PRODUCT CHARACTERISTICS MODULE 1.3 SUMMARY OF PRODUCT CHARACTERISTICS. 2008. </w:t>
      </w:r>
    </w:p>
    <w:p w14:paraId="2CF95559"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9. </w:t>
      </w:r>
      <w:r w:rsidRPr="00CE520C">
        <w:rPr>
          <w:rFonts w:ascii="Calibri" w:hAnsi="Calibri" w:cs="Calibri"/>
          <w:noProof/>
          <w:szCs w:val="24"/>
        </w:rPr>
        <w:tab/>
        <w:t xml:space="preserve">Medicines Agency E. Section 4.8 Undesirable effects. </w:t>
      </w:r>
    </w:p>
    <w:p w14:paraId="744C12BE"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10. </w:t>
      </w:r>
      <w:r w:rsidRPr="00CE520C">
        <w:rPr>
          <w:rFonts w:ascii="Calibri" w:hAnsi="Calibri" w:cs="Calibri"/>
          <w:noProof/>
          <w:szCs w:val="24"/>
        </w:rPr>
        <w:tab/>
        <w:t>Bergk V, Haefeli W, Gasse C, Brenner H, Martin-Facklam M. Information deficits in the summary of product characteristics preclude an optimal management of drug interactions: a comparison with evidence from the literature. Eur J Clin Pharmacol [Internet]. 2005 Jul [cited 2021 Jul 18];61(5–6):327–35. Available from: https://pubmed.ncbi.nlm.nih.gov/15983822/</w:t>
      </w:r>
    </w:p>
    <w:p w14:paraId="2577F3F1"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11. </w:t>
      </w:r>
      <w:r w:rsidRPr="00CE520C">
        <w:rPr>
          <w:rFonts w:ascii="Calibri" w:hAnsi="Calibri" w:cs="Calibri"/>
          <w:noProof/>
          <w:szCs w:val="24"/>
        </w:rPr>
        <w:tab/>
        <w:t>Pfistermeister B, Saß A, Criegee-Rieck M, Bürkle T, Fromm M, Maas R. Inconsistencies and misleading information in officially approved prescribing information from three major drug markets. Clin Pharmacol Ther [Internet]. 2014 Sep 3 [cited 2021 Jul 18];96(5):616–24. Available from: https://pubmed.ncbi.nlm.nih.gov/25062063/</w:t>
      </w:r>
    </w:p>
    <w:p w14:paraId="05D63434"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12. </w:t>
      </w:r>
      <w:r w:rsidRPr="00CE520C">
        <w:rPr>
          <w:rFonts w:ascii="Calibri" w:hAnsi="Calibri" w:cs="Calibri"/>
          <w:noProof/>
          <w:szCs w:val="24"/>
        </w:rPr>
        <w:tab/>
        <w:t xml:space="preserve">N S, CJ B. A systematic review of the safety information contained within the Summaries of </w:t>
      </w:r>
      <w:r w:rsidRPr="00CE520C">
        <w:rPr>
          <w:rFonts w:ascii="Calibri" w:hAnsi="Calibri" w:cs="Calibri"/>
          <w:noProof/>
          <w:szCs w:val="24"/>
        </w:rPr>
        <w:lastRenderedPageBreak/>
        <w:t>Product Characteristics of medications licensed in the United Kingdom for Attention Deficit Hyperactivity Disorder. how does the safety prescribing advice compare with national guidance? Child Adolesc Psychiatry Ment Health [Internet]. 2012 Jan 10 [cited 2021 Jul 18];6(1). Available from: https://pubmed.ncbi.nlm.nih.gov/22234242/</w:t>
      </w:r>
    </w:p>
    <w:p w14:paraId="059D6598"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13. </w:t>
      </w:r>
      <w:r w:rsidRPr="00CE520C">
        <w:rPr>
          <w:rFonts w:ascii="Calibri" w:hAnsi="Calibri" w:cs="Calibri"/>
          <w:noProof/>
          <w:szCs w:val="24"/>
        </w:rPr>
        <w:tab/>
        <w:t>Weber JCP. Epidemiology in the United Kingdom of adverse drug reactions from non-steroidal anti-inflammatory drugs. 1987 [cited 2022 Sep 4];27–35. Available from: https://link.springer.com/chapter/10.1007/978-94-010-9772-7_2</w:t>
      </w:r>
    </w:p>
    <w:p w14:paraId="024F1C43"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14. </w:t>
      </w:r>
      <w:r w:rsidRPr="00CE520C">
        <w:rPr>
          <w:rFonts w:ascii="Calibri" w:hAnsi="Calibri" w:cs="Calibri"/>
          <w:noProof/>
          <w:szCs w:val="24"/>
        </w:rPr>
        <w:tab/>
        <w:t>Salliot C, Dougados M, Gossec L. Risk of serious infections during rituximab, abatacept and anakinra treatments for rheumatoid arthritis: meta-analyses of randomised placebo-controlled trials. Ann Rheum Dis [Internet]. 2009 Jan 1 [cited 2021 Jul 27];68(1):25–32. Available from: https://ard.bmj.com/content/68/1/25</w:t>
      </w:r>
    </w:p>
    <w:p w14:paraId="2FFBF7FA"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15. </w:t>
      </w:r>
      <w:r w:rsidRPr="00CE520C">
        <w:rPr>
          <w:rFonts w:ascii="Calibri" w:hAnsi="Calibri" w:cs="Calibri"/>
          <w:noProof/>
          <w:szCs w:val="24"/>
        </w:rPr>
        <w:tab/>
        <w:t>Chen SK, Liao KP, Liu J, Kim SC. Risk of Hospitalized Infection and Initiation of Abatacept Versus Tumor Necrosis Factor Inhibitors Among Patients With Rheumatoid Arthritis: A Propensity Score-Matched Cohort Study. Arthritis Care Res (Hoboken) [Internet]. 2020 Jan 1 [cited 2022 Sep 4];72(1):9–17. Available from: https://pubmed.ncbi.nlm.nih.gov/30570833/</w:t>
      </w:r>
    </w:p>
    <w:p w14:paraId="70651028"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16. </w:t>
      </w:r>
      <w:r w:rsidRPr="00CE520C">
        <w:rPr>
          <w:rFonts w:ascii="Calibri" w:hAnsi="Calibri" w:cs="Calibri"/>
          <w:noProof/>
          <w:szCs w:val="24"/>
        </w:rPr>
        <w:tab/>
        <w:t>Tony H-P, Burmester G, Schulze-Koops H, Grunke M, Henes J, Kötter I, et al. Safety and clinical outcomes of rituximab therapy in patients with different autoimmune diseases: experience from a national registry (GRAID). Arthritis Res Ther 2011 133 [Internet]. 2011 May 13 [cited 2021 Jul 18];13(3):1–14. Available from: https://arthritis-research.biomedcentral.com/articles/10.1186/ar3337</w:t>
      </w:r>
    </w:p>
    <w:p w14:paraId="7029B34F"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szCs w:val="24"/>
        </w:rPr>
      </w:pPr>
      <w:r w:rsidRPr="00CE520C">
        <w:rPr>
          <w:rFonts w:ascii="Calibri" w:hAnsi="Calibri" w:cs="Calibri"/>
          <w:noProof/>
          <w:szCs w:val="24"/>
        </w:rPr>
        <w:t xml:space="preserve">17. </w:t>
      </w:r>
      <w:r w:rsidRPr="00CE520C">
        <w:rPr>
          <w:rFonts w:ascii="Calibri" w:hAnsi="Calibri" w:cs="Calibri"/>
          <w:noProof/>
          <w:szCs w:val="24"/>
        </w:rPr>
        <w:tab/>
        <w:t>Galloway JB, Register  on behalf of the BS for RB, Hyrich KL, Register  on behalf of the BS for RB, Mercer LK, Register  on behalf of the BS for RB, et al. The risk of serious infections in patients receiving anakinra for rheumatoid arthritis: results from the British Society for Rheumatology Biologics Register. Rheumatology [Internet]. 2011 Jul 1 [cited 2021 Jul 18];50(7):1341–2. Available from: https://academic.oup.com/rheumatology/article/50/7/1341/1790506</w:t>
      </w:r>
    </w:p>
    <w:p w14:paraId="0AD0C361" w14:textId="77777777" w:rsidR="00CE520C" w:rsidRPr="00CE520C" w:rsidRDefault="00CE520C" w:rsidP="00CE520C">
      <w:pPr>
        <w:widowControl w:val="0"/>
        <w:autoSpaceDE w:val="0"/>
        <w:autoSpaceDN w:val="0"/>
        <w:adjustRightInd w:val="0"/>
        <w:spacing w:line="240" w:lineRule="auto"/>
        <w:ind w:left="640" w:hanging="640"/>
        <w:rPr>
          <w:rFonts w:ascii="Calibri" w:hAnsi="Calibri" w:cs="Calibri"/>
          <w:noProof/>
        </w:rPr>
      </w:pPr>
      <w:r w:rsidRPr="00CE520C">
        <w:rPr>
          <w:rFonts w:ascii="Calibri" w:hAnsi="Calibri" w:cs="Calibri"/>
          <w:noProof/>
          <w:szCs w:val="24"/>
        </w:rPr>
        <w:t xml:space="preserve">18. </w:t>
      </w:r>
      <w:r w:rsidRPr="00CE520C">
        <w:rPr>
          <w:rFonts w:ascii="Calibri" w:hAnsi="Calibri" w:cs="Calibri"/>
          <w:noProof/>
          <w:szCs w:val="24"/>
        </w:rPr>
        <w:tab/>
        <w:t xml:space="preserve">Galloway JB, Mercer LK, Moseley A, Dixon WG, Ustianowski AP, Helbert M, et al. Risk of skin and soft tissue infections (including shingles) in patients exposed to anti-tumour necrosis factor therapy: Results from the British Society for Rheumatology Biologics Register. Ann Rheum Dis. 2013 Feb;72(2):229–34. </w:t>
      </w:r>
    </w:p>
    <w:p w14:paraId="1361A432" w14:textId="02E0EF0C" w:rsidR="00CB398F" w:rsidRPr="00006A0A" w:rsidRDefault="004831E8" w:rsidP="00006A0A">
      <w:pPr>
        <w:jc w:val="both"/>
        <w:rPr>
          <w:shd w:val="clear" w:color="auto" w:fill="FFFFFF"/>
        </w:rPr>
      </w:pPr>
      <w:r>
        <w:rPr>
          <w:shd w:val="clear" w:color="auto" w:fill="FFFFFF"/>
        </w:rPr>
        <w:fldChar w:fldCharType="end"/>
      </w:r>
    </w:p>
    <w:sectPr w:rsidR="00CB398F" w:rsidRPr="00006A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C863" w14:textId="77777777" w:rsidR="0042752D" w:rsidRDefault="0042752D" w:rsidP="009C3E68">
      <w:pPr>
        <w:spacing w:after="0" w:line="240" w:lineRule="auto"/>
      </w:pPr>
      <w:r>
        <w:separator/>
      </w:r>
    </w:p>
  </w:endnote>
  <w:endnote w:type="continuationSeparator" w:id="0">
    <w:p w14:paraId="555DFB9E" w14:textId="77777777" w:rsidR="0042752D" w:rsidRDefault="0042752D" w:rsidP="009C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799236"/>
      <w:docPartObj>
        <w:docPartGallery w:val="Page Numbers (Bottom of Page)"/>
        <w:docPartUnique/>
      </w:docPartObj>
    </w:sdtPr>
    <w:sdtEndPr>
      <w:rPr>
        <w:noProof/>
      </w:rPr>
    </w:sdtEndPr>
    <w:sdtContent>
      <w:p w14:paraId="29B46750" w14:textId="39199DED" w:rsidR="00CE520C" w:rsidRDefault="00CE520C" w:rsidP="009C3E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4489" w14:textId="77777777" w:rsidR="0042752D" w:rsidRDefault="0042752D" w:rsidP="009C3E68">
      <w:pPr>
        <w:spacing w:after="0" w:line="240" w:lineRule="auto"/>
      </w:pPr>
      <w:r>
        <w:separator/>
      </w:r>
    </w:p>
  </w:footnote>
  <w:footnote w:type="continuationSeparator" w:id="0">
    <w:p w14:paraId="0C21FBB2" w14:textId="77777777" w:rsidR="0042752D" w:rsidRDefault="0042752D" w:rsidP="009C3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C55C0"/>
    <w:multiLevelType w:val="hybridMultilevel"/>
    <w:tmpl w:val="F800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05135"/>
    <w:multiLevelType w:val="hybridMultilevel"/>
    <w:tmpl w:val="2590594C"/>
    <w:lvl w:ilvl="0" w:tplc="A492DF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C52D3"/>
    <w:multiLevelType w:val="hybridMultilevel"/>
    <w:tmpl w:val="5DF8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262767">
    <w:abstractNumId w:val="1"/>
  </w:num>
  <w:num w:numId="2" w16cid:durableId="468321408">
    <w:abstractNumId w:val="2"/>
  </w:num>
  <w:num w:numId="3" w16cid:durableId="105231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C9"/>
    <w:rsid w:val="00002FBB"/>
    <w:rsid w:val="00006A0A"/>
    <w:rsid w:val="00011AD8"/>
    <w:rsid w:val="00030C6A"/>
    <w:rsid w:val="000515C5"/>
    <w:rsid w:val="000544C4"/>
    <w:rsid w:val="0007195A"/>
    <w:rsid w:val="000728C8"/>
    <w:rsid w:val="00073C36"/>
    <w:rsid w:val="00077F06"/>
    <w:rsid w:val="000B2B52"/>
    <w:rsid w:val="000D3519"/>
    <w:rsid w:val="001005F8"/>
    <w:rsid w:val="00100F51"/>
    <w:rsid w:val="00133702"/>
    <w:rsid w:val="00141B60"/>
    <w:rsid w:val="00141F3D"/>
    <w:rsid w:val="00145AC9"/>
    <w:rsid w:val="00152928"/>
    <w:rsid w:val="00164B7F"/>
    <w:rsid w:val="00165361"/>
    <w:rsid w:val="00172BB5"/>
    <w:rsid w:val="00175494"/>
    <w:rsid w:val="001A13A8"/>
    <w:rsid w:val="001B423F"/>
    <w:rsid w:val="001D1FAE"/>
    <w:rsid w:val="001D6C44"/>
    <w:rsid w:val="001E42D1"/>
    <w:rsid w:val="001F16A5"/>
    <w:rsid w:val="001F4D23"/>
    <w:rsid w:val="001F7222"/>
    <w:rsid w:val="00207F3A"/>
    <w:rsid w:val="002255EB"/>
    <w:rsid w:val="00232D08"/>
    <w:rsid w:val="0023764B"/>
    <w:rsid w:val="002430F4"/>
    <w:rsid w:val="00256D73"/>
    <w:rsid w:val="00270A0B"/>
    <w:rsid w:val="00273A42"/>
    <w:rsid w:val="0028751A"/>
    <w:rsid w:val="00287996"/>
    <w:rsid w:val="002A59A9"/>
    <w:rsid w:val="002C0EC6"/>
    <w:rsid w:val="002C35FC"/>
    <w:rsid w:val="002C4440"/>
    <w:rsid w:val="003035D5"/>
    <w:rsid w:val="003549A2"/>
    <w:rsid w:val="00361F23"/>
    <w:rsid w:val="0037728A"/>
    <w:rsid w:val="00383BFA"/>
    <w:rsid w:val="003A6A03"/>
    <w:rsid w:val="003C1D77"/>
    <w:rsid w:val="003D0D4E"/>
    <w:rsid w:val="003D3D41"/>
    <w:rsid w:val="003E3F7E"/>
    <w:rsid w:val="003F75D3"/>
    <w:rsid w:val="004200F3"/>
    <w:rsid w:val="0042752D"/>
    <w:rsid w:val="0045150D"/>
    <w:rsid w:val="00452F62"/>
    <w:rsid w:val="004737B8"/>
    <w:rsid w:val="0047770F"/>
    <w:rsid w:val="00480D30"/>
    <w:rsid w:val="004831E8"/>
    <w:rsid w:val="004926E2"/>
    <w:rsid w:val="00493757"/>
    <w:rsid w:val="004C0F9F"/>
    <w:rsid w:val="004D1625"/>
    <w:rsid w:val="004E02A3"/>
    <w:rsid w:val="005167D1"/>
    <w:rsid w:val="00517735"/>
    <w:rsid w:val="00535ADA"/>
    <w:rsid w:val="0055081F"/>
    <w:rsid w:val="00553116"/>
    <w:rsid w:val="00593174"/>
    <w:rsid w:val="005A2753"/>
    <w:rsid w:val="005A44AA"/>
    <w:rsid w:val="005D7675"/>
    <w:rsid w:val="005F4589"/>
    <w:rsid w:val="005F7EF0"/>
    <w:rsid w:val="00614C6F"/>
    <w:rsid w:val="00616B4C"/>
    <w:rsid w:val="0063410D"/>
    <w:rsid w:val="0066298D"/>
    <w:rsid w:val="00674CE0"/>
    <w:rsid w:val="00676F6B"/>
    <w:rsid w:val="00682C45"/>
    <w:rsid w:val="006D06DA"/>
    <w:rsid w:val="006D6C1F"/>
    <w:rsid w:val="006E3BFD"/>
    <w:rsid w:val="006E5C17"/>
    <w:rsid w:val="006E74CA"/>
    <w:rsid w:val="006F639E"/>
    <w:rsid w:val="006F7FCA"/>
    <w:rsid w:val="007077C8"/>
    <w:rsid w:val="007153C4"/>
    <w:rsid w:val="00725476"/>
    <w:rsid w:val="00732D97"/>
    <w:rsid w:val="00734366"/>
    <w:rsid w:val="00747829"/>
    <w:rsid w:val="00753A2B"/>
    <w:rsid w:val="007920E3"/>
    <w:rsid w:val="007A010E"/>
    <w:rsid w:val="007A022E"/>
    <w:rsid w:val="007A314E"/>
    <w:rsid w:val="007B07B3"/>
    <w:rsid w:val="007C576D"/>
    <w:rsid w:val="007D0951"/>
    <w:rsid w:val="007D0D4F"/>
    <w:rsid w:val="007E0BA1"/>
    <w:rsid w:val="007F38E3"/>
    <w:rsid w:val="00817269"/>
    <w:rsid w:val="0086421A"/>
    <w:rsid w:val="00886AA0"/>
    <w:rsid w:val="008B26E0"/>
    <w:rsid w:val="008C3A9D"/>
    <w:rsid w:val="008F4D5D"/>
    <w:rsid w:val="008F7409"/>
    <w:rsid w:val="00915A2B"/>
    <w:rsid w:val="009348CE"/>
    <w:rsid w:val="009669D5"/>
    <w:rsid w:val="00967360"/>
    <w:rsid w:val="009801D3"/>
    <w:rsid w:val="009A5735"/>
    <w:rsid w:val="009B5F11"/>
    <w:rsid w:val="009C3E68"/>
    <w:rsid w:val="009D55A0"/>
    <w:rsid w:val="009D63B3"/>
    <w:rsid w:val="00A07067"/>
    <w:rsid w:val="00A12427"/>
    <w:rsid w:val="00A23E5D"/>
    <w:rsid w:val="00A35668"/>
    <w:rsid w:val="00A52BE5"/>
    <w:rsid w:val="00A629B7"/>
    <w:rsid w:val="00A74597"/>
    <w:rsid w:val="00A872CE"/>
    <w:rsid w:val="00AA3056"/>
    <w:rsid w:val="00AA64A2"/>
    <w:rsid w:val="00AC2565"/>
    <w:rsid w:val="00AD40DE"/>
    <w:rsid w:val="00AD6710"/>
    <w:rsid w:val="00AE577E"/>
    <w:rsid w:val="00B10A09"/>
    <w:rsid w:val="00B15E9B"/>
    <w:rsid w:val="00B2729A"/>
    <w:rsid w:val="00B43B26"/>
    <w:rsid w:val="00B63FC3"/>
    <w:rsid w:val="00B75D42"/>
    <w:rsid w:val="00B76028"/>
    <w:rsid w:val="00B85AB7"/>
    <w:rsid w:val="00B86CA3"/>
    <w:rsid w:val="00BA7946"/>
    <w:rsid w:val="00BB3C79"/>
    <w:rsid w:val="00BC3503"/>
    <w:rsid w:val="00BF1512"/>
    <w:rsid w:val="00BF347E"/>
    <w:rsid w:val="00C043D9"/>
    <w:rsid w:val="00C06480"/>
    <w:rsid w:val="00C17E99"/>
    <w:rsid w:val="00C42464"/>
    <w:rsid w:val="00C55576"/>
    <w:rsid w:val="00C93547"/>
    <w:rsid w:val="00CB33A3"/>
    <w:rsid w:val="00CB398F"/>
    <w:rsid w:val="00CD3601"/>
    <w:rsid w:val="00CE02E4"/>
    <w:rsid w:val="00CE285B"/>
    <w:rsid w:val="00CE520C"/>
    <w:rsid w:val="00CF5530"/>
    <w:rsid w:val="00CF793E"/>
    <w:rsid w:val="00D01E7C"/>
    <w:rsid w:val="00D0655B"/>
    <w:rsid w:val="00D12CC0"/>
    <w:rsid w:val="00D359A9"/>
    <w:rsid w:val="00D60BC5"/>
    <w:rsid w:val="00D80CA3"/>
    <w:rsid w:val="00D83BE1"/>
    <w:rsid w:val="00D91521"/>
    <w:rsid w:val="00D932C0"/>
    <w:rsid w:val="00DB5D66"/>
    <w:rsid w:val="00DC38A2"/>
    <w:rsid w:val="00DC72EE"/>
    <w:rsid w:val="00DD466A"/>
    <w:rsid w:val="00DD66B6"/>
    <w:rsid w:val="00DF1B8B"/>
    <w:rsid w:val="00E046F5"/>
    <w:rsid w:val="00E065EE"/>
    <w:rsid w:val="00E10DB7"/>
    <w:rsid w:val="00E1262E"/>
    <w:rsid w:val="00E129FF"/>
    <w:rsid w:val="00E14E69"/>
    <w:rsid w:val="00E15203"/>
    <w:rsid w:val="00E16304"/>
    <w:rsid w:val="00E360BD"/>
    <w:rsid w:val="00E3731F"/>
    <w:rsid w:val="00E43781"/>
    <w:rsid w:val="00E44AFD"/>
    <w:rsid w:val="00E5198F"/>
    <w:rsid w:val="00E6645A"/>
    <w:rsid w:val="00E70560"/>
    <w:rsid w:val="00E8482B"/>
    <w:rsid w:val="00E864DE"/>
    <w:rsid w:val="00EA341D"/>
    <w:rsid w:val="00EB1771"/>
    <w:rsid w:val="00EC0AF5"/>
    <w:rsid w:val="00EC42AD"/>
    <w:rsid w:val="00EE0BB0"/>
    <w:rsid w:val="00F1158F"/>
    <w:rsid w:val="00F1779D"/>
    <w:rsid w:val="00F25B60"/>
    <w:rsid w:val="00F3101E"/>
    <w:rsid w:val="00F353FD"/>
    <w:rsid w:val="00F63BF6"/>
    <w:rsid w:val="00FA17B0"/>
    <w:rsid w:val="00FA5E1B"/>
    <w:rsid w:val="00FB0324"/>
    <w:rsid w:val="00FB30ED"/>
    <w:rsid w:val="00FB3694"/>
    <w:rsid w:val="00FD6717"/>
    <w:rsid w:val="00FD6C90"/>
    <w:rsid w:val="00FE548C"/>
    <w:rsid w:val="00FF4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2CE15"/>
  <w15:chartTrackingRefBased/>
  <w15:docId w15:val="{4E201A64-F601-4310-BC3E-5D499F91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D5D"/>
    <w:rPr>
      <w:sz w:val="16"/>
      <w:szCs w:val="16"/>
    </w:rPr>
  </w:style>
  <w:style w:type="paragraph" w:styleId="CommentText">
    <w:name w:val="annotation text"/>
    <w:basedOn w:val="Normal"/>
    <w:link w:val="CommentTextChar"/>
    <w:uiPriority w:val="99"/>
    <w:semiHidden/>
    <w:unhideWhenUsed/>
    <w:rsid w:val="008F4D5D"/>
    <w:pPr>
      <w:spacing w:line="240" w:lineRule="auto"/>
    </w:pPr>
    <w:rPr>
      <w:sz w:val="20"/>
      <w:szCs w:val="20"/>
    </w:rPr>
  </w:style>
  <w:style w:type="character" w:customStyle="1" w:styleId="CommentTextChar">
    <w:name w:val="Comment Text Char"/>
    <w:basedOn w:val="DefaultParagraphFont"/>
    <w:link w:val="CommentText"/>
    <w:uiPriority w:val="99"/>
    <w:semiHidden/>
    <w:rsid w:val="008F4D5D"/>
    <w:rPr>
      <w:sz w:val="20"/>
      <w:szCs w:val="20"/>
    </w:rPr>
  </w:style>
  <w:style w:type="paragraph" w:styleId="CommentSubject">
    <w:name w:val="annotation subject"/>
    <w:basedOn w:val="CommentText"/>
    <w:next w:val="CommentText"/>
    <w:link w:val="CommentSubjectChar"/>
    <w:uiPriority w:val="99"/>
    <w:semiHidden/>
    <w:unhideWhenUsed/>
    <w:rsid w:val="008F4D5D"/>
    <w:rPr>
      <w:b/>
      <w:bCs/>
    </w:rPr>
  </w:style>
  <w:style w:type="character" w:customStyle="1" w:styleId="CommentSubjectChar">
    <w:name w:val="Comment Subject Char"/>
    <w:basedOn w:val="CommentTextChar"/>
    <w:link w:val="CommentSubject"/>
    <w:uiPriority w:val="99"/>
    <w:semiHidden/>
    <w:rsid w:val="008F4D5D"/>
    <w:rPr>
      <w:b/>
      <w:bCs/>
      <w:sz w:val="20"/>
      <w:szCs w:val="20"/>
    </w:rPr>
  </w:style>
  <w:style w:type="paragraph" w:styleId="BalloonText">
    <w:name w:val="Balloon Text"/>
    <w:basedOn w:val="Normal"/>
    <w:link w:val="BalloonTextChar"/>
    <w:uiPriority w:val="99"/>
    <w:semiHidden/>
    <w:unhideWhenUsed/>
    <w:rsid w:val="008F4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D5D"/>
    <w:rPr>
      <w:rFonts w:ascii="Segoe UI" w:hAnsi="Segoe UI" w:cs="Segoe UI"/>
      <w:sz w:val="18"/>
      <w:szCs w:val="18"/>
    </w:rPr>
  </w:style>
  <w:style w:type="paragraph" w:styleId="ListParagraph">
    <w:name w:val="List Paragraph"/>
    <w:basedOn w:val="Normal"/>
    <w:uiPriority w:val="34"/>
    <w:qFormat/>
    <w:rsid w:val="00383BFA"/>
    <w:pPr>
      <w:ind w:left="720"/>
      <w:contextualSpacing/>
    </w:pPr>
  </w:style>
  <w:style w:type="paragraph" w:styleId="NormalWeb">
    <w:name w:val="Normal (Web)"/>
    <w:basedOn w:val="Normal"/>
    <w:uiPriority w:val="99"/>
    <w:semiHidden/>
    <w:unhideWhenUsed/>
    <w:rsid w:val="00F63B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C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E68"/>
  </w:style>
  <w:style w:type="paragraph" w:styleId="Footer">
    <w:name w:val="footer"/>
    <w:basedOn w:val="Normal"/>
    <w:link w:val="FooterChar"/>
    <w:uiPriority w:val="99"/>
    <w:unhideWhenUsed/>
    <w:rsid w:val="009C3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E68"/>
  </w:style>
  <w:style w:type="character" w:styleId="Hyperlink">
    <w:name w:val="Hyperlink"/>
    <w:basedOn w:val="DefaultParagraphFont"/>
    <w:uiPriority w:val="99"/>
    <w:unhideWhenUsed/>
    <w:rsid w:val="00734366"/>
    <w:rPr>
      <w:color w:val="0000FF"/>
      <w:u w:val="single"/>
    </w:rPr>
  </w:style>
  <w:style w:type="character" w:styleId="LineNumber">
    <w:name w:val="line number"/>
    <w:basedOn w:val="DefaultParagraphFont"/>
    <w:uiPriority w:val="99"/>
    <w:semiHidden/>
    <w:unhideWhenUsed/>
    <w:rsid w:val="00FA17B0"/>
  </w:style>
  <w:style w:type="paragraph" w:styleId="Revision">
    <w:name w:val="Revision"/>
    <w:hidden/>
    <w:uiPriority w:val="99"/>
    <w:semiHidden/>
    <w:rsid w:val="003D0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957">
      <w:bodyDiv w:val="1"/>
      <w:marLeft w:val="0"/>
      <w:marRight w:val="0"/>
      <w:marTop w:val="0"/>
      <w:marBottom w:val="0"/>
      <w:divBdr>
        <w:top w:val="none" w:sz="0" w:space="0" w:color="auto"/>
        <w:left w:val="none" w:sz="0" w:space="0" w:color="auto"/>
        <w:bottom w:val="none" w:sz="0" w:space="0" w:color="auto"/>
        <w:right w:val="none" w:sz="0" w:space="0" w:color="auto"/>
      </w:divBdr>
    </w:div>
    <w:div w:id="792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inalini.dey@nh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42E41AAE44DC4E86961CCACF5F2AC2" ma:contentTypeVersion="13" ma:contentTypeDescription="Create a new document." ma:contentTypeScope="" ma:versionID="4960f60fd3cbef2efaa0c3964163e8b6">
  <xsd:schema xmlns:xsd="http://www.w3.org/2001/XMLSchema" xmlns:xs="http://www.w3.org/2001/XMLSchema" xmlns:p="http://schemas.microsoft.com/office/2006/metadata/properties" xmlns:ns3="457ed709-a84f-42f7-9b7c-b765d9ea2442" xmlns:ns4="0ce6dcf1-12d3-4c5c-a0b7-e2efcb5e7e41" targetNamespace="http://schemas.microsoft.com/office/2006/metadata/properties" ma:root="true" ma:fieldsID="da4575975caa624a8afab054b7d9c2eb" ns3:_="" ns4:_="">
    <xsd:import namespace="457ed709-a84f-42f7-9b7c-b765d9ea2442"/>
    <xsd:import namespace="0ce6dcf1-12d3-4c5c-a0b7-e2efcb5e7e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d709-a84f-42f7-9b7c-b765d9ea24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6dcf1-12d3-4c5c-a0b7-e2efcb5e7e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71BE0-5A6E-489C-8132-4D8BC211AF56}">
  <ds:schemaRefs>
    <ds:schemaRef ds:uri="http://schemas.openxmlformats.org/officeDocument/2006/bibliography"/>
  </ds:schemaRefs>
</ds:datastoreItem>
</file>

<file path=customXml/itemProps2.xml><?xml version="1.0" encoding="utf-8"?>
<ds:datastoreItem xmlns:ds="http://schemas.openxmlformats.org/officeDocument/2006/customXml" ds:itemID="{C0A8C9AA-CA72-48DD-9611-ECE0A6DBD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d709-a84f-42f7-9b7c-b765d9ea2442"/>
    <ds:schemaRef ds:uri="0ce6dcf1-12d3-4c5c-a0b7-e2efcb5e7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716E2-6B90-4241-8E48-EAB608E79BE4}">
  <ds:schemaRefs>
    <ds:schemaRef ds:uri="http://schemas.microsoft.com/sharepoint/v3/contenttype/forms"/>
  </ds:schemaRefs>
</ds:datastoreItem>
</file>

<file path=customXml/itemProps4.xml><?xml version="1.0" encoding="utf-8"?>
<ds:datastoreItem xmlns:ds="http://schemas.openxmlformats.org/officeDocument/2006/customXml" ds:itemID="{C59A6A07-746C-4E45-98BB-1F06467D2E92}">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0ce6dcf1-12d3-4c5c-a0b7-e2efcb5e7e41"/>
    <ds:schemaRef ds:uri="457ed709-a84f-42f7-9b7c-b765d9ea244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17254</Words>
  <Characters>98348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 Mrinalini</dc:creator>
  <cp:keywords/>
  <dc:description/>
  <cp:lastModifiedBy>Katie Bechman</cp:lastModifiedBy>
  <cp:revision>2</cp:revision>
  <dcterms:created xsi:type="dcterms:W3CDTF">2022-10-17T13:45:00Z</dcterms:created>
  <dcterms:modified xsi:type="dcterms:W3CDTF">2022-10-17T13:45:00Z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9a054a1b-bfb6-3434-8638-069ca60c513b</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http://www.zotero.org/styles/vaccine</vt:lpwstr>
  </property>
  <property fmtid="{D5CDD505-2E9C-101B-9397-08002B2CF9AE}" pid="20" name="Mendeley Recent Style Name 7_1">
    <vt:lpwstr>Vaccine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https://csl.mendeley.com/styles/21743701/vancouver-3</vt:lpwstr>
  </property>
  <property fmtid="{D5CDD505-2E9C-101B-9397-08002B2CF9AE}" pid="24" name="Mendeley Recent Style Name 9_1">
    <vt:lpwstr>Vancouver - Mrinalini Dey</vt:lpwstr>
  </property>
  <property fmtid="{D5CDD505-2E9C-101B-9397-08002B2CF9AE}" pid="25" name="ContentTypeId">
    <vt:lpwstr>0x0101006F42E41AAE44DC4E86961CCACF5F2AC2</vt:lpwstr>
  </property>
</Properties>
</file>