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410" w:line="360" w:lineRule="auto"/>
        <w:ind w:right="374"/>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Preanalytical stability of plasma biomarkers for Alzheimer's disease pathology</w:t>
      </w:r>
    </w:p>
    <w:p w:rsidR="00000000" w:rsidDel="00000000" w:rsidP="00000000" w:rsidRDefault="00000000" w:rsidRPr="00000000" w14:paraId="00000002">
      <w:pPr>
        <w:widowControl w:val="0"/>
        <w:spacing w:before="410" w:line="240" w:lineRule="auto"/>
        <w:ind w:right="374" w:firstLine="5"/>
        <w:rPr>
          <w:rFonts w:ascii="Calibri" w:cs="Calibri" w:eastAsia="Calibri" w:hAnsi="Calibri"/>
          <w:sz w:val="24"/>
          <w:szCs w:val="24"/>
          <w:vertAlign w:val="superscript"/>
        </w:rPr>
      </w:pPr>
      <w:r w:rsidDel="00000000" w:rsidR="00000000" w:rsidRPr="00000000">
        <w:rPr>
          <w:rFonts w:ascii="Calibri" w:cs="Calibri" w:eastAsia="Calibri" w:hAnsi="Calibri"/>
          <w:sz w:val="24"/>
          <w:szCs w:val="24"/>
          <w:rtl w:val="0"/>
        </w:rPr>
        <w:t xml:space="preserve">*Anita L. Sunde</w:t>
      </w:r>
      <w:r w:rsidDel="00000000" w:rsidR="00000000" w:rsidRPr="00000000">
        <w:rPr>
          <w:rFonts w:ascii="Calibri" w:cs="Calibri" w:eastAsia="Calibri" w:hAnsi="Calibri"/>
          <w:sz w:val="24"/>
          <w:szCs w:val="24"/>
          <w:vertAlign w:val="superscript"/>
          <w:rtl w:val="0"/>
        </w:rPr>
        <w:t xml:space="preserve">1,2</w:t>
      </w:r>
      <w:r w:rsidDel="00000000" w:rsidR="00000000" w:rsidRPr="00000000">
        <w:rPr>
          <w:rFonts w:ascii="Calibri" w:cs="Calibri" w:eastAsia="Calibri" w:hAnsi="Calibri"/>
          <w:sz w:val="24"/>
          <w:szCs w:val="24"/>
          <w:rtl w:val="0"/>
        </w:rPr>
        <w:t xml:space="preserve">, Ingvild V. Alsnes</w:t>
      </w:r>
      <w:r w:rsidDel="00000000" w:rsidR="00000000" w:rsidRPr="00000000">
        <w:rPr>
          <w:rFonts w:ascii="Calibri" w:cs="Calibri" w:eastAsia="Calibri" w:hAnsi="Calibri"/>
          <w:sz w:val="24"/>
          <w:szCs w:val="24"/>
          <w:vertAlign w:val="superscript"/>
          <w:rtl w:val="0"/>
        </w:rPr>
        <w:t xml:space="preserve">3</w:t>
      </w:r>
      <w:r w:rsidDel="00000000" w:rsidR="00000000" w:rsidRPr="00000000">
        <w:rPr>
          <w:rFonts w:ascii="Calibri" w:cs="Calibri" w:eastAsia="Calibri" w:hAnsi="Calibri"/>
          <w:sz w:val="24"/>
          <w:szCs w:val="24"/>
          <w:rtl w:val="0"/>
        </w:rPr>
        <w:t xml:space="preserve">, Dag Aarsland</w:t>
      </w:r>
      <w:r w:rsidDel="00000000" w:rsidR="00000000" w:rsidRPr="00000000">
        <w:rPr>
          <w:rFonts w:ascii="Calibri" w:cs="Calibri" w:eastAsia="Calibri" w:hAnsi="Calibri"/>
          <w:sz w:val="24"/>
          <w:szCs w:val="24"/>
          <w:vertAlign w:val="superscript"/>
          <w:rtl w:val="0"/>
        </w:rPr>
        <w:t xml:space="preserve">1,4</w:t>
      </w:r>
      <w:r w:rsidDel="00000000" w:rsidR="00000000" w:rsidRPr="00000000">
        <w:rPr>
          <w:rFonts w:ascii="Calibri" w:cs="Calibri" w:eastAsia="Calibri" w:hAnsi="Calibri"/>
          <w:sz w:val="24"/>
          <w:szCs w:val="24"/>
          <w:rtl w:val="0"/>
        </w:rPr>
        <w:t xml:space="preserve">, Nicholas J. Ashton</w:t>
      </w:r>
      <w:r w:rsidDel="00000000" w:rsidR="00000000" w:rsidRPr="00000000">
        <w:rPr>
          <w:rFonts w:ascii="Calibri" w:cs="Calibri" w:eastAsia="Calibri" w:hAnsi="Calibri"/>
          <w:sz w:val="24"/>
          <w:szCs w:val="24"/>
          <w:vertAlign w:val="superscript"/>
          <w:rtl w:val="0"/>
        </w:rPr>
        <w:t xml:space="preserve">1,5,6,7</w:t>
      </w:r>
      <w:r w:rsidDel="00000000" w:rsidR="00000000" w:rsidRPr="00000000">
        <w:rPr>
          <w:rFonts w:ascii="Calibri" w:cs="Calibri" w:eastAsia="Calibri" w:hAnsi="Calibri"/>
          <w:sz w:val="24"/>
          <w:szCs w:val="24"/>
          <w:rtl w:val="0"/>
        </w:rPr>
        <w:t xml:space="preserve">, Diego A. Tovar-Rios</w:t>
      </w:r>
      <w:r w:rsidDel="00000000" w:rsidR="00000000" w:rsidRPr="00000000">
        <w:rPr>
          <w:rFonts w:ascii="Calibri" w:cs="Calibri" w:eastAsia="Calibri" w:hAnsi="Calibri"/>
          <w:sz w:val="24"/>
          <w:szCs w:val="24"/>
          <w:vertAlign w:val="superscript"/>
          <w:rtl w:val="0"/>
        </w:rPr>
        <w:t xml:space="preserve">1,8,9</w:t>
      </w:r>
      <w:r w:rsidDel="00000000" w:rsidR="00000000" w:rsidRPr="00000000">
        <w:rPr>
          <w:rFonts w:ascii="Calibri" w:cs="Calibri" w:eastAsia="Calibri" w:hAnsi="Calibri"/>
          <w:sz w:val="24"/>
          <w:szCs w:val="24"/>
          <w:rtl w:val="0"/>
        </w:rPr>
        <w:t xml:space="preserve">, Giovanni De Santis</w:t>
      </w:r>
      <w:r w:rsidDel="00000000" w:rsidR="00000000" w:rsidRPr="00000000">
        <w:rPr>
          <w:rFonts w:ascii="Calibri" w:cs="Calibri" w:eastAsia="Calibri" w:hAnsi="Calibri"/>
          <w:sz w:val="24"/>
          <w:szCs w:val="24"/>
          <w:vertAlign w:val="superscript"/>
          <w:rtl w:val="0"/>
        </w:rPr>
        <w:t xml:space="preserve">5</w:t>
      </w:r>
      <w:r w:rsidDel="00000000" w:rsidR="00000000" w:rsidRPr="00000000">
        <w:rPr>
          <w:rFonts w:ascii="Calibri" w:cs="Calibri" w:eastAsia="Calibri" w:hAnsi="Calibri"/>
          <w:sz w:val="24"/>
          <w:szCs w:val="24"/>
          <w:rtl w:val="0"/>
        </w:rPr>
        <w:t xml:space="preserve">, Kaj Blennow</w:t>
      </w:r>
      <w:r w:rsidDel="00000000" w:rsidR="00000000" w:rsidRPr="00000000">
        <w:rPr>
          <w:rFonts w:ascii="Calibri" w:cs="Calibri" w:eastAsia="Calibri" w:hAnsi="Calibri"/>
          <w:sz w:val="24"/>
          <w:szCs w:val="24"/>
          <w:vertAlign w:val="superscript"/>
          <w:rtl w:val="0"/>
        </w:rPr>
        <w:t xml:space="preserve">5</w:t>
      </w:r>
      <w:r w:rsidDel="00000000" w:rsidR="00000000" w:rsidRPr="00000000">
        <w:rPr>
          <w:rFonts w:ascii="Calibri" w:cs="Calibri" w:eastAsia="Calibri" w:hAnsi="Calibri"/>
          <w:sz w:val="24"/>
          <w:szCs w:val="24"/>
          <w:rtl w:val="0"/>
        </w:rPr>
        <w:t xml:space="preserve">, Henrik Zetterberg</w:t>
      </w:r>
      <w:r w:rsidDel="00000000" w:rsidR="00000000" w:rsidRPr="00000000">
        <w:rPr>
          <w:rFonts w:ascii="Calibri" w:cs="Calibri" w:eastAsia="Calibri" w:hAnsi="Calibri"/>
          <w:sz w:val="24"/>
          <w:szCs w:val="24"/>
          <w:vertAlign w:val="superscript"/>
          <w:rtl w:val="0"/>
        </w:rPr>
        <w:t xml:space="preserve">5,10,11,12,13</w:t>
      </w:r>
      <w:r w:rsidDel="00000000" w:rsidR="00000000" w:rsidRPr="00000000">
        <w:rPr>
          <w:rFonts w:ascii="Calibri" w:cs="Calibri" w:eastAsia="Calibri" w:hAnsi="Calibri"/>
          <w:sz w:val="24"/>
          <w:szCs w:val="24"/>
          <w:rtl w:val="0"/>
        </w:rPr>
        <w:t xml:space="preserve">, Svein R. Kjosavik</w:t>
      </w:r>
      <w:r w:rsidDel="00000000" w:rsidR="00000000" w:rsidRPr="00000000">
        <w:rPr>
          <w:rFonts w:ascii="Calibri" w:cs="Calibri" w:eastAsia="Calibri" w:hAnsi="Calibri"/>
          <w:sz w:val="24"/>
          <w:szCs w:val="24"/>
          <w:vertAlign w:val="superscript"/>
          <w:rtl w:val="0"/>
        </w:rPr>
        <w:t xml:space="preserve">14      </w:t>
      </w:r>
    </w:p>
    <w:p w:rsidR="00000000" w:rsidDel="00000000" w:rsidP="00000000" w:rsidRDefault="00000000" w:rsidRPr="00000000" w14:paraId="00000003">
      <w:pPr>
        <w:widowControl w:val="0"/>
        <w:spacing w:before="410" w:line="240" w:lineRule="auto"/>
        <w:ind w:right="374" w:firstLine="5"/>
        <w:rPr>
          <w:rFonts w:ascii="Calibri" w:cs="Calibri" w:eastAsia="Calibri" w:hAnsi="Calibri"/>
          <w:sz w:val="24"/>
          <w:szCs w:val="24"/>
          <w:vertAlign w:val="superscript"/>
        </w:rPr>
      </w:pPr>
      <w:r w:rsidDel="00000000" w:rsidR="00000000" w:rsidRPr="00000000">
        <w:rPr>
          <w:rtl w:val="0"/>
        </w:rPr>
      </w:r>
    </w:p>
    <w:p w:rsidR="00000000" w:rsidDel="00000000" w:rsidP="00000000" w:rsidRDefault="00000000" w:rsidRPr="00000000" w14:paraId="00000004">
      <w:pPr>
        <w:keepNext w:val="0"/>
        <w:widowControl w:val="0"/>
        <w:spacing w:before="0" w:line="480" w:lineRule="auto"/>
        <w:ind w:right="374" w:firstLine="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¹ Centre for Age-Related Medicine (SESAM), Stavanger University Hospital, 4068 Stavanger, Norway</w:t>
      </w:r>
    </w:p>
    <w:p w:rsidR="00000000" w:rsidDel="00000000" w:rsidP="00000000" w:rsidRDefault="00000000" w:rsidRPr="00000000" w14:paraId="00000005">
      <w:pPr>
        <w:keepNext w:val="0"/>
        <w:widowControl w:val="0"/>
        <w:spacing w:before="0" w:line="480" w:lineRule="auto"/>
        <w:ind w:right="374" w:firstLine="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² Department of Clinical Medicine, University of Bergen, 5020 Bergen, Norway</w:t>
      </w:r>
    </w:p>
    <w:p w:rsidR="00000000" w:rsidDel="00000000" w:rsidP="00000000" w:rsidRDefault="00000000" w:rsidRPr="00000000" w14:paraId="00000006">
      <w:pPr>
        <w:keepNext w:val="0"/>
        <w:widowControl w:val="0"/>
        <w:spacing w:before="0" w:line="480" w:lineRule="auto"/>
        <w:ind w:right="374" w:firstLine="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³ Department of Public Health, University of Stavanger, 4036 Stavanger, Norway</w:t>
      </w:r>
    </w:p>
    <w:p w:rsidR="00000000" w:rsidDel="00000000" w:rsidP="00000000" w:rsidRDefault="00000000" w:rsidRPr="00000000" w14:paraId="00000007">
      <w:pPr>
        <w:keepNext w:val="0"/>
        <w:widowControl w:val="0"/>
        <w:spacing w:before="0" w:line="480" w:lineRule="auto"/>
        <w:ind w:right="374" w:firstLine="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⁴ Department of Old Age Psychiatry, Institute of Psychiatry, Psychology and Neuroscience, King's College, London WC2R 2LS, United Kingdom</w:t>
      </w:r>
    </w:p>
    <w:p w:rsidR="00000000" w:rsidDel="00000000" w:rsidP="00000000" w:rsidRDefault="00000000" w:rsidRPr="00000000" w14:paraId="00000008">
      <w:pPr>
        <w:keepNext w:val="0"/>
        <w:widowControl w:val="0"/>
        <w:spacing w:before="0" w:line="480" w:lineRule="auto"/>
        <w:ind w:right="374" w:firstLine="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⁵ Department of Psychiatry and Neurochemistry, Institute of Neuroscience &amp; Physiology, the Sahlgrenska Academy at the University of Gothenburg, 431 41 Mölndal, Sweden</w:t>
      </w:r>
    </w:p>
    <w:p w:rsidR="00000000" w:rsidDel="00000000" w:rsidP="00000000" w:rsidRDefault="00000000" w:rsidRPr="00000000" w14:paraId="00000009">
      <w:pPr>
        <w:keepNext w:val="0"/>
        <w:widowControl w:val="0"/>
        <w:spacing w:before="0" w:line="480" w:lineRule="auto"/>
        <w:ind w:right="374" w:firstLine="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⁶ King's College London, Institute of Psychiatry, Psychology and Neuroscience, Maurice Wohl Institute Clinical Neuroscience Institute London, London SE5 9RT, United Kingdom</w:t>
      </w:r>
    </w:p>
    <w:p w:rsidR="00000000" w:rsidDel="00000000" w:rsidP="00000000" w:rsidRDefault="00000000" w:rsidRPr="00000000" w14:paraId="0000000A">
      <w:pPr>
        <w:keepNext w:val="0"/>
        <w:widowControl w:val="0"/>
        <w:spacing w:before="0" w:line="480" w:lineRule="auto"/>
        <w:ind w:right="374" w:firstLine="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⁷ NIHR Biomedical Research Centre for Mental Health &amp; Biomedical Research Unit for Dementia at South London &amp; Maudsley NHS Foundation, London SE5 8AF, United Kingdom</w:t>
      </w:r>
    </w:p>
    <w:p w:rsidR="00000000" w:rsidDel="00000000" w:rsidP="00000000" w:rsidRDefault="00000000" w:rsidRPr="00000000" w14:paraId="0000000B">
      <w:pPr>
        <w:keepNext w:val="0"/>
        <w:widowControl w:val="0"/>
        <w:spacing w:before="0" w:line="480" w:lineRule="auto"/>
        <w:ind w:right="374" w:firstLine="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⁸ Faculty of Health Sciences, University of Stavanger, 4036 Stavanger, Norway </w:t>
      </w:r>
    </w:p>
    <w:p w:rsidR="00000000" w:rsidDel="00000000" w:rsidP="00000000" w:rsidRDefault="00000000" w:rsidRPr="00000000" w14:paraId="0000000C">
      <w:pPr>
        <w:keepNext w:val="0"/>
        <w:widowControl w:val="0"/>
        <w:spacing w:before="0" w:line="480" w:lineRule="auto"/>
        <w:ind w:right="374" w:firstLine="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⁹ Grupo INFERIR, Facultad de Ingeniería, Universidad del Valle, Santiago de Cali,  760032 Valle del Cauca, Colombia</w:t>
      </w:r>
    </w:p>
    <w:p w:rsidR="00000000" w:rsidDel="00000000" w:rsidP="00000000" w:rsidRDefault="00000000" w:rsidRPr="00000000" w14:paraId="0000000D">
      <w:pPr>
        <w:keepNext w:val="0"/>
        <w:widowControl w:val="0"/>
        <w:spacing w:before="0" w:line="480" w:lineRule="auto"/>
        <w:ind w:right="374" w:firstLine="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¹⁰ Clinical Neurochemistry Laboratory, Sahlgrenska University Hospital, 431 41 Mölndal, Sweden</w:t>
      </w:r>
    </w:p>
    <w:p w:rsidR="00000000" w:rsidDel="00000000" w:rsidP="00000000" w:rsidRDefault="00000000" w:rsidRPr="00000000" w14:paraId="0000000E">
      <w:pPr>
        <w:keepNext w:val="0"/>
        <w:widowControl w:val="0"/>
        <w:spacing w:before="0" w:line="480" w:lineRule="auto"/>
        <w:ind w:right="374" w:firstLine="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¹¹ Department of Neurodegenerative Disease, UCL Institute of Neurology, Queen Square, London WC1N 3BG, United Kingdom</w:t>
      </w:r>
    </w:p>
    <w:p w:rsidR="00000000" w:rsidDel="00000000" w:rsidP="00000000" w:rsidRDefault="00000000" w:rsidRPr="00000000" w14:paraId="0000000F">
      <w:pPr>
        <w:keepNext w:val="0"/>
        <w:widowControl w:val="0"/>
        <w:spacing w:before="0" w:line="480" w:lineRule="auto"/>
        <w:ind w:right="374" w:firstLine="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¹² UK Dementia Research Institute at UCL, London WC1N 3BG, United Kingdom</w:t>
      </w:r>
    </w:p>
    <w:p w:rsidR="00000000" w:rsidDel="00000000" w:rsidP="00000000" w:rsidRDefault="00000000" w:rsidRPr="00000000" w14:paraId="00000010">
      <w:pPr>
        <w:keepNext w:val="0"/>
        <w:widowControl w:val="0"/>
        <w:spacing w:before="0" w:line="480" w:lineRule="auto"/>
        <w:ind w:right="374" w:firstLine="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¹³ Hong Kong Center for Neurodegenerative Diseases, Clear Water Bay, Hong Kong, China</w:t>
      </w:r>
    </w:p>
    <w:p w:rsidR="00000000" w:rsidDel="00000000" w:rsidP="00000000" w:rsidRDefault="00000000" w:rsidRPr="00000000" w14:paraId="00000011">
      <w:pPr>
        <w:keepNext w:val="0"/>
        <w:widowControl w:val="0"/>
        <w:spacing w:before="0" w:line="480" w:lineRule="auto"/>
        <w:ind w:right="374" w:firstLine="5"/>
        <w:rPr>
          <w:rFonts w:ascii="Calibri" w:cs="Calibri" w:eastAsia="Calibri" w:hAnsi="Calibri"/>
          <w:sz w:val="24"/>
          <w:szCs w:val="24"/>
        </w:rPr>
      </w:pPr>
      <w:r w:rsidDel="00000000" w:rsidR="00000000" w:rsidRPr="00000000">
        <w:rPr>
          <w:rFonts w:ascii="Calibri" w:cs="Calibri" w:eastAsia="Calibri" w:hAnsi="Calibri"/>
          <w:sz w:val="18"/>
          <w:szCs w:val="18"/>
          <w:rtl w:val="0"/>
        </w:rPr>
        <w:t xml:space="preserve">¹⁴ The General Practice and Care Coordination Research Group, Stavanger University Hospital, 4011 Stavanger, Norway</w:t>
      </w:r>
      <w:r w:rsidDel="00000000" w:rsidR="00000000" w:rsidRPr="00000000">
        <w:rPr>
          <w:rtl w:val="0"/>
        </w:rPr>
      </w:r>
    </w:p>
    <w:p w:rsidR="00000000" w:rsidDel="00000000" w:rsidP="00000000" w:rsidRDefault="00000000" w:rsidRPr="00000000" w14:paraId="00000012">
      <w:pPr>
        <w:widowControl w:val="0"/>
        <w:spacing w:before="410" w:line="240" w:lineRule="auto"/>
        <w:ind w:right="374" w:firstLine="5"/>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3">
      <w:pPr>
        <w:widowControl w:val="0"/>
        <w:spacing w:before="410" w:line="240" w:lineRule="auto"/>
        <w:ind w:right="374" w:firstLine="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Corresponding author: Anita L. Sunde, Centre for Age-Related Medicine (SESAM), Stavanger University Hospital, P.O. box 8100, 4068 Stavanger, Norway, Phone: (+47) 51 51 56 19, E-mail: anita.lenora.sunde@sus.no </w:t>
      </w:r>
    </w:p>
    <w:p w:rsidR="00000000" w:rsidDel="00000000" w:rsidP="00000000" w:rsidRDefault="00000000" w:rsidRPr="00000000" w14:paraId="00000014">
      <w:pPr>
        <w:widowControl w:val="0"/>
        <w:spacing w:before="410" w:line="480" w:lineRule="auto"/>
        <w:ind w:right="374" w:firstLine="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Abstract </w:t>
      </w:r>
    </w:p>
    <w:p w:rsidR="00000000" w:rsidDel="00000000" w:rsidP="00000000" w:rsidRDefault="00000000" w:rsidRPr="00000000" w14:paraId="00000015">
      <w:pPr>
        <w:shd w:fill="ffffff" w:val="clear"/>
        <w:spacing w:after="80" w:before="80"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 Plasma tests have demonstrated high diagnostic accuracy for identifying Alzheimer’s disease pathology. To facilitate the transition to clinical utility, we assessed whether plasma storage duration and temperature affect the biomarker concentrations.</w:t>
      </w:r>
    </w:p>
    <w:p w:rsidR="00000000" w:rsidDel="00000000" w:rsidP="00000000" w:rsidRDefault="00000000" w:rsidRPr="00000000" w14:paraId="00000016">
      <w:pPr>
        <w:shd w:fill="ffffff" w:val="clear"/>
        <w:spacing w:after="80" w:before="80"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METHODS: Plasma samples from 13 participants were stored at +4°C and +18°C. Concentrations of six biomarkers were measured after 2, 4, 6, 8, 10, and 24 hours (h) by Single molecule array assays. </w:t>
      </w:r>
    </w:p>
    <w:p w:rsidR="00000000" w:rsidDel="00000000" w:rsidP="00000000" w:rsidRDefault="00000000" w:rsidRPr="00000000" w14:paraId="00000017">
      <w:pPr>
        <w:shd w:fill="ffffff" w:val="clear"/>
        <w:spacing w:after="80" w:before="80"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RESULTS: Phosphorylated tau 181 (p-tau181), phosphorylated tau 231 (p-tau231), neurofilament light (NfL) and glial fibrillary acidic protein (GFAP) concentrations were unchanged both when stored at +4°C and +18°C. Amyloid-β 40 (Aβ40) and amyloid-β 42 (Aβ42) concentrations</w:t>
      </w:r>
      <w:r w:rsidDel="00000000" w:rsidR="00000000" w:rsidRPr="00000000">
        <w:rPr>
          <w:rFonts w:ascii="Calibri" w:cs="Calibri" w:eastAsia="Calibri" w:hAnsi="Calibri"/>
          <w:color w:val="222222"/>
          <w:sz w:val="24"/>
          <w:szCs w:val="24"/>
          <w:highlight w:val="white"/>
          <w:rtl w:val="0"/>
        </w:rPr>
        <w:t xml:space="preserve"> were stable for 24h </w:t>
      </w:r>
      <w:r w:rsidDel="00000000" w:rsidR="00000000" w:rsidRPr="00000000">
        <w:rPr>
          <w:rFonts w:ascii="Calibri" w:cs="Calibri" w:eastAsia="Calibri" w:hAnsi="Calibri"/>
          <w:sz w:val="24"/>
          <w:szCs w:val="24"/>
          <w:rtl w:val="0"/>
        </w:rPr>
        <w:t xml:space="preserve">at +4°C </w:t>
      </w:r>
      <w:r w:rsidDel="00000000" w:rsidR="00000000" w:rsidRPr="00000000">
        <w:rPr>
          <w:rFonts w:ascii="Calibri" w:cs="Calibri" w:eastAsia="Calibri" w:hAnsi="Calibri"/>
          <w:color w:val="222222"/>
          <w:sz w:val="24"/>
          <w:szCs w:val="24"/>
          <w:highlight w:val="white"/>
          <w:rtl w:val="0"/>
        </w:rPr>
        <w:t xml:space="preserve">but declined when stored at </w:t>
      </w:r>
      <w:r w:rsidDel="00000000" w:rsidR="00000000" w:rsidRPr="00000000">
        <w:rPr>
          <w:rFonts w:ascii="Calibri" w:cs="Calibri" w:eastAsia="Calibri" w:hAnsi="Calibri"/>
          <w:sz w:val="24"/>
          <w:szCs w:val="24"/>
          <w:rtl w:val="0"/>
        </w:rPr>
        <w:t xml:space="preserve">+18°C for </w:t>
      </w:r>
      <w:r w:rsidDel="00000000" w:rsidR="00000000" w:rsidRPr="00000000">
        <w:rPr>
          <w:rFonts w:ascii="Calibri" w:cs="Calibri" w:eastAsia="Calibri" w:hAnsi="Calibri"/>
          <w:color w:val="222222"/>
          <w:sz w:val="24"/>
          <w:szCs w:val="24"/>
          <w:highlight w:val="white"/>
          <w:rtl w:val="0"/>
        </w:rPr>
        <w:t xml:space="preserve">longer than 6h.</w:t>
      </w:r>
      <w:r w:rsidDel="00000000" w:rsidR="00000000" w:rsidRPr="00000000">
        <w:rPr>
          <w:rFonts w:ascii="Calibri" w:cs="Calibri" w:eastAsia="Calibri" w:hAnsi="Calibri"/>
          <w:sz w:val="24"/>
          <w:szCs w:val="24"/>
          <w:rtl w:val="0"/>
        </w:rPr>
        <w:t xml:space="preserve"> This decline did not affect the Aβ42/Aβ40 ratio. </w:t>
      </w:r>
    </w:p>
    <w:p w:rsidR="00000000" w:rsidDel="00000000" w:rsidP="00000000" w:rsidRDefault="00000000" w:rsidRPr="00000000" w14:paraId="00000018">
      <w:pPr>
        <w:shd w:fill="ffffff" w:val="clear"/>
        <w:spacing w:after="80" w:before="80"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Plasma samples can be stored for 24h at +4°C or +18°C and result in valid assay results for p-tau181, p-tau231, Aβ42/Aβ40 ratio, GFAP and NfL.</w:t>
      </w:r>
    </w:p>
    <w:p w:rsidR="00000000" w:rsidDel="00000000" w:rsidP="00000000" w:rsidRDefault="00000000" w:rsidRPr="00000000" w14:paraId="00000019">
      <w:pPr>
        <w:widowControl w:val="0"/>
        <w:spacing w:before="325" w:line="48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Key words: </w:t>
      </w:r>
      <w:r w:rsidDel="00000000" w:rsidR="00000000" w:rsidRPr="00000000">
        <w:rPr>
          <w:rFonts w:ascii="Calibri" w:cs="Calibri" w:eastAsia="Calibri" w:hAnsi="Calibri"/>
          <w:sz w:val="24"/>
          <w:szCs w:val="24"/>
          <w:rtl w:val="0"/>
        </w:rPr>
        <w:t xml:space="preserve">Alzheimer disease, plasma, biomarker, phosphorylated tau, amyloid beta, glial fibrillary acidic protein, neurofilament protein light, pre-analytics</w:t>
      </w:r>
    </w:p>
    <w:p w:rsidR="00000000" w:rsidDel="00000000" w:rsidP="00000000" w:rsidRDefault="00000000" w:rsidRPr="00000000" w14:paraId="0000001A">
      <w:pPr>
        <w:shd w:fill="ffffff" w:val="clear"/>
        <w:spacing w:after="220" w:line="480"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shd w:fill="ffffff" w:val="clear"/>
        <w:spacing w:after="220" w:line="480"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C">
      <w:pPr>
        <w:shd w:fill="ffffff" w:val="clear"/>
        <w:spacing w:after="220" w:line="480"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shd w:fill="ffffff" w:val="clear"/>
        <w:spacing w:after="220" w:line="480"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shd w:fill="ffffff" w:val="clear"/>
        <w:spacing w:after="220" w:line="480"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widowControl w:val="0"/>
        <w:spacing w:before="325" w:line="48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 Background</w:t>
      </w:r>
    </w:p>
    <w:p w:rsidR="00000000" w:rsidDel="00000000" w:rsidP="00000000" w:rsidRDefault="00000000" w:rsidRPr="00000000" w14:paraId="00000020">
      <w:pPr>
        <w:widowControl w:val="0"/>
        <w:spacing w:before="111" w:line="480" w:lineRule="auto"/>
        <w:ind w:right="5" w:firstLine="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Alzheimer’s disease (AD) is the most common form of dementia. At present, an </w:t>
      </w:r>
      <w:r w:rsidDel="00000000" w:rsidR="00000000" w:rsidRPr="00000000">
        <w:rPr>
          <w:rFonts w:ascii="Calibri" w:cs="Calibri" w:eastAsia="Calibri" w:hAnsi="Calibri"/>
          <w:i w:val="1"/>
          <w:sz w:val="24"/>
          <w:szCs w:val="24"/>
          <w:rtl w:val="0"/>
        </w:rPr>
        <w:t xml:space="preserve">in vivo</w:t>
      </w:r>
      <w:r w:rsidDel="00000000" w:rsidR="00000000" w:rsidRPr="00000000">
        <w:rPr>
          <w:rFonts w:ascii="Calibri" w:cs="Calibri" w:eastAsia="Calibri" w:hAnsi="Calibri"/>
          <w:sz w:val="24"/>
          <w:szCs w:val="24"/>
          <w:rtl w:val="0"/>
        </w:rPr>
        <w:t xml:space="preserve"> diagnosis can be made using molecular biomarkers in cerebrospinal fluid (CSF) and positron emission tomography (PET) </w:t>
      </w:r>
      <w:hyperlink r:id="rId7">
        <w:r w:rsidDel="00000000" w:rsidR="00000000" w:rsidRPr="00000000">
          <w:rPr>
            <w:rFonts w:ascii="Calibri" w:cs="Calibri" w:eastAsia="Calibri" w:hAnsi="Calibri"/>
            <w:color w:val="000000"/>
            <w:sz w:val="24"/>
            <w:szCs w:val="24"/>
            <w:rtl w:val="0"/>
          </w:rPr>
          <w:t xml:space="preserve">[1]</w:t>
        </w:r>
      </w:hyperlink>
      <w:r w:rsidDel="00000000" w:rsidR="00000000" w:rsidRPr="00000000">
        <w:rPr>
          <w:rFonts w:ascii="Calibri" w:cs="Calibri" w:eastAsia="Calibri" w:hAnsi="Calibri"/>
          <w:sz w:val="24"/>
          <w:szCs w:val="24"/>
          <w:rtl w:val="0"/>
        </w:rPr>
        <w:t xml:space="preserve">; yet, a definitive diagnosis can still only be made post-mortem. CSF and PET diagnostic procedures are highly accurate for the underlying pathology of AD, but the high cost and minimal accessibility hamper their feasibility. The expected rise in dementia prevalence in the coming years </w:t>
      </w:r>
      <w:hyperlink r:id="rId8">
        <w:r w:rsidDel="00000000" w:rsidR="00000000" w:rsidRPr="00000000">
          <w:rPr>
            <w:rFonts w:ascii="Calibri" w:cs="Calibri" w:eastAsia="Calibri" w:hAnsi="Calibri"/>
            <w:color w:val="000000"/>
            <w:sz w:val="24"/>
            <w:szCs w:val="24"/>
            <w:rtl w:val="0"/>
          </w:rPr>
          <w:t xml:space="preserve">[2]</w:t>
        </w:r>
      </w:hyperlink>
      <w:r w:rsidDel="00000000" w:rsidR="00000000" w:rsidRPr="00000000">
        <w:rPr>
          <w:rFonts w:ascii="Calibri" w:cs="Calibri" w:eastAsia="Calibri" w:hAnsi="Calibri"/>
          <w:sz w:val="24"/>
          <w:szCs w:val="24"/>
          <w:rtl w:val="0"/>
        </w:rPr>
        <w:t xml:space="preserve"> and the increasing need for evidence of underlying AD pathology before entering anti-amyloid therapeutic trials enhance the relevance of an early, more accessible, and cost-effective measure of AD. </w:t>
      </w:r>
    </w:p>
    <w:p w:rsidR="00000000" w:rsidDel="00000000" w:rsidP="00000000" w:rsidRDefault="00000000" w:rsidRPr="00000000" w14:paraId="00000021">
      <w:pPr>
        <w:widowControl w:val="0"/>
        <w:spacing w:before="111" w:line="480" w:lineRule="auto"/>
        <w:ind w:right="5" w:firstLine="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Ultrasensitive blood tests predicting AD pathologies, amyloid-β and tau, in the brain have shown potential for both diagnostic and prognostic clinical application </w:t>
      </w:r>
      <w:hyperlink r:id="rId9">
        <w:r w:rsidDel="00000000" w:rsidR="00000000" w:rsidRPr="00000000">
          <w:rPr>
            <w:rFonts w:ascii="Calibri" w:cs="Calibri" w:eastAsia="Calibri" w:hAnsi="Calibri"/>
            <w:color w:val="000000"/>
            <w:sz w:val="24"/>
            <w:szCs w:val="24"/>
            <w:rtl w:val="0"/>
          </w:rPr>
          <w:t xml:space="preserve">[3–7]</w:t>
        </w:r>
      </w:hyperlink>
      <w:r w:rsidDel="00000000" w:rsidR="00000000" w:rsidRPr="00000000">
        <w:rPr>
          <w:rFonts w:ascii="Calibri" w:cs="Calibri" w:eastAsia="Calibri" w:hAnsi="Calibri"/>
          <w:sz w:val="24"/>
          <w:szCs w:val="24"/>
          <w:rtl w:val="0"/>
        </w:rPr>
        <w:t xml:space="preserve">). Among the most promising blood-based biomarkers are plasma phosphorylated tau 181 (p-tau181) </w:t>
      </w:r>
      <w:hyperlink r:id="rId10">
        <w:r w:rsidDel="00000000" w:rsidR="00000000" w:rsidRPr="00000000">
          <w:rPr>
            <w:rFonts w:ascii="Calibri" w:cs="Calibri" w:eastAsia="Calibri" w:hAnsi="Calibri"/>
            <w:color w:val="000000"/>
            <w:sz w:val="24"/>
            <w:szCs w:val="24"/>
            <w:rtl w:val="0"/>
          </w:rPr>
          <w:t xml:space="preserve">[8,9]</w:t>
        </w:r>
      </w:hyperlink>
      <w:r w:rsidDel="00000000" w:rsidR="00000000" w:rsidRPr="00000000">
        <w:rPr>
          <w:rFonts w:ascii="Calibri" w:cs="Calibri" w:eastAsia="Calibri" w:hAnsi="Calibri"/>
          <w:sz w:val="24"/>
          <w:szCs w:val="24"/>
          <w:rtl w:val="0"/>
        </w:rPr>
        <w:t xml:space="preserve"> and phosphorylated tau 231 (p-tau231) </w:t>
      </w:r>
      <w:hyperlink r:id="rId11">
        <w:r w:rsidDel="00000000" w:rsidR="00000000" w:rsidRPr="00000000">
          <w:rPr>
            <w:rFonts w:ascii="Calibri" w:cs="Calibri" w:eastAsia="Calibri" w:hAnsi="Calibri"/>
            <w:color w:val="000000"/>
            <w:sz w:val="24"/>
            <w:szCs w:val="24"/>
            <w:rtl w:val="0"/>
          </w:rPr>
          <w:t xml:space="preserve">[10]</w:t>
        </w:r>
      </w:hyperlink>
      <w:r w:rsidDel="00000000" w:rsidR="00000000" w:rsidRPr="00000000">
        <w:rPr>
          <w:rFonts w:ascii="Calibri" w:cs="Calibri" w:eastAsia="Calibri" w:hAnsi="Calibri"/>
          <w:sz w:val="24"/>
          <w:szCs w:val="24"/>
          <w:rtl w:val="0"/>
        </w:rPr>
        <w:t xml:space="preserve">. Other plasma biomarkers that might aid future diagnostics of AD are plasma glial fibrillary acidic protein (GFAP) </w:t>
      </w:r>
      <w:hyperlink r:id="rId12">
        <w:r w:rsidDel="00000000" w:rsidR="00000000" w:rsidRPr="00000000">
          <w:rPr>
            <w:rFonts w:ascii="Calibri" w:cs="Calibri" w:eastAsia="Calibri" w:hAnsi="Calibri"/>
            <w:color w:val="000000"/>
            <w:sz w:val="24"/>
            <w:szCs w:val="24"/>
            <w:rtl w:val="0"/>
          </w:rPr>
          <w:t xml:space="preserve">[11]</w:t>
        </w:r>
      </w:hyperlink>
      <w:r w:rsidDel="00000000" w:rsidR="00000000" w:rsidRPr="00000000">
        <w:rPr>
          <w:rFonts w:ascii="Calibri" w:cs="Calibri" w:eastAsia="Calibri" w:hAnsi="Calibri"/>
          <w:sz w:val="24"/>
          <w:szCs w:val="24"/>
          <w:rtl w:val="0"/>
        </w:rPr>
        <w:t xml:space="preserve">, plasma amyloid-β 42 to amyloid-β 40 ratio (Aβ42/Aβ40 ratio)</w:t>
      </w:r>
      <w:r w:rsidDel="00000000" w:rsidR="00000000" w:rsidRPr="00000000">
        <w:rPr>
          <w:rFonts w:ascii="Calibri" w:cs="Calibri" w:eastAsia="Calibri" w:hAnsi="Calibri"/>
          <w:rtl w:val="0"/>
        </w:rPr>
        <w:t xml:space="preserve"> </w:t>
      </w:r>
      <w:hyperlink r:id="rId13">
        <w:r w:rsidDel="00000000" w:rsidR="00000000" w:rsidRPr="00000000">
          <w:rPr>
            <w:rFonts w:ascii="Calibri" w:cs="Calibri" w:eastAsia="Calibri" w:hAnsi="Calibri"/>
            <w:color w:val="000000"/>
            <w:rtl w:val="0"/>
          </w:rPr>
          <w:t xml:space="preserve">[12]</w:t>
        </w:r>
      </w:hyperlink>
      <w:r w:rsidDel="00000000" w:rsidR="00000000" w:rsidRPr="00000000">
        <w:rPr>
          <w:rFonts w:ascii="Calibri" w:cs="Calibri" w:eastAsia="Calibri" w:hAnsi="Calibri"/>
          <w:sz w:val="24"/>
          <w:szCs w:val="24"/>
          <w:rtl w:val="0"/>
        </w:rPr>
        <w:t xml:space="preserve"> and plasma neurofilament light (NfL) </w:t>
      </w:r>
      <w:hyperlink r:id="rId14">
        <w:r w:rsidDel="00000000" w:rsidR="00000000" w:rsidRPr="00000000">
          <w:rPr>
            <w:rFonts w:ascii="Calibri" w:cs="Calibri" w:eastAsia="Calibri" w:hAnsi="Calibri"/>
            <w:color w:val="000000"/>
            <w:sz w:val="24"/>
            <w:szCs w:val="24"/>
            <w:rtl w:val="0"/>
          </w:rPr>
          <w:t xml:space="preserve">[13]</w:t>
        </w:r>
      </w:hyperlink>
      <w:r w:rsidDel="00000000" w:rsidR="00000000" w:rsidRPr="00000000">
        <w:rPr>
          <w:rFonts w:ascii="Calibri" w:cs="Calibri" w:eastAsia="Calibri" w:hAnsi="Calibri"/>
          <w:sz w:val="24"/>
          <w:szCs w:val="24"/>
          <w:rtl w:val="0"/>
        </w:rPr>
        <w:t xml:space="preserve">. The combination of different biomarkers has also shown promising results </w:t>
      </w:r>
      <w:hyperlink r:id="rId15">
        <w:r w:rsidDel="00000000" w:rsidR="00000000" w:rsidRPr="00000000">
          <w:rPr>
            <w:rFonts w:ascii="Calibri" w:cs="Calibri" w:eastAsia="Calibri" w:hAnsi="Calibri"/>
            <w:color w:val="000000"/>
            <w:sz w:val="24"/>
            <w:szCs w:val="24"/>
            <w:rtl w:val="0"/>
          </w:rPr>
          <w:t xml:space="preserve">[14]</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2">
      <w:pPr>
        <w:widowControl w:val="0"/>
        <w:spacing w:before="111" w:line="480" w:lineRule="auto"/>
        <w:ind w:right="5" w:firstLine="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Due to the prospect that these plasma assays may greatly improve the diagnostic accuracy of AD pathology, a study of the possibility to use these tests in general practice is warranted. It has been shown that patients assessed for cognitive decline in primary healthcare had higher age, poorer cognition, and more limitations in activities of daily living than patients assessed in specialist healthcare </w:t>
      </w:r>
      <w:hyperlink r:id="rId16">
        <w:r w:rsidDel="00000000" w:rsidR="00000000" w:rsidRPr="00000000">
          <w:rPr>
            <w:rFonts w:ascii="Calibri" w:cs="Calibri" w:eastAsia="Calibri" w:hAnsi="Calibri"/>
            <w:color w:val="000000"/>
            <w:sz w:val="24"/>
            <w:szCs w:val="24"/>
            <w:rtl w:val="0"/>
          </w:rPr>
          <w:t xml:space="preserve">[15]</w:t>
        </w:r>
      </w:hyperlink>
      <w:r w:rsidDel="00000000" w:rsidR="00000000" w:rsidRPr="00000000">
        <w:rPr>
          <w:rFonts w:ascii="Calibri" w:cs="Calibri" w:eastAsia="Calibri" w:hAnsi="Calibri"/>
          <w:sz w:val="24"/>
          <w:szCs w:val="24"/>
          <w:rtl w:val="0"/>
        </w:rPr>
        <w:t xml:space="preserve">. Reviews suggest that primary care providers experience difficulty recognizing early AD </w:t>
      </w:r>
      <w:hyperlink r:id="rId17">
        <w:r w:rsidDel="00000000" w:rsidR="00000000" w:rsidRPr="00000000">
          <w:rPr>
            <w:rFonts w:ascii="Calibri" w:cs="Calibri" w:eastAsia="Calibri" w:hAnsi="Calibri"/>
            <w:color w:val="000000"/>
            <w:sz w:val="24"/>
            <w:szCs w:val="24"/>
            <w:rtl w:val="0"/>
          </w:rPr>
          <w:t xml:space="preserve">[16]</w:t>
        </w:r>
      </w:hyperlink>
      <w:r w:rsidDel="00000000" w:rsidR="00000000" w:rsidRPr="00000000">
        <w:rPr>
          <w:rFonts w:ascii="Calibri" w:cs="Calibri" w:eastAsia="Calibri" w:hAnsi="Calibri"/>
          <w:sz w:val="24"/>
          <w:szCs w:val="24"/>
          <w:rtl w:val="0"/>
        </w:rPr>
        <w:t xml:space="preserve">, lack confidence with diagnosing dementia, and express the need for better screening and diagnostic tools </w:t>
      </w:r>
      <w:hyperlink r:id="rId18">
        <w:r w:rsidDel="00000000" w:rsidR="00000000" w:rsidRPr="00000000">
          <w:rPr>
            <w:rFonts w:ascii="Calibri" w:cs="Calibri" w:eastAsia="Calibri" w:hAnsi="Calibri"/>
            <w:color w:val="000000"/>
            <w:sz w:val="24"/>
            <w:szCs w:val="24"/>
            <w:rtl w:val="0"/>
          </w:rPr>
          <w:t xml:space="preserve">[17]</w:t>
        </w:r>
      </w:hyperlink>
      <w:r w:rsidDel="00000000" w:rsidR="00000000" w:rsidRPr="00000000">
        <w:rPr>
          <w:rFonts w:ascii="Calibri" w:cs="Calibri" w:eastAsia="Calibri" w:hAnsi="Calibri"/>
          <w:sz w:val="24"/>
          <w:szCs w:val="24"/>
          <w:rtl w:val="0"/>
        </w:rPr>
        <w:t xml:space="preserve">. However, there are certain demands a blood test administered in primary care must fulfill to be of practical use. Primary care centers do not have the facilities to analyze high-technology assays and seldom have immediate access to ultra-low temperature freezers. Therefore, the plasma samples have to be stored and transported to a central laboratory for analysis. It is crucial to know if the storage temperature and duration of time from phlebotomy to ultra-low temperature freezing (ULTF) of the plasma affect the result of the assays. </w:t>
      </w:r>
    </w:p>
    <w:p w:rsidR="00000000" w:rsidDel="00000000" w:rsidP="00000000" w:rsidRDefault="00000000" w:rsidRPr="00000000" w14:paraId="00000023">
      <w:pPr>
        <w:widowControl w:val="0"/>
        <w:spacing w:before="111" w:line="480" w:lineRule="auto"/>
        <w:ind w:right="5" w:firstLine="2"/>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This study aimed to assess the stability of ultrasensitive assays of plasma p-tau181, p-tau231, GFAP, Aβ40, Aβ42 and NfL for sample storage temperature and duration of time from phlebotomy to ULTF. </w:t>
      </w:r>
      <w:r w:rsidDel="00000000" w:rsidR="00000000" w:rsidRPr="00000000">
        <w:rPr>
          <w:rtl w:val="0"/>
        </w:rPr>
      </w:r>
    </w:p>
    <w:p w:rsidR="00000000" w:rsidDel="00000000" w:rsidP="00000000" w:rsidRDefault="00000000" w:rsidRPr="00000000" w14:paraId="00000024">
      <w:pPr>
        <w:widowControl w:val="0"/>
        <w:spacing w:before="115" w:line="480" w:lineRule="auto"/>
        <w:ind w:left="4" w:firstLine="0"/>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2. </w:t>
      </w:r>
      <w:r w:rsidDel="00000000" w:rsidR="00000000" w:rsidRPr="00000000">
        <w:rPr>
          <w:rFonts w:ascii="Calibri" w:cs="Calibri" w:eastAsia="Calibri" w:hAnsi="Calibri"/>
          <w:b w:val="1"/>
          <w:color w:val="000000"/>
          <w:sz w:val="28"/>
          <w:szCs w:val="28"/>
          <w:rtl w:val="0"/>
        </w:rPr>
        <w:t xml:space="preserve">Methods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115" w:line="480" w:lineRule="auto"/>
        <w:ind w:left="4"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2.1 Design</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115" w:line="480" w:lineRule="auto"/>
        <w:ind w:left="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Blinded, controlled experiment</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115" w:line="480" w:lineRule="auto"/>
        <w:ind w:left="4" w:firstLine="0"/>
        <w:rPr>
          <w:rFonts w:ascii="Calibri" w:cs="Calibri" w:eastAsia="Calibri" w:hAnsi="Calibri"/>
          <w:b w:val="1"/>
          <w:sz w:val="26"/>
          <w:szCs w:val="26"/>
        </w:rPr>
      </w:pPr>
      <w:r w:rsidDel="00000000" w:rsidR="00000000" w:rsidRPr="00000000">
        <w:rPr>
          <w:rFonts w:ascii="Calibri" w:cs="Calibri" w:eastAsia="Calibri" w:hAnsi="Calibri"/>
          <w:b w:val="1"/>
          <w:sz w:val="24"/>
          <w:szCs w:val="24"/>
          <w:rtl w:val="0"/>
        </w:rPr>
        <w:t xml:space="preserve">2.2 Sample</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162" w:line="480" w:lineRule="auto"/>
        <w:ind w:left="2" w:right="3" w:firstLine="6.000000000000001"/>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Four general practitioner (GP) offices in the Stavanger area, with at least three GPs per office, were selected for recruiting patients, based on their proximity to Stavanger University Hospital and willingness to help with recruitment. Additional participants were recruited from the Centre for Age-related medicine in Stavanger. The </w:t>
      </w:r>
      <w:r w:rsidDel="00000000" w:rsidR="00000000" w:rsidRPr="00000000">
        <w:rPr>
          <w:rFonts w:ascii="Calibri" w:cs="Calibri" w:eastAsia="Calibri" w:hAnsi="Calibri"/>
          <w:color w:val="000000"/>
          <w:sz w:val="24"/>
          <w:szCs w:val="24"/>
          <w:rtl w:val="0"/>
        </w:rPr>
        <w:t xml:space="preserve">inclusion </w:t>
      </w:r>
      <w:r w:rsidDel="00000000" w:rsidR="00000000" w:rsidRPr="00000000">
        <w:rPr>
          <w:rFonts w:ascii="Calibri" w:cs="Calibri" w:eastAsia="Calibri" w:hAnsi="Calibri"/>
          <w:sz w:val="24"/>
          <w:szCs w:val="24"/>
          <w:rtl w:val="0"/>
        </w:rPr>
        <w:t xml:space="preserve">period</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lasted</w:t>
      </w:r>
      <w:r w:rsidDel="00000000" w:rsidR="00000000" w:rsidRPr="00000000">
        <w:rPr>
          <w:rFonts w:ascii="Calibri" w:cs="Calibri" w:eastAsia="Calibri" w:hAnsi="Calibri"/>
          <w:color w:val="000000"/>
          <w:sz w:val="24"/>
          <w:szCs w:val="24"/>
          <w:rtl w:val="0"/>
        </w:rPr>
        <w:t xml:space="preserve"> from </w:t>
      </w:r>
      <w:r w:rsidDel="00000000" w:rsidR="00000000" w:rsidRPr="00000000">
        <w:rPr>
          <w:rFonts w:ascii="Calibri" w:cs="Calibri" w:eastAsia="Calibri" w:hAnsi="Calibri"/>
          <w:sz w:val="24"/>
          <w:szCs w:val="24"/>
          <w:rtl w:val="0"/>
        </w:rPr>
        <w:t xml:space="preserve">February</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28th</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to June 23rd 2022.</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Informed w</w:t>
      </w:r>
      <w:r w:rsidDel="00000000" w:rsidR="00000000" w:rsidRPr="00000000">
        <w:rPr>
          <w:rFonts w:ascii="Calibri" w:cs="Calibri" w:eastAsia="Calibri" w:hAnsi="Calibri"/>
          <w:color w:val="000000"/>
          <w:sz w:val="24"/>
          <w:szCs w:val="24"/>
          <w:rtl w:val="0"/>
        </w:rPr>
        <w:t xml:space="preserve">ritten consent was obtained from all particip</w:t>
      </w:r>
      <w:r w:rsidDel="00000000" w:rsidR="00000000" w:rsidRPr="00000000">
        <w:rPr>
          <w:rFonts w:ascii="Calibri" w:cs="Calibri" w:eastAsia="Calibri" w:hAnsi="Calibri"/>
          <w:sz w:val="24"/>
          <w:szCs w:val="24"/>
          <w:rtl w:val="0"/>
        </w:rPr>
        <w:t xml:space="preserve">ants. </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134" w:line="480" w:lineRule="auto"/>
        <w:ind w:left="21" w:firstLine="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Inclusion criteria: Either (</w:t>
      </w:r>
      <w:r w:rsidDel="00000000" w:rsidR="00000000" w:rsidRPr="00000000">
        <w:rPr>
          <w:rFonts w:ascii="Calibri" w:cs="Calibri" w:eastAsia="Calibri" w:hAnsi="Calibri"/>
          <w:sz w:val="24"/>
          <w:szCs w:val="24"/>
          <w:rtl w:val="0"/>
        </w:rPr>
        <w:t xml:space="preserve">i) or (ii). (i) Persons aged 40 years or older suspected by their GP to have possible dementia</w:t>
      </w:r>
      <w:r w:rsidDel="00000000" w:rsidR="00000000" w:rsidRPr="00000000">
        <w:rPr>
          <w:rFonts w:ascii="Calibri" w:cs="Calibri" w:eastAsia="Calibri" w:hAnsi="Calibri"/>
          <w:color w:val="000000"/>
          <w:sz w:val="24"/>
          <w:szCs w:val="24"/>
          <w:rtl w:val="0"/>
        </w:rPr>
        <w:t xml:space="preserve">, based on history, clinical examination and/or cognitive screening. These participants were recruited from t</w:t>
      </w:r>
      <w:r w:rsidDel="00000000" w:rsidR="00000000" w:rsidRPr="00000000">
        <w:rPr>
          <w:rFonts w:ascii="Calibri" w:cs="Calibri" w:eastAsia="Calibri" w:hAnsi="Calibri"/>
          <w:sz w:val="24"/>
          <w:szCs w:val="24"/>
          <w:rtl w:val="0"/>
        </w:rPr>
        <w:t xml:space="preserve">he </w:t>
      </w:r>
      <w:r w:rsidDel="00000000" w:rsidR="00000000" w:rsidRPr="00000000">
        <w:rPr>
          <w:rFonts w:ascii="Calibri" w:cs="Calibri" w:eastAsia="Calibri" w:hAnsi="Calibri"/>
          <w:color w:val="000000"/>
          <w:sz w:val="24"/>
          <w:szCs w:val="24"/>
          <w:rtl w:val="0"/>
        </w:rPr>
        <w:t xml:space="preserve">GP offices only. (ii) Assumed </w:t>
      </w:r>
      <w:r w:rsidDel="00000000" w:rsidR="00000000" w:rsidRPr="00000000">
        <w:rPr>
          <w:rFonts w:ascii="Calibri" w:cs="Calibri" w:eastAsia="Calibri" w:hAnsi="Calibri"/>
          <w:sz w:val="24"/>
          <w:szCs w:val="24"/>
          <w:rtl w:val="0"/>
        </w:rPr>
        <w:t xml:space="preserve">cognitively unimpaired participants aged 65 years or above. These participants were recruited from the GP offices and from the Centre for Age-related medicine at Stavanger University Hospital.</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134" w:line="480" w:lineRule="auto"/>
        <w:ind w:left="20" w:firstLine="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Exclusion criteria </w:t>
      </w:r>
      <w:r w:rsidDel="00000000" w:rsidR="00000000" w:rsidRPr="00000000">
        <w:rPr>
          <w:rFonts w:ascii="Calibri" w:cs="Calibri" w:eastAsia="Calibri" w:hAnsi="Calibri"/>
          <w:sz w:val="24"/>
          <w:szCs w:val="24"/>
          <w:rtl w:val="0"/>
        </w:rPr>
        <w:t xml:space="preserve">applied to cognitively impaired participants: Either (i) or (ii). </w:t>
      </w:r>
      <w:r w:rsidDel="00000000" w:rsidR="00000000" w:rsidRPr="00000000">
        <w:rPr>
          <w:rFonts w:ascii="Calibri" w:cs="Calibri" w:eastAsia="Calibri" w:hAnsi="Calibri"/>
          <w:color w:val="000000"/>
          <w:sz w:val="24"/>
          <w:szCs w:val="24"/>
          <w:rtl w:val="0"/>
        </w:rPr>
        <w:t xml:space="preserve">(i)</w:t>
      </w:r>
      <w:r w:rsidDel="00000000" w:rsidR="00000000" w:rsidRPr="00000000">
        <w:rPr>
          <w:rFonts w:ascii="Calibri" w:cs="Calibri" w:eastAsia="Calibri" w:hAnsi="Calibri"/>
          <w:sz w:val="24"/>
          <w:szCs w:val="24"/>
          <w:rtl w:val="0"/>
        </w:rPr>
        <w:t xml:space="preserve"> L</w:t>
      </w:r>
      <w:r w:rsidDel="00000000" w:rsidR="00000000" w:rsidRPr="00000000">
        <w:rPr>
          <w:rFonts w:ascii="Calibri" w:cs="Calibri" w:eastAsia="Calibri" w:hAnsi="Calibri"/>
          <w:color w:val="000000"/>
          <w:sz w:val="24"/>
          <w:szCs w:val="24"/>
          <w:rtl w:val="0"/>
        </w:rPr>
        <w:t xml:space="preserve">ack of capacity for consent as judged by the GP.</w:t>
      </w:r>
      <w:r w:rsidDel="00000000" w:rsidR="00000000" w:rsidRPr="00000000">
        <w:rPr>
          <w:rFonts w:ascii="Calibri" w:cs="Calibri" w:eastAsia="Calibri" w:hAnsi="Calibri"/>
          <w:sz w:val="24"/>
          <w:szCs w:val="24"/>
          <w:rtl w:val="0"/>
        </w:rPr>
        <w:t xml:space="preserve"> (ii) Severe</w:t>
      </w:r>
      <w:r w:rsidDel="00000000" w:rsidR="00000000" w:rsidRPr="00000000">
        <w:rPr>
          <w:rFonts w:ascii="Calibri" w:cs="Calibri" w:eastAsia="Calibri" w:hAnsi="Calibri"/>
          <w:color w:val="000000"/>
          <w:sz w:val="24"/>
          <w:szCs w:val="24"/>
          <w:rtl w:val="0"/>
        </w:rPr>
        <w:t xml:space="preserve"> psychiatric disease, </w:t>
      </w:r>
      <w:r w:rsidDel="00000000" w:rsidR="00000000" w:rsidRPr="00000000">
        <w:rPr>
          <w:rFonts w:ascii="Calibri" w:cs="Calibri" w:eastAsia="Calibri" w:hAnsi="Calibri"/>
          <w:sz w:val="24"/>
          <w:szCs w:val="24"/>
          <w:rtl w:val="0"/>
        </w:rPr>
        <w:t xml:space="preserve">use of medication or physical disease</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that according to the GP may affect participation or likely contribute significantly to the observed cognitive impairment.</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162" w:line="480" w:lineRule="auto"/>
        <w:ind w:left="2" w:right="3" w:firstLine="6.00000000000000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total of 13 participants were included, of whom 5 were female. Ten participants were cognitively unimpaired. Average age was 72,5 years (standard deviation 6,7).</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134" w:line="480" w:lineRule="auto"/>
        <w:ind w:left="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2.3 Measures</w:t>
      </w:r>
      <w:r w:rsidDel="00000000" w:rsidR="00000000" w:rsidRPr="00000000">
        <w:rPr>
          <w:rtl w:val="0"/>
        </w:rPr>
      </w:r>
    </w:p>
    <w:p w:rsidR="00000000" w:rsidDel="00000000" w:rsidP="00000000" w:rsidRDefault="00000000" w:rsidRPr="00000000" w14:paraId="0000002D">
      <w:pPr>
        <w:widowControl w:val="0"/>
        <w:spacing w:before="115" w:line="480" w:lineRule="auto"/>
        <w:ind w:left="4" w:firstLine="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Biomarker concentrations in plasma aliquots stored at -80°Celsius (°C) within two hours of phlebotomy were compared with aliquots frozen 4 hours, 6 hours, 8 hours, 10 hours, and 24 hours after phlebotomy, respectively stored at +4°C and at room temperature (mean +18.3°C) prior to ULTF.</w:t>
      </w:r>
      <w:r w:rsidDel="00000000" w:rsidR="00000000" w:rsidRPr="00000000">
        <w:rPr>
          <w:rtl w:val="0"/>
        </w:rPr>
      </w:r>
    </w:p>
    <w:p w:rsidR="00000000" w:rsidDel="00000000" w:rsidP="00000000" w:rsidRDefault="00000000" w:rsidRPr="00000000" w14:paraId="0000002E">
      <w:pPr>
        <w:widowControl w:val="0"/>
        <w:spacing w:before="115" w:line="480" w:lineRule="auto"/>
        <w:ind w:left="4"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2.4 Procedure</w:t>
      </w:r>
    </w:p>
    <w:p w:rsidR="00000000" w:rsidDel="00000000" w:rsidP="00000000" w:rsidRDefault="00000000" w:rsidRPr="00000000" w14:paraId="0000002F">
      <w:pPr>
        <w:widowControl w:val="0"/>
        <w:spacing w:before="115" w:line="480" w:lineRule="auto"/>
        <w:ind w:left="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2.4.1 Sample handling</w:t>
      </w:r>
    </w:p>
    <w:p w:rsidR="00000000" w:rsidDel="00000000" w:rsidP="00000000" w:rsidRDefault="00000000" w:rsidRPr="00000000" w14:paraId="00000030">
      <w:pPr>
        <w:widowControl w:val="0"/>
        <w:spacing w:before="115" w:line="480" w:lineRule="auto"/>
        <w:ind w:right="6" w:firstLine="4"/>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Blood samples were taken by phlebotomy between 8:15 am and 10 am and collected in tubes with K2-ethylenediaminetetraacetic acid (K2-EDTA). Three 6 milliliter tubes (Vacuette G456043) filled to maximum volume were collected per participant. Fasting was not required. The time of phlebotomy was noted (hour and minute). Tubes were mixed by gently being inverted 5 to 10 times, thereafter centrifuged at 2200xg for 10 minutes at room temperature (RT). RT at this stage of the sample handling was defined as the temperature at the laboratories at the GP offices and at the research laboratory at Stavanger University Hospital and was not measured. Plasma was pipetted off using a Low-Density Polyethylene transfer pipette (Sarstedt 86.1172.001), sparing out the buffy coat layer. Plasma from the same patient was pooled in a 15 ml polypropylene tube (Sarstedt 62.554.502).</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Tubes collected at the GP offices were stored in a refrigerator at +4°C and then transported in a cooling bag (Sarstedt 95.995)</w:t>
      </w:r>
      <w:r w:rsidDel="00000000" w:rsidR="00000000" w:rsidRPr="00000000">
        <w:rPr>
          <w:rFonts w:ascii="Calibri" w:cs="Calibri" w:eastAsia="Calibri" w:hAnsi="Calibri"/>
          <w:color w:val="222222"/>
          <w:highlight w:val="white"/>
          <w:rtl w:val="0"/>
        </w:rPr>
        <w:t xml:space="preserve"> </w:t>
      </w:r>
      <w:r w:rsidDel="00000000" w:rsidR="00000000" w:rsidRPr="00000000">
        <w:rPr>
          <w:rFonts w:ascii="Calibri" w:cs="Calibri" w:eastAsia="Calibri" w:hAnsi="Calibri"/>
          <w:sz w:val="24"/>
          <w:szCs w:val="24"/>
          <w:rtl w:val="0"/>
        </w:rPr>
        <w:t xml:space="preserve">directly to the hospital laboratory arriving no later than 10:30 am. At the hospital laboratory the plasma in the 15 ml polypropylene tubes was mixed by gently inverting the tube 10 times, then twelve 0.5 mL aliquots of the plasma sample were pipetted into</w:t>
      </w:r>
      <w:r w:rsidDel="00000000" w:rsidR="00000000" w:rsidRPr="00000000">
        <w:rPr>
          <w:rFonts w:ascii="Calibri" w:cs="Calibri" w:eastAsia="Calibri" w:hAnsi="Calibri"/>
          <w:color w:val="222222"/>
          <w:rtl w:val="0"/>
        </w:rPr>
        <w:t xml:space="preserve"> </w:t>
      </w:r>
      <w:r w:rsidDel="00000000" w:rsidR="00000000" w:rsidRPr="00000000">
        <w:rPr>
          <w:rFonts w:ascii="Calibri" w:cs="Calibri" w:eastAsia="Calibri" w:hAnsi="Calibri"/>
          <w:color w:val="222222"/>
          <w:sz w:val="24"/>
          <w:szCs w:val="24"/>
          <w:rtl w:val="0"/>
        </w:rPr>
        <w:t xml:space="preserve">polyethylene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cryotubes</w:t>
      </w:r>
      <w:r w:rsidDel="00000000" w:rsidR="00000000" w:rsidRPr="00000000">
        <w:rPr>
          <w:rFonts w:ascii="Calibri" w:cs="Calibri" w:eastAsia="Calibri" w:hAnsi="Calibri"/>
          <w:color w:val="222222"/>
          <w:sz w:val="24"/>
          <w:szCs w:val="24"/>
          <w:rtl w:val="0"/>
        </w:rPr>
        <w:t xml:space="preserve"> (Sarstedt CryoPure tubes, 72.377</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24"/>
          <w:szCs w:val="24"/>
          <w:rtl w:val="0"/>
        </w:rPr>
        <w:t xml:space="preserve"> by using a Low-Density Polyethylene transfer pipette. Half of the plasma aliquots were thereafter kept at +4°C and half were kept at RT. RT was automatically measured and adjusted, with the mean value being +18.3°C (minimum +16.1°C; maximum +19.5°C). One aliquot from each of these two groups was frozen at -80°C at defined time points: 10:30 to 11am (depending on the time of phlebotomy), 12:30pm, 2:30pm, 4:30pm, 6:30pm and 8am, equivalent to storage duration approximately 2 hours, 4 hours, 6 hours, 8 hours, 10 hours, and 24 hours after phlebotomy. The ultra-low-temperature-frozen cryotubes were stored at -80°C until samples from all participants had been collected, then sent from Stavanger to Gothenburg by temperature-regulated dry ice transport. </w:t>
      </w:r>
    </w:p>
    <w:p w:rsidR="00000000" w:rsidDel="00000000" w:rsidP="00000000" w:rsidRDefault="00000000" w:rsidRPr="00000000" w14:paraId="00000031">
      <w:pPr>
        <w:widowControl w:val="0"/>
        <w:spacing w:before="115" w:line="480" w:lineRule="auto"/>
        <w:ind w:right="6" w:firstLine="4"/>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Plasma samples were analyzed at the </w:t>
      </w:r>
      <w:r w:rsidDel="00000000" w:rsidR="00000000" w:rsidRPr="00000000">
        <w:rPr>
          <w:rFonts w:ascii="Calibri" w:cs="Calibri" w:eastAsia="Calibri" w:hAnsi="Calibri"/>
          <w:sz w:val="24"/>
          <w:szCs w:val="24"/>
          <w:highlight w:val="white"/>
          <w:rtl w:val="0"/>
        </w:rPr>
        <w:t xml:space="preserve">Clinical Neurochemistry Laboratory, Sahlgrenska University Hospital, Mölndal, Sweden.</w:t>
      </w:r>
      <w:r w:rsidDel="00000000" w:rsidR="00000000" w:rsidRPr="00000000">
        <w:rPr>
          <w:rFonts w:ascii="Calibri" w:cs="Calibri" w:eastAsia="Calibri" w:hAnsi="Calibri"/>
          <w:color w:val="ff0000"/>
          <w:sz w:val="24"/>
          <w:szCs w:val="24"/>
          <w:highlight w:val="white"/>
          <w:rtl w:val="0"/>
        </w:rPr>
        <w:t xml:space="preserve"> </w:t>
      </w:r>
      <w:r w:rsidDel="00000000" w:rsidR="00000000" w:rsidRPr="00000000">
        <w:rPr>
          <w:rFonts w:ascii="Calibri" w:cs="Calibri" w:eastAsia="Calibri" w:hAnsi="Calibri"/>
          <w:sz w:val="24"/>
          <w:szCs w:val="24"/>
          <w:rtl w:val="0"/>
        </w:rPr>
        <w:t xml:space="preserve">The laboratory was blinded to which aliquot had been frozen at which point of time and whether the aliquot had been stored at RT or at +4°C prior to freezing. Prior to analysis the plasma samples were thawed, vortexed at 2000 revolutions per minute for 30 seconds and centrifuged at 4000xg for 10 minutes at RT. Analyses were conducted no later than 30 minutes after plasma thawing. The twelve aliquots belonging to the same patient were always analyzed in succession in the same analytical run. </w:t>
      </w:r>
    </w:p>
    <w:p w:rsidR="00000000" w:rsidDel="00000000" w:rsidP="00000000" w:rsidRDefault="00000000" w:rsidRPr="00000000" w14:paraId="00000032">
      <w:pPr>
        <w:widowControl w:val="0"/>
        <w:spacing w:before="115" w:line="480" w:lineRule="auto"/>
        <w:ind w:right="6" w:firstLine="4"/>
        <w:rPr>
          <w:rFonts w:ascii="Calibri" w:cs="Calibri" w:eastAsia="Calibri" w:hAnsi="Calibri"/>
          <w:sz w:val="20"/>
          <w:szCs w:val="20"/>
          <w:highlight w:val="white"/>
        </w:rPr>
      </w:pPr>
      <w:r w:rsidDel="00000000" w:rsidR="00000000" w:rsidRPr="00000000">
        <w:rPr>
          <w:rFonts w:ascii="Calibri" w:cs="Calibri" w:eastAsia="Calibri" w:hAnsi="Calibri"/>
          <w:sz w:val="24"/>
          <w:szCs w:val="24"/>
          <w:rtl w:val="0"/>
        </w:rPr>
        <w:t xml:space="preserve">2.4.2 Platform and assays</w:t>
      </w:r>
      <w:r w:rsidDel="00000000" w:rsidR="00000000" w:rsidRPr="00000000">
        <w:rPr>
          <w:rtl w:val="0"/>
        </w:rPr>
      </w:r>
    </w:p>
    <w:p w:rsidR="00000000" w:rsidDel="00000000" w:rsidP="00000000" w:rsidRDefault="00000000" w:rsidRPr="00000000" w14:paraId="00000033">
      <w:pPr>
        <w:spacing w:line="48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Plasma analysis was performed on the HD-X Analyzer (Quanterix). Plasma p-tau181 and p-tau231 concentrations were measured using in-house assays developed by the University of Gothenburg </w:t>
      </w:r>
      <w:hyperlink r:id="rId19">
        <w:r w:rsidDel="00000000" w:rsidR="00000000" w:rsidRPr="00000000">
          <w:rPr>
            <w:rFonts w:ascii="Calibri" w:cs="Calibri" w:eastAsia="Calibri" w:hAnsi="Calibri"/>
            <w:color w:val="000000"/>
            <w:sz w:val="24"/>
            <w:szCs w:val="24"/>
            <w:rtl w:val="0"/>
          </w:rPr>
          <w:t xml:space="preserve">[8,10]</w:t>
        </w:r>
      </w:hyperlink>
      <w:r w:rsidDel="00000000" w:rsidR="00000000" w:rsidRPr="00000000">
        <w:rPr>
          <w:rFonts w:ascii="Calibri" w:cs="Calibri" w:eastAsia="Calibri" w:hAnsi="Calibri"/>
          <w:sz w:val="24"/>
          <w:szCs w:val="24"/>
          <w:rtl w:val="0"/>
        </w:rPr>
        <w:t xml:space="preserve">. Plasma Aβ42, Aβ40, GFAP and NfL were measured using commercially available immunoassay from Quanterix (Neurology 4-Plex E). </w:t>
      </w: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115" w:line="480" w:lineRule="auto"/>
        <w:ind w:left="4"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2.5 Statistics</w:t>
      </w:r>
    </w:p>
    <w:p w:rsidR="00000000" w:rsidDel="00000000" w:rsidP="00000000" w:rsidRDefault="00000000" w:rsidRPr="00000000" w14:paraId="00000035">
      <w:pPr>
        <w:spacing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Descriptive analyses were performed by estimating means and standard deviation (SD) for quantitative variables and percentages for categorical variables at 2h (baseline), where sex and cognitive status were treated as dummy variables. Independent repeated measurements ANOVA were used for the longitudinal assessments for each variable, including two random effects: the variation within subjects as a variance component and the time-variation in each storage method as an unstructured variance component. P-tau181 and p-tau231 were logarithm-transformed to reach the normality assumption. One subject was excluded from the GFAP model since it was detected as an outlier. Also, a second subject was excluded for p-tau231. All models were adjusted for sex, age and cognitive status. Where there was found no significant effect this adjustment was excluded to keep the models as simple as possible. Thus, the Aβ40 model was adjusted by sex, the Aβ42, Aβ40/42, and p-tau181 models by sex and age, the GFAP and p-tau231 models by sex, and the NfL model by sex and cognitive status. The models were fitted by restricted maximum likelihood (REML), and the t-test for the hypothesis testing in the least squared means post-estimations used the Kenward-Roger method to estimate the degrees of freedom. Tukey’s p-values adjustment was used to correct for multiple testing, and the hypotheses were rejected in each model on an alpha level of 0.05. PROC MIXED in SAS 9.4 was used for modeling and R version 4.2.1 for data manipulation and graphics.</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115" w:line="480" w:lineRule="auto"/>
        <w:ind w:left="4"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2.6 Ethics</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115" w:line="480" w:lineRule="auto"/>
        <w:ind w:left="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Regional committee for medical and health research ethics approved the study on November 4th 2021 (REK Vest ID 206473). Informed written consent was obtained from all participants.</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115" w:line="480" w:lineRule="auto"/>
        <w:ind w:left="4" w:firstLine="0"/>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3. </w:t>
      </w:r>
      <w:r w:rsidDel="00000000" w:rsidR="00000000" w:rsidRPr="00000000">
        <w:rPr>
          <w:rFonts w:ascii="Calibri" w:cs="Calibri" w:eastAsia="Calibri" w:hAnsi="Calibri"/>
          <w:b w:val="1"/>
          <w:color w:val="000000"/>
          <w:sz w:val="28"/>
          <w:szCs w:val="28"/>
          <w:rtl w:val="0"/>
        </w:rPr>
        <w:t xml:space="preserve">Results </w:t>
      </w:r>
    </w:p>
    <w:p w:rsidR="00000000" w:rsidDel="00000000" w:rsidP="00000000" w:rsidRDefault="00000000" w:rsidRPr="00000000" w14:paraId="00000039">
      <w:pPr>
        <w:spacing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Descriptive analyses at baseline are summarized in Table 1. Figure 1 shows median concentrations of plasma p-tau181, p-tau231, GFAP, NfL, Aβ40, Aβ42 and Aβ42/Aβ40 when plasma was stored at RT and when stored at +4°C for up to 24 hours. Mean time between phlebotomy and ULT freezing of the first aliquot was 86 minutes (min. 40 minutes, max. 147 minutes, median 93 minutes).</w:t>
      </w:r>
    </w:p>
    <w:p w:rsidR="00000000" w:rsidDel="00000000" w:rsidP="00000000" w:rsidRDefault="00000000" w:rsidRPr="00000000" w14:paraId="0000003A">
      <w:pPr>
        <w:spacing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found no significant changes in concentrations of plasma p-tau181, p-tau231 and GFAP for neither the examined time nor temperature variables. For NfL, there was a significant difference in biomarker concentration comparing aliquots stored at +4°C versus RT after 8- and 10-hours storage but not after 24 hours. For Aβ40 and Aβ42, there were significant differences in biomarker concentrations between storage at +4°C and RT at 8 hours, 10 hours, and 24 hours and between baseline and storage at RT for 24 hours. For Aβ40, there was also a significant difference in biomarker concentrations comparing storage at RT at baseline with storage after 10 hours. For the Aβ42 to Aβ40 ratio, there was a significant difference comparing storage at +4°C and room temperature at 24 hours but not compared with baseline. Significant findings are shown in Table 2. See appendix for a table with all findings.</w:t>
      </w:r>
    </w:p>
    <w:sdt>
      <w:sdtPr>
        <w:tag w:val="goog_rdk_0"/>
      </w:sdtPr>
      <w:sdtContent>
        <w:p w:rsidR="00000000" w:rsidDel="00000000" w:rsidP="00000000" w:rsidRDefault="00000000" w:rsidRPr="00000000" w14:paraId="0000003B">
          <w:pPr>
            <w:spacing w:line="480" w:lineRule="auto"/>
            <w:rPr>
              <w:rFonts w:ascii="Arial" w:cs="Arial" w:eastAsia="Arial" w:hAnsi="Arial"/>
              <w:b w:val="0"/>
              <w:i w:val="0"/>
              <w:smallCaps w:val="0"/>
              <w:strike w:val="0"/>
              <w:color w:val="000000"/>
              <w:sz w:val="22"/>
              <w:szCs w:val="22"/>
              <w:u w:val="none"/>
              <w:shd w:fill="auto" w:val="clear"/>
              <w:vertAlign w:val="baseline"/>
              <w:rPrChange w:author="Anita Sunde" w:id="0" w:date="2022-12-23T12:53:44Z">
                <w:rPr>
                  <w:rFonts w:ascii="Calibri" w:cs="Calibri" w:eastAsia="Calibri" w:hAnsi="Calibri"/>
                  <w:sz w:val="24"/>
                  <w:szCs w:val="24"/>
                </w:rPr>
              </w:rPrChange>
            </w:rPr>
            <w:pPrChange w:author="Anita Sunde" w:id="0" w:date="2022-12-23T12:53:44Z">
              <w:pPr>
                <w:spacing w:line="480" w:lineRule="auto"/>
              </w:pPr>
            </w:pPrChange>
          </w:pPr>
          <w:r w:rsidDel="00000000" w:rsidR="00000000" w:rsidRPr="00000000">
            <w:rPr>
              <w:rFonts w:ascii="Calibri" w:cs="Calibri" w:eastAsia="Calibri" w:hAnsi="Calibri"/>
              <w:b w:val="1"/>
              <w:rtl w:val="0"/>
            </w:rPr>
            <w:t xml:space="preserve">Table 1</w:t>
            <w:tab/>
          </w:r>
          <w:r w:rsidDel="00000000" w:rsidR="00000000" w:rsidRPr="00000000">
            <w:rPr>
              <w:rFonts w:ascii="Calibri" w:cs="Calibri" w:eastAsia="Calibri" w:hAnsi="Calibri"/>
              <w:rtl w:val="0"/>
            </w:rPr>
            <w:t xml:space="preserve"> </w:t>
            <w:tab/>
            <w:t xml:space="preserve">Descriptive analysis for Time 2h presented as mean ± standard deviation (SD)</w:t>
          </w:r>
          <w:r w:rsidDel="00000000" w:rsidR="00000000" w:rsidRPr="00000000">
            <w:rPr>
              <w:rtl w:val="0"/>
            </w:rPr>
          </w:r>
        </w:p>
      </w:sdtContent>
    </w:sdt>
    <w:tbl>
      <w:tblPr>
        <w:tblStyle w:val="Table1"/>
        <w:tblW w:w="7200.0" w:type="dxa"/>
        <w:jc w:val="left"/>
        <w:tblInd w:w="-28.0" w:type="dxa"/>
        <w:tblLayout w:type="fixed"/>
        <w:tblLook w:val="0400"/>
      </w:tblPr>
      <w:tblGrid>
        <w:gridCol w:w="3240"/>
        <w:gridCol w:w="120"/>
        <w:gridCol w:w="930"/>
        <w:gridCol w:w="930"/>
        <w:gridCol w:w="120"/>
        <w:gridCol w:w="930"/>
        <w:gridCol w:w="930"/>
        <w:tblGridChange w:id="0">
          <w:tblGrid>
            <w:gridCol w:w="3240"/>
            <w:gridCol w:w="120"/>
            <w:gridCol w:w="930"/>
            <w:gridCol w:w="930"/>
            <w:gridCol w:w="120"/>
            <w:gridCol w:w="930"/>
            <w:gridCol w:w="930"/>
          </w:tblGrid>
        </w:tblGridChange>
      </w:tblGrid>
      <w:tr>
        <w:trPr>
          <w:cantSplit w:val="0"/>
          <w:trHeight w:val="20" w:hRule="atLeast"/>
          <w:tblHeader w:val="0"/>
        </w:trPr>
        <w:tc>
          <w:tcPr>
            <w:tcBorders>
              <w:left w:color="000000" w:space="0" w:sz="0" w:val="nil"/>
              <w:right w:color="000000" w:space="0" w:sz="0" w:val="nil"/>
            </w:tcBorders>
            <w:shd w:fill="auto" w:val="clear"/>
            <w:vAlign w:val="center"/>
          </w:tcPr>
          <w:sdt>
            <w:sdtPr>
              <w:tag w:val="goog_rdk_1"/>
            </w:sdtPr>
            <w:sdtContent>
              <w:p w:rsidR="00000000" w:rsidDel="00000000" w:rsidP="00000000" w:rsidRDefault="00000000" w:rsidRPr="00000000" w14:paraId="0000003C">
                <w:pPr>
                  <w:spacing w:line="480" w:lineRule="auto"/>
                  <w:rPr>
                    <w:shd w:fill="auto" w:val="clear"/>
                    <w:rPrChange w:author="Anita Sunde" w:id="0" w:date="2022-12-23T12:53:44Z">
                      <w:rPr>
                        <w:rFonts w:ascii="Calibri" w:cs="Calibri" w:eastAsia="Calibri" w:hAnsi="Calibri"/>
                      </w:rPr>
                    </w:rPrChange>
                  </w:rPr>
                  <w:pPrChange w:author="Anita Sunde" w:id="0" w:date="2022-12-23T12:53:44Z">
                    <w:pPr>
                      <w:spacing w:line="480" w:lineRule="auto"/>
                    </w:pPr>
                  </w:pPrChange>
                </w:pPr>
                <w:r w:rsidDel="00000000" w:rsidR="00000000" w:rsidRPr="00000000">
                  <w:rPr>
                    <w:rtl w:val="0"/>
                  </w:rPr>
                </w:r>
              </w:p>
            </w:sdtContent>
          </w:sdt>
        </w:tc>
        <w:tc>
          <w:tcPr>
            <w:tcBorders>
              <w:left w:color="000000" w:space="0" w:sz="0" w:val="nil"/>
              <w:right w:color="000000" w:space="0" w:sz="0" w:val="nil"/>
            </w:tcBorders>
          </w:tcPr>
          <w:sdt>
            <w:sdtPr>
              <w:tag w:val="goog_rdk_2"/>
            </w:sdtPr>
            <w:sdtContent>
              <w:p w:rsidR="00000000" w:rsidDel="00000000" w:rsidP="00000000" w:rsidRDefault="00000000" w:rsidRPr="00000000" w14:paraId="0000003D">
                <w:pPr>
                  <w:spacing w:line="480" w:lineRule="auto"/>
                  <w:rPr>
                    <w:shd w:fill="auto" w:val="clear"/>
                    <w:rPrChange w:author="Anita Sunde" w:id="0" w:date="2022-12-23T12:53:44Z">
                      <w:rPr>
                        <w:rFonts w:ascii="Calibri" w:cs="Calibri" w:eastAsia="Calibri" w:hAnsi="Calibri"/>
                      </w:rPr>
                    </w:rPrChange>
                  </w:rPr>
                  <w:pPrChange w:author="Anita Sunde" w:id="0" w:date="2022-12-23T12:53:44Z">
                    <w:pPr>
                      <w:spacing w:line="480" w:lineRule="auto"/>
                    </w:pPr>
                  </w:pPrChange>
                </w:pPr>
                <w:r w:rsidDel="00000000" w:rsidR="00000000" w:rsidRPr="00000000">
                  <w:rPr>
                    <w:rtl w:val="0"/>
                  </w:rPr>
                </w:r>
              </w:p>
            </w:sdtContent>
          </w:sdt>
        </w:tc>
        <w:tc>
          <w:tcPr>
            <w:gridSpan w:val="2"/>
            <w:tcBorders>
              <w:left w:color="000000" w:space="0" w:sz="0" w:val="nil"/>
              <w:right w:color="000000" w:space="0" w:sz="0" w:val="nil"/>
            </w:tcBorders>
            <w:shd w:fill="auto" w:val="clear"/>
            <w:vAlign w:val="bottom"/>
          </w:tcPr>
          <w:sdt>
            <w:sdtPr>
              <w:tag w:val="goog_rdk_3"/>
            </w:sdtPr>
            <w:sdtContent>
              <w:p w:rsidR="00000000" w:rsidDel="00000000" w:rsidP="00000000" w:rsidRDefault="00000000" w:rsidRPr="00000000" w14:paraId="0000003E">
                <w:pPr>
                  <w:spacing w:line="480" w:lineRule="auto"/>
                  <w:jc w:val="left"/>
                  <w:rPr>
                    <w:shd w:fill="auto" w:val="clear"/>
                    <w:rPrChange w:author="Anita Sunde" w:id="0" w:date="2022-12-23T12:53:44Z">
                      <w:rPr>
                        <w:rFonts w:ascii="Calibri" w:cs="Calibri" w:eastAsia="Calibri" w:hAnsi="Calibri"/>
                        <w:b w:val="1"/>
                      </w:rPr>
                    </w:rPrChange>
                  </w:rPr>
                  <w:pPrChange w:author="Anita Sunde" w:id="0" w:date="2022-12-23T12:53:44Z">
                    <w:pPr>
                      <w:spacing w:line="480" w:lineRule="auto"/>
                      <w:jc w:val="left"/>
                    </w:pPr>
                  </w:pPrChange>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Room temp</w:t>
                </w:r>
              </w:p>
            </w:sdtContent>
          </w:sdt>
        </w:tc>
        <w:tc>
          <w:tcPr>
            <w:tcBorders>
              <w:left w:color="000000" w:space="0" w:sz="0" w:val="nil"/>
              <w:right w:color="000000" w:space="0" w:sz="0" w:val="nil"/>
            </w:tcBorders>
          </w:tcPr>
          <w:sdt>
            <w:sdtPr>
              <w:tag w:val="goog_rdk_4"/>
            </w:sdtPr>
            <w:sdtContent>
              <w:p w:rsidR="00000000" w:rsidDel="00000000" w:rsidP="00000000" w:rsidRDefault="00000000" w:rsidRPr="00000000" w14:paraId="00000040">
                <w:pPr>
                  <w:spacing w:line="480" w:lineRule="auto"/>
                  <w:jc w:val="center"/>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center"/>
                    </w:pPr>
                  </w:pPrChange>
                </w:pPr>
                <w:r w:rsidDel="00000000" w:rsidR="00000000" w:rsidRPr="00000000">
                  <w:rPr>
                    <w:rtl w:val="0"/>
                  </w:rPr>
                </w:r>
              </w:p>
            </w:sdtContent>
          </w:sdt>
        </w:tc>
        <w:tc>
          <w:tcPr>
            <w:gridSpan w:val="2"/>
            <w:tcBorders>
              <w:left w:color="000000" w:space="0" w:sz="0" w:val="nil"/>
              <w:right w:color="000000" w:space="0" w:sz="0" w:val="nil"/>
            </w:tcBorders>
            <w:shd w:fill="auto" w:val="clear"/>
            <w:vAlign w:val="bottom"/>
          </w:tcPr>
          <w:sdt>
            <w:sdtPr>
              <w:tag w:val="goog_rdk_5"/>
            </w:sdtPr>
            <w:sdtContent>
              <w:p w:rsidR="00000000" w:rsidDel="00000000" w:rsidP="00000000" w:rsidRDefault="00000000" w:rsidRPr="00000000" w14:paraId="00000041">
                <w:pPr>
                  <w:spacing w:line="480" w:lineRule="auto"/>
                  <w:jc w:val="left"/>
                  <w:rPr>
                    <w:shd w:fill="auto" w:val="clear"/>
                    <w:rPrChange w:author="Anita Sunde" w:id="0" w:date="2022-12-23T12:53:44Z">
                      <w:rPr>
                        <w:rFonts w:ascii="Calibri" w:cs="Calibri" w:eastAsia="Calibri" w:hAnsi="Calibri"/>
                        <w:b w:val="1"/>
                      </w:rPr>
                    </w:rPrChange>
                  </w:rPr>
                  <w:pPrChange w:author="Anita Sunde" w:id="0" w:date="2022-12-23T12:53:44Z">
                    <w:pPr>
                      <w:spacing w:line="480" w:lineRule="auto"/>
                      <w:jc w:val="left"/>
                    </w:pPr>
                  </w:pPrChange>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Fridge +4C</w:t>
                </w:r>
              </w:p>
            </w:sdtContent>
          </w:sdt>
        </w:tc>
      </w:tr>
      <w:tr>
        <w:trPr>
          <w:cantSplit w:val="0"/>
          <w:trHeight w:val="20" w:hRule="atLeast"/>
          <w:tblHeader w:val="0"/>
        </w:trPr>
        <w:tc>
          <w:tcPr>
            <w:tcBorders>
              <w:left w:color="000000" w:space="0" w:sz="0" w:val="nil"/>
              <w:bottom w:color="000000" w:space="0" w:sz="4" w:val="single"/>
              <w:right w:color="000000" w:space="0" w:sz="0" w:val="nil"/>
            </w:tcBorders>
            <w:shd w:fill="auto" w:val="clear"/>
            <w:vAlign w:val="center"/>
          </w:tcPr>
          <w:sdt>
            <w:sdtPr>
              <w:tag w:val="goog_rdk_6"/>
            </w:sdtPr>
            <w:sdtContent>
              <w:p w:rsidR="00000000" w:rsidDel="00000000" w:rsidP="00000000" w:rsidRDefault="00000000" w:rsidRPr="00000000" w14:paraId="00000043">
                <w:pPr>
                  <w:spacing w:line="480" w:lineRule="auto"/>
                  <w:rPr>
                    <w:shd w:fill="auto" w:val="clear"/>
                    <w:rPrChange w:author="Anita Sunde" w:id="0" w:date="2022-12-23T12:53:44Z">
                      <w:rPr>
                        <w:rFonts w:ascii="Calibri" w:cs="Calibri" w:eastAsia="Calibri" w:hAnsi="Calibri"/>
                      </w:rPr>
                    </w:rPrChange>
                  </w:rPr>
                  <w:pPrChange w:author="Anita Sunde" w:id="0" w:date="2022-12-23T12:53:44Z">
                    <w:pPr>
                      <w:spacing w:line="480" w:lineRule="auto"/>
                    </w:pPr>
                  </w:pPrChange>
                </w:pPr>
                <w:r w:rsidDel="00000000" w:rsidR="00000000" w:rsidRPr="00000000">
                  <w:rPr>
                    <w:rFonts w:ascii="Calibri" w:cs="Calibri" w:eastAsia="Calibri" w:hAnsi="Calibri"/>
                    <w:rtl w:val="0"/>
                  </w:rPr>
                  <w:t xml:space="preserve">Variable</w:t>
                </w:r>
              </w:p>
            </w:sdtContent>
          </w:sdt>
        </w:tc>
        <w:tc>
          <w:tcPr>
            <w:tcBorders>
              <w:left w:color="000000" w:space="0" w:sz="0" w:val="nil"/>
              <w:right w:color="000000" w:space="0" w:sz="0" w:val="nil"/>
            </w:tcBorders>
          </w:tcPr>
          <w:sdt>
            <w:sdtPr>
              <w:tag w:val="goog_rdk_7"/>
            </w:sdtPr>
            <w:sdtContent>
              <w:p w:rsidR="00000000" w:rsidDel="00000000" w:rsidP="00000000" w:rsidRDefault="00000000" w:rsidRPr="00000000" w14:paraId="00000044">
                <w:pPr>
                  <w:spacing w:line="480" w:lineRule="auto"/>
                  <w:rPr>
                    <w:shd w:fill="auto" w:val="clear"/>
                    <w:rPrChange w:author="Anita Sunde" w:id="0" w:date="2022-12-23T12:53:44Z">
                      <w:rPr>
                        <w:rFonts w:ascii="Calibri" w:cs="Calibri" w:eastAsia="Calibri" w:hAnsi="Calibri"/>
                      </w:rPr>
                    </w:rPrChange>
                  </w:rPr>
                  <w:pPrChange w:author="Anita Sunde" w:id="0" w:date="2022-12-23T12:53:44Z">
                    <w:pPr>
                      <w:spacing w:line="480" w:lineRule="auto"/>
                    </w:pPr>
                  </w:pPrChange>
                </w:pPr>
                <w:r w:rsidDel="00000000" w:rsidR="00000000" w:rsidRPr="00000000">
                  <w:rPr>
                    <w:rtl w:val="0"/>
                  </w:rPr>
                </w:r>
              </w:p>
            </w:sdtContent>
          </w:sdt>
        </w:tc>
        <w:tc>
          <w:tcPr>
            <w:tcBorders>
              <w:left w:color="000000" w:space="0" w:sz="0" w:val="nil"/>
              <w:bottom w:color="000000" w:space="0" w:sz="4" w:val="single"/>
              <w:right w:color="000000" w:space="0" w:sz="0" w:val="nil"/>
            </w:tcBorders>
            <w:shd w:fill="auto" w:val="clear"/>
            <w:vAlign w:val="bottom"/>
          </w:tcPr>
          <w:sdt>
            <w:sdtPr>
              <w:tag w:val="goog_rdk_8"/>
            </w:sdtPr>
            <w:sdtContent>
              <w:p w:rsidR="00000000" w:rsidDel="00000000" w:rsidP="00000000" w:rsidRDefault="00000000" w:rsidRPr="00000000" w14:paraId="00000045">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Mean</w:t>
                </w:r>
              </w:p>
            </w:sdtContent>
          </w:sdt>
        </w:tc>
        <w:tc>
          <w:tcPr>
            <w:tcBorders>
              <w:left w:color="000000" w:space="0" w:sz="0" w:val="nil"/>
              <w:bottom w:color="000000" w:space="0" w:sz="4" w:val="single"/>
              <w:right w:color="000000" w:space="0" w:sz="0" w:val="nil"/>
            </w:tcBorders>
          </w:tcPr>
          <w:sdt>
            <w:sdtPr>
              <w:tag w:val="goog_rdk_9"/>
            </w:sdtPr>
            <w:sdtContent>
              <w:p w:rsidR="00000000" w:rsidDel="00000000" w:rsidP="00000000" w:rsidRDefault="00000000" w:rsidRPr="00000000" w14:paraId="00000046">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 SD</w:t>
                </w:r>
              </w:p>
            </w:sdtContent>
          </w:sdt>
        </w:tc>
        <w:tc>
          <w:tcPr>
            <w:tcBorders>
              <w:left w:color="000000" w:space="0" w:sz="0" w:val="nil"/>
              <w:right w:color="000000" w:space="0" w:sz="0" w:val="nil"/>
            </w:tcBorders>
          </w:tcPr>
          <w:sdt>
            <w:sdtPr>
              <w:tag w:val="goog_rdk_10"/>
            </w:sdtPr>
            <w:sdtContent>
              <w:p w:rsidR="00000000" w:rsidDel="00000000" w:rsidP="00000000" w:rsidRDefault="00000000" w:rsidRPr="00000000" w14:paraId="00000047">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tl w:val="0"/>
                  </w:rPr>
                </w:r>
              </w:p>
            </w:sdtContent>
          </w:sdt>
        </w:tc>
        <w:tc>
          <w:tcPr>
            <w:tcBorders>
              <w:left w:color="000000" w:space="0" w:sz="0" w:val="nil"/>
              <w:bottom w:color="000000" w:space="0" w:sz="4" w:val="single"/>
              <w:right w:color="000000" w:space="0" w:sz="0" w:val="nil"/>
            </w:tcBorders>
            <w:shd w:fill="auto" w:val="clear"/>
            <w:vAlign w:val="bottom"/>
          </w:tcPr>
          <w:sdt>
            <w:sdtPr>
              <w:tag w:val="goog_rdk_11"/>
            </w:sdtPr>
            <w:sdtContent>
              <w:p w:rsidR="00000000" w:rsidDel="00000000" w:rsidP="00000000" w:rsidRDefault="00000000" w:rsidRPr="00000000" w14:paraId="00000048">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Mean</w:t>
                </w:r>
              </w:p>
            </w:sdtContent>
          </w:sdt>
        </w:tc>
        <w:tc>
          <w:tcPr>
            <w:tcBorders>
              <w:left w:color="000000" w:space="0" w:sz="0" w:val="nil"/>
              <w:bottom w:color="000000" w:space="0" w:sz="4" w:val="single"/>
              <w:right w:color="000000" w:space="0" w:sz="0" w:val="nil"/>
            </w:tcBorders>
          </w:tcPr>
          <w:sdt>
            <w:sdtPr>
              <w:tag w:val="goog_rdk_12"/>
            </w:sdtPr>
            <w:sdtContent>
              <w:p w:rsidR="00000000" w:rsidDel="00000000" w:rsidP="00000000" w:rsidRDefault="00000000" w:rsidRPr="00000000" w14:paraId="00000049">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 SD</w:t>
                </w:r>
              </w:p>
            </w:sdtContent>
          </w:sdt>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sdt>
            <w:sdtPr>
              <w:tag w:val="goog_rdk_13"/>
            </w:sdtPr>
            <w:sdtContent>
              <w:p w:rsidR="00000000" w:rsidDel="00000000" w:rsidP="00000000" w:rsidRDefault="00000000" w:rsidRPr="00000000" w14:paraId="0000004A">
                <w:pPr>
                  <w:spacing w:line="480" w:lineRule="auto"/>
                  <w:rPr>
                    <w:shd w:fill="auto" w:val="clear"/>
                    <w:rPrChange w:author="Anita Sunde" w:id="0" w:date="2022-12-23T12:53:44Z">
                      <w:rPr>
                        <w:rFonts w:ascii="Calibri" w:cs="Calibri" w:eastAsia="Calibri" w:hAnsi="Calibri"/>
                      </w:rPr>
                    </w:rPrChange>
                  </w:rPr>
                  <w:pPrChange w:author="Anita Sunde" w:id="0" w:date="2022-12-23T12:53:44Z">
                    <w:pPr>
                      <w:spacing w:line="480" w:lineRule="auto"/>
                    </w:pPr>
                  </w:pPrChange>
                </w:pPr>
                <w:r w:rsidDel="00000000" w:rsidR="00000000" w:rsidRPr="00000000">
                  <w:rPr>
                    <w:rFonts w:ascii="Calibri" w:cs="Calibri" w:eastAsia="Calibri" w:hAnsi="Calibri"/>
                    <w:rtl w:val="0"/>
                  </w:rPr>
                  <w:t xml:space="preserve">Glial fibrillary acidic protein (GFAP)</w:t>
                </w:r>
              </w:p>
            </w:sdtContent>
          </w:sdt>
        </w:tc>
        <w:tc>
          <w:tcPr>
            <w:tcBorders>
              <w:top w:color="000000" w:space="0" w:sz="0" w:val="nil"/>
              <w:left w:color="000000" w:space="0" w:sz="0" w:val="nil"/>
              <w:bottom w:color="000000" w:space="0" w:sz="0" w:val="nil"/>
              <w:right w:color="000000" w:space="0" w:sz="0" w:val="nil"/>
            </w:tcBorders>
          </w:tcPr>
          <w:sdt>
            <w:sdtPr>
              <w:tag w:val="goog_rdk_14"/>
            </w:sdtPr>
            <w:sdtContent>
              <w:p w:rsidR="00000000" w:rsidDel="00000000" w:rsidP="00000000" w:rsidRDefault="00000000" w:rsidRPr="00000000" w14:paraId="0000004B">
                <w:pPr>
                  <w:spacing w:line="480" w:lineRule="auto"/>
                  <w:jc w:val="center"/>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center"/>
                    </w:pPr>
                  </w:pPrChange>
                </w:pPr>
                <w:r w:rsidDel="00000000" w:rsidR="00000000" w:rsidRPr="00000000">
                  <w:rPr>
                    <w:rtl w:val="0"/>
                  </w:rPr>
                </w:r>
              </w:p>
            </w:sdtContent>
          </w:sdt>
        </w:tc>
        <w:tc>
          <w:tcPr>
            <w:tcBorders>
              <w:top w:color="000000" w:space="0" w:sz="0" w:val="nil"/>
              <w:left w:color="000000" w:space="0" w:sz="0" w:val="nil"/>
              <w:bottom w:color="000000" w:space="0" w:sz="0" w:val="nil"/>
              <w:right w:color="000000" w:space="0" w:sz="0" w:val="nil"/>
            </w:tcBorders>
            <w:shd w:fill="auto" w:val="clear"/>
            <w:vAlign w:val="bottom"/>
          </w:tcPr>
          <w:sdt>
            <w:sdtPr>
              <w:tag w:val="goog_rdk_15"/>
            </w:sdtPr>
            <w:sdtContent>
              <w:p w:rsidR="00000000" w:rsidDel="00000000" w:rsidP="00000000" w:rsidRDefault="00000000" w:rsidRPr="00000000" w14:paraId="0000004C">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118* </w:t>
                </w:r>
              </w:p>
            </w:sdtContent>
          </w:sdt>
        </w:tc>
        <w:tc>
          <w:tcPr>
            <w:tcBorders>
              <w:top w:color="000000" w:space="0" w:sz="0" w:val="nil"/>
              <w:left w:color="000000" w:space="0" w:sz="0" w:val="nil"/>
              <w:bottom w:color="000000" w:space="0" w:sz="0" w:val="nil"/>
              <w:right w:color="000000" w:space="0" w:sz="0" w:val="nil"/>
            </w:tcBorders>
          </w:tcPr>
          <w:sdt>
            <w:sdtPr>
              <w:tag w:val="goog_rdk_16"/>
            </w:sdtPr>
            <w:sdtContent>
              <w:p w:rsidR="00000000" w:rsidDel="00000000" w:rsidP="00000000" w:rsidRDefault="00000000" w:rsidRPr="00000000" w14:paraId="0000004D">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103</w:t>
                </w:r>
              </w:p>
            </w:sdtContent>
          </w:sdt>
        </w:tc>
        <w:tc>
          <w:tcPr>
            <w:tcBorders>
              <w:top w:color="000000" w:space="0" w:sz="0" w:val="nil"/>
              <w:left w:color="000000" w:space="0" w:sz="0" w:val="nil"/>
              <w:bottom w:color="000000" w:space="0" w:sz="0" w:val="nil"/>
              <w:right w:color="000000" w:space="0" w:sz="0" w:val="nil"/>
            </w:tcBorders>
          </w:tcPr>
          <w:sdt>
            <w:sdtPr>
              <w:tag w:val="goog_rdk_17"/>
            </w:sdtPr>
            <w:sdtContent>
              <w:p w:rsidR="00000000" w:rsidDel="00000000" w:rsidP="00000000" w:rsidRDefault="00000000" w:rsidRPr="00000000" w14:paraId="0000004E">
                <w:pPr>
                  <w:spacing w:line="480" w:lineRule="auto"/>
                  <w:jc w:val="center"/>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center"/>
                    </w:pPr>
                  </w:pPrChange>
                </w:pPr>
                <w:r w:rsidDel="00000000" w:rsidR="00000000" w:rsidRPr="00000000">
                  <w:rPr>
                    <w:rtl w:val="0"/>
                  </w:rPr>
                </w:r>
              </w:p>
            </w:sdtContent>
          </w:sdt>
        </w:tc>
        <w:tc>
          <w:tcPr>
            <w:tcBorders>
              <w:top w:color="000000" w:space="0" w:sz="0" w:val="nil"/>
              <w:left w:color="000000" w:space="0" w:sz="0" w:val="nil"/>
              <w:bottom w:color="000000" w:space="0" w:sz="0" w:val="nil"/>
              <w:right w:color="000000" w:space="0" w:sz="0" w:val="nil"/>
            </w:tcBorders>
            <w:shd w:fill="auto" w:val="clear"/>
            <w:vAlign w:val="bottom"/>
          </w:tcPr>
          <w:sdt>
            <w:sdtPr>
              <w:tag w:val="goog_rdk_18"/>
            </w:sdtPr>
            <w:sdtContent>
              <w:p w:rsidR="00000000" w:rsidDel="00000000" w:rsidP="00000000" w:rsidRDefault="00000000" w:rsidRPr="00000000" w14:paraId="0000004F">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123* </w:t>
                </w:r>
              </w:p>
            </w:sdtContent>
          </w:sdt>
        </w:tc>
        <w:tc>
          <w:tcPr>
            <w:tcBorders>
              <w:top w:color="000000" w:space="0" w:sz="0" w:val="nil"/>
              <w:left w:color="000000" w:space="0" w:sz="0" w:val="nil"/>
              <w:bottom w:color="000000" w:space="0" w:sz="0" w:val="nil"/>
              <w:right w:color="000000" w:space="0" w:sz="0" w:val="nil"/>
            </w:tcBorders>
          </w:tcPr>
          <w:sdt>
            <w:sdtPr>
              <w:tag w:val="goog_rdk_19"/>
            </w:sdtPr>
            <w:sdtContent>
              <w:p w:rsidR="00000000" w:rsidDel="00000000" w:rsidP="00000000" w:rsidRDefault="00000000" w:rsidRPr="00000000" w14:paraId="00000050">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101</w:t>
                </w:r>
              </w:p>
            </w:sdtContent>
          </w:sdt>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sdt>
            <w:sdtPr>
              <w:tag w:val="goog_rdk_20"/>
            </w:sdtPr>
            <w:sdtContent>
              <w:p w:rsidR="00000000" w:rsidDel="00000000" w:rsidP="00000000" w:rsidRDefault="00000000" w:rsidRPr="00000000" w14:paraId="00000051">
                <w:pPr>
                  <w:spacing w:line="480" w:lineRule="auto"/>
                  <w:rPr>
                    <w:shd w:fill="auto" w:val="clear"/>
                    <w:rPrChange w:author="Anita Sunde" w:id="0" w:date="2022-12-23T12:53:44Z">
                      <w:rPr>
                        <w:rFonts w:ascii="Calibri" w:cs="Calibri" w:eastAsia="Calibri" w:hAnsi="Calibri"/>
                      </w:rPr>
                    </w:rPrChange>
                  </w:rPr>
                  <w:pPrChange w:author="Anita Sunde" w:id="0" w:date="2022-12-23T12:53:44Z">
                    <w:pPr>
                      <w:spacing w:line="480" w:lineRule="auto"/>
                    </w:pPr>
                  </w:pPrChange>
                </w:pPr>
                <w:r w:rsidDel="00000000" w:rsidR="00000000" w:rsidRPr="00000000">
                  <w:rPr>
                    <w:rFonts w:ascii="Calibri" w:cs="Calibri" w:eastAsia="Calibri" w:hAnsi="Calibri"/>
                    <w:rtl w:val="0"/>
                  </w:rPr>
                  <w:t xml:space="preserve">Phosphorylated tau 231 (p-tau231)</w:t>
                </w:r>
              </w:p>
            </w:sdtContent>
          </w:sdt>
        </w:tc>
        <w:tc>
          <w:tcPr>
            <w:tcBorders>
              <w:top w:color="000000" w:space="0" w:sz="0" w:val="nil"/>
              <w:left w:color="000000" w:space="0" w:sz="0" w:val="nil"/>
              <w:bottom w:color="000000" w:space="0" w:sz="0" w:val="nil"/>
              <w:right w:color="000000" w:space="0" w:sz="0" w:val="nil"/>
            </w:tcBorders>
          </w:tcPr>
          <w:sdt>
            <w:sdtPr>
              <w:tag w:val="goog_rdk_21"/>
            </w:sdtPr>
            <w:sdtContent>
              <w:p w:rsidR="00000000" w:rsidDel="00000000" w:rsidP="00000000" w:rsidRDefault="00000000" w:rsidRPr="00000000" w14:paraId="00000052">
                <w:pPr>
                  <w:spacing w:line="480" w:lineRule="auto"/>
                  <w:jc w:val="center"/>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center"/>
                    </w:pPr>
                  </w:pPrChange>
                </w:pPr>
                <w:r w:rsidDel="00000000" w:rsidR="00000000" w:rsidRPr="00000000">
                  <w:rPr>
                    <w:rtl w:val="0"/>
                  </w:rPr>
                </w:r>
              </w:p>
            </w:sdtContent>
          </w:sdt>
        </w:tc>
        <w:tc>
          <w:tcPr>
            <w:tcBorders>
              <w:top w:color="000000" w:space="0" w:sz="0" w:val="nil"/>
              <w:left w:color="000000" w:space="0" w:sz="0" w:val="nil"/>
              <w:bottom w:color="000000" w:space="0" w:sz="0" w:val="nil"/>
              <w:right w:color="000000" w:space="0" w:sz="0" w:val="nil"/>
            </w:tcBorders>
            <w:shd w:fill="auto" w:val="clear"/>
            <w:vAlign w:val="bottom"/>
          </w:tcPr>
          <w:sdt>
            <w:sdtPr>
              <w:tag w:val="goog_rdk_22"/>
            </w:sdtPr>
            <w:sdtContent>
              <w:p w:rsidR="00000000" w:rsidDel="00000000" w:rsidP="00000000" w:rsidRDefault="00000000" w:rsidRPr="00000000" w14:paraId="00000053">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17.3* </w:t>
                </w:r>
              </w:p>
            </w:sdtContent>
          </w:sdt>
        </w:tc>
        <w:tc>
          <w:tcPr>
            <w:tcBorders>
              <w:top w:color="000000" w:space="0" w:sz="0" w:val="nil"/>
              <w:left w:color="000000" w:space="0" w:sz="0" w:val="nil"/>
              <w:bottom w:color="000000" w:space="0" w:sz="0" w:val="nil"/>
              <w:right w:color="000000" w:space="0" w:sz="0" w:val="nil"/>
            </w:tcBorders>
          </w:tcPr>
          <w:sdt>
            <w:sdtPr>
              <w:tag w:val="goog_rdk_23"/>
            </w:sdtPr>
            <w:sdtContent>
              <w:p w:rsidR="00000000" w:rsidDel="00000000" w:rsidP="00000000" w:rsidRDefault="00000000" w:rsidRPr="00000000" w14:paraId="00000054">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  3.4</w:t>
                </w:r>
              </w:p>
            </w:sdtContent>
          </w:sdt>
        </w:tc>
        <w:tc>
          <w:tcPr>
            <w:tcBorders>
              <w:top w:color="000000" w:space="0" w:sz="0" w:val="nil"/>
              <w:left w:color="000000" w:space="0" w:sz="0" w:val="nil"/>
              <w:bottom w:color="000000" w:space="0" w:sz="0" w:val="nil"/>
              <w:right w:color="000000" w:space="0" w:sz="0" w:val="nil"/>
            </w:tcBorders>
          </w:tcPr>
          <w:sdt>
            <w:sdtPr>
              <w:tag w:val="goog_rdk_24"/>
            </w:sdtPr>
            <w:sdtContent>
              <w:p w:rsidR="00000000" w:rsidDel="00000000" w:rsidP="00000000" w:rsidRDefault="00000000" w:rsidRPr="00000000" w14:paraId="00000055">
                <w:pPr>
                  <w:spacing w:line="480" w:lineRule="auto"/>
                  <w:jc w:val="center"/>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center"/>
                    </w:pPr>
                  </w:pPrChange>
                </w:pPr>
                <w:r w:rsidDel="00000000" w:rsidR="00000000" w:rsidRPr="00000000">
                  <w:rPr>
                    <w:rtl w:val="0"/>
                  </w:rPr>
                </w:r>
              </w:p>
            </w:sdtContent>
          </w:sdt>
        </w:tc>
        <w:tc>
          <w:tcPr>
            <w:tcBorders>
              <w:top w:color="000000" w:space="0" w:sz="0" w:val="nil"/>
              <w:left w:color="000000" w:space="0" w:sz="0" w:val="nil"/>
              <w:bottom w:color="000000" w:space="0" w:sz="0" w:val="nil"/>
              <w:right w:color="000000" w:space="0" w:sz="0" w:val="nil"/>
            </w:tcBorders>
            <w:shd w:fill="auto" w:val="clear"/>
            <w:vAlign w:val="bottom"/>
          </w:tcPr>
          <w:sdt>
            <w:sdtPr>
              <w:tag w:val="goog_rdk_25"/>
            </w:sdtPr>
            <w:sdtContent>
              <w:p w:rsidR="00000000" w:rsidDel="00000000" w:rsidP="00000000" w:rsidRDefault="00000000" w:rsidRPr="00000000" w14:paraId="00000056">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16.9* </w:t>
                </w:r>
              </w:p>
            </w:sdtContent>
          </w:sdt>
        </w:tc>
        <w:tc>
          <w:tcPr>
            <w:tcBorders>
              <w:top w:color="000000" w:space="0" w:sz="0" w:val="nil"/>
              <w:left w:color="000000" w:space="0" w:sz="0" w:val="nil"/>
              <w:bottom w:color="000000" w:space="0" w:sz="0" w:val="nil"/>
              <w:right w:color="000000" w:space="0" w:sz="0" w:val="nil"/>
            </w:tcBorders>
          </w:tcPr>
          <w:sdt>
            <w:sdtPr>
              <w:tag w:val="goog_rdk_26"/>
            </w:sdtPr>
            <w:sdtContent>
              <w:p w:rsidR="00000000" w:rsidDel="00000000" w:rsidP="00000000" w:rsidRDefault="00000000" w:rsidRPr="00000000" w14:paraId="00000057">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 3.5</w:t>
                </w:r>
              </w:p>
            </w:sdtContent>
          </w:sdt>
        </w:tc>
      </w:tr>
      <w:tr>
        <w:trPr>
          <w:cantSplit w:val="0"/>
          <w:trHeight w:val="20" w:hRule="atLeast"/>
          <w:tblHeader w:val="0"/>
        </w:trPr>
        <w:tc>
          <w:tcPr>
            <w:tcBorders>
              <w:top w:color="000000" w:space="0" w:sz="0" w:val="nil"/>
              <w:left w:color="000000" w:space="0" w:sz="0" w:val="nil"/>
              <w:right w:color="000000" w:space="0" w:sz="0" w:val="nil"/>
            </w:tcBorders>
            <w:shd w:fill="auto" w:val="clear"/>
            <w:vAlign w:val="bottom"/>
          </w:tcPr>
          <w:sdt>
            <w:sdtPr>
              <w:tag w:val="goog_rdk_27"/>
            </w:sdtPr>
            <w:sdtContent>
              <w:p w:rsidR="00000000" w:rsidDel="00000000" w:rsidP="00000000" w:rsidRDefault="00000000" w:rsidRPr="00000000" w14:paraId="00000058">
                <w:pPr>
                  <w:spacing w:line="480" w:lineRule="auto"/>
                  <w:rPr>
                    <w:shd w:fill="auto" w:val="clear"/>
                    <w:rPrChange w:author="Anita Sunde" w:id="0" w:date="2022-12-23T12:53:44Z">
                      <w:rPr>
                        <w:rFonts w:ascii="Calibri" w:cs="Calibri" w:eastAsia="Calibri" w:hAnsi="Calibri"/>
                      </w:rPr>
                    </w:rPrChange>
                  </w:rPr>
                  <w:pPrChange w:author="Anita Sunde" w:id="0" w:date="2022-12-23T12:53:44Z">
                    <w:pPr>
                      <w:spacing w:line="480" w:lineRule="auto"/>
                    </w:pPr>
                  </w:pPrChange>
                </w:pPr>
                <w:r w:rsidDel="00000000" w:rsidR="00000000" w:rsidRPr="00000000">
                  <w:rPr>
                    <w:rFonts w:ascii="Calibri" w:cs="Calibri" w:eastAsia="Calibri" w:hAnsi="Calibri"/>
                    <w:rtl w:val="0"/>
                  </w:rPr>
                  <w:t xml:space="preserve">Phosphorylated tau 181 (p-tau181)</w:t>
                </w:r>
              </w:p>
            </w:sdtContent>
          </w:sdt>
        </w:tc>
        <w:tc>
          <w:tcPr>
            <w:tcBorders>
              <w:top w:color="000000" w:space="0" w:sz="0" w:val="nil"/>
              <w:left w:color="000000" w:space="0" w:sz="0" w:val="nil"/>
              <w:right w:color="000000" w:space="0" w:sz="0" w:val="nil"/>
            </w:tcBorders>
          </w:tcPr>
          <w:sdt>
            <w:sdtPr>
              <w:tag w:val="goog_rdk_28"/>
            </w:sdtPr>
            <w:sdtContent>
              <w:p w:rsidR="00000000" w:rsidDel="00000000" w:rsidP="00000000" w:rsidRDefault="00000000" w:rsidRPr="00000000" w14:paraId="00000059">
                <w:pPr>
                  <w:spacing w:line="480" w:lineRule="auto"/>
                  <w:jc w:val="center"/>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center"/>
                    </w:pPr>
                  </w:pPrChange>
                </w:pPr>
                <w:r w:rsidDel="00000000" w:rsidR="00000000" w:rsidRPr="00000000">
                  <w:rPr>
                    <w:rtl w:val="0"/>
                  </w:rPr>
                </w:r>
              </w:p>
            </w:sdtContent>
          </w:sdt>
        </w:tc>
        <w:tc>
          <w:tcPr>
            <w:tcBorders>
              <w:top w:color="000000" w:space="0" w:sz="0" w:val="nil"/>
              <w:left w:color="000000" w:space="0" w:sz="0" w:val="nil"/>
              <w:right w:color="000000" w:space="0" w:sz="0" w:val="nil"/>
            </w:tcBorders>
            <w:shd w:fill="auto" w:val="clear"/>
            <w:vAlign w:val="bottom"/>
          </w:tcPr>
          <w:sdt>
            <w:sdtPr>
              <w:tag w:val="goog_rdk_29"/>
            </w:sdtPr>
            <w:sdtContent>
              <w:p w:rsidR="00000000" w:rsidDel="00000000" w:rsidP="00000000" w:rsidRDefault="00000000" w:rsidRPr="00000000" w14:paraId="0000005A">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16.1* </w:t>
                </w:r>
              </w:p>
            </w:sdtContent>
          </w:sdt>
        </w:tc>
        <w:tc>
          <w:tcPr>
            <w:tcBorders>
              <w:top w:color="000000" w:space="0" w:sz="0" w:val="nil"/>
              <w:left w:color="000000" w:space="0" w:sz="0" w:val="nil"/>
              <w:right w:color="000000" w:space="0" w:sz="0" w:val="nil"/>
            </w:tcBorders>
          </w:tcPr>
          <w:sdt>
            <w:sdtPr>
              <w:tag w:val="goog_rdk_30"/>
            </w:sdtPr>
            <w:sdtContent>
              <w:p w:rsidR="00000000" w:rsidDel="00000000" w:rsidP="00000000" w:rsidRDefault="00000000" w:rsidRPr="00000000" w14:paraId="0000005B">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  9.4</w:t>
                </w:r>
              </w:p>
            </w:sdtContent>
          </w:sdt>
        </w:tc>
        <w:tc>
          <w:tcPr>
            <w:tcBorders>
              <w:top w:color="000000" w:space="0" w:sz="0" w:val="nil"/>
              <w:left w:color="000000" w:space="0" w:sz="0" w:val="nil"/>
              <w:right w:color="000000" w:space="0" w:sz="0" w:val="nil"/>
            </w:tcBorders>
          </w:tcPr>
          <w:sdt>
            <w:sdtPr>
              <w:tag w:val="goog_rdk_31"/>
            </w:sdtPr>
            <w:sdtContent>
              <w:p w:rsidR="00000000" w:rsidDel="00000000" w:rsidP="00000000" w:rsidRDefault="00000000" w:rsidRPr="00000000" w14:paraId="0000005C">
                <w:pPr>
                  <w:spacing w:line="480" w:lineRule="auto"/>
                  <w:jc w:val="center"/>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center"/>
                    </w:pPr>
                  </w:pPrChange>
                </w:pPr>
                <w:r w:rsidDel="00000000" w:rsidR="00000000" w:rsidRPr="00000000">
                  <w:rPr>
                    <w:rtl w:val="0"/>
                  </w:rPr>
                </w:r>
              </w:p>
            </w:sdtContent>
          </w:sdt>
        </w:tc>
        <w:tc>
          <w:tcPr>
            <w:tcBorders>
              <w:top w:color="000000" w:space="0" w:sz="0" w:val="nil"/>
              <w:left w:color="000000" w:space="0" w:sz="0" w:val="nil"/>
              <w:right w:color="000000" w:space="0" w:sz="0" w:val="nil"/>
            </w:tcBorders>
            <w:shd w:fill="auto" w:val="clear"/>
            <w:vAlign w:val="bottom"/>
          </w:tcPr>
          <w:sdt>
            <w:sdtPr>
              <w:tag w:val="goog_rdk_32"/>
            </w:sdtPr>
            <w:sdtContent>
              <w:p w:rsidR="00000000" w:rsidDel="00000000" w:rsidP="00000000" w:rsidRDefault="00000000" w:rsidRPr="00000000" w14:paraId="0000005D">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16.2* </w:t>
                </w:r>
              </w:p>
            </w:sdtContent>
          </w:sdt>
        </w:tc>
        <w:tc>
          <w:tcPr>
            <w:tcBorders>
              <w:top w:color="000000" w:space="0" w:sz="0" w:val="nil"/>
              <w:left w:color="000000" w:space="0" w:sz="0" w:val="nil"/>
              <w:right w:color="000000" w:space="0" w:sz="0" w:val="nil"/>
            </w:tcBorders>
          </w:tcPr>
          <w:sdt>
            <w:sdtPr>
              <w:tag w:val="goog_rdk_33"/>
            </w:sdtPr>
            <w:sdtContent>
              <w:p w:rsidR="00000000" w:rsidDel="00000000" w:rsidP="00000000" w:rsidRDefault="00000000" w:rsidRPr="00000000" w14:paraId="0000005E">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10.2</w:t>
                </w:r>
              </w:p>
            </w:sdtContent>
          </w:sdt>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sdt>
            <w:sdtPr>
              <w:tag w:val="goog_rdk_34"/>
            </w:sdtPr>
            <w:sdtContent>
              <w:p w:rsidR="00000000" w:rsidDel="00000000" w:rsidP="00000000" w:rsidRDefault="00000000" w:rsidRPr="00000000" w14:paraId="0000005F">
                <w:pPr>
                  <w:spacing w:line="480" w:lineRule="auto"/>
                  <w:rPr>
                    <w:shd w:fill="auto" w:val="clear"/>
                    <w:rPrChange w:author="Anita Sunde" w:id="0" w:date="2022-12-23T12:53:44Z">
                      <w:rPr>
                        <w:rFonts w:ascii="Calibri" w:cs="Calibri" w:eastAsia="Calibri" w:hAnsi="Calibri"/>
                      </w:rPr>
                    </w:rPrChange>
                  </w:rPr>
                  <w:pPrChange w:author="Anita Sunde" w:id="0" w:date="2022-12-23T12:53:44Z">
                    <w:pPr>
                      <w:spacing w:line="480" w:lineRule="auto"/>
                    </w:pPr>
                  </w:pPrChange>
                </w:pPr>
                <w:r w:rsidDel="00000000" w:rsidR="00000000" w:rsidRPr="00000000">
                  <w:rPr>
                    <w:rFonts w:ascii="Calibri" w:cs="Calibri" w:eastAsia="Calibri" w:hAnsi="Calibri"/>
                    <w:rtl w:val="0"/>
                  </w:rPr>
                  <w:t xml:space="preserve">Neurofilament light (NfL)</w:t>
                </w:r>
              </w:p>
            </w:sdtContent>
          </w:sdt>
        </w:tc>
        <w:tc>
          <w:tcPr>
            <w:tcBorders>
              <w:top w:color="000000" w:space="0" w:sz="0" w:val="nil"/>
              <w:left w:color="000000" w:space="0" w:sz="0" w:val="nil"/>
              <w:bottom w:color="000000" w:space="0" w:sz="0" w:val="nil"/>
              <w:right w:color="000000" w:space="0" w:sz="0" w:val="nil"/>
            </w:tcBorders>
          </w:tcPr>
          <w:sdt>
            <w:sdtPr>
              <w:tag w:val="goog_rdk_35"/>
            </w:sdtPr>
            <w:sdtContent>
              <w:p w:rsidR="00000000" w:rsidDel="00000000" w:rsidP="00000000" w:rsidRDefault="00000000" w:rsidRPr="00000000" w14:paraId="00000060">
                <w:pPr>
                  <w:spacing w:line="480" w:lineRule="auto"/>
                  <w:jc w:val="center"/>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center"/>
                    </w:pPr>
                  </w:pPrChange>
                </w:pPr>
                <w:r w:rsidDel="00000000" w:rsidR="00000000" w:rsidRPr="00000000">
                  <w:rPr>
                    <w:rtl w:val="0"/>
                  </w:rPr>
                </w:r>
              </w:p>
            </w:sdtContent>
          </w:sdt>
        </w:tc>
        <w:tc>
          <w:tcPr>
            <w:tcBorders>
              <w:top w:color="000000" w:space="0" w:sz="0" w:val="nil"/>
              <w:left w:color="000000" w:space="0" w:sz="0" w:val="nil"/>
              <w:bottom w:color="000000" w:space="0" w:sz="0" w:val="nil"/>
              <w:right w:color="000000" w:space="0" w:sz="0" w:val="nil"/>
            </w:tcBorders>
            <w:shd w:fill="auto" w:val="clear"/>
            <w:vAlign w:val="bottom"/>
          </w:tcPr>
          <w:sdt>
            <w:sdtPr>
              <w:tag w:val="goog_rdk_36"/>
            </w:sdtPr>
            <w:sdtContent>
              <w:p w:rsidR="00000000" w:rsidDel="00000000" w:rsidP="00000000" w:rsidRDefault="00000000" w:rsidRPr="00000000" w14:paraId="00000061">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19.7* </w:t>
                </w:r>
              </w:p>
            </w:sdtContent>
          </w:sdt>
        </w:tc>
        <w:tc>
          <w:tcPr>
            <w:tcBorders>
              <w:top w:color="000000" w:space="0" w:sz="0" w:val="nil"/>
              <w:left w:color="000000" w:space="0" w:sz="0" w:val="nil"/>
              <w:bottom w:color="000000" w:space="0" w:sz="0" w:val="nil"/>
              <w:right w:color="000000" w:space="0" w:sz="0" w:val="nil"/>
            </w:tcBorders>
          </w:tcPr>
          <w:sdt>
            <w:sdtPr>
              <w:tag w:val="goog_rdk_37"/>
            </w:sdtPr>
            <w:sdtContent>
              <w:p w:rsidR="00000000" w:rsidDel="00000000" w:rsidP="00000000" w:rsidRDefault="00000000" w:rsidRPr="00000000" w14:paraId="00000062">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10.6</w:t>
                </w:r>
              </w:p>
            </w:sdtContent>
          </w:sdt>
        </w:tc>
        <w:tc>
          <w:tcPr>
            <w:tcBorders>
              <w:top w:color="000000" w:space="0" w:sz="0" w:val="nil"/>
              <w:left w:color="000000" w:space="0" w:sz="0" w:val="nil"/>
              <w:bottom w:color="000000" w:space="0" w:sz="0" w:val="nil"/>
              <w:right w:color="000000" w:space="0" w:sz="0" w:val="nil"/>
            </w:tcBorders>
          </w:tcPr>
          <w:sdt>
            <w:sdtPr>
              <w:tag w:val="goog_rdk_38"/>
            </w:sdtPr>
            <w:sdtContent>
              <w:p w:rsidR="00000000" w:rsidDel="00000000" w:rsidP="00000000" w:rsidRDefault="00000000" w:rsidRPr="00000000" w14:paraId="00000063">
                <w:pPr>
                  <w:spacing w:line="480" w:lineRule="auto"/>
                  <w:jc w:val="center"/>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center"/>
                    </w:pPr>
                  </w:pPrChange>
                </w:pPr>
                <w:r w:rsidDel="00000000" w:rsidR="00000000" w:rsidRPr="00000000">
                  <w:rPr>
                    <w:rtl w:val="0"/>
                  </w:rPr>
                </w:r>
              </w:p>
            </w:sdtContent>
          </w:sdt>
        </w:tc>
        <w:tc>
          <w:tcPr>
            <w:tcBorders>
              <w:top w:color="000000" w:space="0" w:sz="0" w:val="nil"/>
              <w:left w:color="000000" w:space="0" w:sz="0" w:val="nil"/>
              <w:bottom w:color="000000" w:space="0" w:sz="0" w:val="nil"/>
              <w:right w:color="000000" w:space="0" w:sz="0" w:val="nil"/>
            </w:tcBorders>
            <w:shd w:fill="auto" w:val="clear"/>
            <w:vAlign w:val="bottom"/>
          </w:tcPr>
          <w:sdt>
            <w:sdtPr>
              <w:tag w:val="goog_rdk_39"/>
            </w:sdtPr>
            <w:sdtContent>
              <w:p w:rsidR="00000000" w:rsidDel="00000000" w:rsidP="00000000" w:rsidRDefault="00000000" w:rsidRPr="00000000" w14:paraId="00000064">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20.0* </w:t>
                </w:r>
              </w:p>
            </w:sdtContent>
          </w:sdt>
        </w:tc>
        <w:tc>
          <w:tcPr>
            <w:tcBorders>
              <w:top w:color="000000" w:space="0" w:sz="0" w:val="nil"/>
              <w:left w:color="000000" w:space="0" w:sz="0" w:val="nil"/>
              <w:bottom w:color="000000" w:space="0" w:sz="0" w:val="nil"/>
              <w:right w:color="000000" w:space="0" w:sz="0" w:val="nil"/>
            </w:tcBorders>
          </w:tcPr>
          <w:sdt>
            <w:sdtPr>
              <w:tag w:val="goog_rdk_40"/>
            </w:sdtPr>
            <w:sdtContent>
              <w:p w:rsidR="00000000" w:rsidDel="00000000" w:rsidP="00000000" w:rsidRDefault="00000000" w:rsidRPr="00000000" w14:paraId="00000065">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 10.8</w:t>
                </w:r>
              </w:p>
            </w:sdtContent>
          </w:sdt>
        </w:tc>
      </w:tr>
      <w:tr>
        <w:trPr>
          <w:cantSplit w:val="0"/>
          <w:trHeight w:val="20" w:hRule="atLeast"/>
          <w:tblHeader w:val="0"/>
        </w:trPr>
        <w:tc>
          <w:tcPr>
            <w:tcBorders>
              <w:top w:color="000000" w:space="0" w:sz="0" w:val="nil"/>
              <w:left w:color="000000" w:space="0" w:sz="0" w:val="nil"/>
              <w:right w:color="000000" w:space="0" w:sz="0" w:val="nil"/>
            </w:tcBorders>
            <w:shd w:fill="auto" w:val="clear"/>
            <w:vAlign w:val="bottom"/>
          </w:tcPr>
          <w:sdt>
            <w:sdtPr>
              <w:tag w:val="goog_rdk_41"/>
            </w:sdtPr>
            <w:sdtContent>
              <w:p w:rsidR="00000000" w:rsidDel="00000000" w:rsidP="00000000" w:rsidRDefault="00000000" w:rsidRPr="00000000" w14:paraId="00000066">
                <w:pPr>
                  <w:spacing w:line="480" w:lineRule="auto"/>
                  <w:rPr>
                    <w:shd w:fill="auto" w:val="clear"/>
                    <w:rPrChange w:author="Anita Sunde" w:id="0" w:date="2022-12-23T12:53:44Z">
                      <w:rPr>
                        <w:rFonts w:ascii="Calibri" w:cs="Calibri" w:eastAsia="Calibri" w:hAnsi="Calibri"/>
                      </w:rPr>
                    </w:rPrChange>
                  </w:rPr>
                  <w:pPrChange w:author="Anita Sunde" w:id="0" w:date="2022-12-23T12:53:44Z">
                    <w:pPr>
                      <w:spacing w:line="480" w:lineRule="auto"/>
                    </w:pPr>
                  </w:pPrChange>
                </w:pPr>
                <w:r w:rsidDel="00000000" w:rsidR="00000000" w:rsidRPr="00000000">
                  <w:rPr>
                    <w:rFonts w:ascii="Calibri" w:cs="Calibri" w:eastAsia="Calibri" w:hAnsi="Calibri"/>
                    <w:rtl w:val="0"/>
                  </w:rPr>
                  <w:t xml:space="preserve">Amyloid-β 40 (Aβ40)</w:t>
                </w:r>
              </w:p>
            </w:sdtContent>
          </w:sdt>
        </w:tc>
        <w:tc>
          <w:tcPr>
            <w:tcBorders>
              <w:top w:color="000000" w:space="0" w:sz="0" w:val="nil"/>
              <w:left w:color="000000" w:space="0" w:sz="0" w:val="nil"/>
              <w:right w:color="000000" w:space="0" w:sz="0" w:val="nil"/>
            </w:tcBorders>
          </w:tcPr>
          <w:sdt>
            <w:sdtPr>
              <w:tag w:val="goog_rdk_42"/>
            </w:sdtPr>
            <w:sdtContent>
              <w:p w:rsidR="00000000" w:rsidDel="00000000" w:rsidP="00000000" w:rsidRDefault="00000000" w:rsidRPr="00000000" w14:paraId="00000067">
                <w:pPr>
                  <w:spacing w:line="480" w:lineRule="auto"/>
                  <w:jc w:val="center"/>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center"/>
                    </w:pPr>
                  </w:pPrChange>
                </w:pPr>
                <w:r w:rsidDel="00000000" w:rsidR="00000000" w:rsidRPr="00000000">
                  <w:rPr>
                    <w:rtl w:val="0"/>
                  </w:rPr>
                </w:r>
              </w:p>
            </w:sdtContent>
          </w:sdt>
        </w:tc>
        <w:tc>
          <w:tcPr>
            <w:tcBorders>
              <w:top w:color="000000" w:space="0" w:sz="0" w:val="nil"/>
              <w:left w:color="000000" w:space="0" w:sz="0" w:val="nil"/>
              <w:right w:color="000000" w:space="0" w:sz="0" w:val="nil"/>
            </w:tcBorders>
            <w:shd w:fill="auto" w:val="clear"/>
            <w:vAlign w:val="bottom"/>
          </w:tcPr>
          <w:sdt>
            <w:sdtPr>
              <w:tag w:val="goog_rdk_43"/>
            </w:sdtPr>
            <w:sdtContent>
              <w:p w:rsidR="00000000" w:rsidDel="00000000" w:rsidP="00000000" w:rsidRDefault="00000000" w:rsidRPr="00000000" w14:paraId="00000068">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92.7* </w:t>
                </w:r>
              </w:p>
            </w:sdtContent>
          </w:sdt>
        </w:tc>
        <w:tc>
          <w:tcPr>
            <w:tcBorders>
              <w:top w:color="000000" w:space="0" w:sz="0" w:val="nil"/>
              <w:left w:color="000000" w:space="0" w:sz="0" w:val="nil"/>
              <w:right w:color="000000" w:space="0" w:sz="0" w:val="nil"/>
            </w:tcBorders>
          </w:tcPr>
          <w:sdt>
            <w:sdtPr>
              <w:tag w:val="goog_rdk_44"/>
            </w:sdtPr>
            <w:sdtContent>
              <w:p w:rsidR="00000000" w:rsidDel="00000000" w:rsidP="00000000" w:rsidRDefault="00000000" w:rsidRPr="00000000" w14:paraId="00000069">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20.5</w:t>
                </w:r>
              </w:p>
            </w:sdtContent>
          </w:sdt>
        </w:tc>
        <w:tc>
          <w:tcPr>
            <w:tcBorders>
              <w:top w:color="000000" w:space="0" w:sz="0" w:val="nil"/>
              <w:left w:color="000000" w:space="0" w:sz="0" w:val="nil"/>
              <w:right w:color="000000" w:space="0" w:sz="0" w:val="nil"/>
            </w:tcBorders>
          </w:tcPr>
          <w:sdt>
            <w:sdtPr>
              <w:tag w:val="goog_rdk_45"/>
            </w:sdtPr>
            <w:sdtContent>
              <w:p w:rsidR="00000000" w:rsidDel="00000000" w:rsidP="00000000" w:rsidRDefault="00000000" w:rsidRPr="00000000" w14:paraId="0000006A">
                <w:pPr>
                  <w:spacing w:line="480" w:lineRule="auto"/>
                  <w:jc w:val="center"/>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center"/>
                    </w:pPr>
                  </w:pPrChange>
                </w:pPr>
                <w:r w:rsidDel="00000000" w:rsidR="00000000" w:rsidRPr="00000000">
                  <w:rPr>
                    <w:rtl w:val="0"/>
                  </w:rPr>
                </w:r>
              </w:p>
            </w:sdtContent>
          </w:sdt>
        </w:tc>
        <w:tc>
          <w:tcPr>
            <w:tcBorders>
              <w:top w:color="000000" w:space="0" w:sz="0" w:val="nil"/>
              <w:left w:color="000000" w:space="0" w:sz="0" w:val="nil"/>
              <w:right w:color="000000" w:space="0" w:sz="0" w:val="nil"/>
            </w:tcBorders>
            <w:shd w:fill="auto" w:val="clear"/>
            <w:vAlign w:val="bottom"/>
          </w:tcPr>
          <w:sdt>
            <w:sdtPr>
              <w:tag w:val="goog_rdk_46"/>
            </w:sdtPr>
            <w:sdtContent>
              <w:p w:rsidR="00000000" w:rsidDel="00000000" w:rsidP="00000000" w:rsidRDefault="00000000" w:rsidRPr="00000000" w14:paraId="0000006B">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92.8* </w:t>
                </w:r>
              </w:p>
            </w:sdtContent>
          </w:sdt>
        </w:tc>
        <w:tc>
          <w:tcPr>
            <w:tcBorders>
              <w:top w:color="000000" w:space="0" w:sz="0" w:val="nil"/>
              <w:left w:color="000000" w:space="0" w:sz="0" w:val="nil"/>
              <w:right w:color="000000" w:space="0" w:sz="0" w:val="nil"/>
            </w:tcBorders>
          </w:tcPr>
          <w:sdt>
            <w:sdtPr>
              <w:tag w:val="goog_rdk_47"/>
            </w:sdtPr>
            <w:sdtContent>
              <w:p w:rsidR="00000000" w:rsidDel="00000000" w:rsidP="00000000" w:rsidRDefault="00000000" w:rsidRPr="00000000" w14:paraId="0000006C">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25.6</w:t>
                </w:r>
              </w:p>
            </w:sdtContent>
          </w:sdt>
        </w:tc>
      </w:tr>
      <w:tr>
        <w:trPr>
          <w:cantSplit w:val="0"/>
          <w:trHeight w:val="20" w:hRule="atLeast"/>
          <w:tblHeader w:val="0"/>
        </w:trPr>
        <w:tc>
          <w:tcPr>
            <w:tcBorders>
              <w:top w:color="000000" w:space="0" w:sz="0" w:val="nil"/>
              <w:left w:color="000000" w:space="0" w:sz="0" w:val="nil"/>
              <w:right w:color="000000" w:space="0" w:sz="0" w:val="nil"/>
            </w:tcBorders>
            <w:shd w:fill="auto" w:val="clear"/>
            <w:vAlign w:val="bottom"/>
          </w:tcPr>
          <w:sdt>
            <w:sdtPr>
              <w:tag w:val="goog_rdk_48"/>
            </w:sdtPr>
            <w:sdtContent>
              <w:p w:rsidR="00000000" w:rsidDel="00000000" w:rsidP="00000000" w:rsidRDefault="00000000" w:rsidRPr="00000000" w14:paraId="0000006D">
                <w:pPr>
                  <w:spacing w:line="480" w:lineRule="auto"/>
                  <w:rPr>
                    <w:shd w:fill="auto" w:val="clear"/>
                    <w:rPrChange w:author="Anita Sunde" w:id="0" w:date="2022-12-23T12:53:44Z">
                      <w:rPr>
                        <w:rFonts w:ascii="Calibri" w:cs="Calibri" w:eastAsia="Calibri" w:hAnsi="Calibri"/>
                      </w:rPr>
                    </w:rPrChange>
                  </w:rPr>
                  <w:pPrChange w:author="Anita Sunde" w:id="0" w:date="2022-12-23T12:53:44Z">
                    <w:pPr>
                      <w:spacing w:line="480" w:lineRule="auto"/>
                    </w:pPr>
                  </w:pPrChange>
                </w:pPr>
                <w:r w:rsidDel="00000000" w:rsidR="00000000" w:rsidRPr="00000000">
                  <w:rPr>
                    <w:rFonts w:ascii="Calibri" w:cs="Calibri" w:eastAsia="Calibri" w:hAnsi="Calibri"/>
                    <w:rtl w:val="0"/>
                  </w:rPr>
                  <w:t xml:space="preserve">Amyloid-β 42 (Aβ42)</w:t>
                </w:r>
              </w:p>
            </w:sdtContent>
          </w:sdt>
        </w:tc>
        <w:tc>
          <w:tcPr>
            <w:tcBorders>
              <w:top w:color="000000" w:space="0" w:sz="0" w:val="nil"/>
              <w:left w:color="000000" w:space="0" w:sz="0" w:val="nil"/>
              <w:right w:color="000000" w:space="0" w:sz="0" w:val="nil"/>
            </w:tcBorders>
          </w:tcPr>
          <w:sdt>
            <w:sdtPr>
              <w:tag w:val="goog_rdk_49"/>
            </w:sdtPr>
            <w:sdtContent>
              <w:p w:rsidR="00000000" w:rsidDel="00000000" w:rsidP="00000000" w:rsidRDefault="00000000" w:rsidRPr="00000000" w14:paraId="0000006E">
                <w:pPr>
                  <w:spacing w:line="480" w:lineRule="auto"/>
                  <w:jc w:val="center"/>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center"/>
                    </w:pPr>
                  </w:pPrChange>
                </w:pPr>
                <w:r w:rsidDel="00000000" w:rsidR="00000000" w:rsidRPr="00000000">
                  <w:rPr>
                    <w:rtl w:val="0"/>
                  </w:rPr>
                </w:r>
              </w:p>
            </w:sdtContent>
          </w:sdt>
        </w:tc>
        <w:tc>
          <w:tcPr>
            <w:tcBorders>
              <w:top w:color="000000" w:space="0" w:sz="0" w:val="nil"/>
              <w:left w:color="000000" w:space="0" w:sz="0" w:val="nil"/>
              <w:right w:color="000000" w:space="0" w:sz="0" w:val="nil"/>
            </w:tcBorders>
            <w:shd w:fill="auto" w:val="clear"/>
            <w:vAlign w:val="bottom"/>
          </w:tcPr>
          <w:sdt>
            <w:sdtPr>
              <w:tag w:val="goog_rdk_50"/>
            </w:sdtPr>
            <w:sdtContent>
              <w:p w:rsidR="00000000" w:rsidDel="00000000" w:rsidP="00000000" w:rsidRDefault="00000000" w:rsidRPr="00000000" w14:paraId="0000006F">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5.7* </w:t>
                </w:r>
              </w:p>
            </w:sdtContent>
          </w:sdt>
        </w:tc>
        <w:tc>
          <w:tcPr>
            <w:tcBorders>
              <w:top w:color="000000" w:space="0" w:sz="0" w:val="nil"/>
              <w:left w:color="000000" w:space="0" w:sz="0" w:val="nil"/>
              <w:right w:color="000000" w:space="0" w:sz="0" w:val="nil"/>
            </w:tcBorders>
          </w:tcPr>
          <w:sdt>
            <w:sdtPr>
              <w:tag w:val="goog_rdk_51"/>
            </w:sdtPr>
            <w:sdtContent>
              <w:p w:rsidR="00000000" w:rsidDel="00000000" w:rsidP="00000000" w:rsidRDefault="00000000" w:rsidRPr="00000000" w14:paraId="00000070">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  1.9</w:t>
                </w:r>
              </w:p>
            </w:sdtContent>
          </w:sdt>
        </w:tc>
        <w:tc>
          <w:tcPr>
            <w:tcBorders>
              <w:top w:color="000000" w:space="0" w:sz="0" w:val="nil"/>
              <w:left w:color="000000" w:space="0" w:sz="0" w:val="nil"/>
              <w:right w:color="000000" w:space="0" w:sz="0" w:val="nil"/>
            </w:tcBorders>
          </w:tcPr>
          <w:sdt>
            <w:sdtPr>
              <w:tag w:val="goog_rdk_52"/>
            </w:sdtPr>
            <w:sdtContent>
              <w:p w:rsidR="00000000" w:rsidDel="00000000" w:rsidP="00000000" w:rsidRDefault="00000000" w:rsidRPr="00000000" w14:paraId="00000071">
                <w:pPr>
                  <w:spacing w:line="480" w:lineRule="auto"/>
                  <w:jc w:val="center"/>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center"/>
                    </w:pPr>
                  </w:pPrChange>
                </w:pPr>
                <w:r w:rsidDel="00000000" w:rsidR="00000000" w:rsidRPr="00000000">
                  <w:rPr>
                    <w:rtl w:val="0"/>
                  </w:rPr>
                </w:r>
              </w:p>
            </w:sdtContent>
          </w:sdt>
        </w:tc>
        <w:tc>
          <w:tcPr>
            <w:tcBorders>
              <w:top w:color="000000" w:space="0" w:sz="0" w:val="nil"/>
              <w:left w:color="000000" w:space="0" w:sz="0" w:val="nil"/>
              <w:right w:color="000000" w:space="0" w:sz="0" w:val="nil"/>
            </w:tcBorders>
            <w:shd w:fill="auto" w:val="clear"/>
            <w:vAlign w:val="bottom"/>
          </w:tcPr>
          <w:sdt>
            <w:sdtPr>
              <w:tag w:val="goog_rdk_53"/>
            </w:sdtPr>
            <w:sdtContent>
              <w:p w:rsidR="00000000" w:rsidDel="00000000" w:rsidP="00000000" w:rsidRDefault="00000000" w:rsidRPr="00000000" w14:paraId="00000072">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6.1* </w:t>
                </w:r>
              </w:p>
            </w:sdtContent>
          </w:sdt>
        </w:tc>
        <w:tc>
          <w:tcPr>
            <w:tcBorders>
              <w:top w:color="000000" w:space="0" w:sz="0" w:val="nil"/>
              <w:left w:color="000000" w:space="0" w:sz="0" w:val="nil"/>
              <w:right w:color="000000" w:space="0" w:sz="0" w:val="nil"/>
            </w:tcBorders>
          </w:tcPr>
          <w:sdt>
            <w:sdtPr>
              <w:tag w:val="goog_rdk_54"/>
            </w:sdtPr>
            <w:sdtContent>
              <w:p w:rsidR="00000000" w:rsidDel="00000000" w:rsidP="00000000" w:rsidRDefault="00000000" w:rsidRPr="00000000" w14:paraId="00000073">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  2.5</w:t>
                </w:r>
              </w:p>
            </w:sdtContent>
          </w:sdt>
        </w:tc>
      </w:tr>
      <w:tr>
        <w:trPr>
          <w:cantSplit w:val="0"/>
          <w:trHeight w:val="20" w:hRule="atLeast"/>
          <w:tblHeader w:val="0"/>
        </w:trPr>
        <w:tc>
          <w:tcPr>
            <w:tcBorders>
              <w:left w:color="000000" w:space="0" w:sz="0" w:val="nil"/>
              <w:bottom w:color="000000" w:space="0" w:sz="4" w:val="single"/>
              <w:right w:color="000000" w:space="0" w:sz="0" w:val="nil"/>
            </w:tcBorders>
            <w:shd w:fill="auto" w:val="clear"/>
            <w:vAlign w:val="bottom"/>
          </w:tcPr>
          <w:sdt>
            <w:sdtPr>
              <w:tag w:val="goog_rdk_55"/>
            </w:sdtPr>
            <w:sdtContent>
              <w:p w:rsidR="00000000" w:rsidDel="00000000" w:rsidP="00000000" w:rsidRDefault="00000000" w:rsidRPr="00000000" w14:paraId="00000074">
                <w:pPr>
                  <w:spacing w:line="480" w:lineRule="auto"/>
                  <w:rPr>
                    <w:shd w:fill="auto" w:val="clear"/>
                    <w:rPrChange w:author="Anita Sunde" w:id="0" w:date="2022-12-23T12:53:44Z">
                      <w:rPr>
                        <w:rFonts w:ascii="Calibri" w:cs="Calibri" w:eastAsia="Calibri" w:hAnsi="Calibri"/>
                      </w:rPr>
                    </w:rPrChange>
                  </w:rPr>
                  <w:pPrChange w:author="Anita Sunde" w:id="0" w:date="2022-12-23T12:53:44Z">
                    <w:pPr>
                      <w:spacing w:line="480" w:lineRule="auto"/>
                    </w:pPr>
                  </w:pPrChange>
                </w:pPr>
                <w:r w:rsidDel="00000000" w:rsidR="00000000" w:rsidRPr="00000000">
                  <w:rPr>
                    <w:rFonts w:ascii="Calibri" w:cs="Calibri" w:eastAsia="Calibri" w:hAnsi="Calibri"/>
                    <w:rtl w:val="0"/>
                  </w:rPr>
                  <w:t xml:space="preserve">Aβ42/40 ratio </w:t>
                </w:r>
              </w:p>
            </w:sdtContent>
          </w:sdt>
        </w:tc>
        <w:tc>
          <w:tcPr>
            <w:tcBorders>
              <w:left w:color="000000" w:space="0" w:sz="0" w:val="nil"/>
              <w:right w:color="000000" w:space="0" w:sz="0" w:val="nil"/>
            </w:tcBorders>
          </w:tcPr>
          <w:sdt>
            <w:sdtPr>
              <w:tag w:val="goog_rdk_56"/>
            </w:sdtPr>
            <w:sdtContent>
              <w:p w:rsidR="00000000" w:rsidDel="00000000" w:rsidP="00000000" w:rsidRDefault="00000000" w:rsidRPr="00000000" w14:paraId="00000075">
                <w:pPr>
                  <w:spacing w:line="480" w:lineRule="auto"/>
                  <w:jc w:val="center"/>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center"/>
                    </w:pPr>
                  </w:pPrChange>
                </w:pPr>
                <w:r w:rsidDel="00000000" w:rsidR="00000000" w:rsidRPr="00000000">
                  <w:rPr>
                    <w:rtl w:val="0"/>
                  </w:rPr>
                </w:r>
              </w:p>
            </w:sdtContent>
          </w:sdt>
        </w:tc>
        <w:tc>
          <w:tcPr>
            <w:tcBorders>
              <w:left w:color="000000" w:space="0" w:sz="0" w:val="nil"/>
              <w:bottom w:color="000000" w:space="0" w:sz="4" w:val="single"/>
              <w:right w:color="000000" w:space="0" w:sz="0" w:val="nil"/>
            </w:tcBorders>
            <w:shd w:fill="auto" w:val="clear"/>
          </w:tcPr>
          <w:sdt>
            <w:sdtPr>
              <w:tag w:val="goog_rdk_57"/>
            </w:sdtPr>
            <w:sdtContent>
              <w:p w:rsidR="00000000" w:rsidDel="00000000" w:rsidP="00000000" w:rsidRDefault="00000000" w:rsidRPr="00000000" w14:paraId="00000076">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0.06 </w:t>
                </w:r>
              </w:p>
            </w:sdtContent>
          </w:sdt>
        </w:tc>
        <w:tc>
          <w:tcPr>
            <w:tcBorders>
              <w:left w:color="000000" w:space="0" w:sz="0" w:val="nil"/>
              <w:bottom w:color="000000" w:space="0" w:sz="4" w:val="single"/>
              <w:right w:color="000000" w:space="0" w:sz="0" w:val="nil"/>
            </w:tcBorders>
          </w:tcPr>
          <w:sdt>
            <w:sdtPr>
              <w:tag w:val="goog_rdk_58"/>
            </w:sdtPr>
            <w:sdtContent>
              <w:p w:rsidR="00000000" w:rsidDel="00000000" w:rsidP="00000000" w:rsidRDefault="00000000" w:rsidRPr="00000000" w14:paraId="00000077">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0.02</w:t>
                </w:r>
              </w:p>
            </w:sdtContent>
          </w:sdt>
        </w:tc>
        <w:tc>
          <w:tcPr>
            <w:tcBorders>
              <w:left w:color="000000" w:space="0" w:sz="0" w:val="nil"/>
              <w:right w:color="000000" w:space="0" w:sz="0" w:val="nil"/>
            </w:tcBorders>
          </w:tcPr>
          <w:sdt>
            <w:sdtPr>
              <w:tag w:val="goog_rdk_59"/>
            </w:sdtPr>
            <w:sdtContent>
              <w:p w:rsidR="00000000" w:rsidDel="00000000" w:rsidP="00000000" w:rsidRDefault="00000000" w:rsidRPr="00000000" w14:paraId="00000078">
                <w:pPr>
                  <w:spacing w:line="480" w:lineRule="auto"/>
                  <w:jc w:val="center"/>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center"/>
                    </w:pPr>
                  </w:pPrChange>
                </w:pPr>
                <w:r w:rsidDel="00000000" w:rsidR="00000000" w:rsidRPr="00000000">
                  <w:rPr>
                    <w:rtl w:val="0"/>
                  </w:rPr>
                </w:r>
              </w:p>
            </w:sdtContent>
          </w:sdt>
        </w:tc>
        <w:tc>
          <w:tcPr>
            <w:tcBorders>
              <w:left w:color="000000" w:space="0" w:sz="0" w:val="nil"/>
              <w:bottom w:color="000000" w:space="0" w:sz="4" w:val="single"/>
              <w:right w:color="000000" w:space="0" w:sz="0" w:val="nil"/>
            </w:tcBorders>
            <w:shd w:fill="auto" w:val="clear"/>
          </w:tcPr>
          <w:sdt>
            <w:sdtPr>
              <w:tag w:val="goog_rdk_60"/>
            </w:sdtPr>
            <w:sdtContent>
              <w:p w:rsidR="00000000" w:rsidDel="00000000" w:rsidP="00000000" w:rsidRDefault="00000000" w:rsidRPr="00000000" w14:paraId="00000079">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0.07 </w:t>
                </w:r>
              </w:p>
            </w:sdtContent>
          </w:sdt>
        </w:tc>
        <w:tc>
          <w:tcPr>
            <w:tcBorders>
              <w:left w:color="000000" w:space="0" w:sz="0" w:val="nil"/>
              <w:bottom w:color="000000" w:space="0" w:sz="4" w:val="single"/>
              <w:right w:color="000000" w:space="0" w:sz="0" w:val="nil"/>
            </w:tcBorders>
          </w:tcPr>
          <w:sdt>
            <w:sdtPr>
              <w:tag w:val="goog_rdk_61"/>
            </w:sdtPr>
            <w:sdtContent>
              <w:p w:rsidR="00000000" w:rsidDel="00000000" w:rsidP="00000000" w:rsidRDefault="00000000" w:rsidRPr="00000000" w14:paraId="0000007A">
                <w:pPr>
                  <w:spacing w:line="480" w:lineRule="auto"/>
                  <w:jc w:val="right"/>
                  <w:rPr>
                    <w:shd w:fill="auto" w:val="clear"/>
                    <w:rPrChange w:author="Anita Sunde" w:id="0" w:date="2022-12-23T12:53:44Z">
                      <w:rPr>
                        <w:rFonts w:ascii="Calibri" w:cs="Calibri" w:eastAsia="Calibri" w:hAnsi="Calibri"/>
                      </w:rPr>
                    </w:rPrChange>
                  </w:rPr>
                  <w:pPrChange w:author="Anita Sunde" w:id="0" w:date="2022-12-23T12:53:44Z">
                    <w:pPr>
                      <w:spacing w:line="480" w:lineRule="auto"/>
                      <w:jc w:val="right"/>
                    </w:pPr>
                  </w:pPrChange>
                </w:pPr>
                <w:r w:rsidDel="00000000" w:rsidR="00000000" w:rsidRPr="00000000">
                  <w:rPr>
                    <w:rFonts w:ascii="Calibri" w:cs="Calibri" w:eastAsia="Calibri" w:hAnsi="Calibri"/>
                    <w:rtl w:val="0"/>
                  </w:rPr>
                  <w:t xml:space="preserve">0.02</w:t>
                </w:r>
              </w:p>
            </w:sdtContent>
          </w:sdt>
        </w:tc>
      </w:tr>
    </w:tbl>
    <w:sdt>
      <w:sdtPr>
        <w:tag w:val="goog_rdk_62"/>
      </w:sdtPr>
      <w:sdtContent>
        <w:p w:rsidR="00000000" w:rsidDel="00000000" w:rsidP="00000000" w:rsidRDefault="00000000" w:rsidRPr="00000000" w14:paraId="0000007B">
          <w:pPr>
            <w:spacing w:line="480" w:lineRule="auto"/>
            <w:rPr>
              <w:shd w:fill="auto" w:val="clear"/>
              <w:rPrChange w:author="Anita Sunde" w:id="0" w:date="2022-12-23T12:53:44Z">
                <w:rPr>
                  <w:rFonts w:ascii="Calibri" w:cs="Calibri" w:eastAsia="Calibri" w:hAnsi="Calibri"/>
                </w:rPr>
              </w:rPrChange>
            </w:rPr>
            <w:pPrChange w:author="Anita Sunde" w:id="0" w:date="2022-12-23T12:53:44Z">
              <w:pPr>
                <w:spacing w:line="480" w:lineRule="auto"/>
              </w:pPr>
            </w:pPrChange>
          </w:pPr>
          <w:r w:rsidDel="00000000" w:rsidR="00000000" w:rsidRPr="00000000">
            <w:rPr>
              <w:rFonts w:ascii="Calibri" w:cs="Calibri" w:eastAsia="Calibri" w:hAnsi="Calibri"/>
              <w:sz w:val="18"/>
              <w:szCs w:val="18"/>
              <w:rtl w:val="0"/>
            </w:rPr>
            <w:t xml:space="preserve">* Biomarker concentrations are given in picograms per milliliter (pg/ml).</w:t>
          </w:r>
          <w:r w:rsidDel="00000000" w:rsidR="00000000" w:rsidRPr="00000000">
            <w:rPr>
              <w:rtl w:val="0"/>
            </w:rPr>
          </w:r>
        </w:p>
      </w:sdtContent>
    </w:sdt>
    <w:p w:rsidR="00000000" w:rsidDel="00000000" w:rsidP="00000000" w:rsidRDefault="00000000" w:rsidRPr="00000000" w14:paraId="0000007C">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line="48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spacing w:line="48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spacing w:line="48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1">
      <w:pPr>
        <w:spacing w:line="48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2">
      <w:pPr>
        <w:spacing w:line="48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3">
      <w:pPr>
        <w:spacing w:line="48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spacing w:line="48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spacing w:line="48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6">
      <w:pPr>
        <w:spacing w:line="48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7">
      <w:pPr>
        <w:spacing w:line="48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8">
      <w:pPr>
        <w:spacing w:line="48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9">
      <w:pPr>
        <w:spacing w:line="48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A">
      <w:pPr>
        <w:spacing w:line="48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B">
      <w:pPr>
        <w:spacing w:line="48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Table 2 </w:t>
        <w:tab/>
        <w:tab/>
      </w:r>
      <w:r w:rsidDel="00000000" w:rsidR="00000000" w:rsidRPr="00000000">
        <w:rPr>
          <w:rFonts w:ascii="Calibri" w:cs="Calibri" w:eastAsia="Calibri" w:hAnsi="Calibri"/>
          <w:rtl w:val="0"/>
        </w:rPr>
        <w:t xml:space="preserve">Findings of significant differences in estimated mean biomarker concentrations </w:t>
      </w:r>
    </w:p>
    <w:tbl>
      <w:tblPr>
        <w:tblStyle w:val="Table2"/>
        <w:tblW w:w="9242.0" w:type="dxa"/>
        <w:jc w:val="left"/>
        <w:tblLayout w:type="fixed"/>
        <w:tblLook w:val="0400"/>
      </w:tblPr>
      <w:tblGrid>
        <w:gridCol w:w="1095"/>
        <w:gridCol w:w="3611"/>
        <w:gridCol w:w="1134"/>
        <w:gridCol w:w="1134"/>
        <w:gridCol w:w="1134"/>
        <w:gridCol w:w="1134"/>
        <w:tblGridChange w:id="0">
          <w:tblGrid>
            <w:gridCol w:w="1095"/>
            <w:gridCol w:w="3611"/>
            <w:gridCol w:w="1134"/>
            <w:gridCol w:w="1134"/>
            <w:gridCol w:w="1134"/>
            <w:gridCol w:w="1134"/>
          </w:tblGrid>
        </w:tblGridChange>
      </w:tblGrid>
      <w:tr>
        <w:trPr>
          <w:cantSplit w:val="0"/>
          <w:trHeight w:val="20" w:hRule="atLeast"/>
          <w:tblHeader w:val="0"/>
        </w:trPr>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8C">
            <w:pPr>
              <w:spacing w:after="60" w:before="60" w:line="480" w:lineRule="auto"/>
              <w:ind w:left="113" w:firstLine="0"/>
              <w:rPr>
                <w:rFonts w:ascii="Calibri" w:cs="Calibri" w:eastAsia="Calibri" w:hAnsi="Calibri"/>
              </w:rPr>
            </w:pPr>
            <w:r w:rsidDel="00000000" w:rsidR="00000000" w:rsidRPr="00000000">
              <w:rPr>
                <w:rFonts w:ascii="Calibri" w:cs="Calibri" w:eastAsia="Calibri" w:hAnsi="Calibri"/>
                <w:rtl w:val="0"/>
              </w:rPr>
              <w:t xml:space="preserve">Variable</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8D">
            <w:pPr>
              <w:spacing w:after="60" w:before="60" w:line="480" w:lineRule="auto"/>
              <w:jc w:val="center"/>
              <w:rPr>
                <w:rFonts w:ascii="Calibri" w:cs="Calibri" w:eastAsia="Calibri" w:hAnsi="Calibri"/>
              </w:rPr>
            </w:pPr>
            <w:r w:rsidDel="00000000" w:rsidR="00000000" w:rsidRPr="00000000">
              <w:rPr>
                <w:rFonts w:ascii="Calibri" w:cs="Calibri" w:eastAsia="Calibri" w:hAnsi="Calibri"/>
                <w:rtl w:val="0"/>
              </w:rPr>
              <w:t xml:space="preserve">Comparison</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8E">
            <w:pPr>
              <w:spacing w:after="60" w:before="60" w:line="480" w:lineRule="auto"/>
              <w:jc w:val="center"/>
              <w:rPr>
                <w:rFonts w:ascii="Calibri" w:cs="Calibri" w:eastAsia="Calibri" w:hAnsi="Calibri"/>
              </w:rPr>
            </w:pPr>
            <w:r w:rsidDel="00000000" w:rsidR="00000000" w:rsidRPr="00000000">
              <w:rPr>
                <w:rFonts w:ascii="Calibri" w:cs="Calibri" w:eastAsia="Calibri" w:hAnsi="Calibri"/>
                <w:rtl w:val="0"/>
              </w:rPr>
              <w:t xml:space="preserve">Estimate</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8F">
            <w:pPr>
              <w:spacing w:after="60" w:before="60" w:line="480" w:lineRule="auto"/>
              <w:jc w:val="center"/>
              <w:rPr>
                <w:rFonts w:ascii="Calibri" w:cs="Calibri" w:eastAsia="Calibri" w:hAnsi="Calibri"/>
              </w:rPr>
            </w:pPr>
            <w:r w:rsidDel="00000000" w:rsidR="00000000" w:rsidRPr="00000000">
              <w:rPr>
                <w:rFonts w:ascii="Calibri" w:cs="Calibri" w:eastAsia="Calibri" w:hAnsi="Calibri"/>
                <w:rtl w:val="0"/>
              </w:rPr>
              <w:t xml:space="preserve">Std. Err.</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90">
            <w:pPr>
              <w:spacing w:after="60" w:before="60" w:line="480" w:lineRule="auto"/>
              <w:jc w:val="center"/>
              <w:rPr>
                <w:rFonts w:ascii="Calibri" w:cs="Calibri" w:eastAsia="Calibri" w:hAnsi="Calibri"/>
              </w:rPr>
            </w:pPr>
            <w:r w:rsidDel="00000000" w:rsidR="00000000" w:rsidRPr="00000000">
              <w:rPr>
                <w:rFonts w:ascii="Calibri" w:cs="Calibri" w:eastAsia="Calibri" w:hAnsi="Calibri"/>
                <w:rtl w:val="0"/>
              </w:rPr>
              <w:t xml:space="preserve">P Value</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91">
            <w:pPr>
              <w:spacing w:after="60" w:before="60" w:line="480" w:lineRule="auto"/>
              <w:jc w:val="center"/>
              <w:rPr>
                <w:rFonts w:ascii="Calibri" w:cs="Calibri" w:eastAsia="Calibri" w:hAnsi="Calibri"/>
              </w:rPr>
            </w:pPr>
            <w:r w:rsidDel="00000000" w:rsidR="00000000" w:rsidRPr="00000000">
              <w:rPr>
                <w:rFonts w:ascii="Calibri" w:cs="Calibri" w:eastAsia="Calibri" w:hAnsi="Calibri"/>
                <w:rtl w:val="0"/>
              </w:rPr>
              <w:t xml:space="preserve">Adj. P Value</w:t>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2">
            <w:pPr>
              <w:spacing w:after="60" w:before="60" w:line="480" w:lineRule="auto"/>
              <w:ind w:left="113" w:firstLine="0"/>
              <w:rPr>
                <w:rFonts w:ascii="Calibri" w:cs="Calibri" w:eastAsia="Calibri" w:hAnsi="Calibri"/>
              </w:rPr>
            </w:pPr>
            <w:r w:rsidDel="00000000" w:rsidR="00000000" w:rsidRPr="00000000">
              <w:rPr>
                <w:rFonts w:ascii="Calibri" w:cs="Calibri" w:eastAsia="Calibri" w:hAnsi="Calibri"/>
                <w:rtl w:val="0"/>
              </w:rPr>
              <w:t xml:space="preserve">Aβ40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3">
            <w:pPr>
              <w:spacing w:after="60" w:before="60" w:line="48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4">
            <w:pPr>
              <w:spacing w:after="60" w:before="60" w:line="480" w:lineRule="auto"/>
              <w:ind w:right="113"/>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5">
            <w:pPr>
              <w:spacing w:after="60" w:before="60" w:line="480" w:lineRule="auto"/>
              <w:ind w:right="113"/>
              <w:jc w:val="cente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6">
            <w:pPr>
              <w:spacing w:after="60" w:before="60" w:line="480" w:lineRule="auto"/>
              <w:ind w:right="113"/>
              <w:jc w:val="cente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7">
            <w:pPr>
              <w:spacing w:after="60" w:before="60" w:line="480" w:lineRule="auto"/>
              <w:ind w:right="113"/>
              <w:jc w:val="center"/>
              <w:rPr>
                <w:rFonts w:ascii="Calibri" w:cs="Calibri" w:eastAsia="Calibri" w:hAnsi="Calibri"/>
              </w:rPr>
            </w:pPr>
            <w:r w:rsidDel="00000000" w:rsidR="00000000" w:rsidRPr="00000000">
              <w:rPr>
                <w:rtl w:val="0"/>
              </w:rPr>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8">
            <w:pPr>
              <w:spacing w:after="60" w:before="60" w:line="480" w:lineRule="auto"/>
              <w:ind w:left="113"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9">
            <w:pPr>
              <w:spacing w:after="60" w:before="60" w:line="480" w:lineRule="auto"/>
              <w:rPr>
                <w:rFonts w:ascii="Calibri" w:cs="Calibri" w:eastAsia="Calibri" w:hAnsi="Calibri"/>
              </w:rPr>
            </w:pPr>
            <w:r w:rsidDel="00000000" w:rsidR="00000000" w:rsidRPr="00000000">
              <w:rPr>
                <w:rFonts w:ascii="Calibri" w:cs="Calibri" w:eastAsia="Calibri" w:hAnsi="Calibri"/>
                <w:rtl w:val="0"/>
              </w:rPr>
              <w:t xml:space="preserve">Fridge +4C vs Room Temp. at Time 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A">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7.0*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B">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1.6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C">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D">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0.000</w:t>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E">
            <w:pPr>
              <w:spacing w:after="60" w:before="60" w:line="480" w:lineRule="auto"/>
              <w:ind w:left="113" w:firstLine="0"/>
              <w:jc w:val="cente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F">
            <w:pPr>
              <w:spacing w:after="60" w:before="60" w:line="480" w:lineRule="auto"/>
              <w:rPr>
                <w:rFonts w:ascii="Calibri" w:cs="Calibri" w:eastAsia="Calibri" w:hAnsi="Calibri"/>
              </w:rPr>
            </w:pPr>
            <w:r w:rsidDel="00000000" w:rsidR="00000000" w:rsidRPr="00000000">
              <w:rPr>
                <w:rFonts w:ascii="Calibri" w:cs="Calibri" w:eastAsia="Calibri" w:hAnsi="Calibri"/>
                <w:rtl w:val="0"/>
              </w:rPr>
              <w:t xml:space="preserve">Fridge +4C vs Room Temp. at Time 10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0">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10.7*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1">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2.6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2">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3">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0.001</w:t>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4">
            <w:pPr>
              <w:spacing w:after="60" w:before="60" w:line="480" w:lineRule="auto"/>
              <w:ind w:left="113" w:firstLine="0"/>
              <w:jc w:val="cente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5">
            <w:pPr>
              <w:spacing w:after="60" w:before="60" w:line="480" w:lineRule="auto"/>
              <w:rPr>
                <w:rFonts w:ascii="Calibri" w:cs="Calibri" w:eastAsia="Calibri" w:hAnsi="Calibri"/>
              </w:rPr>
            </w:pPr>
            <w:r w:rsidDel="00000000" w:rsidR="00000000" w:rsidRPr="00000000">
              <w:rPr>
                <w:rFonts w:ascii="Calibri" w:cs="Calibri" w:eastAsia="Calibri" w:hAnsi="Calibri"/>
                <w:rtl w:val="0"/>
              </w:rPr>
              <w:t xml:space="preserve">Fridge +4C vs Room Temp. at Time 24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6">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17.8*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7">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2.2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8">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&lt;.001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9">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&lt;.001</w:t>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A">
            <w:pPr>
              <w:spacing w:after="60" w:before="60" w:line="480" w:lineRule="auto"/>
              <w:ind w:left="113" w:firstLine="0"/>
              <w:jc w:val="cente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B">
            <w:pPr>
              <w:spacing w:after="60" w:before="60" w:line="480" w:lineRule="auto"/>
              <w:rPr>
                <w:rFonts w:ascii="Calibri" w:cs="Calibri" w:eastAsia="Calibri" w:hAnsi="Calibri"/>
              </w:rPr>
            </w:pPr>
            <w:r w:rsidDel="00000000" w:rsidR="00000000" w:rsidRPr="00000000">
              <w:rPr>
                <w:rFonts w:ascii="Calibri" w:cs="Calibri" w:eastAsia="Calibri" w:hAnsi="Calibri"/>
                <w:rtl w:val="0"/>
              </w:rPr>
              <w:t xml:space="preserve">Room Temp. at Time 2 vs at Time 10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C">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D">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3.3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E">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F">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0.019</w:t>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0">
            <w:pPr>
              <w:spacing w:after="60" w:before="60" w:line="480" w:lineRule="auto"/>
              <w:ind w:left="113" w:firstLine="0"/>
              <w:jc w:val="cente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1">
            <w:pPr>
              <w:spacing w:after="60" w:before="60" w:line="480" w:lineRule="auto"/>
              <w:rPr>
                <w:rFonts w:ascii="Calibri" w:cs="Calibri" w:eastAsia="Calibri" w:hAnsi="Calibri"/>
              </w:rPr>
            </w:pPr>
            <w:r w:rsidDel="00000000" w:rsidR="00000000" w:rsidRPr="00000000">
              <w:rPr>
                <w:rFonts w:ascii="Calibri" w:cs="Calibri" w:eastAsia="Calibri" w:hAnsi="Calibri"/>
                <w:rtl w:val="0"/>
              </w:rPr>
              <w:t xml:space="preserve">Room Temp. at Time 2 vs at Time 24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2">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-16.6*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3">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3.1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4">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&lt;.001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5">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&lt;.001</w:t>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6">
            <w:pPr>
              <w:spacing w:after="60" w:before="60" w:line="480" w:lineRule="auto"/>
              <w:ind w:left="113" w:firstLine="0"/>
              <w:rPr>
                <w:rFonts w:ascii="Calibri" w:cs="Calibri" w:eastAsia="Calibri" w:hAnsi="Calibri"/>
              </w:rPr>
            </w:pPr>
            <w:r w:rsidDel="00000000" w:rsidR="00000000" w:rsidRPr="00000000">
              <w:rPr>
                <w:rFonts w:ascii="Calibri" w:cs="Calibri" w:eastAsia="Calibri" w:hAnsi="Calibri"/>
                <w:rtl w:val="0"/>
              </w:rPr>
              <w:t xml:space="preserve">Aβ42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7">
            <w:pPr>
              <w:spacing w:after="60" w:before="60" w:line="48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8">
            <w:pPr>
              <w:spacing w:after="60" w:before="60" w:line="480" w:lineRule="auto"/>
              <w:ind w:right="113"/>
              <w:jc w:val="righ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9">
            <w:pPr>
              <w:spacing w:after="60" w:before="60" w:line="480" w:lineRule="auto"/>
              <w:ind w:right="113"/>
              <w:jc w:val="righ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A">
            <w:pPr>
              <w:spacing w:after="60" w:before="60" w:line="480" w:lineRule="auto"/>
              <w:ind w:right="113"/>
              <w:jc w:val="righ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B">
            <w:pPr>
              <w:spacing w:after="60" w:before="60" w:line="480" w:lineRule="auto"/>
              <w:ind w:right="113"/>
              <w:jc w:val="right"/>
              <w:rPr>
                <w:rFonts w:ascii="Calibri" w:cs="Calibri" w:eastAsia="Calibri" w:hAnsi="Calibri"/>
              </w:rPr>
            </w:pPr>
            <w:r w:rsidDel="00000000" w:rsidR="00000000" w:rsidRPr="00000000">
              <w:rPr>
                <w:rtl w:val="0"/>
              </w:rPr>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C">
            <w:pPr>
              <w:spacing w:after="60" w:before="60" w:line="480" w:lineRule="auto"/>
              <w:ind w:left="113" w:firstLine="0"/>
              <w:jc w:val="cente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D">
            <w:pPr>
              <w:spacing w:after="60" w:before="60" w:line="480" w:lineRule="auto"/>
              <w:rPr>
                <w:rFonts w:ascii="Calibri" w:cs="Calibri" w:eastAsia="Calibri" w:hAnsi="Calibri"/>
              </w:rPr>
            </w:pPr>
            <w:r w:rsidDel="00000000" w:rsidR="00000000" w:rsidRPr="00000000">
              <w:rPr>
                <w:rFonts w:ascii="Calibri" w:cs="Calibri" w:eastAsia="Calibri" w:hAnsi="Calibri"/>
                <w:rtl w:val="0"/>
              </w:rPr>
              <w:t xml:space="preserve">Fridge +4C vs Room Temp. at Time 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E">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BF">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0">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0.027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1">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0.022</w:t>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2">
            <w:pPr>
              <w:spacing w:after="60" w:before="60" w:line="480" w:lineRule="auto"/>
              <w:ind w:left="113" w:firstLine="0"/>
              <w:jc w:val="cente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3">
            <w:pPr>
              <w:spacing w:after="60" w:before="60" w:line="480" w:lineRule="auto"/>
              <w:rPr>
                <w:rFonts w:ascii="Calibri" w:cs="Calibri" w:eastAsia="Calibri" w:hAnsi="Calibri"/>
              </w:rPr>
            </w:pPr>
            <w:r w:rsidDel="00000000" w:rsidR="00000000" w:rsidRPr="00000000">
              <w:rPr>
                <w:rFonts w:ascii="Calibri" w:cs="Calibri" w:eastAsia="Calibri" w:hAnsi="Calibri"/>
                <w:rtl w:val="0"/>
              </w:rPr>
              <w:t xml:space="preserve">Fridge +4C vs Room Temp. at Time 10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4">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0.7*</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5">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6">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0.004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7">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0.002</w:t>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8">
            <w:pPr>
              <w:spacing w:after="60" w:before="60" w:line="480" w:lineRule="auto"/>
              <w:ind w:left="113" w:firstLine="0"/>
              <w:jc w:val="cente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9">
            <w:pPr>
              <w:spacing w:after="60" w:before="60" w:line="480" w:lineRule="auto"/>
              <w:rPr>
                <w:rFonts w:ascii="Calibri" w:cs="Calibri" w:eastAsia="Calibri" w:hAnsi="Calibri"/>
              </w:rPr>
            </w:pPr>
            <w:r w:rsidDel="00000000" w:rsidR="00000000" w:rsidRPr="00000000">
              <w:rPr>
                <w:rFonts w:ascii="Calibri" w:cs="Calibri" w:eastAsia="Calibri" w:hAnsi="Calibri"/>
                <w:rtl w:val="0"/>
              </w:rPr>
              <w:t xml:space="preserve">Fridge +4C vs Room Temp. at Time 24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A">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1.5*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B">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C">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&lt;.001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D">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&lt;.001</w:t>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E">
            <w:pPr>
              <w:spacing w:after="60" w:before="60" w:line="480" w:lineRule="auto"/>
              <w:ind w:left="113" w:firstLine="0"/>
              <w:jc w:val="cente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F">
            <w:pPr>
              <w:spacing w:after="60" w:before="60" w:line="480" w:lineRule="auto"/>
              <w:rPr>
                <w:rFonts w:ascii="Calibri" w:cs="Calibri" w:eastAsia="Calibri" w:hAnsi="Calibri"/>
              </w:rPr>
            </w:pPr>
            <w:r w:rsidDel="00000000" w:rsidR="00000000" w:rsidRPr="00000000">
              <w:rPr>
                <w:rFonts w:ascii="Calibri" w:cs="Calibri" w:eastAsia="Calibri" w:hAnsi="Calibri"/>
                <w:rtl w:val="0"/>
              </w:rPr>
              <w:t xml:space="preserve">Room Temp. at Time 2 vs at Time 24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0">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-1.3*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1">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2">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0.003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3">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0.004</w:t>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4">
            <w:pPr>
              <w:spacing w:after="60" w:before="60" w:line="480" w:lineRule="auto"/>
              <w:ind w:left="113" w:firstLine="0"/>
              <w:rPr>
                <w:rFonts w:ascii="Calibri" w:cs="Calibri" w:eastAsia="Calibri" w:hAnsi="Calibri"/>
              </w:rPr>
            </w:pPr>
            <w:r w:rsidDel="00000000" w:rsidR="00000000" w:rsidRPr="00000000">
              <w:rPr>
                <w:rFonts w:ascii="Calibri" w:cs="Calibri" w:eastAsia="Calibri" w:hAnsi="Calibri"/>
                <w:rtl w:val="0"/>
              </w:rPr>
              <w:t xml:space="preserve">Aβ42/40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5">
            <w:pPr>
              <w:spacing w:after="60" w:before="60" w:line="48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6">
            <w:pPr>
              <w:spacing w:after="60" w:before="60" w:line="480" w:lineRule="auto"/>
              <w:ind w:right="113"/>
              <w:jc w:val="righ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7">
            <w:pPr>
              <w:spacing w:after="60" w:before="60" w:line="480" w:lineRule="auto"/>
              <w:ind w:right="113"/>
              <w:jc w:val="righ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8">
            <w:pPr>
              <w:spacing w:after="60" w:before="60" w:line="480" w:lineRule="auto"/>
              <w:ind w:right="113"/>
              <w:jc w:val="righ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9">
            <w:pPr>
              <w:spacing w:after="60" w:before="60" w:line="480" w:lineRule="auto"/>
              <w:ind w:right="113"/>
              <w:jc w:val="right"/>
              <w:rPr>
                <w:rFonts w:ascii="Calibri" w:cs="Calibri" w:eastAsia="Calibri" w:hAnsi="Calibri"/>
              </w:rPr>
            </w:pPr>
            <w:r w:rsidDel="00000000" w:rsidR="00000000" w:rsidRPr="00000000">
              <w:rPr>
                <w:rtl w:val="0"/>
              </w:rPr>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A">
            <w:pPr>
              <w:spacing w:after="60" w:before="60" w:line="480" w:lineRule="auto"/>
              <w:ind w:left="113" w:firstLine="0"/>
              <w:jc w:val="cente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B">
            <w:pPr>
              <w:spacing w:after="60" w:before="60" w:line="480" w:lineRule="auto"/>
              <w:rPr>
                <w:rFonts w:ascii="Calibri" w:cs="Calibri" w:eastAsia="Calibri" w:hAnsi="Calibri"/>
              </w:rPr>
            </w:pPr>
            <w:r w:rsidDel="00000000" w:rsidR="00000000" w:rsidRPr="00000000">
              <w:rPr>
                <w:rFonts w:ascii="Calibri" w:cs="Calibri" w:eastAsia="Calibri" w:hAnsi="Calibri"/>
                <w:rtl w:val="0"/>
              </w:rPr>
              <w:t xml:space="preserve">Fridge +4C vs Room Temp. at Time 24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C">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0.004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D">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E">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0.001</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DF">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0.001</w:t>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0">
            <w:pPr>
              <w:spacing w:after="60" w:before="60" w:line="480" w:lineRule="auto"/>
              <w:ind w:left="113" w:firstLine="0"/>
              <w:jc w:val="cente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1">
            <w:pPr>
              <w:spacing w:after="60" w:before="60" w:line="480" w:lineRule="auto"/>
              <w:rPr>
                <w:rFonts w:ascii="Calibri" w:cs="Calibri" w:eastAsia="Calibri" w:hAnsi="Calibri"/>
              </w:rPr>
            </w:pPr>
            <w:r w:rsidDel="00000000" w:rsidR="00000000" w:rsidRPr="00000000">
              <w:rPr>
                <w:rFonts w:ascii="Calibri" w:cs="Calibri" w:eastAsia="Calibri" w:hAnsi="Calibri"/>
                <w:rtl w:val="0"/>
              </w:rPr>
              <w:t xml:space="preserve">Fridge +4C at Time 2 vs at Time 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2">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-0.004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3">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0.002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4">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0.020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5">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0.021</w:t>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6">
            <w:pPr>
              <w:spacing w:after="60" w:before="60" w:line="480" w:lineRule="auto"/>
              <w:ind w:left="113" w:firstLine="0"/>
              <w:rPr>
                <w:rFonts w:ascii="Calibri" w:cs="Calibri" w:eastAsia="Calibri" w:hAnsi="Calibri"/>
              </w:rPr>
            </w:pPr>
            <w:r w:rsidDel="00000000" w:rsidR="00000000" w:rsidRPr="00000000">
              <w:rPr>
                <w:rFonts w:ascii="Calibri" w:cs="Calibri" w:eastAsia="Calibri" w:hAnsi="Calibri"/>
                <w:rtl w:val="0"/>
              </w:rPr>
              <w:t xml:space="preserve">NFL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7">
            <w:pPr>
              <w:spacing w:after="60" w:before="60" w:line="48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8">
            <w:pPr>
              <w:spacing w:after="60" w:before="60" w:line="480" w:lineRule="auto"/>
              <w:ind w:right="113"/>
              <w:jc w:val="righ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9">
            <w:pPr>
              <w:spacing w:after="60" w:before="60" w:line="480" w:lineRule="auto"/>
              <w:ind w:right="113"/>
              <w:jc w:val="righ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A">
            <w:pPr>
              <w:spacing w:after="60" w:before="60" w:line="480" w:lineRule="auto"/>
              <w:ind w:right="113"/>
              <w:jc w:val="righ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B">
            <w:pPr>
              <w:spacing w:after="60" w:before="60" w:line="480" w:lineRule="auto"/>
              <w:ind w:right="113"/>
              <w:jc w:val="right"/>
              <w:rPr>
                <w:rFonts w:ascii="Calibri" w:cs="Calibri" w:eastAsia="Calibri" w:hAnsi="Calibri"/>
              </w:rPr>
            </w:pPr>
            <w:r w:rsidDel="00000000" w:rsidR="00000000" w:rsidRPr="00000000">
              <w:rPr>
                <w:rtl w:val="0"/>
              </w:rPr>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C">
            <w:pPr>
              <w:spacing w:after="60" w:before="60" w:line="480" w:lineRule="auto"/>
              <w:ind w:left="113" w:firstLine="0"/>
              <w:jc w:val="cente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D">
            <w:pPr>
              <w:spacing w:after="60" w:before="60" w:line="480" w:lineRule="auto"/>
              <w:rPr>
                <w:rFonts w:ascii="Calibri" w:cs="Calibri" w:eastAsia="Calibri" w:hAnsi="Calibri"/>
              </w:rPr>
            </w:pPr>
            <w:r w:rsidDel="00000000" w:rsidR="00000000" w:rsidRPr="00000000">
              <w:rPr>
                <w:rFonts w:ascii="Calibri" w:cs="Calibri" w:eastAsia="Calibri" w:hAnsi="Calibri"/>
                <w:rtl w:val="0"/>
              </w:rPr>
              <w:t xml:space="preserve">Fridge +4C vs Room Temp. at Time 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E">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EF">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0.3</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F0">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0.018</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F1">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0.008</w:t>
            </w:r>
          </w:p>
        </w:tc>
      </w:tr>
      <w:tr>
        <w:trPr>
          <w:cantSplit w:val="0"/>
          <w:trHeight w:val="20"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F2">
            <w:pPr>
              <w:spacing w:after="60" w:before="60" w:line="480" w:lineRule="auto"/>
              <w:ind w:left="113"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F3">
            <w:pPr>
              <w:spacing w:after="60" w:before="60" w:line="480" w:lineRule="auto"/>
              <w:rPr>
                <w:rFonts w:ascii="Calibri" w:cs="Calibri" w:eastAsia="Calibri" w:hAnsi="Calibri"/>
              </w:rPr>
            </w:pPr>
            <w:r w:rsidDel="00000000" w:rsidR="00000000" w:rsidRPr="00000000">
              <w:rPr>
                <w:rFonts w:ascii="Calibri" w:cs="Calibri" w:eastAsia="Calibri" w:hAnsi="Calibri"/>
                <w:rtl w:val="0"/>
              </w:rPr>
              <w:t xml:space="preserve">Fridge +4C vs Room Temp. at Time 10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F4">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1.4*</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F5">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0.4</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F6">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0.002</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F7">
            <w:pPr>
              <w:spacing w:after="60" w:before="60" w:line="480" w:lineRule="auto"/>
              <w:ind w:right="113"/>
              <w:jc w:val="right"/>
              <w:rPr>
                <w:rFonts w:ascii="Calibri" w:cs="Calibri" w:eastAsia="Calibri" w:hAnsi="Calibri"/>
              </w:rPr>
            </w:pPr>
            <w:r w:rsidDel="00000000" w:rsidR="00000000" w:rsidRPr="00000000">
              <w:rPr>
                <w:rFonts w:ascii="Calibri" w:cs="Calibri" w:eastAsia="Calibri" w:hAnsi="Calibri"/>
                <w:rtl w:val="0"/>
              </w:rPr>
              <w:t xml:space="preserve">0.001</w:t>
            </w:r>
          </w:p>
        </w:tc>
      </w:tr>
    </w:tbl>
    <w:p w:rsidR="00000000" w:rsidDel="00000000" w:rsidP="00000000" w:rsidRDefault="00000000" w:rsidRPr="00000000" w14:paraId="000000F8">
      <w:pPr>
        <w:spacing w:line="48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Biomarker concentrations are given in picograms per milliliter (pg/ml). </w:t>
        <w:br w:type="textWrapping"/>
        <w:t xml:space="preserve">Abbreviations: Aβ40, Amyloid-β 40; Aβ42, Amyloid-β 42; Aβ42/40, Amyloid-β 42 to Amyloid-β 40 ratio; NFL, neurofilament light; C, Celcius; vs, versus; Temp., temperature; Std. Err., Standard error; Adj., Adjusted. </w:t>
      </w:r>
    </w:p>
    <w:p w:rsidR="00000000" w:rsidDel="00000000" w:rsidP="00000000" w:rsidRDefault="00000000" w:rsidRPr="00000000" w14:paraId="000000F9">
      <w:pPr>
        <w:spacing w:line="480" w:lineRule="auto"/>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4. </w:t>
      </w:r>
      <w:r w:rsidDel="00000000" w:rsidR="00000000" w:rsidRPr="00000000">
        <w:rPr>
          <w:rFonts w:ascii="Calibri" w:cs="Calibri" w:eastAsia="Calibri" w:hAnsi="Calibri"/>
          <w:b w:val="1"/>
          <w:color w:val="000000"/>
          <w:sz w:val="28"/>
          <w:szCs w:val="28"/>
          <w:rtl w:val="0"/>
        </w:rPr>
        <w:t xml:space="preserve">Discussion </w:t>
      </w:r>
    </w:p>
    <w:p w:rsidR="00000000" w:rsidDel="00000000" w:rsidP="00000000" w:rsidRDefault="00000000" w:rsidRPr="00000000" w14:paraId="000000FA">
      <w:pPr>
        <w:widowControl w:val="0"/>
        <w:spacing w:before="115" w:line="480" w:lineRule="auto"/>
        <w:ind w:left="4"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In a blinded, controlled study, we investigated if plasma sample storage duration and temperature before ultra-low temperature freezing causes changes in the concentration of six plasma biomarkers associated with Alzheimer's disease pathology. For p-tau181, p-tau231 and GFAP, we found no significant changes in biomarker concentrations during a storage time of 24 hours, both when plasma was stored at room temperature and when stored at +4°C prior to ULTF, </w:t>
      </w:r>
      <w:r w:rsidDel="00000000" w:rsidR="00000000" w:rsidRPr="00000000">
        <w:rPr>
          <w:rFonts w:ascii="Calibri" w:cs="Calibri" w:eastAsia="Calibri" w:hAnsi="Calibri"/>
          <w:i w:val="1"/>
          <w:sz w:val="24"/>
          <w:szCs w:val="24"/>
          <w:rtl w:val="0"/>
        </w:rPr>
        <w:t xml:space="preserve">e.g.</w:t>
      </w:r>
      <w:r w:rsidDel="00000000" w:rsidR="00000000" w:rsidRPr="00000000">
        <w:rPr>
          <w:rFonts w:ascii="Calibri" w:cs="Calibri" w:eastAsia="Calibri" w:hAnsi="Calibri"/>
          <w:sz w:val="24"/>
          <w:szCs w:val="24"/>
          <w:rtl w:val="0"/>
        </w:rPr>
        <w:t xml:space="preserve">, these storage factors do not seem to influence these plasma biomarker concentrations. To our knowledge, this study is the first to investigate these preanalytical qualities for plasma p-tau231. Even though calculation showed a significant difference in NfL biomarker concentration comparing storage between +4°C and RT after 8 and 10 hours, we assume that this was due to normal variance as there was no significant difference in biomarker concentration after 24 hours storage compared with baseline. </w:t>
      </w:r>
      <w:r w:rsidDel="00000000" w:rsidR="00000000" w:rsidRPr="00000000">
        <w:rPr>
          <w:rFonts w:ascii="Calibri" w:cs="Calibri" w:eastAsia="Calibri" w:hAnsi="Calibri"/>
          <w:color w:val="222222"/>
          <w:sz w:val="24"/>
          <w:szCs w:val="24"/>
          <w:highlight w:val="white"/>
          <w:rtl w:val="0"/>
        </w:rPr>
        <w:t xml:space="preserve">For plasma </w:t>
      </w:r>
      <w:r w:rsidDel="00000000" w:rsidR="00000000" w:rsidRPr="00000000">
        <w:rPr>
          <w:rFonts w:ascii="Calibri" w:cs="Calibri" w:eastAsia="Calibri" w:hAnsi="Calibri"/>
          <w:sz w:val="24"/>
          <w:szCs w:val="24"/>
          <w:highlight w:val="white"/>
          <w:rtl w:val="0"/>
        </w:rPr>
        <w:t xml:space="preserve">Aβ40 and Aβ42 concentrations, the study found a</w:t>
      </w:r>
      <w:r w:rsidDel="00000000" w:rsidR="00000000" w:rsidRPr="00000000">
        <w:rPr>
          <w:rFonts w:ascii="Calibri" w:cs="Calibri" w:eastAsia="Calibri" w:hAnsi="Calibri"/>
          <w:color w:val="222222"/>
          <w:sz w:val="24"/>
          <w:szCs w:val="24"/>
          <w:highlight w:val="white"/>
          <w:rtl w:val="0"/>
        </w:rPr>
        <w:t xml:space="preserve"> clear temperature-dependent effect. Concentrations were stable for 24 hours </w:t>
      </w:r>
      <w:r w:rsidDel="00000000" w:rsidR="00000000" w:rsidRPr="00000000">
        <w:rPr>
          <w:rFonts w:ascii="Calibri" w:cs="Calibri" w:eastAsia="Calibri" w:hAnsi="Calibri"/>
          <w:sz w:val="24"/>
          <w:szCs w:val="24"/>
          <w:rtl w:val="0"/>
        </w:rPr>
        <w:t xml:space="preserve">at +4°C </w:t>
      </w:r>
      <w:r w:rsidDel="00000000" w:rsidR="00000000" w:rsidRPr="00000000">
        <w:rPr>
          <w:rFonts w:ascii="Calibri" w:cs="Calibri" w:eastAsia="Calibri" w:hAnsi="Calibri"/>
          <w:color w:val="222222"/>
          <w:sz w:val="24"/>
          <w:szCs w:val="24"/>
          <w:highlight w:val="white"/>
          <w:rtl w:val="0"/>
        </w:rPr>
        <w:t xml:space="preserve">but were reduced when kept at RT for 8 hours or longer. When using the Aβ42 to Aβ40 ratio there was no significant change after 24 hours storage at RT compared with baseline.</w:t>
      </w:r>
      <w:r w:rsidDel="00000000" w:rsidR="00000000" w:rsidRPr="00000000">
        <w:rPr>
          <w:rtl w:val="0"/>
        </w:rPr>
      </w:r>
    </w:p>
    <w:p w:rsidR="00000000" w:rsidDel="00000000" w:rsidP="00000000" w:rsidRDefault="00000000" w:rsidRPr="00000000" w14:paraId="000000FB">
      <w:pPr>
        <w:widowControl w:val="0"/>
        <w:spacing w:before="115" w:line="480" w:lineRule="auto"/>
        <w:ind w:left="4"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Our results are consistent with the findings of Verberk </w:t>
      </w:r>
      <w:r w:rsidDel="00000000" w:rsidR="00000000" w:rsidRPr="00000000">
        <w:rPr>
          <w:rFonts w:ascii="Calibri" w:cs="Calibri" w:eastAsia="Calibri" w:hAnsi="Calibri"/>
          <w:i w:val="1"/>
          <w:sz w:val="24"/>
          <w:szCs w:val="24"/>
          <w:highlight w:val="white"/>
          <w:rtl w:val="0"/>
        </w:rPr>
        <w:t xml:space="preserve">et al</w:t>
      </w:r>
      <w:r w:rsidDel="00000000" w:rsidR="00000000" w:rsidRPr="00000000">
        <w:rPr>
          <w:rFonts w:ascii="Calibri" w:cs="Calibri" w:eastAsia="Calibri" w:hAnsi="Calibri"/>
          <w:sz w:val="24"/>
          <w:szCs w:val="24"/>
          <w:highlight w:val="white"/>
          <w:rtl w:val="0"/>
        </w:rPr>
        <w:t xml:space="preserve">. </w:t>
      </w:r>
      <w:hyperlink r:id="rId20">
        <w:r w:rsidDel="00000000" w:rsidR="00000000" w:rsidRPr="00000000">
          <w:rPr>
            <w:rFonts w:ascii="Calibri" w:cs="Calibri" w:eastAsia="Calibri" w:hAnsi="Calibri"/>
            <w:color w:val="000000"/>
            <w:sz w:val="24"/>
            <w:szCs w:val="24"/>
            <w:highlight w:val="white"/>
            <w:rtl w:val="0"/>
          </w:rPr>
          <w:t xml:space="preserve">[18]</w:t>
        </w:r>
      </w:hyperlink>
      <w:r w:rsidDel="00000000" w:rsidR="00000000" w:rsidRPr="00000000">
        <w:rPr>
          <w:rFonts w:ascii="Calibri" w:cs="Calibri" w:eastAsia="Calibri" w:hAnsi="Calibri"/>
          <w:sz w:val="24"/>
          <w:szCs w:val="24"/>
          <w:highlight w:val="white"/>
          <w:rtl w:val="0"/>
        </w:rPr>
        <w:t xml:space="preserve">. In this study, plasma </w:t>
      </w:r>
      <w:r w:rsidDel="00000000" w:rsidR="00000000" w:rsidRPr="00000000">
        <w:rPr>
          <w:rFonts w:ascii="Calibri" w:cs="Calibri" w:eastAsia="Calibri" w:hAnsi="Calibri"/>
          <w:sz w:val="24"/>
          <w:szCs w:val="24"/>
          <w:rtl w:val="0"/>
        </w:rPr>
        <w:t xml:space="preserve">p-tau181, GFAP and NfL concentrations were unaffected by post-centrifugation </w:t>
      </w:r>
      <w:r w:rsidDel="00000000" w:rsidR="00000000" w:rsidRPr="00000000">
        <w:rPr>
          <w:rFonts w:ascii="Calibri" w:cs="Calibri" w:eastAsia="Calibri" w:hAnsi="Calibri"/>
          <w:sz w:val="24"/>
          <w:szCs w:val="24"/>
          <w:highlight w:val="white"/>
          <w:rtl w:val="0"/>
        </w:rPr>
        <w:t xml:space="preserve">24 hours storage at either RT or 2-8</w:t>
      </w:r>
      <w:r w:rsidDel="00000000" w:rsidR="00000000" w:rsidRPr="00000000">
        <w:rPr>
          <w:rFonts w:ascii="Calibri" w:cs="Calibri" w:eastAsia="Calibri" w:hAnsi="Calibri"/>
          <w:sz w:val="24"/>
          <w:szCs w:val="24"/>
          <w:rtl w:val="0"/>
        </w:rPr>
        <w:t xml:space="preserve">°C whereas the concentrations of </w:t>
      </w:r>
      <w:r w:rsidDel="00000000" w:rsidR="00000000" w:rsidRPr="00000000">
        <w:rPr>
          <w:rFonts w:ascii="Calibri" w:cs="Calibri" w:eastAsia="Calibri" w:hAnsi="Calibri"/>
          <w:color w:val="222222"/>
          <w:sz w:val="24"/>
          <w:szCs w:val="24"/>
          <w:highlight w:val="white"/>
          <w:rtl w:val="0"/>
        </w:rPr>
        <w:t xml:space="preserve">plasma </w:t>
      </w:r>
      <w:r w:rsidDel="00000000" w:rsidR="00000000" w:rsidRPr="00000000">
        <w:rPr>
          <w:rFonts w:ascii="Calibri" w:cs="Calibri" w:eastAsia="Calibri" w:hAnsi="Calibri"/>
          <w:sz w:val="24"/>
          <w:szCs w:val="24"/>
          <w:highlight w:val="white"/>
          <w:rtl w:val="0"/>
        </w:rPr>
        <w:t xml:space="preserve">Aβ40 and Aβ42 showed a decline at RT. </w:t>
      </w:r>
      <w:r w:rsidDel="00000000" w:rsidR="00000000" w:rsidRPr="00000000">
        <w:rPr>
          <w:rFonts w:ascii="Calibri" w:cs="Calibri" w:eastAsia="Calibri" w:hAnsi="Calibri"/>
          <w:color w:val="222222"/>
          <w:sz w:val="24"/>
          <w:szCs w:val="24"/>
          <w:highlight w:val="white"/>
          <w:rtl w:val="0"/>
        </w:rPr>
        <w:t xml:space="preserve">Plasma </w:t>
      </w:r>
      <w:r w:rsidDel="00000000" w:rsidR="00000000" w:rsidRPr="00000000">
        <w:rPr>
          <w:rFonts w:ascii="Calibri" w:cs="Calibri" w:eastAsia="Calibri" w:hAnsi="Calibri"/>
          <w:sz w:val="24"/>
          <w:szCs w:val="24"/>
          <w:highlight w:val="white"/>
          <w:rtl w:val="0"/>
        </w:rPr>
        <w:t xml:space="preserve">Aβ40 and Aβ42 values were stable at 2-8</w:t>
      </w:r>
      <w:r w:rsidDel="00000000" w:rsidR="00000000" w:rsidRPr="00000000">
        <w:rPr>
          <w:rFonts w:ascii="Calibri" w:cs="Calibri" w:eastAsia="Calibri" w:hAnsi="Calibri"/>
          <w:sz w:val="24"/>
          <w:szCs w:val="24"/>
          <w:rtl w:val="0"/>
        </w:rPr>
        <w:t xml:space="preserve">°C for 24 hours, whereas </w:t>
      </w:r>
      <w:r w:rsidDel="00000000" w:rsidR="00000000" w:rsidRPr="00000000">
        <w:rPr>
          <w:rFonts w:ascii="Calibri" w:cs="Calibri" w:eastAsia="Calibri" w:hAnsi="Calibri"/>
          <w:sz w:val="24"/>
          <w:szCs w:val="24"/>
          <w:highlight w:val="white"/>
          <w:rtl w:val="0"/>
        </w:rPr>
        <w:t xml:space="preserve">in RT only for 4 hours. In this study no measurements between 4 and 24 hours were conducted. </w:t>
      </w:r>
    </w:p>
    <w:p w:rsidR="00000000" w:rsidDel="00000000" w:rsidP="00000000" w:rsidRDefault="00000000" w:rsidRPr="00000000" w14:paraId="000000FC">
      <w:pPr>
        <w:widowControl w:val="0"/>
        <w:spacing w:before="115" w:line="480" w:lineRule="auto"/>
        <w:rPr>
          <w:rFonts w:ascii="Calibri" w:cs="Calibri" w:eastAsia="Calibri" w:hAnsi="Calibri"/>
          <w:b w:val="1"/>
          <w:color w:val="222222"/>
          <w:sz w:val="24"/>
          <w:szCs w:val="24"/>
          <w:highlight w:val="white"/>
        </w:rPr>
      </w:pPr>
      <w:r w:rsidDel="00000000" w:rsidR="00000000" w:rsidRPr="00000000">
        <w:rPr>
          <w:rFonts w:ascii="Calibri" w:cs="Calibri" w:eastAsia="Calibri" w:hAnsi="Calibri"/>
          <w:sz w:val="24"/>
          <w:szCs w:val="24"/>
          <w:highlight w:val="white"/>
          <w:rtl w:val="0"/>
        </w:rPr>
        <w:t xml:space="preserve">Using the </w:t>
      </w:r>
      <w:r w:rsidDel="00000000" w:rsidR="00000000" w:rsidRPr="00000000">
        <w:rPr>
          <w:rFonts w:ascii="Calibri" w:cs="Calibri" w:eastAsia="Calibri" w:hAnsi="Calibri"/>
          <w:sz w:val="24"/>
          <w:szCs w:val="24"/>
          <w:rtl w:val="0"/>
        </w:rPr>
        <w:t xml:space="preserve">Aβ42/Aβ40 ratio mitigated the observed decline during storage in RT in some but not all the immunoassays tested by Verberk </w:t>
      </w:r>
      <w:r w:rsidDel="00000000" w:rsidR="00000000" w:rsidRPr="00000000">
        <w:rPr>
          <w:rFonts w:ascii="Calibri" w:cs="Calibri" w:eastAsia="Calibri" w:hAnsi="Calibri"/>
          <w:i w:val="1"/>
          <w:sz w:val="24"/>
          <w:szCs w:val="24"/>
          <w:rtl w:val="0"/>
        </w:rPr>
        <w:t xml:space="preserve">et al</w:t>
      </w:r>
      <w:r w:rsidDel="00000000" w:rsidR="00000000" w:rsidRPr="00000000">
        <w:rPr>
          <w:rFonts w:ascii="Calibri" w:cs="Calibri" w:eastAsia="Calibri" w:hAnsi="Calibri"/>
          <w:sz w:val="24"/>
          <w:szCs w:val="24"/>
          <w:rtl w:val="0"/>
        </w:rPr>
        <w:t xml:space="preserve">. </w:t>
      </w:r>
      <w:hyperlink r:id="rId21">
        <w:r w:rsidDel="00000000" w:rsidR="00000000" w:rsidRPr="00000000">
          <w:rPr>
            <w:rFonts w:ascii="Calibri" w:cs="Calibri" w:eastAsia="Calibri" w:hAnsi="Calibri"/>
            <w:color w:val="000000"/>
            <w:sz w:val="24"/>
            <w:szCs w:val="24"/>
            <w:highlight w:val="white"/>
            <w:rtl w:val="0"/>
          </w:rPr>
          <w:t xml:space="preserve">[18]</w:t>
        </w:r>
      </w:hyperlink>
      <w:r w:rsidDel="00000000" w:rsidR="00000000" w:rsidRPr="00000000">
        <w:rPr>
          <w:rFonts w:ascii="Calibri" w:cs="Calibri" w:eastAsia="Calibri" w:hAnsi="Calibri"/>
          <w:sz w:val="24"/>
          <w:szCs w:val="24"/>
          <w:rtl w:val="0"/>
        </w:rPr>
        <w:t xml:space="preserve">. The assay used in our study was among those found to mitigate the decline in </w:t>
      </w:r>
      <w:r w:rsidDel="00000000" w:rsidR="00000000" w:rsidRPr="00000000">
        <w:rPr>
          <w:rFonts w:ascii="Calibri" w:cs="Calibri" w:eastAsia="Calibri" w:hAnsi="Calibri"/>
          <w:sz w:val="24"/>
          <w:szCs w:val="24"/>
          <w:highlight w:val="white"/>
          <w:rtl w:val="0"/>
        </w:rPr>
        <w:t xml:space="preserve">Aβ40 and Aβ42. </w:t>
      </w:r>
      <w:r w:rsidDel="00000000" w:rsidR="00000000" w:rsidRPr="00000000">
        <w:rPr>
          <w:rFonts w:ascii="Calibri" w:cs="Calibri" w:eastAsia="Calibri" w:hAnsi="Calibri"/>
          <w:sz w:val="24"/>
          <w:szCs w:val="24"/>
          <w:rtl w:val="0"/>
        </w:rPr>
        <w:t xml:space="preserve">Similarly, a study </w:t>
      </w:r>
      <w:hyperlink r:id="rId22">
        <w:r w:rsidDel="00000000" w:rsidR="00000000" w:rsidRPr="00000000">
          <w:rPr>
            <w:rFonts w:ascii="Calibri" w:cs="Calibri" w:eastAsia="Calibri" w:hAnsi="Calibri"/>
            <w:color w:val="000000"/>
            <w:sz w:val="24"/>
            <w:szCs w:val="24"/>
            <w:rtl w:val="0"/>
          </w:rPr>
          <w:t xml:space="preserve">[19]</w:t>
        </w:r>
      </w:hyperlink>
      <w:r w:rsidDel="00000000" w:rsidR="00000000" w:rsidRPr="00000000">
        <w:rPr>
          <w:rFonts w:ascii="Calibri" w:cs="Calibri" w:eastAsia="Calibri" w:hAnsi="Calibri"/>
          <w:sz w:val="24"/>
          <w:szCs w:val="24"/>
          <w:rtl w:val="0"/>
        </w:rPr>
        <w:t xml:space="preserve"> examined if there was a time- and temperature-dependent difference in plasma </w:t>
      </w:r>
      <w:r w:rsidDel="00000000" w:rsidR="00000000" w:rsidRPr="00000000">
        <w:rPr>
          <w:rFonts w:ascii="Calibri" w:cs="Calibri" w:eastAsia="Calibri" w:hAnsi="Calibri"/>
          <w:sz w:val="24"/>
          <w:szCs w:val="24"/>
          <w:highlight w:val="white"/>
          <w:rtl w:val="0"/>
        </w:rPr>
        <w:t xml:space="preserve">Aβ40 and Aβ42 values. This study found that Aβ40 and Aβ42 concentrations were stable up to 6 hours but not 24 hours when fresh EDTA plasma was stored at +4°C. </w:t>
      </w:r>
      <w:r w:rsidDel="00000000" w:rsidR="00000000" w:rsidRPr="00000000">
        <w:rPr>
          <w:rFonts w:ascii="Calibri" w:cs="Calibri" w:eastAsia="Calibri" w:hAnsi="Calibri"/>
          <w:sz w:val="24"/>
          <w:szCs w:val="24"/>
          <w:rtl w:val="0"/>
        </w:rPr>
        <w:t xml:space="preserve">The observed inter-immunoassay variability found by Verberk </w:t>
      </w:r>
      <w:r w:rsidDel="00000000" w:rsidR="00000000" w:rsidRPr="00000000">
        <w:rPr>
          <w:rFonts w:ascii="Calibri" w:cs="Calibri" w:eastAsia="Calibri" w:hAnsi="Calibri"/>
          <w:i w:val="1"/>
          <w:sz w:val="24"/>
          <w:szCs w:val="24"/>
          <w:rtl w:val="0"/>
        </w:rPr>
        <w:t xml:space="preserve">et al</w:t>
      </w:r>
      <w:r w:rsidDel="00000000" w:rsidR="00000000" w:rsidRPr="00000000">
        <w:rPr>
          <w:rFonts w:ascii="Calibri" w:cs="Calibri" w:eastAsia="Calibri" w:hAnsi="Calibri"/>
          <w:sz w:val="24"/>
          <w:szCs w:val="24"/>
          <w:rtl w:val="0"/>
        </w:rPr>
        <w:t xml:space="preserve">. </w:t>
      </w:r>
      <w:hyperlink r:id="rId23">
        <w:r w:rsidDel="00000000" w:rsidR="00000000" w:rsidRPr="00000000">
          <w:rPr>
            <w:rFonts w:ascii="Calibri" w:cs="Calibri" w:eastAsia="Calibri" w:hAnsi="Calibri"/>
            <w:color w:val="000000"/>
            <w:sz w:val="24"/>
            <w:szCs w:val="24"/>
            <w:rtl w:val="0"/>
          </w:rPr>
          <w:t xml:space="preserve">[18]</w:t>
        </w:r>
      </w:hyperlink>
      <w:r w:rsidDel="00000000" w:rsidR="00000000" w:rsidRPr="00000000">
        <w:rPr>
          <w:rFonts w:ascii="Calibri" w:cs="Calibri" w:eastAsia="Calibri" w:hAnsi="Calibri"/>
          <w:sz w:val="24"/>
          <w:szCs w:val="24"/>
          <w:rtl w:val="0"/>
        </w:rPr>
        <w:t xml:space="preserve"> might explain why the results from Rozga </w:t>
      </w:r>
      <w:r w:rsidDel="00000000" w:rsidR="00000000" w:rsidRPr="00000000">
        <w:rPr>
          <w:rFonts w:ascii="Calibri" w:cs="Calibri" w:eastAsia="Calibri" w:hAnsi="Calibri"/>
          <w:i w:val="1"/>
          <w:sz w:val="24"/>
          <w:szCs w:val="24"/>
          <w:rtl w:val="0"/>
        </w:rPr>
        <w:t xml:space="preserve">et al</w:t>
      </w:r>
      <w:r w:rsidDel="00000000" w:rsidR="00000000" w:rsidRPr="00000000">
        <w:rPr>
          <w:rFonts w:ascii="Calibri" w:cs="Calibri" w:eastAsia="Calibri" w:hAnsi="Calibri"/>
          <w:sz w:val="24"/>
          <w:szCs w:val="24"/>
          <w:rtl w:val="0"/>
        </w:rPr>
        <w:t xml:space="preserve">. </w:t>
      </w:r>
      <w:hyperlink r:id="rId24">
        <w:r w:rsidDel="00000000" w:rsidR="00000000" w:rsidRPr="00000000">
          <w:rPr>
            <w:rFonts w:ascii="Calibri" w:cs="Calibri" w:eastAsia="Calibri" w:hAnsi="Calibri"/>
            <w:color w:val="000000"/>
            <w:sz w:val="24"/>
            <w:szCs w:val="24"/>
            <w:rtl w:val="0"/>
          </w:rPr>
          <w:t xml:space="preserve">[19]</w:t>
        </w:r>
      </w:hyperlink>
      <w:r w:rsidDel="00000000" w:rsidR="00000000" w:rsidRPr="00000000">
        <w:rPr>
          <w:rFonts w:ascii="Calibri" w:cs="Calibri" w:eastAsia="Calibri" w:hAnsi="Calibri"/>
          <w:sz w:val="24"/>
          <w:szCs w:val="24"/>
          <w:rtl w:val="0"/>
        </w:rPr>
        <w:t xml:space="preserve"> are somewhat different from ours.</w:t>
      </w:r>
      <w:r w:rsidDel="00000000" w:rsidR="00000000" w:rsidRPr="00000000">
        <w:rPr>
          <w:rtl w:val="0"/>
        </w:rPr>
      </w:r>
    </w:p>
    <w:p w:rsidR="00000000" w:rsidDel="00000000" w:rsidP="00000000" w:rsidRDefault="00000000" w:rsidRPr="00000000" w14:paraId="000000FD">
      <w:pPr>
        <w:widowControl w:val="0"/>
        <w:spacing w:before="115" w:line="480" w:lineRule="auto"/>
        <w:ind w:left="4"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We considered several preanalytical variables when planning this study. All our samples were collected in </w:t>
      </w:r>
      <w:r w:rsidDel="00000000" w:rsidR="00000000" w:rsidRPr="00000000">
        <w:rPr>
          <w:rFonts w:ascii="Calibri" w:cs="Calibri" w:eastAsia="Calibri" w:hAnsi="Calibri"/>
          <w:sz w:val="24"/>
          <w:szCs w:val="24"/>
          <w:rtl w:val="0"/>
        </w:rPr>
        <w:t xml:space="preserve">K2-ethylenediaminetetraacetic acid (K2-EDTA) tubes. Previous studies have shown that</w:t>
      </w:r>
      <w:r w:rsidDel="00000000" w:rsidR="00000000" w:rsidRPr="00000000">
        <w:rPr>
          <w:rFonts w:ascii="Calibri" w:cs="Calibri" w:eastAsia="Calibri" w:hAnsi="Calibri"/>
          <w:sz w:val="24"/>
          <w:szCs w:val="24"/>
          <w:highlight w:val="white"/>
          <w:rtl w:val="0"/>
        </w:rPr>
        <w:t xml:space="preserve"> different blood collection tube types influence the measured amount of plasma biomarkers Aβ42, Aβ40, p‐tau181, GFAP, total tau and NfL </w:t>
      </w:r>
      <w:hyperlink r:id="rId25">
        <w:r w:rsidDel="00000000" w:rsidR="00000000" w:rsidRPr="00000000">
          <w:rPr>
            <w:rFonts w:ascii="Calibri" w:cs="Calibri" w:eastAsia="Calibri" w:hAnsi="Calibri"/>
            <w:color w:val="000000"/>
            <w:sz w:val="24"/>
            <w:szCs w:val="24"/>
            <w:highlight w:val="white"/>
            <w:rtl w:val="0"/>
          </w:rPr>
          <w:t xml:space="preserve">[18–20]</w:t>
        </w:r>
      </w:hyperlink>
      <w:r w:rsidDel="00000000" w:rsidR="00000000" w:rsidRPr="00000000">
        <w:rPr>
          <w:rFonts w:ascii="Calibri" w:cs="Calibri" w:eastAsia="Calibri" w:hAnsi="Calibri"/>
          <w:sz w:val="24"/>
          <w:szCs w:val="24"/>
          <w:rtl w:val="0"/>
        </w:rPr>
        <w:t xml:space="preserve">. K2-EDTA tubes have been suggested as a standard tube in a recently recommended standardized operating procedure</w:t>
      </w:r>
      <w:r w:rsidDel="00000000" w:rsidR="00000000" w:rsidRPr="00000000">
        <w:rPr>
          <w:rFonts w:ascii="Calibri" w:cs="Calibri" w:eastAsia="Calibri" w:hAnsi="Calibri"/>
          <w:sz w:val="24"/>
          <w:szCs w:val="24"/>
          <w:highlight w:val="white"/>
          <w:rtl w:val="0"/>
        </w:rPr>
        <w:t xml:space="preserve"> </w:t>
      </w:r>
      <w:hyperlink r:id="rId26">
        <w:r w:rsidDel="00000000" w:rsidR="00000000" w:rsidRPr="00000000">
          <w:rPr>
            <w:rFonts w:ascii="Calibri" w:cs="Calibri" w:eastAsia="Calibri" w:hAnsi="Calibri"/>
            <w:color w:val="000000"/>
            <w:sz w:val="24"/>
            <w:szCs w:val="24"/>
            <w:highlight w:val="white"/>
            <w:rtl w:val="0"/>
          </w:rPr>
          <w:t xml:space="preserve">[18]</w:t>
        </w:r>
      </w:hyperlink>
      <w:r w:rsidDel="00000000" w:rsidR="00000000" w:rsidRPr="00000000">
        <w:rPr>
          <w:rFonts w:ascii="Calibri" w:cs="Calibri" w:eastAsia="Calibri" w:hAnsi="Calibri"/>
          <w:sz w:val="24"/>
          <w:szCs w:val="24"/>
          <w:highlight w:val="white"/>
          <w:rtl w:val="0"/>
        </w:rPr>
        <w:t xml:space="preserve">. The effect of centrifugation temperature, aliquot volume and number of freeze-thaw-cycles has been tested for plasma </w:t>
      </w:r>
      <w:r w:rsidDel="00000000" w:rsidR="00000000" w:rsidRPr="00000000">
        <w:rPr>
          <w:rFonts w:ascii="Calibri" w:cs="Calibri" w:eastAsia="Calibri" w:hAnsi="Calibri"/>
          <w:sz w:val="24"/>
          <w:szCs w:val="24"/>
          <w:rtl w:val="0"/>
        </w:rPr>
        <w:t xml:space="preserve">p-tau181, GFAP, NfL, </w:t>
      </w:r>
      <w:r w:rsidDel="00000000" w:rsidR="00000000" w:rsidRPr="00000000">
        <w:rPr>
          <w:rFonts w:ascii="Calibri" w:cs="Calibri" w:eastAsia="Calibri" w:hAnsi="Calibri"/>
          <w:sz w:val="24"/>
          <w:szCs w:val="24"/>
          <w:highlight w:val="white"/>
          <w:rtl w:val="0"/>
        </w:rPr>
        <w:t xml:space="preserve">Aβ40 and Aβ42 </w:t>
      </w:r>
      <w:hyperlink r:id="rId27">
        <w:r w:rsidDel="00000000" w:rsidR="00000000" w:rsidRPr="00000000">
          <w:rPr>
            <w:rFonts w:ascii="Calibri" w:cs="Calibri" w:eastAsia="Calibri" w:hAnsi="Calibri"/>
            <w:color w:val="000000"/>
            <w:sz w:val="24"/>
            <w:szCs w:val="24"/>
            <w:highlight w:val="white"/>
            <w:rtl w:val="0"/>
          </w:rPr>
          <w:t xml:space="preserve">[18–21]</w:t>
        </w:r>
      </w:hyperlink>
      <w:r w:rsidDel="00000000" w:rsidR="00000000" w:rsidRPr="00000000">
        <w:rPr>
          <w:rFonts w:ascii="Calibri" w:cs="Calibri" w:eastAsia="Calibri" w:hAnsi="Calibri"/>
          <w:sz w:val="24"/>
          <w:szCs w:val="24"/>
          <w:highlight w:val="white"/>
          <w:rtl w:val="0"/>
        </w:rPr>
        <w:t xml:space="preserve">. No such studies for </w:t>
      </w:r>
      <w:r w:rsidDel="00000000" w:rsidR="00000000" w:rsidRPr="00000000">
        <w:rPr>
          <w:rFonts w:ascii="Calibri" w:cs="Calibri" w:eastAsia="Calibri" w:hAnsi="Calibri"/>
          <w:sz w:val="24"/>
          <w:szCs w:val="24"/>
          <w:rtl w:val="0"/>
        </w:rPr>
        <w:t xml:space="preserve">p-tau231 could be identified.</w:t>
      </w:r>
      <w:r w:rsidDel="00000000" w:rsidR="00000000" w:rsidRPr="00000000">
        <w:rPr>
          <w:rFonts w:ascii="Calibri" w:cs="Calibri" w:eastAsia="Calibri" w:hAnsi="Calibri"/>
          <w:sz w:val="24"/>
          <w:szCs w:val="24"/>
          <w:highlight w:val="white"/>
          <w:rtl w:val="0"/>
        </w:rPr>
        <w:t xml:space="preserve"> We also considered if circadian rhythm might affect sample values. </w:t>
      </w:r>
      <w:hyperlink r:id="rId28">
        <w:r w:rsidDel="00000000" w:rsidR="00000000" w:rsidRPr="00000000">
          <w:rPr>
            <w:rFonts w:ascii="Calibri" w:cs="Calibri" w:eastAsia="Calibri" w:hAnsi="Calibri"/>
            <w:sz w:val="24"/>
            <w:szCs w:val="24"/>
            <w:highlight w:val="white"/>
            <w:rtl w:val="0"/>
          </w:rPr>
          <w:t xml:space="preserve">Rózga</w:t>
        </w:r>
      </w:hyperlink>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i w:val="1"/>
          <w:sz w:val="24"/>
          <w:szCs w:val="24"/>
          <w:highlight w:val="white"/>
          <w:rtl w:val="0"/>
        </w:rPr>
        <w:t xml:space="preserve">et al</w:t>
      </w:r>
      <w:r w:rsidDel="00000000" w:rsidR="00000000" w:rsidRPr="00000000">
        <w:rPr>
          <w:rFonts w:ascii="Calibri" w:cs="Calibri" w:eastAsia="Calibri" w:hAnsi="Calibri"/>
          <w:sz w:val="24"/>
          <w:szCs w:val="24"/>
          <w:highlight w:val="white"/>
          <w:rtl w:val="0"/>
        </w:rPr>
        <w:t xml:space="preserve">. </w:t>
      </w:r>
      <w:hyperlink r:id="rId29">
        <w:r w:rsidDel="00000000" w:rsidR="00000000" w:rsidRPr="00000000">
          <w:rPr>
            <w:rFonts w:ascii="Calibri" w:cs="Calibri" w:eastAsia="Calibri" w:hAnsi="Calibri"/>
            <w:color w:val="000000"/>
            <w:sz w:val="24"/>
            <w:szCs w:val="24"/>
            <w:highlight w:val="white"/>
            <w:rtl w:val="0"/>
          </w:rPr>
          <w:t xml:space="preserve">[19]</w:t>
        </w:r>
      </w:hyperlink>
      <w:r w:rsidDel="00000000" w:rsidR="00000000" w:rsidRPr="00000000">
        <w:rPr>
          <w:rFonts w:ascii="Calibri" w:cs="Calibri" w:eastAsia="Calibri" w:hAnsi="Calibri"/>
          <w:sz w:val="24"/>
          <w:szCs w:val="24"/>
          <w:highlight w:val="white"/>
          <w:rtl w:val="0"/>
        </w:rPr>
        <w:t xml:space="preserve"> found that plasma Aβ40 and Aβ42 showed a weak circadian rhythmicity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In our study, all blood samples were drawn in the morning, and we therefore do not expect that our results are influenced by circadian rhythmicity variability. The effect of tube material, tube size and the presence of gel separators has not been found to influence the quantification of plasma Aβ40 and Aβ42 </w:t>
      </w:r>
      <w:hyperlink r:id="rId30">
        <w:r w:rsidDel="00000000" w:rsidR="00000000" w:rsidRPr="00000000">
          <w:rPr>
            <w:rFonts w:ascii="Calibri" w:cs="Calibri" w:eastAsia="Calibri" w:hAnsi="Calibri"/>
            <w:color w:val="000000"/>
            <w:sz w:val="24"/>
            <w:szCs w:val="24"/>
            <w:highlight w:val="white"/>
            <w:rtl w:val="0"/>
          </w:rPr>
          <w:t xml:space="preserve">[19]</w:t>
        </w:r>
      </w:hyperlink>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rtl w:val="0"/>
        </w:rPr>
        <w:t xml:space="preserve">RT in our study was between +16.1 to 19.5°C. Higher storage temperatures might have a different effect on plasma biomarker levels than found in this study. </w:t>
      </w:r>
      <w:r w:rsidDel="00000000" w:rsidR="00000000" w:rsidRPr="00000000">
        <w:rPr>
          <w:rtl w:val="0"/>
        </w:rPr>
      </w:r>
    </w:p>
    <w:p w:rsidR="00000000" w:rsidDel="00000000" w:rsidP="00000000" w:rsidRDefault="00000000" w:rsidRPr="00000000" w14:paraId="000000FE">
      <w:pPr>
        <w:widowControl w:val="0"/>
        <w:spacing w:before="115" w:line="480" w:lineRule="auto"/>
        <w:ind w:left="4"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We consider it a strength that more than half of the blood samples were drawn in general practitioner’s offices following a standardized procedure. Overall, there were no difficulties related to this setting. Time of phlebotomy at the GP offices had to be adjusted to real-life clinical situations, </w:t>
      </w:r>
      <w:r w:rsidDel="00000000" w:rsidR="00000000" w:rsidRPr="00000000">
        <w:rPr>
          <w:rFonts w:ascii="Calibri" w:cs="Calibri" w:eastAsia="Calibri" w:hAnsi="Calibri"/>
          <w:i w:val="1"/>
          <w:sz w:val="24"/>
          <w:szCs w:val="24"/>
          <w:rtl w:val="0"/>
        </w:rPr>
        <w:t xml:space="preserve">e.g.</w:t>
      </w:r>
      <w:r w:rsidDel="00000000" w:rsidR="00000000" w:rsidRPr="00000000">
        <w:rPr>
          <w:rFonts w:ascii="Calibri" w:cs="Calibri" w:eastAsia="Calibri" w:hAnsi="Calibri"/>
          <w:sz w:val="24"/>
          <w:szCs w:val="24"/>
          <w:rtl w:val="0"/>
        </w:rPr>
        <w:t xml:space="preserve">, when participants had their visit scheduled. Time of phlebotomy varied from 8:13am to 9:59am. In two of the thirteen cases, it took 143 and 137 minutes, respectively, to freeze the first aliquot, whereas the protocol planned for a maximum time of 120 minutes. We have no reason to believe that this affected the overall results. We did not include centrifugation-postponed EDTA-blood samples in our project. Blood samples stored before centrifugation might have worse biomarker stability than plasma stored after centrifugation, although Verberk </w:t>
      </w:r>
      <w:r w:rsidDel="00000000" w:rsidR="00000000" w:rsidRPr="00000000">
        <w:rPr>
          <w:rFonts w:ascii="Calibri" w:cs="Calibri" w:eastAsia="Calibri" w:hAnsi="Calibri"/>
          <w:i w:val="1"/>
          <w:sz w:val="24"/>
          <w:szCs w:val="24"/>
          <w:rtl w:val="0"/>
        </w:rPr>
        <w:t xml:space="preserve">et al</w:t>
      </w:r>
      <w:r w:rsidDel="00000000" w:rsidR="00000000" w:rsidRPr="00000000">
        <w:rPr>
          <w:rFonts w:ascii="Calibri" w:cs="Calibri" w:eastAsia="Calibri" w:hAnsi="Calibri"/>
          <w:sz w:val="24"/>
          <w:szCs w:val="24"/>
          <w:rtl w:val="0"/>
        </w:rPr>
        <w:t xml:space="preserve">. </w:t>
      </w:r>
      <w:hyperlink r:id="rId31">
        <w:r w:rsidDel="00000000" w:rsidR="00000000" w:rsidRPr="00000000">
          <w:rPr>
            <w:rFonts w:ascii="Calibri" w:cs="Calibri" w:eastAsia="Calibri" w:hAnsi="Calibri"/>
            <w:color w:val="000000"/>
            <w:sz w:val="24"/>
            <w:szCs w:val="24"/>
            <w:rtl w:val="0"/>
          </w:rPr>
          <w:t xml:space="preserve">[18]</w:t>
        </w:r>
      </w:hyperlink>
      <w:r w:rsidDel="00000000" w:rsidR="00000000" w:rsidRPr="00000000">
        <w:rPr>
          <w:rFonts w:ascii="Calibri" w:cs="Calibri" w:eastAsia="Calibri" w:hAnsi="Calibri"/>
          <w:sz w:val="24"/>
          <w:szCs w:val="24"/>
          <w:rtl w:val="0"/>
        </w:rPr>
        <w:t xml:space="preserve"> did not find such differences for p-tau181, GFAP and NfL, and for Aβ42/Aβ40 ratio only for some immunoassays. From a primary care perspective, it could be labor- and time-saving to send blood samples uncentrifuged and postpone centrifugation and plasma-pipetting to a centralized laboratory having access to an ultra-low temperature freezer. On the other hand, it could be overall time-saving if the centralized laboratories receive plasma samples that can be frozen immediately without further handling. </w:t>
      </w:r>
      <w:r w:rsidDel="00000000" w:rsidR="00000000" w:rsidRPr="00000000">
        <w:rPr>
          <w:rtl w:val="0"/>
        </w:rPr>
      </w:r>
    </w:p>
    <w:p w:rsidR="00000000" w:rsidDel="00000000" w:rsidP="00000000" w:rsidRDefault="00000000" w:rsidRPr="00000000" w14:paraId="000000FF">
      <w:pPr>
        <w:widowControl w:val="0"/>
        <w:spacing w:before="115"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strength in our study is that we have included two phosphorylated tau isoforms, currently seen as some of the most promising plasma biomarkers for diagnosing AD pathology, as well as the Aβ42/Aβ40 ratio, the astrogliosis biomarker GFAP and NfL, a marker for axonal neurodegeneration. This allows for comparing their sensitivities to variation in pre-analytical factors such as sample storage time and temperature. This information is important in the design of future clinical trials that consider decentralized sampling of plasma samples for AD-related biomarkers. </w:t>
      </w:r>
    </w:p>
    <w:p w:rsidR="00000000" w:rsidDel="00000000" w:rsidP="00000000" w:rsidRDefault="00000000" w:rsidRPr="00000000" w14:paraId="00000100">
      <w:pPr>
        <w:widowControl w:val="0"/>
        <w:spacing w:before="115" w:line="480" w:lineRule="auto"/>
        <w:ind w:left="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did not assess the participants’ cognitive status with tests before inclusion, which might be considered a limitation of our study. We included participants whose primary care doctor suspected possible cognitive impairment due to dementia and elderly participants without known cognitive impairment. However, as our aim was not to assess the diagnostic ability of the biomarkers but the effect of sample storage time and temperature on assay results this is considered negligible. There is no reason to believe that cognitive status would influence biomarker stability. Other studies on preanalytical qualities of plasma biomarkers have included healthy volunteers </w:t>
      </w:r>
      <w:hyperlink r:id="rId32">
        <w:r w:rsidDel="00000000" w:rsidR="00000000" w:rsidRPr="00000000">
          <w:rPr>
            <w:rFonts w:ascii="Calibri" w:cs="Calibri" w:eastAsia="Calibri" w:hAnsi="Calibri"/>
            <w:color w:val="000000"/>
            <w:sz w:val="24"/>
            <w:szCs w:val="24"/>
            <w:rtl w:val="0"/>
          </w:rPr>
          <w:t xml:space="preserve">[19]</w:t>
        </w:r>
      </w:hyperlink>
      <w:r w:rsidDel="00000000" w:rsidR="00000000" w:rsidRPr="00000000">
        <w:rPr>
          <w:rFonts w:ascii="Calibri" w:cs="Calibri" w:eastAsia="Calibri" w:hAnsi="Calibri"/>
          <w:sz w:val="24"/>
          <w:szCs w:val="24"/>
          <w:rtl w:val="0"/>
        </w:rPr>
        <w:t xml:space="preserve"> or adults who presented for a diagnostic blood draw for any disease </w:t>
      </w:r>
      <w:hyperlink r:id="rId33">
        <w:r w:rsidDel="00000000" w:rsidR="00000000" w:rsidRPr="00000000">
          <w:rPr>
            <w:rFonts w:ascii="Calibri" w:cs="Calibri" w:eastAsia="Calibri" w:hAnsi="Calibri"/>
            <w:color w:val="000000"/>
            <w:sz w:val="24"/>
            <w:szCs w:val="24"/>
            <w:rtl w:val="0"/>
          </w:rPr>
          <w:t xml:space="preserve">[18]</w:t>
        </w:r>
      </w:hyperlink>
      <w:r w:rsidDel="00000000" w:rsidR="00000000" w:rsidRPr="00000000">
        <w:rPr>
          <w:rFonts w:ascii="Calibri" w:cs="Calibri" w:eastAsia="Calibri" w:hAnsi="Calibri"/>
          <w:sz w:val="24"/>
          <w:szCs w:val="24"/>
          <w:rtl w:val="0"/>
        </w:rPr>
        <w:t xml:space="preserve">. The low number of participants in our study might be seen as a limitation. This is outweighed by the high number of aliquots per participant, creating a total of 156 measurements per biomarker. </w:t>
      </w:r>
    </w:p>
    <w:p w:rsidR="00000000" w:rsidDel="00000000" w:rsidP="00000000" w:rsidRDefault="00000000" w:rsidRPr="00000000" w14:paraId="00000101">
      <w:pPr>
        <w:widowControl w:val="0"/>
        <w:spacing w:before="115" w:line="480" w:lineRule="auto"/>
        <w:ind w:left="4"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Implications for clinical use</w:t>
      </w:r>
    </w:p>
    <w:p w:rsidR="00000000" w:rsidDel="00000000" w:rsidP="00000000" w:rsidRDefault="00000000" w:rsidRPr="00000000" w14:paraId="00000102">
      <w:pPr>
        <w:widowControl w:val="0"/>
        <w:spacing w:before="115" w:line="480" w:lineRule="auto"/>
        <w:ind w:left="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conclusion, we found that K2-EDTA plasma samples can be stored for 24 hours at +4°C or at a room temperature of +18°C before ULTF and still result in valid assay results for a panel of phosphorylated tau isoforms p-tau181 and p-tau231, Aβ42/Aβ40 ratio, GFAP, and NfL. Therefore, plasma samples for these biomarkers seem suitable for use in a primary care setting where sample storage and transportation to a facility with ultra-low temperature freezing can be achieved within this frame. </w:t>
      </w:r>
    </w:p>
    <w:p w:rsidR="00000000" w:rsidDel="00000000" w:rsidP="00000000" w:rsidRDefault="00000000" w:rsidRPr="00000000" w14:paraId="00000103">
      <w:pPr>
        <w:widowControl w:val="0"/>
        <w:spacing w:before="115" w:line="480" w:lineRule="auto"/>
        <w:ind w:left="4"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Acknowledgments</w:t>
      </w:r>
    </w:p>
    <w:p w:rsidR="00000000" w:rsidDel="00000000" w:rsidP="00000000" w:rsidRDefault="00000000" w:rsidRPr="00000000" w14:paraId="00000104">
      <w:pPr>
        <w:widowControl w:val="0"/>
        <w:spacing w:before="115" w:line="480" w:lineRule="auto"/>
        <w:ind w:left="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thank all participants for donating their blood for research purposes. We thank the participating GP offices for their time and willingness to help. We thank the research laboratory at Stavanger University Hospital for their help with sample handling. </w:t>
      </w:r>
    </w:p>
    <w:p w:rsidR="00000000" w:rsidDel="00000000" w:rsidP="00000000" w:rsidRDefault="00000000" w:rsidRPr="00000000" w14:paraId="00000105">
      <w:pPr>
        <w:widowControl w:val="0"/>
        <w:spacing w:before="115" w:line="480" w:lineRule="auto"/>
        <w:ind w:left="4"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Research funding</w:t>
      </w:r>
    </w:p>
    <w:p w:rsidR="00000000" w:rsidDel="00000000" w:rsidP="00000000" w:rsidRDefault="00000000" w:rsidRPr="00000000" w14:paraId="00000106">
      <w:pPr>
        <w:widowControl w:val="0"/>
        <w:spacing w:before="115" w:line="480" w:lineRule="auto"/>
        <w:ind w:left="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work was supported by the Western Norway Regional Health Authority (grant number</w:t>
      </w:r>
      <w:r w:rsidDel="00000000" w:rsidR="00000000" w:rsidRPr="00000000">
        <w:rPr>
          <w:rFonts w:ascii="Calibri" w:cs="Calibri" w:eastAsia="Calibri" w:hAnsi="Calibri"/>
          <w:color w:val="505050"/>
          <w:sz w:val="27"/>
          <w:szCs w:val="27"/>
          <w:highlight w:val="white"/>
          <w:rtl w:val="0"/>
        </w:rPr>
        <w:t xml:space="preserve"> </w:t>
      </w:r>
      <w:r w:rsidDel="00000000" w:rsidR="00000000" w:rsidRPr="00000000">
        <w:rPr>
          <w:rFonts w:ascii="Calibri" w:cs="Calibri" w:eastAsia="Calibri" w:hAnsi="Calibri"/>
          <w:sz w:val="24"/>
          <w:szCs w:val="24"/>
          <w:rtl w:val="0"/>
        </w:rPr>
        <w:t xml:space="preserve">F-12583, 2021). H. Zetterberg is a Wallenberg Scholar supported by grants from the Swedish Research Council (#2022-01018), the European Union’s Horizon Europe research and innovation programme under grant agreement No 101053962, Swedish State Support for Clinical Research (#ALFGBG-71320), the Alzheimer Drug Discovery Foundation (ADDF), USA (#201809-2016862), the AD Strategic Fund and the Alzheimer's Association (#ADSF-21-831376-C, #ADSF-21-831381-C, and #ADSF-21-831377-C), the Bluefield Project, the Olav Thon Foundation, the Erling-Persson Family Foundation, Stiftelsen för Gamla Tjänarinnor, Hjärnfonden, Sweden (#FO2022-0270), the European Union’s Horizon 2020 research and innovation programme under the Marie Skłodowska-Curie grant agreement No 860197 (MIRIADE), the European Union Joint Programme – Neurodegenerative Disease Research (JPND2021-00694), and the UK Dementia Research Institute at UCL (UKDRI-1003).</w:t>
      </w:r>
    </w:p>
    <w:p w:rsidR="00000000" w:rsidDel="00000000" w:rsidP="00000000" w:rsidRDefault="00000000" w:rsidRPr="00000000" w14:paraId="00000107">
      <w:pPr>
        <w:widowControl w:val="0"/>
        <w:spacing w:before="115" w:line="480" w:lineRule="auto"/>
        <w:ind w:left="4"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Author contribution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08">
      <w:pPr>
        <w:widowControl w:val="0"/>
        <w:spacing w:before="115" w:line="480" w:lineRule="auto"/>
        <w:ind w:left="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Anita L. Sunde contributed to the development of the concept and design of the study, the practical work of including participants, collection and freezing of the samples, analysis and interpretation of the results as well as preparation of the manuscript. Ingvild V. Alsnes, Dag Aarsland, Kaj Blennow, Henrik Zetterberg and Svein Kjosavik had an important role in the establishment of the research group, the application for funds and the overall project plan of which this study is a part of. Nicholas J. Ashton, Giovanni De Santis, Kaj Blennow and Henrik Zetterberg contributed regarding the plasma biomarker analysis. Diego A. Tovar-Rios was mainly involved in the statistical assessment of the data. In addition, all authors contributed to revising the manuscript. </w:t>
      </w:r>
    </w:p>
    <w:p w:rsidR="00000000" w:rsidDel="00000000" w:rsidP="00000000" w:rsidRDefault="00000000" w:rsidRPr="00000000" w14:paraId="00000109">
      <w:pPr>
        <w:widowControl w:val="0"/>
        <w:spacing w:before="115" w:line="480" w:lineRule="auto"/>
        <w:ind w:left="4"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Conflict of Interest/Disclosure Statement </w:t>
      </w:r>
      <w:r w:rsidDel="00000000" w:rsidR="00000000" w:rsidRPr="00000000">
        <w:rPr>
          <w:rFonts w:ascii="Calibri" w:cs="Calibri" w:eastAsia="Calibri" w:hAnsi="Calibri"/>
          <w:sz w:val="24"/>
          <w:szCs w:val="24"/>
          <w:vertAlign w:val="superscript"/>
          <w:rtl w:val="0"/>
        </w:rPr>
        <w:t xml:space="preserve">     </w:t>
      </w:r>
      <w:r w:rsidDel="00000000" w:rsidR="00000000" w:rsidRPr="00000000">
        <w:rPr>
          <w:rtl w:val="0"/>
        </w:rPr>
      </w:r>
    </w:p>
    <w:p w:rsidR="00000000" w:rsidDel="00000000" w:rsidP="00000000" w:rsidRDefault="00000000" w:rsidRPr="00000000" w14:paraId="0000010A">
      <w:pPr>
        <w:widowControl w:val="0"/>
        <w:spacing w:before="115" w:line="480" w:lineRule="auto"/>
        <w:ind w:left="4"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 Sunde, I.V. Alsnes, N.J. Ashton, D.A. Tovar-Rios, G. De Santis and S.R. Kjosavik report no conflict of interest. K. Blennow has served as a consultant, at advisory boards, or at data monitoring committees for Abcam, Axon, BioArctic, Biogen, JOMDD/Shimadzu, Julius Clinical, Lilly, MagQu, Novartis, Ono Pharma, Pharmatrophix, Prothena, Roche Diagnostics, and Siemens Healthineers; and is a co-founder of Brain Biomarker Solutions in Gothenburg AB (BBS), which is a part of the GU Ventures Incubator Program, outside the work presented in this paper. H. Zetterberg has served at scientific advisory boards and/or as a consultant for Abbvie, Acumen, Alector, ALZPath, Annexon, Apellis, Artery Therapeutics, AZTherapies, CogRx, Denali, Eisai, Nervgen, Novo Nordisk, Passage Bio, Pinteon Therapeutics, Red Abbey Labs, reMYND, Roche, Samumed, Siemens Healthineers, Triplet Therapeutics, and Wave, has given lectures in symposia sponsored by Cellectricon, Fujirebio, Alzecure, Biogen, and Roche, and is a co-founder of Brain Biomarker Solutions in Gothenburg AB (BBS), which is a part of the GU Ventures Incubator Program (outside submitted work). D. Aarsland has received a research grant and honoraria from Roche Diagnostics (outside submitted work).</w:t>
      </w:r>
    </w:p>
    <w:p w:rsidR="00000000" w:rsidDel="00000000" w:rsidP="00000000" w:rsidRDefault="00000000" w:rsidRPr="00000000" w14:paraId="0000010B">
      <w:pPr>
        <w:widowControl w:val="0"/>
        <w:spacing w:before="115" w:line="480" w:lineRule="auto"/>
        <w:ind w:left="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C">
      <w:pPr>
        <w:widowControl w:val="0"/>
        <w:spacing w:before="115" w:line="480" w:lineRule="auto"/>
        <w:ind w:left="0" w:firstLine="0"/>
        <w:rPr>
          <w:rFonts w:ascii="Calibri" w:cs="Calibri" w:eastAsia="Calibri" w:hAnsi="Calibri"/>
          <w:b w:val="1"/>
          <w:color w:val="1c1d1e"/>
          <w:sz w:val="28"/>
          <w:szCs w:val="28"/>
        </w:rPr>
      </w:pPr>
      <w:r w:rsidDel="00000000" w:rsidR="00000000" w:rsidRPr="00000000">
        <w:br w:type="page"/>
      </w:r>
      <w:r w:rsidDel="00000000" w:rsidR="00000000" w:rsidRPr="00000000">
        <w:rPr>
          <w:rFonts w:ascii="Calibri" w:cs="Calibri" w:eastAsia="Calibri" w:hAnsi="Calibri"/>
          <w:b w:val="1"/>
          <w:color w:val="1c1d1e"/>
          <w:sz w:val="28"/>
          <w:szCs w:val="28"/>
          <w:rtl w:val="0"/>
        </w:rPr>
        <w:t xml:space="preserve">Highlights</w:t>
      </w:r>
    </w:p>
    <w:p w:rsidR="00000000" w:rsidDel="00000000" w:rsidP="00000000" w:rsidRDefault="00000000" w:rsidRPr="00000000" w14:paraId="0000010D">
      <w:pPr>
        <w:numPr>
          <w:ilvl w:val="0"/>
          <w:numId w:val="2"/>
        </w:numPr>
        <w:shd w:fill="ffffff" w:val="clear"/>
        <w:spacing w:after="80" w:before="80" w:line="48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Plasma samples were stored for 24 hours at +4°C and +18°C, mimicking clinical practice.  </w:t>
      </w:r>
    </w:p>
    <w:p w:rsidR="00000000" w:rsidDel="00000000" w:rsidP="00000000" w:rsidRDefault="00000000" w:rsidRPr="00000000" w14:paraId="0000010E">
      <w:pPr>
        <w:numPr>
          <w:ilvl w:val="0"/>
          <w:numId w:val="1"/>
        </w:numPr>
        <w:shd w:fill="ffffff" w:val="clear"/>
        <w:spacing w:after="80" w:before="80" w:line="48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Concentrations for Alzheimer's disease biomarkers were measured at six time-points. </w:t>
      </w:r>
    </w:p>
    <w:p w:rsidR="00000000" w:rsidDel="00000000" w:rsidP="00000000" w:rsidRDefault="00000000" w:rsidRPr="00000000" w14:paraId="0000010F">
      <w:pPr>
        <w:numPr>
          <w:ilvl w:val="0"/>
          <w:numId w:val="1"/>
        </w:numPr>
        <w:shd w:fill="ffffff" w:val="clear"/>
        <w:spacing w:after="80" w:before="80" w:line="48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P-tau181, p-tau231, NfL and GFAP concentrations were unchanged during  the experiment.</w:t>
      </w:r>
    </w:p>
    <w:p w:rsidR="00000000" w:rsidDel="00000000" w:rsidP="00000000" w:rsidRDefault="00000000" w:rsidRPr="00000000" w14:paraId="00000110">
      <w:pPr>
        <w:widowControl w:val="0"/>
        <w:numPr>
          <w:ilvl w:val="0"/>
          <w:numId w:val="1"/>
        </w:numPr>
        <w:spacing w:before="80" w:line="480" w:lineRule="auto"/>
        <w:ind w:left="720" w:hanging="360"/>
        <w:rPr>
          <w:u w:val="none"/>
        </w:rPr>
      </w:pPr>
      <w:r w:rsidDel="00000000" w:rsidR="00000000" w:rsidRPr="00000000">
        <w:rPr>
          <w:rFonts w:ascii="Calibri" w:cs="Calibri" w:eastAsia="Calibri" w:hAnsi="Calibri"/>
          <w:sz w:val="24"/>
          <w:szCs w:val="24"/>
          <w:rtl w:val="0"/>
        </w:rPr>
        <w:t xml:space="preserve">Storage at +18°C affected Aβ40 and Aβ42 concentrations</w:t>
      </w:r>
      <w:r w:rsidDel="00000000" w:rsidR="00000000" w:rsidRPr="00000000">
        <w:rPr>
          <w:rFonts w:ascii="Calibri" w:cs="Calibri" w:eastAsia="Calibri" w:hAnsi="Calibri"/>
          <w:color w:val="222222"/>
          <w:sz w:val="24"/>
          <w:szCs w:val="24"/>
          <w:highlight w:val="white"/>
          <w:rtl w:val="0"/>
        </w:rPr>
        <w:t xml:space="preserve"> while storage at</w:t>
      </w:r>
      <w:r w:rsidDel="00000000" w:rsidR="00000000" w:rsidRPr="00000000">
        <w:rPr>
          <w:rFonts w:ascii="Calibri" w:cs="Calibri" w:eastAsia="Calibri" w:hAnsi="Calibri"/>
          <w:sz w:val="24"/>
          <w:szCs w:val="24"/>
          <w:rtl w:val="0"/>
        </w:rPr>
        <w:t xml:space="preserve"> +4°C </w:t>
      </w:r>
      <w:r w:rsidDel="00000000" w:rsidR="00000000" w:rsidRPr="00000000">
        <w:rPr>
          <w:rFonts w:ascii="Calibri" w:cs="Calibri" w:eastAsia="Calibri" w:hAnsi="Calibri"/>
          <w:color w:val="222222"/>
          <w:sz w:val="24"/>
          <w:szCs w:val="24"/>
          <w:highlight w:val="white"/>
          <w:rtl w:val="0"/>
        </w:rPr>
        <w:t xml:space="preserve">did not. </w:t>
      </w:r>
      <w:r w:rsidDel="00000000" w:rsidR="00000000" w:rsidRPr="00000000">
        <w:rPr>
          <w:rFonts w:ascii="Calibri" w:cs="Calibri" w:eastAsia="Calibri" w:hAnsi="Calibri"/>
          <w:sz w:val="24"/>
          <w:szCs w:val="24"/>
          <w:rtl w:val="0"/>
        </w:rPr>
        <w:t xml:space="preserve">The Aβ42/Aβ40 ratio was unaffected. </w:t>
      </w:r>
    </w:p>
    <w:p w:rsidR="00000000" w:rsidDel="00000000" w:rsidP="00000000" w:rsidRDefault="00000000" w:rsidRPr="00000000" w14:paraId="00000111">
      <w:pPr>
        <w:widowControl w:val="0"/>
        <w:numPr>
          <w:ilvl w:val="0"/>
          <w:numId w:val="1"/>
        </w:numPr>
        <w:spacing w:before="80" w:line="480" w:lineRule="auto"/>
        <w:ind w:left="720" w:hanging="360"/>
        <w:rPr>
          <w:u w:val="none"/>
        </w:rPr>
      </w:pPr>
      <w:r w:rsidDel="00000000" w:rsidR="00000000" w:rsidRPr="00000000">
        <w:rPr>
          <w:rFonts w:ascii="Calibri" w:cs="Calibri" w:eastAsia="Calibri" w:hAnsi="Calibri"/>
          <w:sz w:val="24"/>
          <w:szCs w:val="24"/>
          <w:rtl w:val="0"/>
        </w:rPr>
        <w:t xml:space="preserve">These plasma tests seem suitable for use in general practice.</w:t>
      </w:r>
      <w:r w:rsidDel="00000000" w:rsidR="00000000" w:rsidRPr="00000000">
        <w:br w:type="page"/>
      </w:r>
      <w:r w:rsidDel="00000000" w:rsidR="00000000" w:rsidRPr="00000000">
        <w:rPr>
          <w:rtl w:val="0"/>
        </w:rPr>
      </w:r>
    </w:p>
    <w:p w:rsidR="00000000" w:rsidDel="00000000" w:rsidP="00000000" w:rsidRDefault="00000000" w:rsidRPr="00000000" w14:paraId="00000112">
      <w:pPr>
        <w:widowControl w:val="0"/>
        <w:spacing w:before="115" w:line="480" w:lineRule="auto"/>
        <w:ind w:left="0" w:firstLine="0"/>
        <w:rPr>
          <w:color w:val="000000"/>
          <w:sz w:val="28"/>
          <w:szCs w:val="28"/>
        </w:rPr>
      </w:pPr>
      <w:r w:rsidDel="00000000" w:rsidR="00000000" w:rsidRPr="00000000">
        <w:rPr>
          <w:b w:val="1"/>
          <w:color w:val="000000"/>
          <w:sz w:val="28"/>
          <w:szCs w:val="28"/>
          <w:rtl w:val="0"/>
        </w:rPr>
        <w:t xml:space="preserve">References </w:t>
      </w:r>
      <w:r w:rsidDel="00000000" w:rsidR="00000000" w:rsidRPr="00000000">
        <w:rPr>
          <w:rtl w:val="0"/>
        </w:rPr>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before="220" w:line="480" w:lineRule="auto"/>
        <w:ind w:left="440" w:hanging="440"/>
        <w:rPr>
          <w:color w:val="000000"/>
        </w:rPr>
      </w:pPr>
      <w:r w:rsidDel="00000000" w:rsidR="00000000" w:rsidRPr="00000000">
        <w:rPr>
          <w:color w:val="000000"/>
          <w:rtl w:val="0"/>
        </w:rPr>
        <w:t xml:space="preserve">[1]</w:t>
        <w:tab/>
      </w:r>
      <w:hyperlink r:id="rId34">
        <w:r w:rsidDel="00000000" w:rsidR="00000000" w:rsidRPr="00000000">
          <w:rPr>
            <w:color w:val="000000"/>
            <w:rtl w:val="0"/>
          </w:rPr>
          <w:t xml:space="preserve">Scheltens P, De Strooper B, Kivipelto M, Holstege H, Chételat G, Teunissen CE, et al. Alzheimer’s disease. The Lancet 2021;397:1577–90. https://doi.org/</w:t>
        </w:r>
      </w:hyperlink>
      <w:hyperlink r:id="rId35">
        <w:r w:rsidDel="00000000" w:rsidR="00000000" w:rsidRPr="00000000">
          <w:rPr>
            <w:color w:val="000000"/>
            <w:rtl w:val="0"/>
          </w:rPr>
          <w:t xml:space="preserve">10.1016/s0140-6736(20)32205-4</w:t>
        </w:r>
      </w:hyperlink>
      <w:hyperlink r:id="rId36">
        <w:r w:rsidDel="00000000" w:rsidR="00000000" w:rsidRPr="00000000">
          <w:rPr>
            <w:color w:val="000000"/>
            <w:rtl w:val="0"/>
          </w:rPr>
          <w:t xml:space="preserve">.</w:t>
        </w:r>
      </w:hyperlink>
      <w:r w:rsidDel="00000000" w:rsidR="00000000" w:rsidRPr="00000000">
        <w:rPr>
          <w:rtl w:val="0"/>
        </w:rPr>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480" w:lineRule="auto"/>
        <w:ind w:left="440" w:hanging="440"/>
        <w:rPr>
          <w:color w:val="000000"/>
        </w:rPr>
      </w:pPr>
      <w:r w:rsidDel="00000000" w:rsidR="00000000" w:rsidRPr="00000000">
        <w:rPr>
          <w:color w:val="000000"/>
          <w:rtl w:val="0"/>
        </w:rPr>
        <w:t xml:space="preserve">[2]</w:t>
        <w:tab/>
      </w:r>
      <w:hyperlink r:id="rId37">
        <w:r w:rsidDel="00000000" w:rsidR="00000000" w:rsidRPr="00000000">
          <w:rPr>
            <w:color w:val="000000"/>
            <w:rtl w:val="0"/>
          </w:rPr>
          <w:t xml:space="preserve">Prince MJ, Wimo A, Guerchet MM, Ali GC, Wu Y-T, Prina M. World Alzheimer Report 2015 - The Global Impact of Dementia: An analysis of prevalence, incidence, cost and trends 2015.</w:t>
        </w:r>
      </w:hyperlink>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line="480" w:lineRule="auto"/>
        <w:ind w:left="440" w:hanging="440"/>
        <w:rPr>
          <w:color w:val="000000"/>
        </w:rPr>
      </w:pPr>
      <w:r w:rsidDel="00000000" w:rsidR="00000000" w:rsidRPr="00000000">
        <w:rPr>
          <w:color w:val="000000"/>
          <w:rtl w:val="0"/>
        </w:rPr>
        <w:t xml:space="preserve">[3]</w:t>
        <w:tab/>
      </w:r>
      <w:hyperlink r:id="rId38">
        <w:r w:rsidDel="00000000" w:rsidR="00000000" w:rsidRPr="00000000">
          <w:rPr>
            <w:color w:val="000000"/>
            <w:rtl w:val="0"/>
          </w:rPr>
          <w:t xml:space="preserve">Chong JR, Ashton NJ, Karikari TK, Tanaka T, Schöll M, Zetterberg H, et al. Blood-based high sensitivity measurements of beta-amyloid and phosphorylated tau as biomarkers of Alzheimer’s disease: a focused review on recent advances. J Neurol Neurosurg Psychiatry 2021;92:1231–41. https://doi.org/</w:t>
        </w:r>
      </w:hyperlink>
      <w:hyperlink r:id="rId39">
        <w:r w:rsidDel="00000000" w:rsidR="00000000" w:rsidRPr="00000000">
          <w:rPr>
            <w:color w:val="000000"/>
            <w:rtl w:val="0"/>
          </w:rPr>
          <w:t xml:space="preserve">10.1136/jnnp-2021-327370</w:t>
        </w:r>
      </w:hyperlink>
      <w:hyperlink r:id="rId40">
        <w:r w:rsidDel="00000000" w:rsidR="00000000" w:rsidRPr="00000000">
          <w:rPr>
            <w:color w:val="000000"/>
            <w:rtl w:val="0"/>
          </w:rPr>
          <w:t xml:space="preserve">.</w:t>
        </w:r>
      </w:hyperlink>
      <w:r w:rsidDel="00000000" w:rsidR="00000000" w:rsidRPr="00000000">
        <w:rPr>
          <w:rtl w:val="0"/>
        </w:rPr>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480" w:lineRule="auto"/>
        <w:ind w:left="440" w:hanging="440"/>
        <w:rPr>
          <w:color w:val="000000"/>
        </w:rPr>
      </w:pPr>
      <w:r w:rsidDel="00000000" w:rsidR="00000000" w:rsidRPr="00000000">
        <w:rPr>
          <w:color w:val="000000"/>
          <w:rtl w:val="0"/>
        </w:rPr>
        <w:t xml:space="preserve">[4]</w:t>
        <w:tab/>
      </w:r>
      <w:hyperlink r:id="rId41">
        <w:r w:rsidDel="00000000" w:rsidR="00000000" w:rsidRPr="00000000">
          <w:rPr>
            <w:color w:val="000000"/>
            <w:rtl w:val="0"/>
          </w:rPr>
          <w:t xml:space="preserve">Chen L, Niu X, Wang Y, Lv S, Zhou X, Yang Z, et al. Plasma tau proteins for the diagnosis of mild cognitive impairment and Alzheimer’s disease: A systematic review and meta-analysis. Front Aging Neurosci 2022;14:942629. https://doi.org/</w:t>
        </w:r>
      </w:hyperlink>
      <w:hyperlink r:id="rId42">
        <w:r w:rsidDel="00000000" w:rsidR="00000000" w:rsidRPr="00000000">
          <w:rPr>
            <w:color w:val="000000"/>
            <w:rtl w:val="0"/>
          </w:rPr>
          <w:t xml:space="preserve">10.3389/fnagi.2022.942629</w:t>
        </w:r>
      </w:hyperlink>
      <w:hyperlink r:id="rId43">
        <w:r w:rsidDel="00000000" w:rsidR="00000000" w:rsidRPr="00000000">
          <w:rPr>
            <w:color w:val="000000"/>
            <w:rtl w:val="0"/>
          </w:rPr>
          <w:t xml:space="preserve">.</w:t>
        </w:r>
      </w:hyperlink>
      <w:r w:rsidDel="00000000" w:rsidR="00000000" w:rsidRPr="00000000">
        <w:rPr>
          <w:rtl w:val="0"/>
        </w:rPr>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480" w:lineRule="auto"/>
        <w:ind w:left="440" w:hanging="440"/>
        <w:rPr>
          <w:color w:val="000000"/>
        </w:rPr>
      </w:pPr>
      <w:r w:rsidDel="00000000" w:rsidR="00000000" w:rsidRPr="00000000">
        <w:rPr>
          <w:color w:val="000000"/>
          <w:rtl w:val="0"/>
        </w:rPr>
        <w:t xml:space="preserve">[5]</w:t>
        <w:tab/>
      </w:r>
      <w:hyperlink r:id="rId44">
        <w:r w:rsidDel="00000000" w:rsidR="00000000" w:rsidRPr="00000000">
          <w:rPr>
            <w:color w:val="000000"/>
            <w:rtl w:val="0"/>
          </w:rPr>
          <w:t xml:space="preserve">Qu Y, Ma Y-H, Huang Y-Y, Ou Y-N, Shen X-N, Chen S-D, et al. Blood biomarkers for the diagnosis of amnestic mild cognitive impairment and Alzheimer’s disease: A systematic review and meta-analysis. Neurosci Biobehav Rev 2021;128:479–86. https://doi.org/</w:t>
        </w:r>
      </w:hyperlink>
      <w:hyperlink r:id="rId45">
        <w:r w:rsidDel="00000000" w:rsidR="00000000" w:rsidRPr="00000000">
          <w:rPr>
            <w:color w:val="000000"/>
            <w:rtl w:val="0"/>
          </w:rPr>
          <w:t xml:space="preserve">10.1016/j.neubiorev.2021.07.007</w:t>
        </w:r>
      </w:hyperlink>
      <w:hyperlink r:id="rId46">
        <w:r w:rsidDel="00000000" w:rsidR="00000000" w:rsidRPr="00000000">
          <w:rPr>
            <w:color w:val="000000"/>
            <w:rtl w:val="0"/>
          </w:rPr>
          <w:t xml:space="preserve">.</w:t>
        </w:r>
      </w:hyperlink>
      <w:r w:rsidDel="00000000" w:rsidR="00000000" w:rsidRPr="00000000">
        <w:rPr>
          <w:rtl w:val="0"/>
        </w:rPr>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line="480" w:lineRule="auto"/>
        <w:ind w:left="440" w:hanging="440"/>
        <w:rPr>
          <w:color w:val="000000"/>
        </w:rPr>
      </w:pPr>
      <w:r w:rsidDel="00000000" w:rsidR="00000000" w:rsidRPr="00000000">
        <w:rPr>
          <w:color w:val="000000"/>
          <w:rtl w:val="0"/>
        </w:rPr>
        <w:t xml:space="preserve">[6]</w:t>
        <w:tab/>
      </w:r>
      <w:hyperlink r:id="rId47">
        <w:r w:rsidDel="00000000" w:rsidR="00000000" w:rsidRPr="00000000">
          <w:rPr>
            <w:color w:val="000000"/>
            <w:rtl w:val="0"/>
          </w:rPr>
          <w:t xml:space="preserve">Pichet Binette A, Palmqvist S, Bali D, Farrar G, Buckley CJ, Wolk DA, et al. Combining plasma phospho-tau and accessible measures to evaluate progression to Alzheimer’s dementia in mild cognitive impairment patients. Alzheimers Res Ther 2022;14:46. https://doi.org/</w:t>
        </w:r>
      </w:hyperlink>
      <w:hyperlink r:id="rId48">
        <w:r w:rsidDel="00000000" w:rsidR="00000000" w:rsidRPr="00000000">
          <w:rPr>
            <w:color w:val="000000"/>
            <w:rtl w:val="0"/>
          </w:rPr>
          <w:t xml:space="preserve">10.1186/s13195-022-00990-0</w:t>
        </w:r>
      </w:hyperlink>
      <w:hyperlink r:id="rId49">
        <w:r w:rsidDel="00000000" w:rsidR="00000000" w:rsidRPr="00000000">
          <w:rPr>
            <w:color w:val="000000"/>
            <w:rtl w:val="0"/>
          </w:rPr>
          <w:t xml:space="preserve">.</w:t>
        </w:r>
      </w:hyperlink>
      <w:r w:rsidDel="00000000" w:rsidR="00000000" w:rsidRPr="00000000">
        <w:rPr>
          <w:rtl w:val="0"/>
        </w:rPr>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line="480" w:lineRule="auto"/>
        <w:ind w:left="440" w:hanging="440"/>
        <w:rPr>
          <w:color w:val="000000"/>
        </w:rPr>
      </w:pPr>
      <w:r w:rsidDel="00000000" w:rsidR="00000000" w:rsidRPr="00000000">
        <w:rPr>
          <w:color w:val="000000"/>
          <w:rtl w:val="0"/>
        </w:rPr>
        <w:t xml:space="preserve">[7]</w:t>
        <w:tab/>
      </w:r>
      <w:hyperlink r:id="rId50">
        <w:r w:rsidDel="00000000" w:rsidR="00000000" w:rsidRPr="00000000">
          <w:rPr>
            <w:color w:val="000000"/>
            <w:rtl w:val="0"/>
          </w:rPr>
          <w:t xml:space="preserve">Palmqvist S, Tideman P, Cullen N, Zetterberg H, Blennow K, Alzheimer’s Disease Neuroimaging Initiative, et al. Prediction of future Alzheimer’s disease dementia using plasma phospho-tau combined with other accessible measures. Nat Med 2021;27:1034–42. https://doi.org/</w:t>
        </w:r>
      </w:hyperlink>
      <w:hyperlink r:id="rId51">
        <w:r w:rsidDel="00000000" w:rsidR="00000000" w:rsidRPr="00000000">
          <w:rPr>
            <w:color w:val="000000"/>
            <w:rtl w:val="0"/>
          </w:rPr>
          <w:t xml:space="preserve">10.1038/s41591-021-01348-z</w:t>
        </w:r>
      </w:hyperlink>
      <w:hyperlink r:id="rId52">
        <w:r w:rsidDel="00000000" w:rsidR="00000000" w:rsidRPr="00000000">
          <w:rPr>
            <w:color w:val="000000"/>
            <w:rtl w:val="0"/>
          </w:rPr>
          <w:t xml:space="preserve">.</w:t>
        </w:r>
      </w:hyperlink>
      <w:r w:rsidDel="00000000" w:rsidR="00000000" w:rsidRPr="00000000">
        <w:rPr>
          <w:rtl w:val="0"/>
        </w:rPr>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480" w:lineRule="auto"/>
        <w:ind w:left="440" w:hanging="440"/>
        <w:rPr>
          <w:color w:val="000000"/>
        </w:rPr>
      </w:pPr>
      <w:r w:rsidDel="00000000" w:rsidR="00000000" w:rsidRPr="00000000">
        <w:rPr>
          <w:color w:val="000000"/>
          <w:rtl w:val="0"/>
        </w:rPr>
        <w:t xml:space="preserve">[8]</w:t>
        <w:tab/>
      </w:r>
      <w:hyperlink r:id="rId53">
        <w:r w:rsidDel="00000000" w:rsidR="00000000" w:rsidRPr="00000000">
          <w:rPr>
            <w:color w:val="000000"/>
            <w:rtl w:val="0"/>
          </w:rPr>
          <w:t xml:space="preserve">Karikari TK, Pascoal TA, Ashton NJ, Janelidze S, Benedet AL, Rodriguez JL, et al. Blood phosphorylated tau 181 as a biomarker for Alzheimer’s disease: a diagnostic performance and prediction modelling study using data from four prospective cohorts. Lancet Neurol 2020;19:422–33. https://doi.org/</w:t>
        </w:r>
      </w:hyperlink>
      <w:hyperlink r:id="rId54">
        <w:r w:rsidDel="00000000" w:rsidR="00000000" w:rsidRPr="00000000">
          <w:rPr>
            <w:color w:val="000000"/>
            <w:rtl w:val="0"/>
          </w:rPr>
          <w:t xml:space="preserve">10.1016/S1474-4422(20)30071-5</w:t>
        </w:r>
      </w:hyperlink>
      <w:hyperlink r:id="rId55">
        <w:r w:rsidDel="00000000" w:rsidR="00000000" w:rsidRPr="00000000">
          <w:rPr>
            <w:color w:val="000000"/>
            <w:rtl w:val="0"/>
          </w:rPr>
          <w:t xml:space="preserve">.</w:t>
        </w:r>
      </w:hyperlink>
      <w:r w:rsidDel="00000000" w:rsidR="00000000" w:rsidRPr="00000000">
        <w:rPr>
          <w:rtl w:val="0"/>
        </w:rPr>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line="480" w:lineRule="auto"/>
        <w:ind w:left="440" w:hanging="440"/>
        <w:rPr>
          <w:color w:val="000000"/>
        </w:rPr>
      </w:pPr>
      <w:r w:rsidDel="00000000" w:rsidR="00000000" w:rsidRPr="00000000">
        <w:rPr>
          <w:color w:val="000000"/>
          <w:rtl w:val="0"/>
        </w:rPr>
        <w:t xml:space="preserve">[9]</w:t>
        <w:tab/>
      </w:r>
      <w:hyperlink r:id="rId56">
        <w:r w:rsidDel="00000000" w:rsidR="00000000" w:rsidRPr="00000000">
          <w:rPr>
            <w:color w:val="000000"/>
            <w:rtl w:val="0"/>
          </w:rPr>
          <w:t xml:space="preserve">Janelidze S, Mattsson N, Palmqvist S, Smith R, Beach TG, Serrano GE, et al. Plasma P-tau181 in Alzheimer’s disease: relationship to other biomarkers, differential diagnosis, neuropathology and longitudinal progression to Alzheimer's dementia. Nat Med 2020;26:379–86. https://doi.org/</w:t>
        </w:r>
      </w:hyperlink>
      <w:hyperlink r:id="rId57">
        <w:r w:rsidDel="00000000" w:rsidR="00000000" w:rsidRPr="00000000">
          <w:rPr>
            <w:color w:val="000000"/>
            <w:rtl w:val="0"/>
          </w:rPr>
          <w:t xml:space="preserve">10.1038/s41591-020-0755-1</w:t>
        </w:r>
      </w:hyperlink>
      <w:hyperlink r:id="rId58">
        <w:r w:rsidDel="00000000" w:rsidR="00000000" w:rsidRPr="00000000">
          <w:rPr>
            <w:color w:val="000000"/>
            <w:rtl w:val="0"/>
          </w:rPr>
          <w:t xml:space="preserve">.</w:t>
        </w:r>
      </w:hyperlink>
      <w:r w:rsidDel="00000000" w:rsidR="00000000" w:rsidRPr="00000000">
        <w:rPr>
          <w:rtl w:val="0"/>
        </w:rPr>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480" w:lineRule="auto"/>
        <w:ind w:left="440" w:hanging="440"/>
        <w:rPr>
          <w:color w:val="000000"/>
        </w:rPr>
      </w:pPr>
      <w:r w:rsidDel="00000000" w:rsidR="00000000" w:rsidRPr="00000000">
        <w:rPr>
          <w:color w:val="000000"/>
          <w:rtl w:val="0"/>
        </w:rPr>
        <w:t xml:space="preserve">[10]</w:t>
        <w:tab/>
      </w:r>
      <w:hyperlink r:id="rId59">
        <w:r w:rsidDel="00000000" w:rsidR="00000000" w:rsidRPr="00000000">
          <w:rPr>
            <w:color w:val="000000"/>
            <w:rtl w:val="0"/>
          </w:rPr>
          <w:t xml:space="preserve">Ashton NJ, Pascoal TA, Karikari TK, Benedet AL, Lantero-Rodriguez J, Brinkmalm G, et al. Plasma p-tau231: a new biomarker for incipient Alzheimer’s disease pathology. Acta Neuropathol 2021;141:709–24. https://doi.org/</w:t>
        </w:r>
      </w:hyperlink>
      <w:hyperlink r:id="rId60">
        <w:r w:rsidDel="00000000" w:rsidR="00000000" w:rsidRPr="00000000">
          <w:rPr>
            <w:color w:val="000000"/>
            <w:rtl w:val="0"/>
          </w:rPr>
          <w:t xml:space="preserve">10.1007/s00401-021-02275-6</w:t>
        </w:r>
      </w:hyperlink>
      <w:hyperlink r:id="rId61">
        <w:r w:rsidDel="00000000" w:rsidR="00000000" w:rsidRPr="00000000">
          <w:rPr>
            <w:color w:val="000000"/>
            <w:rtl w:val="0"/>
          </w:rPr>
          <w:t xml:space="preserve">.</w:t>
        </w:r>
      </w:hyperlink>
      <w:r w:rsidDel="00000000" w:rsidR="00000000" w:rsidRPr="00000000">
        <w:rPr>
          <w:rtl w:val="0"/>
        </w:rPr>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line="480" w:lineRule="auto"/>
        <w:ind w:left="440" w:hanging="440"/>
        <w:rPr>
          <w:color w:val="000000"/>
        </w:rPr>
      </w:pPr>
      <w:r w:rsidDel="00000000" w:rsidR="00000000" w:rsidRPr="00000000">
        <w:rPr>
          <w:color w:val="000000"/>
          <w:rtl w:val="0"/>
        </w:rPr>
        <w:t xml:space="preserve">[11]</w:t>
        <w:tab/>
      </w:r>
      <w:hyperlink r:id="rId62">
        <w:r w:rsidDel="00000000" w:rsidR="00000000" w:rsidRPr="00000000">
          <w:rPr>
            <w:color w:val="000000"/>
            <w:rtl w:val="0"/>
          </w:rPr>
          <w:t xml:space="preserve">Pereira JB, Janelidze S, Smith R, Mattsson-Carlgren N, Palmqvist S, Teunissen CE, et al. Plasma GFAP is an early marker of amyloid-β but not tau pathology in Alzheimer’s disease. Brain 2021. https://doi.org/</w:t>
        </w:r>
      </w:hyperlink>
      <w:hyperlink r:id="rId63">
        <w:r w:rsidDel="00000000" w:rsidR="00000000" w:rsidRPr="00000000">
          <w:rPr>
            <w:color w:val="000000"/>
            <w:rtl w:val="0"/>
          </w:rPr>
          <w:t xml:space="preserve">10.1093/brain/awab223</w:t>
        </w:r>
      </w:hyperlink>
      <w:hyperlink r:id="rId64">
        <w:r w:rsidDel="00000000" w:rsidR="00000000" w:rsidRPr="00000000">
          <w:rPr>
            <w:color w:val="000000"/>
            <w:rtl w:val="0"/>
          </w:rPr>
          <w:t xml:space="preserve">.</w:t>
        </w:r>
      </w:hyperlink>
      <w:r w:rsidDel="00000000" w:rsidR="00000000" w:rsidRPr="00000000">
        <w:rPr>
          <w:rtl w:val="0"/>
        </w:rPr>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line="480" w:lineRule="auto"/>
        <w:ind w:left="440" w:hanging="440"/>
        <w:rPr>
          <w:color w:val="000000"/>
        </w:rPr>
      </w:pPr>
      <w:r w:rsidDel="00000000" w:rsidR="00000000" w:rsidRPr="00000000">
        <w:rPr>
          <w:color w:val="000000"/>
          <w:rtl w:val="0"/>
        </w:rPr>
        <w:t xml:space="preserve">[12]</w:t>
        <w:tab/>
      </w:r>
      <w:hyperlink r:id="rId65">
        <w:r w:rsidDel="00000000" w:rsidR="00000000" w:rsidRPr="00000000">
          <w:rPr>
            <w:color w:val="000000"/>
            <w:rtl w:val="0"/>
          </w:rPr>
          <w:t xml:space="preserve">Palmqvist S, Janelidze S, Stomrud E, Zetterberg H, Karl J, Zink K, et al. Performance of Fully Automated Plasma Assays as Screening Tests for Alzheimer Disease–Related β-Amyloid Status. JAMA Neurol 2019;76:1060–9. https://doi.org/</w:t>
        </w:r>
      </w:hyperlink>
      <w:hyperlink r:id="rId66">
        <w:r w:rsidDel="00000000" w:rsidR="00000000" w:rsidRPr="00000000">
          <w:rPr>
            <w:color w:val="000000"/>
            <w:rtl w:val="0"/>
          </w:rPr>
          <w:t xml:space="preserve">10.1001/jamaneurol.2019.1632</w:t>
        </w:r>
      </w:hyperlink>
      <w:hyperlink r:id="rId67">
        <w:r w:rsidDel="00000000" w:rsidR="00000000" w:rsidRPr="00000000">
          <w:rPr>
            <w:color w:val="000000"/>
            <w:rtl w:val="0"/>
          </w:rPr>
          <w:t xml:space="preserve">.</w:t>
        </w:r>
      </w:hyperlink>
      <w:r w:rsidDel="00000000" w:rsidR="00000000" w:rsidRPr="00000000">
        <w:rPr>
          <w:rtl w:val="0"/>
        </w:rPr>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line="480" w:lineRule="auto"/>
        <w:ind w:left="440" w:hanging="440"/>
        <w:rPr>
          <w:color w:val="000000"/>
        </w:rPr>
      </w:pPr>
      <w:r w:rsidDel="00000000" w:rsidR="00000000" w:rsidRPr="00000000">
        <w:rPr>
          <w:color w:val="000000"/>
          <w:rtl w:val="0"/>
        </w:rPr>
        <w:t xml:space="preserve">[13]</w:t>
        <w:tab/>
      </w:r>
      <w:hyperlink r:id="rId68">
        <w:r w:rsidDel="00000000" w:rsidR="00000000" w:rsidRPr="00000000">
          <w:rPr>
            <w:color w:val="000000"/>
            <w:rtl w:val="0"/>
          </w:rPr>
          <w:t xml:space="preserve">Ashton NJ, Janelidze S, Al Khleifat A, Leuzy A, van der Ende EL, Karikari TK, et al. A multicentre validation study of the diagnostic value of plasma neurofilament light. Nat Commun 2021;12:3400. https://doi.org/</w:t>
        </w:r>
      </w:hyperlink>
      <w:hyperlink r:id="rId69">
        <w:r w:rsidDel="00000000" w:rsidR="00000000" w:rsidRPr="00000000">
          <w:rPr>
            <w:color w:val="000000"/>
            <w:rtl w:val="0"/>
          </w:rPr>
          <w:t xml:space="preserve">10.1038/s41467-021-23620-z</w:t>
        </w:r>
      </w:hyperlink>
      <w:hyperlink r:id="rId70">
        <w:r w:rsidDel="00000000" w:rsidR="00000000" w:rsidRPr="00000000">
          <w:rPr>
            <w:color w:val="000000"/>
            <w:rtl w:val="0"/>
          </w:rPr>
          <w:t xml:space="preserve">.</w:t>
        </w:r>
      </w:hyperlink>
      <w:r w:rsidDel="00000000" w:rsidR="00000000" w:rsidRPr="00000000">
        <w:rPr>
          <w:rtl w:val="0"/>
        </w:rPr>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line="480" w:lineRule="auto"/>
        <w:ind w:left="440" w:hanging="440"/>
        <w:rPr>
          <w:color w:val="000000"/>
        </w:rPr>
      </w:pPr>
      <w:r w:rsidDel="00000000" w:rsidR="00000000" w:rsidRPr="00000000">
        <w:rPr>
          <w:color w:val="000000"/>
          <w:rtl w:val="0"/>
        </w:rPr>
        <w:t xml:space="preserve">[14]</w:t>
        <w:tab/>
      </w:r>
      <w:hyperlink r:id="rId71">
        <w:r w:rsidDel="00000000" w:rsidR="00000000" w:rsidRPr="00000000">
          <w:rPr>
            <w:color w:val="000000"/>
            <w:rtl w:val="0"/>
          </w:rPr>
          <w:t xml:space="preserve">Thijssen EH, Verberk IMW, Kindermans J, Abramian A, Vanbrabant J, Ball AJ, et al. Differential diagnostic performance of a panel of plasma biomarkers for different types of dementia. Alzheimers Dement 2022;14:e12285. https://doi.org/</w:t>
        </w:r>
      </w:hyperlink>
      <w:hyperlink r:id="rId72">
        <w:r w:rsidDel="00000000" w:rsidR="00000000" w:rsidRPr="00000000">
          <w:rPr>
            <w:color w:val="000000"/>
            <w:rtl w:val="0"/>
          </w:rPr>
          <w:t xml:space="preserve">10.1002/dad2.12285</w:t>
        </w:r>
      </w:hyperlink>
      <w:hyperlink r:id="rId73">
        <w:r w:rsidDel="00000000" w:rsidR="00000000" w:rsidRPr="00000000">
          <w:rPr>
            <w:color w:val="000000"/>
            <w:rtl w:val="0"/>
          </w:rPr>
          <w:t xml:space="preserve">.</w:t>
        </w:r>
      </w:hyperlink>
      <w:r w:rsidDel="00000000" w:rsidR="00000000" w:rsidRPr="00000000">
        <w:rPr>
          <w:rtl w:val="0"/>
        </w:rPr>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line="480" w:lineRule="auto"/>
        <w:ind w:left="440" w:hanging="440"/>
        <w:rPr>
          <w:color w:val="000000"/>
        </w:rPr>
      </w:pPr>
      <w:r w:rsidDel="00000000" w:rsidR="00000000" w:rsidRPr="00000000">
        <w:rPr>
          <w:color w:val="000000"/>
          <w:rtl w:val="0"/>
        </w:rPr>
        <w:t xml:space="preserve">[15]</w:t>
        <w:tab/>
      </w:r>
      <w:hyperlink r:id="rId74">
        <w:r w:rsidDel="00000000" w:rsidR="00000000" w:rsidRPr="00000000">
          <w:rPr>
            <w:color w:val="000000"/>
            <w:rtl w:val="0"/>
          </w:rPr>
          <w:t xml:space="preserve">Michelet M, Lund A, Strand BH, Engedal K, Selbaek G, Bergh S. Characteristics of patients assessed for cognitive decline in primary healthcare, compared to patients assessed in specialist healthcare. Scand J Prim Health Care 2020;38:107–16. https://doi.org/</w:t>
        </w:r>
      </w:hyperlink>
      <w:hyperlink r:id="rId75">
        <w:r w:rsidDel="00000000" w:rsidR="00000000" w:rsidRPr="00000000">
          <w:rPr>
            <w:color w:val="000000"/>
            <w:rtl w:val="0"/>
          </w:rPr>
          <w:t xml:space="preserve">10.1080/02813432.2020.1753334</w:t>
        </w:r>
      </w:hyperlink>
      <w:hyperlink r:id="rId76">
        <w:r w:rsidDel="00000000" w:rsidR="00000000" w:rsidRPr="00000000">
          <w:rPr>
            <w:color w:val="000000"/>
            <w:rtl w:val="0"/>
          </w:rPr>
          <w:t xml:space="preserve">.</w:t>
        </w:r>
      </w:hyperlink>
      <w:r w:rsidDel="00000000" w:rsidR="00000000" w:rsidRPr="00000000">
        <w:rPr>
          <w:rtl w:val="0"/>
        </w:rPr>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line="480" w:lineRule="auto"/>
        <w:ind w:left="440" w:hanging="440"/>
        <w:rPr>
          <w:color w:val="000000"/>
        </w:rPr>
      </w:pPr>
      <w:r w:rsidDel="00000000" w:rsidR="00000000" w:rsidRPr="00000000">
        <w:rPr>
          <w:color w:val="000000"/>
          <w:rtl w:val="0"/>
        </w:rPr>
        <w:t xml:space="preserve">[16]</w:t>
        <w:tab/>
      </w:r>
      <w:hyperlink r:id="rId77">
        <w:r w:rsidDel="00000000" w:rsidR="00000000" w:rsidRPr="00000000">
          <w:rPr>
            <w:color w:val="000000"/>
            <w:rtl w:val="0"/>
          </w:rPr>
          <w:t xml:space="preserve">de Levante Raphael D. The Knowledge and Attitudes of Primary Care and the Barriers to Early Detection and Diagnosis of Alzheimer’s Disease. Medicina 2022;58:906. https://doi.org/</w:t>
        </w:r>
      </w:hyperlink>
      <w:hyperlink r:id="rId78">
        <w:r w:rsidDel="00000000" w:rsidR="00000000" w:rsidRPr="00000000">
          <w:rPr>
            <w:color w:val="000000"/>
            <w:rtl w:val="0"/>
          </w:rPr>
          <w:t xml:space="preserve">10.3390/medicina58070906</w:t>
        </w:r>
      </w:hyperlink>
      <w:hyperlink r:id="rId79">
        <w:r w:rsidDel="00000000" w:rsidR="00000000" w:rsidRPr="00000000">
          <w:rPr>
            <w:color w:val="000000"/>
            <w:rtl w:val="0"/>
          </w:rPr>
          <w:t xml:space="preserve">.</w:t>
        </w:r>
      </w:hyperlink>
      <w:r w:rsidDel="00000000" w:rsidR="00000000" w:rsidRPr="00000000">
        <w:rPr>
          <w:rtl w:val="0"/>
        </w:rPr>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line="480" w:lineRule="auto"/>
        <w:ind w:left="440" w:hanging="440"/>
        <w:rPr>
          <w:color w:val="000000"/>
        </w:rPr>
      </w:pPr>
      <w:r w:rsidDel="00000000" w:rsidR="00000000" w:rsidRPr="00000000">
        <w:rPr>
          <w:color w:val="000000"/>
          <w:rtl w:val="0"/>
        </w:rPr>
        <w:t xml:space="preserve">[17]</w:t>
        <w:tab/>
      </w:r>
      <w:hyperlink r:id="rId80">
        <w:r w:rsidDel="00000000" w:rsidR="00000000" w:rsidRPr="00000000">
          <w:rPr>
            <w:color w:val="000000"/>
            <w:rtl w:val="0"/>
          </w:rPr>
          <w:t xml:space="preserve">Mansfield E, Noble N, Sanson-Fisher R, Mazza D, Bryant J. Primary Care Physicians’ Perceived Barriers to Optimal Dementia Care: A Systematic Review. Gerontologist 2019;59:e697–708. https://doi.org/</w:t>
        </w:r>
      </w:hyperlink>
      <w:hyperlink r:id="rId81">
        <w:r w:rsidDel="00000000" w:rsidR="00000000" w:rsidRPr="00000000">
          <w:rPr>
            <w:color w:val="000000"/>
            <w:rtl w:val="0"/>
          </w:rPr>
          <w:t xml:space="preserve">10.1093/geront/gny067</w:t>
        </w:r>
      </w:hyperlink>
      <w:hyperlink r:id="rId82">
        <w:r w:rsidDel="00000000" w:rsidR="00000000" w:rsidRPr="00000000">
          <w:rPr>
            <w:color w:val="000000"/>
            <w:rtl w:val="0"/>
          </w:rPr>
          <w:t xml:space="preserve">.</w:t>
        </w:r>
      </w:hyperlink>
      <w:r w:rsidDel="00000000" w:rsidR="00000000" w:rsidRPr="00000000">
        <w:rPr>
          <w:rtl w:val="0"/>
        </w:rPr>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line="480" w:lineRule="auto"/>
        <w:ind w:left="440" w:hanging="440"/>
        <w:rPr>
          <w:color w:val="000000"/>
        </w:rPr>
      </w:pPr>
      <w:r w:rsidDel="00000000" w:rsidR="00000000" w:rsidRPr="00000000">
        <w:rPr>
          <w:color w:val="000000"/>
          <w:rtl w:val="0"/>
        </w:rPr>
        <w:t xml:space="preserve">[18]</w:t>
        <w:tab/>
      </w:r>
      <w:hyperlink r:id="rId83">
        <w:r w:rsidDel="00000000" w:rsidR="00000000" w:rsidRPr="00000000">
          <w:rPr>
            <w:color w:val="000000"/>
            <w:rtl w:val="0"/>
          </w:rPr>
          <w:t xml:space="preserve">Verberk IMW, Misdorp EO, Koelewijn J, Ball AJ, Blennow K, Dage JL, et al. Characterization of pre-analytical sample handling effects on a panel of Alzheimer’s disease-related blood-based biomarkers: Results from the Standardization of Alzheimer's Blood Biomarkers (SABB) working group. Alzheimers Dement 2021. https://doi.org/</w:t>
        </w:r>
      </w:hyperlink>
      <w:hyperlink r:id="rId84">
        <w:r w:rsidDel="00000000" w:rsidR="00000000" w:rsidRPr="00000000">
          <w:rPr>
            <w:color w:val="000000"/>
            <w:rtl w:val="0"/>
          </w:rPr>
          <w:t xml:space="preserve">10.1002/alz.12510</w:t>
        </w:r>
      </w:hyperlink>
      <w:hyperlink r:id="rId85">
        <w:r w:rsidDel="00000000" w:rsidR="00000000" w:rsidRPr="00000000">
          <w:rPr>
            <w:color w:val="000000"/>
            <w:rtl w:val="0"/>
          </w:rPr>
          <w:t xml:space="preserve">.</w:t>
        </w:r>
      </w:hyperlink>
      <w:r w:rsidDel="00000000" w:rsidR="00000000" w:rsidRPr="00000000">
        <w:rPr>
          <w:rtl w:val="0"/>
        </w:rPr>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line="480" w:lineRule="auto"/>
        <w:ind w:left="440" w:hanging="440"/>
        <w:rPr>
          <w:color w:val="000000"/>
        </w:rPr>
      </w:pPr>
      <w:r w:rsidDel="00000000" w:rsidR="00000000" w:rsidRPr="00000000">
        <w:rPr>
          <w:color w:val="000000"/>
          <w:rtl w:val="0"/>
        </w:rPr>
        <w:t xml:space="preserve">[19]</w:t>
        <w:tab/>
      </w:r>
      <w:hyperlink r:id="rId86">
        <w:r w:rsidDel="00000000" w:rsidR="00000000" w:rsidRPr="00000000">
          <w:rPr>
            <w:color w:val="000000"/>
            <w:rtl w:val="0"/>
          </w:rPr>
          <w:t xml:space="preserve">Rózga M, Bittner T, Batrla R, Karl J. Preanalytical sample handling recommendations for Alzheimer’s disease plasma biomarkers. Alzheimers Dement 2019;11:291–300. https://doi.org/</w:t>
        </w:r>
      </w:hyperlink>
      <w:hyperlink r:id="rId87">
        <w:r w:rsidDel="00000000" w:rsidR="00000000" w:rsidRPr="00000000">
          <w:rPr>
            <w:color w:val="000000"/>
            <w:rtl w:val="0"/>
          </w:rPr>
          <w:t xml:space="preserve">10.1016/j.dadm.2019.02.002</w:t>
        </w:r>
      </w:hyperlink>
      <w:hyperlink r:id="rId88">
        <w:r w:rsidDel="00000000" w:rsidR="00000000" w:rsidRPr="00000000">
          <w:rPr>
            <w:color w:val="000000"/>
            <w:rtl w:val="0"/>
          </w:rPr>
          <w:t xml:space="preserve">.</w:t>
        </w:r>
      </w:hyperlink>
      <w:r w:rsidDel="00000000" w:rsidR="00000000" w:rsidRPr="00000000">
        <w:rPr>
          <w:rtl w:val="0"/>
        </w:rPr>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line="480" w:lineRule="auto"/>
        <w:ind w:left="440" w:hanging="440"/>
        <w:rPr>
          <w:color w:val="000000"/>
        </w:rPr>
      </w:pPr>
      <w:r w:rsidDel="00000000" w:rsidR="00000000" w:rsidRPr="00000000">
        <w:rPr>
          <w:color w:val="000000"/>
          <w:rtl w:val="0"/>
        </w:rPr>
        <w:t xml:space="preserve">[20]</w:t>
        <w:tab/>
      </w:r>
      <w:hyperlink r:id="rId89">
        <w:r w:rsidDel="00000000" w:rsidR="00000000" w:rsidRPr="00000000">
          <w:rPr>
            <w:color w:val="000000"/>
            <w:rtl w:val="0"/>
          </w:rPr>
          <w:t xml:space="preserve">Ashton NJ, Suárez‐Calvet M, Karikari TK, Lantero‐Rodriguez J, Snellman A, Sauer M, et al. Effects of pre‐analytical procedures on blood biomarkers for Alzheimer’s pathophysiology, glial activation, and neurodegeneration. Alzheimer’s &amp; Dementia: Diagnosis, Assessment &amp; Disease Monitoring 2021;13. https://doi.org/</w:t>
        </w:r>
      </w:hyperlink>
      <w:hyperlink r:id="rId90">
        <w:r w:rsidDel="00000000" w:rsidR="00000000" w:rsidRPr="00000000">
          <w:rPr>
            <w:color w:val="000000"/>
            <w:rtl w:val="0"/>
          </w:rPr>
          <w:t xml:space="preserve">10.1002/dad2.12168</w:t>
        </w:r>
      </w:hyperlink>
      <w:hyperlink r:id="rId91">
        <w:r w:rsidDel="00000000" w:rsidR="00000000" w:rsidRPr="00000000">
          <w:rPr>
            <w:color w:val="000000"/>
            <w:rtl w:val="0"/>
          </w:rPr>
          <w:t xml:space="preserve">.</w:t>
        </w:r>
      </w:hyperlink>
      <w:r w:rsidDel="00000000" w:rsidR="00000000" w:rsidRPr="00000000">
        <w:rPr>
          <w:rtl w:val="0"/>
        </w:rPr>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after="220" w:line="480" w:lineRule="auto"/>
        <w:ind w:left="440" w:hanging="440"/>
        <w:rPr>
          <w:color w:val="000000"/>
        </w:rPr>
      </w:pPr>
      <w:r w:rsidDel="00000000" w:rsidR="00000000" w:rsidRPr="00000000">
        <w:rPr>
          <w:color w:val="000000"/>
          <w:rtl w:val="0"/>
        </w:rPr>
        <w:t xml:space="preserve">[21]</w:t>
        <w:tab/>
      </w:r>
      <w:hyperlink r:id="rId92">
        <w:r w:rsidDel="00000000" w:rsidR="00000000" w:rsidRPr="00000000">
          <w:rPr>
            <w:color w:val="000000"/>
            <w:rtl w:val="0"/>
          </w:rPr>
          <w:t xml:space="preserve">Keshavan A, Heslegrave A, Zetterberg H, Schott JM. Stability of blood‐based biomarkers of Alzheimer’s disease over multiple freeze‐thaw cycles. Alzheimer’s &amp; Dementia: Diagnosis, Assessment &amp; Disease Monitoring 2018;10:448–51. https://doi.org/</w:t>
        </w:r>
      </w:hyperlink>
      <w:hyperlink r:id="rId93">
        <w:r w:rsidDel="00000000" w:rsidR="00000000" w:rsidRPr="00000000">
          <w:rPr>
            <w:color w:val="000000"/>
            <w:rtl w:val="0"/>
          </w:rPr>
          <w:t xml:space="preserve">10.1016/j.dadm.2018.06.001</w:t>
        </w:r>
      </w:hyperlink>
      <w:hyperlink r:id="rId94">
        <w:r w:rsidDel="00000000" w:rsidR="00000000" w:rsidRPr="00000000">
          <w:rPr>
            <w:color w:val="000000"/>
            <w:rtl w:val="0"/>
          </w:rPr>
          <w:t xml:space="preserve">.</w:t>
        </w:r>
      </w:hyperlink>
      <w:r w:rsidDel="00000000" w:rsidR="00000000" w:rsidRPr="00000000">
        <w:rPr>
          <w:rtl w:val="0"/>
        </w:rPr>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line="480" w:lineRule="auto"/>
        <w:rPr/>
      </w:pPr>
      <w:r w:rsidDel="00000000" w:rsidR="00000000" w:rsidRPr="00000000">
        <w:br w:type="page"/>
      </w:r>
      <w:r w:rsidDel="00000000" w:rsidR="00000000" w:rsidRPr="00000000">
        <w:rPr>
          <w:rtl w:val="0"/>
        </w:rPr>
      </w:r>
    </w:p>
    <w:p w:rsidR="00000000" w:rsidDel="00000000" w:rsidP="00000000" w:rsidRDefault="00000000" w:rsidRPr="00000000" w14:paraId="00000129">
      <w:pPr>
        <w:spacing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Figure 1</w:t>
      </w:r>
      <w:r w:rsidDel="00000000" w:rsidR="00000000" w:rsidRPr="00000000">
        <w:rPr>
          <w:rFonts w:ascii="Times New Roman" w:cs="Times New Roman" w:eastAsia="Times New Roman" w:hAnsi="Times New Roman"/>
          <w:sz w:val="20"/>
          <w:szCs w:val="20"/>
          <w:rtl w:val="0"/>
        </w:rPr>
        <w:t xml:space="preserve">. Concentrations of plasma p-tau181, p-tau231, GFAP, NfL, Aβ40, Aβ42, and Aβ42/Aβ40 ratio (y-axis) when stored at +4°C and at room temperature for up to 24 hours (x-axis). The horizontal line in each box represents the median, below and above are the second and third quartile. The lower whisker represents the first quartile, the upper whisker the fourth quartile. Outliners are represented as dots. Biomarker concentrations are given in picograms per milliliter (pg/ml).</w:t>
      </w:r>
    </w:p>
    <w:p w:rsidR="00000000" w:rsidDel="00000000" w:rsidP="00000000" w:rsidRDefault="00000000" w:rsidRPr="00000000" w14:paraId="0000012A">
      <w:pPr>
        <w:spacing w:line="480" w:lineRule="auto"/>
        <w:jc w:val="both"/>
        <w:rPr/>
      </w:pPr>
      <w:r w:rsidDel="00000000" w:rsidR="00000000" w:rsidRPr="00000000">
        <w:rPr>
          <w:rFonts w:ascii="Times New Roman" w:cs="Times New Roman" w:eastAsia="Times New Roman" w:hAnsi="Times New Roman"/>
          <w:sz w:val="18"/>
          <w:szCs w:val="18"/>
          <w:rtl w:val="0"/>
        </w:rPr>
        <w:t xml:space="preserve">Abbreviations: </w:t>
      </w:r>
      <w:r w:rsidDel="00000000" w:rsidR="00000000" w:rsidRPr="00000000">
        <w:rPr>
          <w:rFonts w:ascii="Times New Roman" w:cs="Times New Roman" w:eastAsia="Times New Roman" w:hAnsi="Times New Roman"/>
          <w:i w:val="1"/>
          <w:sz w:val="18"/>
          <w:szCs w:val="18"/>
          <w:rtl w:val="0"/>
        </w:rPr>
        <w:t xml:space="preserve">p-tau181</w:t>
      </w:r>
      <w:r w:rsidDel="00000000" w:rsidR="00000000" w:rsidRPr="00000000">
        <w:rPr>
          <w:rFonts w:ascii="Times New Roman" w:cs="Times New Roman" w:eastAsia="Times New Roman" w:hAnsi="Times New Roman"/>
          <w:sz w:val="18"/>
          <w:szCs w:val="18"/>
          <w:rtl w:val="0"/>
        </w:rPr>
        <w:t xml:space="preserve">, phosphorylated tau 181; </w:t>
      </w:r>
      <w:r w:rsidDel="00000000" w:rsidR="00000000" w:rsidRPr="00000000">
        <w:rPr>
          <w:rFonts w:ascii="Times New Roman" w:cs="Times New Roman" w:eastAsia="Times New Roman" w:hAnsi="Times New Roman"/>
          <w:i w:val="1"/>
          <w:sz w:val="18"/>
          <w:szCs w:val="18"/>
          <w:rtl w:val="0"/>
        </w:rPr>
        <w:t xml:space="preserve">p-tau231</w:t>
      </w:r>
      <w:r w:rsidDel="00000000" w:rsidR="00000000" w:rsidRPr="00000000">
        <w:rPr>
          <w:rFonts w:ascii="Times New Roman" w:cs="Times New Roman" w:eastAsia="Times New Roman" w:hAnsi="Times New Roman"/>
          <w:sz w:val="18"/>
          <w:szCs w:val="18"/>
          <w:rtl w:val="0"/>
        </w:rPr>
        <w:t xml:space="preserve">, phosphorylated tau 231; </w:t>
      </w:r>
      <w:r w:rsidDel="00000000" w:rsidR="00000000" w:rsidRPr="00000000">
        <w:rPr>
          <w:rFonts w:ascii="Times New Roman" w:cs="Times New Roman" w:eastAsia="Times New Roman" w:hAnsi="Times New Roman"/>
          <w:i w:val="1"/>
          <w:sz w:val="18"/>
          <w:szCs w:val="18"/>
          <w:rtl w:val="0"/>
        </w:rPr>
        <w:t xml:space="preserve">GFAP</w:t>
      </w:r>
      <w:r w:rsidDel="00000000" w:rsidR="00000000" w:rsidRPr="00000000">
        <w:rPr>
          <w:rFonts w:ascii="Times New Roman" w:cs="Times New Roman" w:eastAsia="Times New Roman" w:hAnsi="Times New Roman"/>
          <w:sz w:val="18"/>
          <w:szCs w:val="18"/>
          <w:rtl w:val="0"/>
        </w:rPr>
        <w:t xml:space="preserve">, glial fibrillary acidic protein; </w:t>
        <w:br w:type="textWrapping"/>
      </w:r>
      <w:r w:rsidDel="00000000" w:rsidR="00000000" w:rsidRPr="00000000">
        <w:rPr>
          <w:rFonts w:ascii="Times New Roman" w:cs="Times New Roman" w:eastAsia="Times New Roman" w:hAnsi="Times New Roman"/>
          <w:i w:val="1"/>
          <w:sz w:val="18"/>
          <w:szCs w:val="18"/>
          <w:rtl w:val="0"/>
        </w:rPr>
        <w:t xml:space="preserve">NFL,</w:t>
      </w:r>
      <w:r w:rsidDel="00000000" w:rsidR="00000000" w:rsidRPr="00000000">
        <w:rPr>
          <w:rFonts w:ascii="Times New Roman" w:cs="Times New Roman" w:eastAsia="Times New Roman" w:hAnsi="Times New Roman"/>
          <w:sz w:val="18"/>
          <w:szCs w:val="18"/>
          <w:rtl w:val="0"/>
        </w:rPr>
        <w:t xml:space="preserve"> neurofilament light; </w:t>
      </w:r>
      <w:r w:rsidDel="00000000" w:rsidR="00000000" w:rsidRPr="00000000">
        <w:rPr>
          <w:rFonts w:ascii="Times New Roman" w:cs="Times New Roman" w:eastAsia="Times New Roman" w:hAnsi="Times New Roman"/>
          <w:i w:val="1"/>
          <w:sz w:val="18"/>
          <w:szCs w:val="18"/>
          <w:rtl w:val="0"/>
        </w:rPr>
        <w:t xml:space="preserve">Aβ40</w:t>
      </w:r>
      <w:r w:rsidDel="00000000" w:rsidR="00000000" w:rsidRPr="00000000">
        <w:rPr>
          <w:rFonts w:ascii="Times New Roman" w:cs="Times New Roman" w:eastAsia="Times New Roman" w:hAnsi="Times New Roman"/>
          <w:sz w:val="18"/>
          <w:szCs w:val="18"/>
          <w:rtl w:val="0"/>
        </w:rPr>
        <w:t xml:space="preserve">, Amyloid-β 40; </w:t>
      </w:r>
      <w:r w:rsidDel="00000000" w:rsidR="00000000" w:rsidRPr="00000000">
        <w:rPr>
          <w:rFonts w:ascii="Times New Roman" w:cs="Times New Roman" w:eastAsia="Times New Roman" w:hAnsi="Times New Roman"/>
          <w:i w:val="1"/>
          <w:sz w:val="18"/>
          <w:szCs w:val="18"/>
          <w:rtl w:val="0"/>
        </w:rPr>
        <w:t xml:space="preserve">Aβ42</w:t>
      </w:r>
      <w:r w:rsidDel="00000000" w:rsidR="00000000" w:rsidRPr="00000000">
        <w:rPr>
          <w:rFonts w:ascii="Times New Roman" w:cs="Times New Roman" w:eastAsia="Times New Roman" w:hAnsi="Times New Roman"/>
          <w:sz w:val="18"/>
          <w:szCs w:val="18"/>
          <w:rtl w:val="0"/>
        </w:rPr>
        <w:t xml:space="preserve">, Amyloid-β 42; </w:t>
      </w:r>
      <w:r w:rsidDel="00000000" w:rsidR="00000000" w:rsidRPr="00000000">
        <w:rPr>
          <w:rFonts w:ascii="Times New Roman" w:cs="Times New Roman" w:eastAsia="Times New Roman" w:hAnsi="Times New Roman"/>
          <w:i w:val="1"/>
          <w:sz w:val="18"/>
          <w:szCs w:val="18"/>
          <w:rtl w:val="0"/>
        </w:rPr>
        <w:t xml:space="preserve">Aβ42/Aβ40</w:t>
      </w:r>
      <w:r w:rsidDel="00000000" w:rsidR="00000000" w:rsidRPr="00000000">
        <w:rPr>
          <w:rFonts w:ascii="Times New Roman" w:cs="Times New Roman" w:eastAsia="Times New Roman" w:hAnsi="Times New Roman"/>
          <w:sz w:val="18"/>
          <w:szCs w:val="18"/>
          <w:rtl w:val="0"/>
        </w:rPr>
        <w:t xml:space="preserve">, Amyloid-β 42 to Amyloid-β 40 ratio; </w:t>
      </w:r>
      <w:r w:rsidDel="00000000" w:rsidR="00000000" w:rsidRPr="00000000">
        <w:rPr>
          <w:rFonts w:ascii="Times New Roman" w:cs="Times New Roman" w:eastAsia="Times New Roman" w:hAnsi="Times New Roman"/>
          <w:i w:val="1"/>
          <w:sz w:val="18"/>
          <w:szCs w:val="18"/>
          <w:rtl w:val="0"/>
        </w:rPr>
        <w:t xml:space="preserve">h,</w:t>
      </w:r>
      <w:r w:rsidDel="00000000" w:rsidR="00000000" w:rsidRPr="00000000">
        <w:rPr>
          <w:rFonts w:ascii="Times New Roman" w:cs="Times New Roman" w:eastAsia="Times New Roman" w:hAnsi="Times New Roman"/>
          <w:sz w:val="18"/>
          <w:szCs w:val="18"/>
          <w:rtl w:val="0"/>
        </w:rPr>
        <w:t xml:space="preserve"> hour; </w:t>
      </w:r>
      <w:r w:rsidDel="00000000" w:rsidR="00000000" w:rsidRPr="00000000">
        <w:rPr>
          <w:rFonts w:ascii="Times New Roman" w:cs="Times New Roman" w:eastAsia="Times New Roman" w:hAnsi="Times New Roman"/>
          <w:i w:val="1"/>
          <w:sz w:val="18"/>
          <w:szCs w:val="18"/>
          <w:rtl w:val="0"/>
        </w:rPr>
        <w:t xml:space="preserve">C,</w:t>
      </w:r>
      <w:r w:rsidDel="00000000" w:rsidR="00000000" w:rsidRPr="00000000">
        <w:rPr>
          <w:rFonts w:ascii="Times New Roman" w:cs="Times New Roman" w:eastAsia="Times New Roman" w:hAnsi="Times New Roman"/>
          <w:sz w:val="18"/>
          <w:szCs w:val="18"/>
          <w:rtl w:val="0"/>
        </w:rPr>
        <w:t xml:space="preserve"> Celcius</w:t>
      </w:r>
      <w:r w:rsidDel="00000000" w:rsidR="00000000" w:rsidRPr="00000000">
        <w:rPr>
          <w:rtl w:val="0"/>
        </w:rPr>
      </w:r>
    </w:p>
    <w:sectPr>
      <w:footerReference r:id="rId95" w:type="default"/>
      <w:pgSz w:h="16840" w:w="11920" w:orient="portrait"/>
      <w:pgMar w:bottom="1568" w:top="1424" w:left="1439" w:right="144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70.0" w:type="dxa"/>
        <w:right w:w="7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D448A8"/>
    <w:pPr>
      <w:spacing w:line="240" w:lineRule="auto"/>
    </w:pPr>
  </w:style>
  <w:style w:type="paragraph" w:styleId="CommentSubject">
    <w:name w:val="annotation subject"/>
    <w:basedOn w:val="CommentText"/>
    <w:next w:val="CommentText"/>
    <w:link w:val="CommentSubjectChar"/>
    <w:uiPriority w:val="99"/>
    <w:semiHidden w:val="1"/>
    <w:unhideWhenUsed w:val="1"/>
    <w:rsid w:val="00D448A8"/>
    <w:rPr>
      <w:b w:val="1"/>
      <w:bCs w:val="1"/>
    </w:rPr>
  </w:style>
  <w:style w:type="character" w:styleId="CommentSubjectChar" w:customStyle="1">
    <w:name w:val="Comment Subject Char"/>
    <w:basedOn w:val="CommentTextChar"/>
    <w:link w:val="CommentSubject"/>
    <w:uiPriority w:val="99"/>
    <w:semiHidden w:val="1"/>
    <w:rsid w:val="00D448A8"/>
    <w:rPr>
      <w:b w:val="1"/>
      <w:bCs w:val="1"/>
      <w:sz w:val="20"/>
      <w:szCs w:val="20"/>
    </w:rPr>
  </w:style>
  <w:style w:type="paragraph" w:styleId="ListParagraph">
    <w:name w:val="List Paragraph"/>
    <w:basedOn w:val="Normal"/>
    <w:uiPriority w:val="34"/>
    <w:qFormat w:val="1"/>
    <w:rsid w:val="007E5009"/>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paperpile.com/b/XHKPxR/3amO2" TargetMode="External"/><Relationship Id="rId84" Type="http://schemas.openxmlformats.org/officeDocument/2006/relationships/hyperlink" Target="http://dx.doi.org/10.1002/alz.12510" TargetMode="External"/><Relationship Id="rId83" Type="http://schemas.openxmlformats.org/officeDocument/2006/relationships/hyperlink" Target="http://paperpile.com/b/XHKPxR/Ck1yp" TargetMode="External"/><Relationship Id="rId42" Type="http://schemas.openxmlformats.org/officeDocument/2006/relationships/hyperlink" Target="http://dx.doi.org/10.3389/fnagi.2022.942629" TargetMode="External"/><Relationship Id="rId86" Type="http://schemas.openxmlformats.org/officeDocument/2006/relationships/hyperlink" Target="http://paperpile.com/b/XHKPxR/m41Vo" TargetMode="External"/><Relationship Id="rId41" Type="http://schemas.openxmlformats.org/officeDocument/2006/relationships/hyperlink" Target="http://paperpile.com/b/XHKPxR/U9Nq4" TargetMode="External"/><Relationship Id="rId85" Type="http://schemas.openxmlformats.org/officeDocument/2006/relationships/hyperlink" Target="http://paperpile.com/b/XHKPxR/Ck1yp" TargetMode="External"/><Relationship Id="rId44" Type="http://schemas.openxmlformats.org/officeDocument/2006/relationships/hyperlink" Target="http://paperpile.com/b/XHKPxR/EHl6X" TargetMode="External"/><Relationship Id="rId88" Type="http://schemas.openxmlformats.org/officeDocument/2006/relationships/hyperlink" Target="http://paperpile.com/b/XHKPxR/m41Vo" TargetMode="External"/><Relationship Id="rId43" Type="http://schemas.openxmlformats.org/officeDocument/2006/relationships/hyperlink" Target="http://paperpile.com/b/XHKPxR/U9Nq4" TargetMode="External"/><Relationship Id="rId87" Type="http://schemas.openxmlformats.org/officeDocument/2006/relationships/hyperlink" Target="http://dx.doi.org/10.1016/j.dadm.2019.02.002" TargetMode="External"/><Relationship Id="rId46" Type="http://schemas.openxmlformats.org/officeDocument/2006/relationships/hyperlink" Target="http://paperpile.com/b/XHKPxR/EHl6X" TargetMode="External"/><Relationship Id="rId45" Type="http://schemas.openxmlformats.org/officeDocument/2006/relationships/hyperlink" Target="http://dx.doi.org/10.1016/j.neubiorev.2021.07.007" TargetMode="External"/><Relationship Id="rId89" Type="http://schemas.openxmlformats.org/officeDocument/2006/relationships/hyperlink" Target="http://paperpile.com/b/XHKPxR/LkMRm" TargetMode="External"/><Relationship Id="rId80" Type="http://schemas.openxmlformats.org/officeDocument/2006/relationships/hyperlink" Target="http://paperpile.com/b/XHKPxR/B7Cqn" TargetMode="External"/><Relationship Id="rId82" Type="http://schemas.openxmlformats.org/officeDocument/2006/relationships/hyperlink" Target="http://paperpile.com/b/XHKPxR/B7Cqn" TargetMode="External"/><Relationship Id="rId81" Type="http://schemas.openxmlformats.org/officeDocument/2006/relationships/hyperlink" Target="http://dx.doi.org/10.1093/geront/gny06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aperpile.com/c/XHKPxR/3amO2+U9Nq4+EHl6X+4t0ba+0dBmP" TargetMode="External"/><Relationship Id="rId48" Type="http://schemas.openxmlformats.org/officeDocument/2006/relationships/hyperlink" Target="http://dx.doi.org/10.1186/s13195-022-00990-0" TargetMode="External"/><Relationship Id="rId47" Type="http://schemas.openxmlformats.org/officeDocument/2006/relationships/hyperlink" Target="http://paperpile.com/b/XHKPxR/4t0ba" TargetMode="External"/><Relationship Id="rId49" Type="http://schemas.openxmlformats.org/officeDocument/2006/relationships/hyperlink" Target="http://paperpile.com/b/XHKPxR/4t0b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aperpile.com/c/XHKPxR/9HW4" TargetMode="External"/><Relationship Id="rId8" Type="http://schemas.openxmlformats.org/officeDocument/2006/relationships/hyperlink" Target="https://paperpile.com/c/XHKPxR/x9WW" TargetMode="External"/><Relationship Id="rId73" Type="http://schemas.openxmlformats.org/officeDocument/2006/relationships/hyperlink" Target="http://paperpile.com/b/XHKPxR/Ncq1z" TargetMode="External"/><Relationship Id="rId72" Type="http://schemas.openxmlformats.org/officeDocument/2006/relationships/hyperlink" Target="http://dx.doi.org/10.1002/dad2.12285" TargetMode="External"/><Relationship Id="rId31" Type="http://schemas.openxmlformats.org/officeDocument/2006/relationships/hyperlink" Target="https://paperpile.com/c/XHKPxR/Ck1yp" TargetMode="External"/><Relationship Id="rId75" Type="http://schemas.openxmlformats.org/officeDocument/2006/relationships/hyperlink" Target="http://dx.doi.org/10.1080/02813432.2020.1753334" TargetMode="External"/><Relationship Id="rId30" Type="http://schemas.openxmlformats.org/officeDocument/2006/relationships/hyperlink" Target="https://paperpile.com/c/XHKPxR/m41Vo" TargetMode="External"/><Relationship Id="rId74" Type="http://schemas.openxmlformats.org/officeDocument/2006/relationships/hyperlink" Target="http://paperpile.com/b/XHKPxR/PlcSU" TargetMode="External"/><Relationship Id="rId33" Type="http://schemas.openxmlformats.org/officeDocument/2006/relationships/hyperlink" Target="https://paperpile.com/c/XHKPxR/Ck1yp" TargetMode="External"/><Relationship Id="rId77" Type="http://schemas.openxmlformats.org/officeDocument/2006/relationships/hyperlink" Target="http://paperpile.com/b/XHKPxR/rtuiz" TargetMode="External"/><Relationship Id="rId32" Type="http://schemas.openxmlformats.org/officeDocument/2006/relationships/hyperlink" Target="https://paperpile.com/c/XHKPxR/m41Vo" TargetMode="External"/><Relationship Id="rId76" Type="http://schemas.openxmlformats.org/officeDocument/2006/relationships/hyperlink" Target="http://paperpile.com/b/XHKPxR/PlcSU" TargetMode="External"/><Relationship Id="rId35" Type="http://schemas.openxmlformats.org/officeDocument/2006/relationships/hyperlink" Target="http://dx.doi.org/10.1016/s0140-6736(20)32205-4" TargetMode="External"/><Relationship Id="rId79" Type="http://schemas.openxmlformats.org/officeDocument/2006/relationships/hyperlink" Target="http://paperpile.com/b/XHKPxR/rtuiz" TargetMode="External"/><Relationship Id="rId34" Type="http://schemas.openxmlformats.org/officeDocument/2006/relationships/hyperlink" Target="http://paperpile.com/b/XHKPxR/9HW4" TargetMode="External"/><Relationship Id="rId78" Type="http://schemas.openxmlformats.org/officeDocument/2006/relationships/hyperlink" Target="http://dx.doi.org/10.3390/medicina58070906" TargetMode="External"/><Relationship Id="rId71" Type="http://schemas.openxmlformats.org/officeDocument/2006/relationships/hyperlink" Target="http://paperpile.com/b/XHKPxR/Ncq1z" TargetMode="External"/><Relationship Id="rId70" Type="http://schemas.openxmlformats.org/officeDocument/2006/relationships/hyperlink" Target="http://paperpile.com/b/XHKPxR/eRKb" TargetMode="External"/><Relationship Id="rId37" Type="http://schemas.openxmlformats.org/officeDocument/2006/relationships/hyperlink" Target="http://paperpile.com/b/XHKPxR/x9WW" TargetMode="External"/><Relationship Id="rId36" Type="http://schemas.openxmlformats.org/officeDocument/2006/relationships/hyperlink" Target="http://paperpile.com/b/XHKPxR/9HW4" TargetMode="External"/><Relationship Id="rId39" Type="http://schemas.openxmlformats.org/officeDocument/2006/relationships/hyperlink" Target="http://dx.doi.org/10.1136/jnnp-2021-327370" TargetMode="External"/><Relationship Id="rId38" Type="http://schemas.openxmlformats.org/officeDocument/2006/relationships/hyperlink" Target="http://paperpile.com/b/XHKPxR/3amO2" TargetMode="External"/><Relationship Id="rId62" Type="http://schemas.openxmlformats.org/officeDocument/2006/relationships/hyperlink" Target="http://paperpile.com/b/XHKPxR/ikYH" TargetMode="External"/><Relationship Id="rId61" Type="http://schemas.openxmlformats.org/officeDocument/2006/relationships/hyperlink" Target="http://paperpile.com/b/XHKPxR/saedq" TargetMode="External"/><Relationship Id="rId20" Type="http://schemas.openxmlformats.org/officeDocument/2006/relationships/hyperlink" Target="https://paperpile.com/c/XHKPxR/Ck1yp" TargetMode="External"/><Relationship Id="rId64" Type="http://schemas.openxmlformats.org/officeDocument/2006/relationships/hyperlink" Target="http://paperpile.com/b/XHKPxR/ikYH" TargetMode="External"/><Relationship Id="rId63" Type="http://schemas.openxmlformats.org/officeDocument/2006/relationships/hyperlink" Target="http://dx.doi.org/10.1093/brain/awab223" TargetMode="External"/><Relationship Id="rId22" Type="http://schemas.openxmlformats.org/officeDocument/2006/relationships/hyperlink" Target="https://paperpile.com/c/XHKPxR/m41Vo" TargetMode="External"/><Relationship Id="rId66" Type="http://schemas.openxmlformats.org/officeDocument/2006/relationships/hyperlink" Target="http://dx.doi.org/10.1001/jamaneurol.2019.1632" TargetMode="External"/><Relationship Id="rId21" Type="http://schemas.openxmlformats.org/officeDocument/2006/relationships/hyperlink" Target="https://paperpile.com/c/XHKPxR/Ck1yp" TargetMode="External"/><Relationship Id="rId65" Type="http://schemas.openxmlformats.org/officeDocument/2006/relationships/hyperlink" Target="http://paperpile.com/b/XHKPxR/Vfha" TargetMode="External"/><Relationship Id="rId24" Type="http://schemas.openxmlformats.org/officeDocument/2006/relationships/hyperlink" Target="https://paperpile.com/c/XHKPxR/m41Vo" TargetMode="External"/><Relationship Id="rId68" Type="http://schemas.openxmlformats.org/officeDocument/2006/relationships/hyperlink" Target="http://paperpile.com/b/XHKPxR/eRKb" TargetMode="External"/><Relationship Id="rId23" Type="http://schemas.openxmlformats.org/officeDocument/2006/relationships/hyperlink" Target="https://paperpile.com/c/XHKPxR/Ck1yp" TargetMode="External"/><Relationship Id="rId67" Type="http://schemas.openxmlformats.org/officeDocument/2006/relationships/hyperlink" Target="http://paperpile.com/b/XHKPxR/Vfha" TargetMode="External"/><Relationship Id="rId60" Type="http://schemas.openxmlformats.org/officeDocument/2006/relationships/hyperlink" Target="http://dx.doi.org/10.1007/s00401-021-02275-6" TargetMode="External"/><Relationship Id="rId26" Type="http://schemas.openxmlformats.org/officeDocument/2006/relationships/hyperlink" Target="https://paperpile.com/c/XHKPxR/Ck1yp" TargetMode="External"/><Relationship Id="rId25" Type="http://schemas.openxmlformats.org/officeDocument/2006/relationships/hyperlink" Target="https://paperpile.com/c/XHKPxR/Ck1yp+m41Vo+LkMRm" TargetMode="External"/><Relationship Id="rId69" Type="http://schemas.openxmlformats.org/officeDocument/2006/relationships/hyperlink" Target="http://dx.doi.org/10.1038/s41467-021-23620-z" TargetMode="External"/><Relationship Id="rId28" Type="http://schemas.openxmlformats.org/officeDocument/2006/relationships/hyperlink" Target="http://paperpile.com/b/XHKPxR/m41Vo" TargetMode="External"/><Relationship Id="rId27" Type="http://schemas.openxmlformats.org/officeDocument/2006/relationships/hyperlink" Target="https://paperpile.com/c/XHKPxR/Ck1yp+6XCX4+m41Vo+LkMRm" TargetMode="External"/><Relationship Id="rId29" Type="http://schemas.openxmlformats.org/officeDocument/2006/relationships/hyperlink" Target="https://paperpile.com/c/XHKPxR/m41Vo" TargetMode="External"/><Relationship Id="rId51" Type="http://schemas.openxmlformats.org/officeDocument/2006/relationships/hyperlink" Target="http://dx.doi.org/10.1038/s41591-021-01348-z" TargetMode="External"/><Relationship Id="rId95" Type="http://schemas.openxmlformats.org/officeDocument/2006/relationships/footer" Target="footer1.xml"/><Relationship Id="rId50" Type="http://schemas.openxmlformats.org/officeDocument/2006/relationships/hyperlink" Target="http://paperpile.com/b/XHKPxR/0dBmP" TargetMode="External"/><Relationship Id="rId94" Type="http://schemas.openxmlformats.org/officeDocument/2006/relationships/hyperlink" Target="http://paperpile.com/b/XHKPxR/6XCX4" TargetMode="External"/><Relationship Id="rId53" Type="http://schemas.openxmlformats.org/officeDocument/2006/relationships/hyperlink" Target="http://paperpile.com/b/XHKPxR/ikbkx" TargetMode="External"/><Relationship Id="rId52" Type="http://schemas.openxmlformats.org/officeDocument/2006/relationships/hyperlink" Target="http://paperpile.com/b/XHKPxR/0dBmP" TargetMode="External"/><Relationship Id="rId11" Type="http://schemas.openxmlformats.org/officeDocument/2006/relationships/hyperlink" Target="https://paperpile.com/c/XHKPxR/saedq" TargetMode="External"/><Relationship Id="rId55" Type="http://schemas.openxmlformats.org/officeDocument/2006/relationships/hyperlink" Target="http://paperpile.com/b/XHKPxR/ikbkx" TargetMode="External"/><Relationship Id="rId10" Type="http://schemas.openxmlformats.org/officeDocument/2006/relationships/hyperlink" Target="https://paperpile.com/c/XHKPxR/ikbkx+ZnRO" TargetMode="External"/><Relationship Id="rId54" Type="http://schemas.openxmlformats.org/officeDocument/2006/relationships/hyperlink" Target="http://dx.doi.org/10.1016/S1474-4422(20)30071-5" TargetMode="External"/><Relationship Id="rId13" Type="http://schemas.openxmlformats.org/officeDocument/2006/relationships/hyperlink" Target="https://paperpile.com/c/XHKPxR/Vfha" TargetMode="External"/><Relationship Id="rId57" Type="http://schemas.openxmlformats.org/officeDocument/2006/relationships/hyperlink" Target="http://dx.doi.org/10.1038/s41591-020-0755-1" TargetMode="External"/><Relationship Id="rId12" Type="http://schemas.openxmlformats.org/officeDocument/2006/relationships/hyperlink" Target="https://paperpile.com/c/XHKPxR/ikYH" TargetMode="External"/><Relationship Id="rId56" Type="http://schemas.openxmlformats.org/officeDocument/2006/relationships/hyperlink" Target="http://paperpile.com/b/XHKPxR/ZnRO" TargetMode="External"/><Relationship Id="rId91" Type="http://schemas.openxmlformats.org/officeDocument/2006/relationships/hyperlink" Target="http://paperpile.com/b/XHKPxR/LkMRm" TargetMode="External"/><Relationship Id="rId90" Type="http://schemas.openxmlformats.org/officeDocument/2006/relationships/hyperlink" Target="http://dx.doi.org/10.1002/dad2.12168" TargetMode="External"/><Relationship Id="rId93" Type="http://schemas.openxmlformats.org/officeDocument/2006/relationships/hyperlink" Target="http://dx.doi.org/10.1016/j.dadm.2018.06.001" TargetMode="External"/><Relationship Id="rId92" Type="http://schemas.openxmlformats.org/officeDocument/2006/relationships/hyperlink" Target="http://paperpile.com/b/XHKPxR/6XCX4" TargetMode="External"/><Relationship Id="rId15" Type="http://schemas.openxmlformats.org/officeDocument/2006/relationships/hyperlink" Target="https://paperpile.com/c/XHKPxR/Ncq1z" TargetMode="External"/><Relationship Id="rId59" Type="http://schemas.openxmlformats.org/officeDocument/2006/relationships/hyperlink" Target="http://paperpile.com/b/XHKPxR/saedq" TargetMode="External"/><Relationship Id="rId14" Type="http://schemas.openxmlformats.org/officeDocument/2006/relationships/hyperlink" Target="https://paperpile.com/c/XHKPxR/eRKb" TargetMode="External"/><Relationship Id="rId58" Type="http://schemas.openxmlformats.org/officeDocument/2006/relationships/hyperlink" Target="http://paperpile.com/b/XHKPxR/ZnRO" TargetMode="External"/><Relationship Id="rId17" Type="http://schemas.openxmlformats.org/officeDocument/2006/relationships/hyperlink" Target="https://paperpile.com/c/XHKPxR/rtuiz" TargetMode="External"/><Relationship Id="rId16" Type="http://schemas.openxmlformats.org/officeDocument/2006/relationships/hyperlink" Target="https://paperpile.com/c/XHKPxR/PlcSU" TargetMode="External"/><Relationship Id="rId19" Type="http://schemas.openxmlformats.org/officeDocument/2006/relationships/hyperlink" Target="https://paperpile.com/c/XHKPxR/saedq+ikbkx" TargetMode="External"/><Relationship Id="rId18" Type="http://schemas.openxmlformats.org/officeDocument/2006/relationships/hyperlink" Target="https://paperpile.com/c/XHKPxR/B7Cq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5wHQrprROayNHCzCpST1EdXwuw==">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2022-09-19T03:49:00Z</dcterms:created>
  <dc:creator>Henrik Zetterberg</dc:creator>
</cp:coreProperties>
</file>