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8C1B1" w14:textId="77777777" w:rsidR="00035A30" w:rsidRDefault="00035A30" w:rsidP="00035A30">
      <w:pPr>
        <w:jc w:val="center"/>
        <w:rPr>
          <w:b/>
          <w:bCs/>
          <w:sz w:val="32"/>
          <w:szCs w:val="32"/>
          <w:lang w:val="en-US"/>
        </w:rPr>
      </w:pPr>
      <w:r w:rsidRPr="00035A30">
        <w:rPr>
          <w:b/>
          <w:bCs/>
          <w:sz w:val="32"/>
          <w:szCs w:val="32"/>
          <w:lang w:val="en-US"/>
        </w:rPr>
        <w:t xml:space="preserve">Democracy and discontent: </w:t>
      </w:r>
    </w:p>
    <w:p w14:paraId="2D7C8F38" w14:textId="76665E9E" w:rsidR="00035A30" w:rsidRPr="00035A30" w:rsidRDefault="00035A30" w:rsidP="00035A30">
      <w:pPr>
        <w:jc w:val="center"/>
        <w:rPr>
          <w:b/>
          <w:bCs/>
          <w:sz w:val="32"/>
          <w:szCs w:val="32"/>
          <w:lang w:val="en-US"/>
        </w:rPr>
      </w:pPr>
      <w:r w:rsidRPr="00035A30">
        <w:rPr>
          <w:b/>
          <w:bCs/>
          <w:sz w:val="32"/>
          <w:szCs w:val="32"/>
          <w:lang w:val="en-US"/>
        </w:rPr>
        <w:t>Institutional trust and evaluations of system performance among core and peripheral far right voters</w:t>
      </w:r>
    </w:p>
    <w:p w14:paraId="088AFBAD" w14:textId="77777777" w:rsidR="00035A30" w:rsidRPr="00035A30" w:rsidRDefault="00035A30" w:rsidP="00035A30">
      <w:pPr>
        <w:jc w:val="center"/>
        <w:rPr>
          <w:b/>
          <w:bCs/>
          <w:color w:val="FF0000"/>
          <w:sz w:val="32"/>
          <w:szCs w:val="32"/>
          <w:lang w:val="en-US"/>
        </w:rPr>
      </w:pPr>
    </w:p>
    <w:p w14:paraId="0C674EE5" w14:textId="2CB485CA" w:rsidR="00073683" w:rsidRPr="00813028" w:rsidRDefault="00073683" w:rsidP="00813028">
      <w:pPr>
        <w:jc w:val="center"/>
        <w:rPr>
          <w:lang w:val="en-US"/>
        </w:rPr>
      </w:pPr>
      <w:r w:rsidRPr="00813028">
        <w:rPr>
          <w:lang w:val="en-US"/>
        </w:rPr>
        <w:t xml:space="preserve">Sofia </w:t>
      </w:r>
      <w:proofErr w:type="spellStart"/>
      <w:r w:rsidRPr="00813028">
        <w:rPr>
          <w:lang w:val="en-US"/>
        </w:rPr>
        <w:t>Vasilopoulou</w:t>
      </w:r>
      <w:proofErr w:type="spellEnd"/>
      <w:r w:rsidRPr="00813028">
        <w:rPr>
          <w:lang w:val="en-US"/>
        </w:rPr>
        <w:t>, King's College London, UK</w:t>
      </w:r>
    </w:p>
    <w:p w14:paraId="724A586B" w14:textId="1076995A" w:rsidR="00073683" w:rsidRPr="00813028" w:rsidRDefault="00073683" w:rsidP="00916AC5">
      <w:pPr>
        <w:jc w:val="center"/>
        <w:rPr>
          <w:lang w:val="en-US"/>
        </w:rPr>
      </w:pPr>
      <w:r w:rsidRPr="00813028">
        <w:rPr>
          <w:lang w:val="en-US"/>
        </w:rPr>
        <w:t>sofia.vasilopoulou@kcl.ac.uk</w:t>
      </w:r>
    </w:p>
    <w:p w14:paraId="1F451586" w14:textId="63E938AA" w:rsidR="00E70F0C" w:rsidRPr="00813028" w:rsidRDefault="00000000" w:rsidP="00916AC5">
      <w:pPr>
        <w:jc w:val="center"/>
        <w:rPr>
          <w:lang w:val="en-US"/>
        </w:rPr>
      </w:pPr>
      <w:hyperlink r:id="rId7" w:history="1">
        <w:r w:rsidR="00073683" w:rsidRPr="00813028">
          <w:rPr>
            <w:rStyle w:val="Hyperlink"/>
            <w:color w:val="auto"/>
            <w:lang w:val="en-US"/>
          </w:rPr>
          <w:t>https://orcid.org/0000-0002-0943-4433</w:t>
        </w:r>
      </w:hyperlink>
    </w:p>
    <w:p w14:paraId="5817C58B" w14:textId="77777777" w:rsidR="00073683" w:rsidRPr="00813028" w:rsidRDefault="00073683" w:rsidP="00916AC5">
      <w:pPr>
        <w:jc w:val="center"/>
        <w:rPr>
          <w:lang w:val="en-US"/>
        </w:rPr>
      </w:pPr>
    </w:p>
    <w:p w14:paraId="3621BEAB" w14:textId="164BB14C" w:rsidR="00E70F0C" w:rsidRPr="00813028" w:rsidRDefault="00E70F0C" w:rsidP="00073683">
      <w:pPr>
        <w:jc w:val="center"/>
        <w:rPr>
          <w:lang w:val="en-US"/>
        </w:rPr>
      </w:pPr>
      <w:r w:rsidRPr="00813028">
        <w:rPr>
          <w:lang w:val="en-US"/>
        </w:rPr>
        <w:t xml:space="preserve">Daphne </w:t>
      </w:r>
      <w:proofErr w:type="spellStart"/>
      <w:r w:rsidRPr="00813028">
        <w:rPr>
          <w:lang w:val="en-US"/>
        </w:rPr>
        <w:t>Halikiopoulou</w:t>
      </w:r>
      <w:proofErr w:type="spellEnd"/>
      <w:r w:rsidRPr="00813028">
        <w:rPr>
          <w:lang w:val="en-US"/>
        </w:rPr>
        <w:t>, University of York</w:t>
      </w:r>
      <w:r w:rsidR="00887362" w:rsidRPr="00813028">
        <w:rPr>
          <w:rStyle w:val="FootnoteReference"/>
          <w:lang w:val="en-US"/>
        </w:rPr>
        <w:footnoteReference w:id="1"/>
      </w:r>
    </w:p>
    <w:p w14:paraId="084CFB38" w14:textId="3E7A50FF" w:rsidR="00992D5C" w:rsidRPr="00813028" w:rsidRDefault="00992D5C">
      <w:pPr>
        <w:jc w:val="center"/>
        <w:rPr>
          <w:lang w:val="en-US"/>
        </w:rPr>
      </w:pPr>
      <w:r w:rsidRPr="00813028">
        <w:rPr>
          <w:lang w:val="en-US"/>
        </w:rPr>
        <w:t>daphne.halikiopoulou@york.ac.uk</w:t>
      </w:r>
    </w:p>
    <w:p w14:paraId="6E5292DC" w14:textId="4B3F2A79" w:rsidR="008A0F31" w:rsidRPr="00813028" w:rsidRDefault="00000000" w:rsidP="008A0F31">
      <w:pPr>
        <w:jc w:val="center"/>
        <w:rPr>
          <w:color w:val="000000" w:themeColor="text1"/>
          <w:lang w:val="en-US"/>
        </w:rPr>
      </w:pPr>
      <w:hyperlink r:id="rId8" w:history="1">
        <w:r w:rsidR="00AA5059" w:rsidRPr="00813028">
          <w:rPr>
            <w:rStyle w:val="Hyperlink"/>
            <w:color w:val="000000" w:themeColor="text1"/>
            <w:lang w:val="en-US"/>
          </w:rPr>
          <w:t>https://orcid.org/0000-0003-1815-6882</w:t>
        </w:r>
      </w:hyperlink>
    </w:p>
    <w:p w14:paraId="7A7F6E3F" w14:textId="77777777" w:rsidR="00E70F0C" w:rsidRPr="00813028" w:rsidRDefault="00E70F0C" w:rsidP="00835B10">
      <w:pPr>
        <w:jc w:val="both"/>
        <w:rPr>
          <w:b/>
          <w:bCs/>
          <w:color w:val="FF0000"/>
          <w:sz w:val="32"/>
          <w:szCs w:val="32"/>
          <w:lang w:val="en-US"/>
        </w:rPr>
      </w:pPr>
    </w:p>
    <w:p w14:paraId="61629F80" w14:textId="4DD5204B" w:rsidR="00906A46" w:rsidRPr="00813028" w:rsidRDefault="00906A46" w:rsidP="00906A46">
      <w:pPr>
        <w:jc w:val="center"/>
        <w:rPr>
          <w:b/>
          <w:bCs/>
          <w:sz w:val="32"/>
          <w:szCs w:val="32"/>
          <w:lang w:val="en-US"/>
        </w:rPr>
      </w:pPr>
      <w:r w:rsidRPr="00813028">
        <w:rPr>
          <w:b/>
          <w:bCs/>
          <w:sz w:val="32"/>
          <w:szCs w:val="32"/>
          <w:lang w:val="en-US"/>
        </w:rPr>
        <w:t>Authors’ Accepted Manuscript</w:t>
      </w:r>
    </w:p>
    <w:p w14:paraId="165A6FFD" w14:textId="542A9503" w:rsidR="00813028" w:rsidRPr="00813028" w:rsidRDefault="00813028" w:rsidP="00906A46">
      <w:pPr>
        <w:jc w:val="center"/>
        <w:rPr>
          <w:b/>
          <w:bCs/>
          <w:sz w:val="32"/>
          <w:szCs w:val="32"/>
          <w:lang w:val="en-US"/>
        </w:rPr>
      </w:pPr>
      <w:r w:rsidRPr="00813028">
        <w:rPr>
          <w:b/>
          <w:bCs/>
          <w:sz w:val="32"/>
          <w:szCs w:val="32"/>
          <w:lang w:val="en-US"/>
        </w:rPr>
        <w:t xml:space="preserve">Journal of European Public Policy </w:t>
      </w:r>
    </w:p>
    <w:p w14:paraId="5582C875" w14:textId="77777777" w:rsidR="00906A46" w:rsidRPr="002D4D50" w:rsidRDefault="00906A46" w:rsidP="00835B10">
      <w:pPr>
        <w:jc w:val="both"/>
        <w:rPr>
          <w:b/>
          <w:bCs/>
          <w:color w:val="FF0000"/>
          <w:lang w:val="en-US"/>
        </w:rPr>
      </w:pPr>
    </w:p>
    <w:p w14:paraId="4F8A469F" w14:textId="306E431C" w:rsidR="00AA3B22" w:rsidRPr="002D4D50" w:rsidRDefault="008E05DA" w:rsidP="00835B10">
      <w:pPr>
        <w:jc w:val="both"/>
        <w:rPr>
          <w:b/>
          <w:bCs/>
          <w:lang w:val="en-US"/>
        </w:rPr>
      </w:pPr>
      <w:r w:rsidRPr="002D4D50">
        <w:rPr>
          <w:b/>
          <w:bCs/>
          <w:lang w:val="en-US"/>
        </w:rPr>
        <w:t>Abstract</w:t>
      </w:r>
    </w:p>
    <w:p w14:paraId="06C41C0E" w14:textId="77777777" w:rsidR="00AA3B22" w:rsidRPr="002D4D50" w:rsidRDefault="00AA3B22" w:rsidP="00835B10">
      <w:pPr>
        <w:jc w:val="both"/>
        <w:rPr>
          <w:b/>
          <w:bCs/>
          <w:lang w:val="en-US"/>
        </w:rPr>
      </w:pPr>
    </w:p>
    <w:p w14:paraId="71855254" w14:textId="6C3731AB" w:rsidR="00E205B6" w:rsidRDefault="00DA0512" w:rsidP="00A73964">
      <w:pPr>
        <w:jc w:val="both"/>
        <w:rPr>
          <w:bCs/>
          <w:color w:val="000000" w:themeColor="text1"/>
          <w:lang w:val="en-US"/>
        </w:rPr>
      </w:pPr>
      <w:r w:rsidRPr="002D4D50">
        <w:rPr>
          <w:bCs/>
          <w:color w:val="000000" w:themeColor="text1"/>
        </w:rPr>
        <w:t xml:space="preserve">This article </w:t>
      </w:r>
      <w:r w:rsidR="00E205B6" w:rsidRPr="002D4D50">
        <w:rPr>
          <w:bCs/>
          <w:color w:val="000000" w:themeColor="text1"/>
        </w:rPr>
        <w:t xml:space="preserve">contributes to the debate about </w:t>
      </w:r>
      <w:r w:rsidR="000D083F" w:rsidRPr="002D4D50">
        <w:rPr>
          <w:bCs/>
          <w:color w:val="000000" w:themeColor="text1"/>
        </w:rPr>
        <w:t xml:space="preserve">democratic discontent and far right party support taking </w:t>
      </w:r>
      <w:r w:rsidRPr="002D4D50">
        <w:rPr>
          <w:bCs/>
          <w:color w:val="000000" w:themeColor="text1"/>
        </w:rPr>
        <w:t xml:space="preserve">into account the heterogeneity of the </w:t>
      </w:r>
      <w:proofErr w:type="gramStart"/>
      <w:r w:rsidRPr="002D4D50">
        <w:rPr>
          <w:bCs/>
          <w:color w:val="000000" w:themeColor="text1"/>
        </w:rPr>
        <w:t>far right</w:t>
      </w:r>
      <w:proofErr w:type="gramEnd"/>
      <w:r w:rsidRPr="002D4D50">
        <w:rPr>
          <w:bCs/>
          <w:color w:val="000000" w:themeColor="text1"/>
        </w:rPr>
        <w:t xml:space="preserve"> voter pool. </w:t>
      </w:r>
      <w:r w:rsidR="0052788F" w:rsidRPr="002D4D50">
        <w:rPr>
          <w:bCs/>
          <w:color w:val="000000" w:themeColor="text1"/>
        </w:rPr>
        <w:t xml:space="preserve">Distinguishing between </w:t>
      </w:r>
      <w:r w:rsidR="00E02E24" w:rsidRPr="002D4D50">
        <w:rPr>
          <w:bCs/>
          <w:color w:val="000000" w:themeColor="text1"/>
        </w:rPr>
        <w:t xml:space="preserve">peripheral </w:t>
      </w:r>
      <w:r w:rsidR="000A7E85" w:rsidRPr="002D4D50">
        <w:rPr>
          <w:bCs/>
          <w:color w:val="000000" w:themeColor="text1"/>
        </w:rPr>
        <w:t xml:space="preserve">far right </w:t>
      </w:r>
      <w:r w:rsidR="0052788F" w:rsidRPr="002D4D50">
        <w:rPr>
          <w:bCs/>
          <w:color w:val="000000" w:themeColor="text1"/>
        </w:rPr>
        <w:t xml:space="preserve">voters driven by discontent, and core </w:t>
      </w:r>
      <w:r w:rsidR="000A7E85" w:rsidRPr="002D4D50">
        <w:rPr>
          <w:bCs/>
          <w:color w:val="000000" w:themeColor="text1"/>
        </w:rPr>
        <w:t xml:space="preserve">far right </w:t>
      </w:r>
      <w:r w:rsidR="0052788F" w:rsidRPr="002D4D50">
        <w:rPr>
          <w:bCs/>
          <w:color w:val="000000" w:themeColor="text1"/>
        </w:rPr>
        <w:t xml:space="preserve">voters driven by </w:t>
      </w:r>
      <w:r w:rsidR="003A2586" w:rsidRPr="002D4D50">
        <w:rPr>
          <w:bCs/>
          <w:color w:val="000000" w:themeColor="text1"/>
        </w:rPr>
        <w:t>nationalism</w:t>
      </w:r>
      <w:r w:rsidR="0033286E" w:rsidRPr="002D4D50">
        <w:rPr>
          <w:bCs/>
          <w:color w:val="000000" w:themeColor="text1"/>
        </w:rPr>
        <w:t>,</w:t>
      </w:r>
      <w:r w:rsidR="0052788F" w:rsidRPr="002D4D50">
        <w:rPr>
          <w:bCs/>
          <w:color w:val="000000" w:themeColor="text1"/>
        </w:rPr>
        <w:t xml:space="preserve"> we </w:t>
      </w:r>
      <w:r w:rsidR="00A16C59" w:rsidRPr="002D4D50">
        <w:rPr>
          <w:bCs/>
          <w:color w:val="000000" w:themeColor="text1"/>
        </w:rPr>
        <w:t>argue</w:t>
      </w:r>
      <w:r w:rsidR="0052788F" w:rsidRPr="002D4D50">
        <w:rPr>
          <w:bCs/>
          <w:color w:val="000000" w:themeColor="text1"/>
        </w:rPr>
        <w:t xml:space="preserve"> that </w:t>
      </w:r>
      <w:r w:rsidR="000D083F" w:rsidRPr="002D4D50">
        <w:rPr>
          <w:bCs/>
          <w:color w:val="000000" w:themeColor="text1"/>
        </w:rPr>
        <w:t xml:space="preserve">citizens’ </w:t>
      </w:r>
      <w:r w:rsidR="003A2586" w:rsidRPr="002D4D50">
        <w:rPr>
          <w:bCs/>
          <w:color w:val="000000" w:themeColor="text1"/>
        </w:rPr>
        <w:t xml:space="preserve">evaluations of the democratic process are associated with </w:t>
      </w:r>
      <w:r w:rsidR="000D083F" w:rsidRPr="002D4D50">
        <w:rPr>
          <w:bCs/>
          <w:color w:val="000000" w:themeColor="text1"/>
        </w:rPr>
        <w:t>their</w:t>
      </w:r>
      <w:r w:rsidR="00D44215" w:rsidRPr="002D4D50">
        <w:rPr>
          <w:bCs/>
          <w:color w:val="000000" w:themeColor="text1"/>
        </w:rPr>
        <w:t xml:space="preserve"> </w:t>
      </w:r>
      <w:r w:rsidR="0052788F" w:rsidRPr="002D4D50">
        <w:rPr>
          <w:bCs/>
          <w:color w:val="000000" w:themeColor="text1"/>
        </w:rPr>
        <w:t xml:space="preserve">electoral </w:t>
      </w:r>
      <w:r w:rsidR="0093397F" w:rsidRPr="002D4D50">
        <w:rPr>
          <w:bCs/>
          <w:color w:val="000000" w:themeColor="text1"/>
        </w:rPr>
        <w:t>behaviour</w:t>
      </w:r>
      <w:r w:rsidR="0058651A" w:rsidRPr="002D4D50">
        <w:rPr>
          <w:bCs/>
          <w:color w:val="000000" w:themeColor="text1"/>
        </w:rPr>
        <w:t>;</w:t>
      </w:r>
      <w:r w:rsidR="0093397F" w:rsidRPr="002D4D50">
        <w:rPr>
          <w:bCs/>
          <w:color w:val="000000" w:themeColor="text1"/>
        </w:rPr>
        <w:t xml:space="preserve"> but</w:t>
      </w:r>
      <w:r w:rsidR="0052788F" w:rsidRPr="002D4D50">
        <w:rPr>
          <w:bCs/>
          <w:color w:val="000000" w:themeColor="text1"/>
        </w:rPr>
        <w:t xml:space="preserve"> </w:t>
      </w:r>
      <w:r w:rsidR="0058651A" w:rsidRPr="002D4D50">
        <w:rPr>
          <w:bCs/>
          <w:color w:val="000000" w:themeColor="text1"/>
        </w:rPr>
        <w:t xml:space="preserve">this relationship varies </w:t>
      </w:r>
      <w:r w:rsidR="0052788F" w:rsidRPr="002D4D50">
        <w:rPr>
          <w:bCs/>
          <w:color w:val="000000" w:themeColor="text1"/>
        </w:rPr>
        <w:t xml:space="preserve">depending on their </w:t>
      </w:r>
      <w:r w:rsidR="00D44215" w:rsidRPr="002D4D50">
        <w:rPr>
          <w:bCs/>
          <w:color w:val="000000" w:themeColor="text1"/>
        </w:rPr>
        <w:t xml:space="preserve">immigration </w:t>
      </w:r>
      <w:r w:rsidR="0052788F" w:rsidRPr="002D4D50">
        <w:rPr>
          <w:bCs/>
          <w:color w:val="000000" w:themeColor="text1"/>
        </w:rPr>
        <w:t xml:space="preserve">attitudes. </w:t>
      </w:r>
      <w:r w:rsidR="00C90969" w:rsidRPr="002D4D50">
        <w:rPr>
          <w:bCs/>
          <w:color w:val="000000" w:themeColor="text1"/>
        </w:rPr>
        <w:t xml:space="preserve">Using data from </w:t>
      </w:r>
      <w:r w:rsidR="00A73069" w:rsidRPr="002D4D50">
        <w:rPr>
          <w:bCs/>
          <w:color w:val="000000" w:themeColor="text1"/>
        </w:rPr>
        <w:t>9</w:t>
      </w:r>
      <w:r w:rsidR="00C90969" w:rsidRPr="002D4D50">
        <w:rPr>
          <w:bCs/>
          <w:color w:val="000000" w:themeColor="text1"/>
        </w:rPr>
        <w:t xml:space="preserve"> waves of the European Social Survey (2002-201</w:t>
      </w:r>
      <w:r w:rsidR="00A73069" w:rsidRPr="002D4D50">
        <w:rPr>
          <w:bCs/>
          <w:color w:val="000000" w:themeColor="text1"/>
        </w:rPr>
        <w:t>8</w:t>
      </w:r>
      <w:r w:rsidR="00C90969" w:rsidRPr="002D4D50">
        <w:rPr>
          <w:bCs/>
          <w:color w:val="000000" w:themeColor="text1"/>
        </w:rPr>
        <w:t xml:space="preserve">), </w:t>
      </w:r>
      <w:r w:rsidR="004F0F2A" w:rsidRPr="002D4D50">
        <w:rPr>
          <w:bCs/>
          <w:color w:val="000000" w:themeColor="text1"/>
        </w:rPr>
        <w:t xml:space="preserve">we </w:t>
      </w:r>
      <w:r w:rsidR="00C41703" w:rsidRPr="002D4D50">
        <w:rPr>
          <w:bCs/>
          <w:color w:val="000000" w:themeColor="text1"/>
        </w:rPr>
        <w:t xml:space="preserve">confirm </w:t>
      </w:r>
      <w:r w:rsidR="00E205B6" w:rsidRPr="002D4D50">
        <w:rPr>
          <w:bCs/>
          <w:color w:val="000000" w:themeColor="text1"/>
        </w:rPr>
        <w:t xml:space="preserve">that whereas </w:t>
      </w:r>
      <w:r w:rsidR="00E205B6" w:rsidRPr="002D4D50">
        <w:rPr>
          <w:bCs/>
          <w:color w:val="000000" w:themeColor="text1"/>
          <w:lang w:val="en-US"/>
        </w:rPr>
        <w:t xml:space="preserve">among the general population positive evaluations of the democratic process may serve as a deterrent for </w:t>
      </w:r>
      <w:proofErr w:type="gramStart"/>
      <w:r w:rsidR="00E205B6" w:rsidRPr="002D4D50">
        <w:rPr>
          <w:bCs/>
          <w:color w:val="000000" w:themeColor="text1"/>
          <w:lang w:val="en-US"/>
        </w:rPr>
        <w:t>far</w:t>
      </w:r>
      <w:r w:rsidR="007E42EA" w:rsidRPr="002D4D50">
        <w:rPr>
          <w:bCs/>
          <w:color w:val="000000" w:themeColor="text1"/>
          <w:lang w:val="en-US"/>
        </w:rPr>
        <w:t xml:space="preserve"> </w:t>
      </w:r>
      <w:r w:rsidR="00E205B6" w:rsidRPr="002D4D50">
        <w:rPr>
          <w:bCs/>
          <w:color w:val="000000" w:themeColor="text1"/>
          <w:lang w:val="en-US"/>
        </w:rPr>
        <w:t>right</w:t>
      </w:r>
      <w:proofErr w:type="gramEnd"/>
      <w:r w:rsidR="00E205B6" w:rsidRPr="002D4D50">
        <w:rPr>
          <w:bCs/>
          <w:color w:val="000000" w:themeColor="text1"/>
          <w:lang w:val="en-US"/>
        </w:rPr>
        <w:t xml:space="preserve"> party support, the same assessments are unlikely to deter the far right’s </w:t>
      </w:r>
      <w:r w:rsidR="00FD3DC8" w:rsidRPr="002D4D50">
        <w:rPr>
          <w:bCs/>
          <w:color w:val="000000" w:themeColor="text1"/>
          <w:lang w:val="en-US"/>
        </w:rPr>
        <w:t xml:space="preserve">core </w:t>
      </w:r>
      <w:r w:rsidR="00E205B6" w:rsidRPr="002D4D50">
        <w:rPr>
          <w:bCs/>
          <w:color w:val="000000" w:themeColor="text1"/>
          <w:lang w:val="en-US"/>
        </w:rPr>
        <w:t xml:space="preserve">ideological voters. In some circumstances, they might have a </w:t>
      </w:r>
      <w:proofErr w:type="spellStart"/>
      <w:r w:rsidR="00E205B6" w:rsidRPr="002D4D50">
        <w:rPr>
          <w:bCs/>
          <w:color w:val="000000" w:themeColor="text1"/>
          <w:lang w:val="en-US"/>
        </w:rPr>
        <w:t>galvanising</w:t>
      </w:r>
      <w:proofErr w:type="spellEnd"/>
      <w:r w:rsidR="00E205B6" w:rsidRPr="002D4D50">
        <w:rPr>
          <w:bCs/>
          <w:color w:val="000000" w:themeColor="text1"/>
          <w:lang w:val="en-US"/>
        </w:rPr>
        <w:t xml:space="preserve"> effect, prompting a backlash among some core voters. Our findings add nuance to voting </w:t>
      </w:r>
      <w:proofErr w:type="spellStart"/>
      <w:r w:rsidR="00E205B6" w:rsidRPr="002D4D50">
        <w:rPr>
          <w:bCs/>
          <w:color w:val="000000" w:themeColor="text1"/>
          <w:lang w:val="en-US"/>
        </w:rPr>
        <w:t>behaviour</w:t>
      </w:r>
      <w:proofErr w:type="spellEnd"/>
      <w:r w:rsidR="00E205B6" w:rsidRPr="002D4D50">
        <w:rPr>
          <w:bCs/>
          <w:color w:val="000000" w:themeColor="text1"/>
          <w:lang w:val="en-US"/>
        </w:rPr>
        <w:t xml:space="preserve"> </w:t>
      </w:r>
      <w:proofErr w:type="gramStart"/>
      <w:r w:rsidR="00FD3DC8" w:rsidRPr="002D4D50">
        <w:rPr>
          <w:bCs/>
          <w:color w:val="000000" w:themeColor="text1"/>
          <w:lang w:val="en-US"/>
        </w:rPr>
        <w:t>theories</w:t>
      </w:r>
      <w:r w:rsidR="00C72C24">
        <w:rPr>
          <w:bCs/>
          <w:color w:val="000000" w:themeColor="text1"/>
          <w:lang w:val="en-US"/>
        </w:rPr>
        <w:t>,</w:t>
      </w:r>
      <w:r w:rsidR="00E205B6" w:rsidRPr="002D4D50">
        <w:rPr>
          <w:bCs/>
          <w:color w:val="000000" w:themeColor="text1"/>
          <w:lang w:val="en-US"/>
        </w:rPr>
        <w:t xml:space="preserve"> and</w:t>
      </w:r>
      <w:proofErr w:type="gramEnd"/>
      <w:r w:rsidR="00E205B6" w:rsidRPr="002D4D50">
        <w:rPr>
          <w:bCs/>
          <w:color w:val="000000" w:themeColor="text1"/>
          <w:lang w:val="en-US"/>
        </w:rPr>
        <w:t xml:space="preserve"> illustrate why </w:t>
      </w:r>
      <w:r w:rsidR="00E205B6" w:rsidRPr="002D4D50">
        <w:rPr>
          <w:bCs/>
          <w:color w:val="000000" w:themeColor="text1"/>
        </w:rPr>
        <w:t xml:space="preserve">scholars should pay more attention to </w:t>
      </w:r>
      <w:r w:rsidR="00E205B6" w:rsidRPr="002D4D50">
        <w:rPr>
          <w:bCs/>
          <w:color w:val="000000" w:themeColor="text1"/>
          <w:lang w:val="en-US"/>
        </w:rPr>
        <w:t xml:space="preserve">far right intra-partisan heterogeneity. </w:t>
      </w:r>
    </w:p>
    <w:p w14:paraId="3C824284" w14:textId="77777777" w:rsidR="00865D68" w:rsidRDefault="00865D68" w:rsidP="00A73964">
      <w:pPr>
        <w:jc w:val="both"/>
        <w:rPr>
          <w:bCs/>
          <w:color w:val="000000" w:themeColor="text1"/>
          <w:lang w:val="en-US"/>
        </w:rPr>
      </w:pPr>
    </w:p>
    <w:p w14:paraId="43283061" w14:textId="1F3EB3E8" w:rsidR="00865D68" w:rsidRDefault="00865D68" w:rsidP="00A73964">
      <w:pPr>
        <w:jc w:val="both"/>
        <w:rPr>
          <w:bCs/>
          <w:color w:val="000000" w:themeColor="text1"/>
          <w:lang w:val="en-US"/>
        </w:rPr>
      </w:pPr>
      <w:r w:rsidRPr="0054283E">
        <w:rPr>
          <w:b/>
          <w:color w:val="000000" w:themeColor="text1"/>
          <w:lang w:val="en-US"/>
        </w:rPr>
        <w:t>Keywords</w:t>
      </w:r>
      <w:r>
        <w:rPr>
          <w:bCs/>
          <w:color w:val="000000" w:themeColor="text1"/>
          <w:lang w:val="en-US"/>
        </w:rPr>
        <w:t xml:space="preserve">: </w:t>
      </w:r>
      <w:r w:rsidRPr="00865D68">
        <w:rPr>
          <w:bCs/>
          <w:color w:val="000000" w:themeColor="text1"/>
          <w:lang w:val="en-US"/>
        </w:rPr>
        <w:t xml:space="preserve">far right, voting </w:t>
      </w:r>
      <w:proofErr w:type="spellStart"/>
      <w:r w:rsidRPr="00865D68">
        <w:rPr>
          <w:bCs/>
          <w:color w:val="000000" w:themeColor="text1"/>
          <w:lang w:val="en-US"/>
        </w:rPr>
        <w:t>behaviour</w:t>
      </w:r>
      <w:proofErr w:type="spellEnd"/>
      <w:r w:rsidRPr="00865D68">
        <w:rPr>
          <w:bCs/>
          <w:color w:val="000000" w:themeColor="text1"/>
          <w:lang w:val="en-US"/>
        </w:rPr>
        <w:t xml:space="preserve">, democracy, immigration, ESS, </w:t>
      </w:r>
      <w:r w:rsidR="002766C9">
        <w:rPr>
          <w:bCs/>
          <w:color w:val="000000" w:themeColor="text1"/>
          <w:lang w:val="en-US"/>
        </w:rPr>
        <w:t>trust</w:t>
      </w:r>
      <w:r>
        <w:rPr>
          <w:bCs/>
          <w:color w:val="000000" w:themeColor="text1"/>
          <w:lang w:val="en-US"/>
        </w:rPr>
        <w:t xml:space="preserve"> </w:t>
      </w:r>
    </w:p>
    <w:p w14:paraId="7967EC8C" w14:textId="77777777" w:rsidR="00E70F0C" w:rsidRDefault="00E70F0C" w:rsidP="00A73964">
      <w:pPr>
        <w:jc w:val="both"/>
        <w:rPr>
          <w:bCs/>
          <w:color w:val="000000" w:themeColor="text1"/>
          <w:lang w:val="en-US"/>
        </w:rPr>
      </w:pPr>
    </w:p>
    <w:p w14:paraId="0CA304C6" w14:textId="0BF0E1B1" w:rsidR="00E70F0C" w:rsidRDefault="00E70F0C" w:rsidP="00A73964">
      <w:pPr>
        <w:jc w:val="both"/>
        <w:rPr>
          <w:bCs/>
          <w:color w:val="000000" w:themeColor="text1"/>
          <w:lang w:val="en-US"/>
        </w:rPr>
      </w:pPr>
      <w:r w:rsidRPr="0054283E">
        <w:rPr>
          <w:b/>
          <w:color w:val="000000" w:themeColor="text1"/>
          <w:lang w:val="en-US"/>
        </w:rPr>
        <w:t>Acknowledgments</w:t>
      </w:r>
      <w:r>
        <w:rPr>
          <w:bCs/>
          <w:color w:val="000000" w:themeColor="text1"/>
          <w:lang w:val="en-US"/>
        </w:rPr>
        <w:t xml:space="preserve">: </w:t>
      </w:r>
    </w:p>
    <w:p w14:paraId="073E4AE3" w14:textId="77777777" w:rsidR="0054283E" w:rsidRDefault="00865E5D" w:rsidP="00A73964">
      <w:pPr>
        <w:jc w:val="both"/>
        <w:rPr>
          <w:bCs/>
          <w:color w:val="000000" w:themeColor="text1"/>
        </w:rPr>
      </w:pPr>
      <w:r>
        <w:rPr>
          <w:bCs/>
          <w:color w:val="000000" w:themeColor="text1"/>
        </w:rPr>
        <w:t xml:space="preserve">We would like to thank Ruth </w:t>
      </w:r>
      <w:proofErr w:type="spellStart"/>
      <w:r>
        <w:rPr>
          <w:bCs/>
          <w:color w:val="000000" w:themeColor="text1"/>
        </w:rPr>
        <w:t>Dassonneville</w:t>
      </w:r>
      <w:proofErr w:type="spellEnd"/>
      <w:r>
        <w:rPr>
          <w:bCs/>
          <w:color w:val="000000" w:themeColor="text1"/>
        </w:rPr>
        <w:t xml:space="preserve">, Romain </w:t>
      </w:r>
      <w:proofErr w:type="spellStart"/>
      <w:r>
        <w:rPr>
          <w:bCs/>
          <w:color w:val="000000" w:themeColor="text1"/>
        </w:rPr>
        <w:t>Lachat</w:t>
      </w:r>
      <w:proofErr w:type="spellEnd"/>
      <w:r>
        <w:rPr>
          <w:bCs/>
          <w:color w:val="000000" w:themeColor="text1"/>
        </w:rPr>
        <w:t xml:space="preserve"> and the participants of the New Challenges to Democracy workshop held in September 2022 in Montreal for their insightful comments and recommendations. We are grateful to </w:t>
      </w:r>
      <w:r w:rsidR="00B57E67">
        <w:rPr>
          <w:bCs/>
          <w:color w:val="000000" w:themeColor="text1"/>
        </w:rPr>
        <w:t>Christoph Arndt for commenting on previous version of the article.</w:t>
      </w:r>
      <w:r>
        <w:rPr>
          <w:bCs/>
          <w:color w:val="000000" w:themeColor="text1"/>
        </w:rPr>
        <w:t xml:space="preserve"> </w:t>
      </w:r>
      <w:r w:rsidR="00B57E67">
        <w:rPr>
          <w:bCs/>
          <w:color w:val="000000" w:themeColor="text1"/>
        </w:rPr>
        <w:t>Finally w</w:t>
      </w:r>
      <w:r>
        <w:rPr>
          <w:bCs/>
          <w:color w:val="000000" w:themeColor="text1"/>
        </w:rPr>
        <w:t xml:space="preserve">e would like to thank the editors and three anonymous reviewers of the Journal of European Public Policy. Their comments helped improve our article significantly. </w:t>
      </w:r>
    </w:p>
    <w:p w14:paraId="16838BAF" w14:textId="77777777" w:rsidR="0054283E" w:rsidRDefault="0054283E" w:rsidP="00A73964">
      <w:pPr>
        <w:jc w:val="both"/>
        <w:rPr>
          <w:bCs/>
          <w:color w:val="000000" w:themeColor="text1"/>
        </w:rPr>
      </w:pPr>
    </w:p>
    <w:p w14:paraId="66184AE6" w14:textId="65800287" w:rsidR="00456B17" w:rsidRPr="00456B17" w:rsidRDefault="00456B17" w:rsidP="00A73964">
      <w:pPr>
        <w:jc w:val="both"/>
        <w:rPr>
          <w:bCs/>
          <w:color w:val="000000" w:themeColor="text1"/>
        </w:rPr>
      </w:pPr>
      <w:r w:rsidRPr="0054283E">
        <w:rPr>
          <w:b/>
          <w:color w:val="000000" w:themeColor="text1"/>
        </w:rPr>
        <w:t>Data and Replication files</w:t>
      </w:r>
      <w:r w:rsidR="0054283E">
        <w:rPr>
          <w:bCs/>
          <w:color w:val="000000" w:themeColor="text1"/>
        </w:rPr>
        <w:t>:</w:t>
      </w:r>
      <w:r w:rsidRPr="0054283E">
        <w:rPr>
          <w:bCs/>
          <w:color w:val="000000" w:themeColor="text1"/>
        </w:rPr>
        <w:t xml:space="preserve"> </w:t>
      </w:r>
      <w:r w:rsidR="0054283E">
        <w:rPr>
          <w:bCs/>
          <w:color w:val="000000" w:themeColor="text1"/>
        </w:rPr>
        <w:t>a</w:t>
      </w:r>
      <w:r w:rsidRPr="0054283E">
        <w:rPr>
          <w:bCs/>
          <w:color w:val="000000" w:themeColor="text1"/>
        </w:rPr>
        <w:t>vailable online</w:t>
      </w:r>
      <w:r w:rsidR="0054283E">
        <w:rPr>
          <w:bCs/>
          <w:color w:val="000000" w:themeColor="text1"/>
        </w:rPr>
        <w:t xml:space="preserve"> at </w:t>
      </w:r>
      <w:hyperlink r:id="rId9" w:tgtFrame="_blank" w:history="1">
        <w:r w:rsidR="0054283E" w:rsidRPr="0054283E">
          <w:rPr>
            <w:rStyle w:val="Hyperlink"/>
            <w:bCs/>
          </w:rPr>
          <w:t>https://doi.org/10.7910/DVN/YGVORS</w:t>
        </w:r>
      </w:hyperlink>
    </w:p>
    <w:p w14:paraId="34F9F7A3" w14:textId="7D5932C4" w:rsidR="00BF4989" w:rsidRPr="002D4D50" w:rsidRDefault="00AA6E1C" w:rsidP="00ED02A7">
      <w:pPr>
        <w:spacing w:line="480" w:lineRule="auto"/>
        <w:jc w:val="both"/>
        <w:rPr>
          <w:b/>
          <w:bCs/>
          <w:lang w:val="en-US"/>
        </w:rPr>
      </w:pPr>
      <w:r w:rsidRPr="002D4D50">
        <w:rPr>
          <w:bCs/>
          <w:color w:val="000000" w:themeColor="text1"/>
          <w:lang w:val="en-US"/>
        </w:rPr>
        <w:br w:type="column"/>
      </w:r>
      <w:r w:rsidR="002C6910" w:rsidRPr="002D4D50">
        <w:rPr>
          <w:b/>
          <w:bCs/>
          <w:lang w:val="en-US"/>
        </w:rPr>
        <w:lastRenderedPageBreak/>
        <w:t xml:space="preserve">Introduction </w:t>
      </w:r>
    </w:p>
    <w:p w14:paraId="36E81F2F" w14:textId="77777777" w:rsidR="00036C4A" w:rsidRPr="002D4D50" w:rsidRDefault="00036C4A" w:rsidP="00ED02A7">
      <w:pPr>
        <w:spacing w:line="480" w:lineRule="auto"/>
        <w:jc w:val="both"/>
        <w:rPr>
          <w:bCs/>
        </w:rPr>
      </w:pPr>
    </w:p>
    <w:p w14:paraId="1EE11A91" w14:textId="37FDC00E" w:rsidR="00EF5119" w:rsidRPr="002D4D50" w:rsidRDefault="003356E7" w:rsidP="00ED02A7">
      <w:pPr>
        <w:spacing w:line="480" w:lineRule="auto"/>
        <w:jc w:val="both"/>
        <w:rPr>
          <w:bCs/>
        </w:rPr>
      </w:pPr>
      <w:r w:rsidRPr="002D4D50">
        <w:rPr>
          <w:bCs/>
        </w:rPr>
        <w:t>D</w:t>
      </w:r>
      <w:r w:rsidR="00DA3D2A" w:rsidRPr="002D4D50">
        <w:rPr>
          <w:bCs/>
        </w:rPr>
        <w:t xml:space="preserve">emocracies are spaces of reciprocal interactions between </w:t>
      </w:r>
      <w:r w:rsidRPr="002D4D50">
        <w:rPr>
          <w:bCs/>
        </w:rPr>
        <w:t xml:space="preserve">citizens and state institutions. </w:t>
      </w:r>
      <w:r w:rsidR="00AA31DD" w:rsidRPr="002D4D50">
        <w:rPr>
          <w:bCs/>
        </w:rPr>
        <w:t>Citizens experience politics through these interactions, and therefore evaluate the democratic systems within which they live</w:t>
      </w:r>
      <w:r w:rsidR="006B3B8D" w:rsidRPr="002D4D50">
        <w:rPr>
          <w:bCs/>
        </w:rPr>
        <w:t xml:space="preserve"> on this basis</w:t>
      </w:r>
      <w:r w:rsidR="00AA31DD" w:rsidRPr="002D4D50">
        <w:rPr>
          <w:bCs/>
        </w:rPr>
        <w:t xml:space="preserve">. </w:t>
      </w:r>
      <w:r w:rsidR="00DC25E9" w:rsidRPr="002D4D50">
        <w:rPr>
          <w:bCs/>
        </w:rPr>
        <w:t xml:space="preserve">These appraisals </w:t>
      </w:r>
      <w:r w:rsidR="002D4E24" w:rsidRPr="002D4D50">
        <w:t xml:space="preserve">of the extent to which institutions fulfil individuals’ expectations, </w:t>
      </w:r>
      <w:r w:rsidR="00DC25E9" w:rsidRPr="002D4D50">
        <w:t xml:space="preserve">are the subject of a substantial body of literature on voting behaviour focusing on </w:t>
      </w:r>
      <w:r w:rsidR="00DA63BF" w:rsidRPr="002D4D50">
        <w:t>institutional legitimacy, performance, and responsiveness, as well as policy outcomes (</w:t>
      </w:r>
      <w:r w:rsidR="00A71B90" w:rsidRPr="002D4D50">
        <w:t>Easton</w:t>
      </w:r>
      <w:r w:rsidR="00E27147">
        <w:t>,</w:t>
      </w:r>
      <w:r w:rsidR="00A71B90" w:rsidRPr="002D4D50">
        <w:t xml:space="preserve"> 19</w:t>
      </w:r>
      <w:r w:rsidR="005F1CB9" w:rsidRPr="002D4D50">
        <w:t>6</w:t>
      </w:r>
      <w:r w:rsidR="00A71B90" w:rsidRPr="002D4D50">
        <w:t xml:space="preserve">5; </w:t>
      </w:r>
      <w:r w:rsidR="009C3470" w:rsidRPr="002D4D50">
        <w:t>Hetherington</w:t>
      </w:r>
      <w:r w:rsidR="00E27147">
        <w:t>,</w:t>
      </w:r>
      <w:r w:rsidR="009C3470" w:rsidRPr="002D4D50">
        <w:t xml:space="preserve"> 1998; v</w:t>
      </w:r>
      <w:r w:rsidR="00DA63BF" w:rsidRPr="002D4D50">
        <w:t xml:space="preserve">an der </w:t>
      </w:r>
      <w:r w:rsidR="00692AB2" w:rsidRPr="002D4D50">
        <w:t>M</w:t>
      </w:r>
      <w:r w:rsidR="00DA63BF" w:rsidRPr="002D4D50">
        <w:t xml:space="preserve">eer and </w:t>
      </w:r>
      <w:proofErr w:type="spellStart"/>
      <w:r w:rsidR="00DA63BF" w:rsidRPr="002D4D50">
        <w:t>Hakhverdian</w:t>
      </w:r>
      <w:proofErr w:type="spellEnd"/>
      <w:r w:rsidR="00E27147">
        <w:t>,</w:t>
      </w:r>
      <w:r w:rsidR="00DA63BF" w:rsidRPr="002D4D50">
        <w:t xml:space="preserve"> 2017). </w:t>
      </w:r>
      <w:r w:rsidR="001F4AA4" w:rsidRPr="002D4D50">
        <w:t xml:space="preserve">Positive evaluations of the democratic process </w:t>
      </w:r>
      <w:r w:rsidR="002D4E24" w:rsidRPr="002D4D50">
        <w:t>a</w:t>
      </w:r>
      <w:r w:rsidR="001F4AA4" w:rsidRPr="002D4D50">
        <w:t>re</w:t>
      </w:r>
      <w:r w:rsidR="002D4E24" w:rsidRPr="002D4D50">
        <w:t xml:space="preserve"> indicator</w:t>
      </w:r>
      <w:r w:rsidR="001F4AA4" w:rsidRPr="002D4D50">
        <w:t>s</w:t>
      </w:r>
      <w:r w:rsidR="002D4E24" w:rsidRPr="002D4D50">
        <w:t xml:space="preserve"> of </w:t>
      </w:r>
      <w:r w:rsidR="00990B47" w:rsidRPr="002D4D50">
        <w:t xml:space="preserve">stability and </w:t>
      </w:r>
      <w:r w:rsidR="002D4E24" w:rsidRPr="002D4D50">
        <w:t>the overall health of the political system</w:t>
      </w:r>
      <w:r w:rsidR="00990B47" w:rsidRPr="002D4D50">
        <w:t xml:space="preserve"> (Craig et al</w:t>
      </w:r>
      <w:r w:rsidR="009C3470" w:rsidRPr="002D4D50">
        <w:t>.</w:t>
      </w:r>
      <w:r w:rsidR="00E27147">
        <w:t>,</w:t>
      </w:r>
      <w:r w:rsidR="00990B47" w:rsidRPr="002D4D50">
        <w:t xml:space="preserve"> 1990). </w:t>
      </w:r>
      <w:r w:rsidR="00DA63BF" w:rsidRPr="002D4D50">
        <w:t xml:space="preserve">On the contrary, </w:t>
      </w:r>
      <w:r w:rsidR="004E18C5" w:rsidRPr="002D4D50">
        <w:t xml:space="preserve">negative evaluations </w:t>
      </w:r>
      <w:r w:rsidR="00DA63BF" w:rsidRPr="002D4D50">
        <w:t>are thought to represent a threat to the established democratic order and as such tend to be associated with the rise of radicalism</w:t>
      </w:r>
      <w:r w:rsidR="00E61A46" w:rsidRPr="002D4D50">
        <w:t xml:space="preserve"> (Miller</w:t>
      </w:r>
      <w:r w:rsidR="00E27147">
        <w:t>,</w:t>
      </w:r>
      <w:r w:rsidR="00E61A46" w:rsidRPr="002D4D50">
        <w:t xml:space="preserve"> 1974)</w:t>
      </w:r>
      <w:r w:rsidR="00DA63BF" w:rsidRPr="002D4D50">
        <w:t xml:space="preserve">. Theoretically therefore, </w:t>
      </w:r>
      <w:r w:rsidR="00AA31DD" w:rsidRPr="002D4D50">
        <w:t xml:space="preserve">literature expects </w:t>
      </w:r>
      <w:r w:rsidR="004E18C5" w:rsidRPr="002D4D50">
        <w:t>discontent with the democratic process, institutions</w:t>
      </w:r>
      <w:r w:rsidR="003E07DB">
        <w:t>,</w:t>
      </w:r>
      <w:r w:rsidR="004E18C5" w:rsidRPr="002D4D50">
        <w:t xml:space="preserve"> and their policies </w:t>
      </w:r>
      <w:r w:rsidR="00D60EA3" w:rsidRPr="002D4D50">
        <w:t>to result in</w:t>
      </w:r>
      <w:r w:rsidR="00DA63BF" w:rsidRPr="002D4D50">
        <w:t xml:space="preserve"> </w:t>
      </w:r>
      <w:r w:rsidR="00621A8C" w:rsidRPr="002D4D50">
        <w:t xml:space="preserve">support for the far right </w:t>
      </w:r>
      <w:r w:rsidR="006B3B8D" w:rsidRPr="002D4D50">
        <w:t>(</w:t>
      </w:r>
      <w:r w:rsidR="00D60EA3" w:rsidRPr="002D4D50">
        <w:t>B</w:t>
      </w:r>
      <w:r w:rsidR="008D3448" w:rsidRPr="002D4D50">
        <w:t>etz</w:t>
      </w:r>
      <w:r w:rsidR="00E27147">
        <w:t>,</w:t>
      </w:r>
      <w:r w:rsidR="008D3448" w:rsidRPr="002D4D50">
        <w:t xml:space="preserve"> 1994</w:t>
      </w:r>
      <w:r w:rsidR="0077323B" w:rsidRPr="002D4D50">
        <w:t xml:space="preserve">; </w:t>
      </w:r>
      <w:proofErr w:type="spellStart"/>
      <w:r w:rsidR="0077323B" w:rsidRPr="002D4D50">
        <w:t>Vrakopoulos</w:t>
      </w:r>
      <w:proofErr w:type="spellEnd"/>
      <w:r w:rsidR="00E27147">
        <w:t>,</w:t>
      </w:r>
      <w:r w:rsidR="0077323B" w:rsidRPr="002D4D50">
        <w:t xml:space="preserve"> 2022</w:t>
      </w:r>
      <w:r w:rsidR="00DA63BF" w:rsidRPr="002D4D50">
        <w:t xml:space="preserve">). </w:t>
      </w:r>
      <w:r w:rsidR="00707231" w:rsidRPr="002D4D50">
        <w:t>These</w:t>
      </w:r>
      <w:r w:rsidR="003740EB" w:rsidRPr="002D4D50">
        <w:t xml:space="preserve"> </w:t>
      </w:r>
      <w:r w:rsidR="0077323B" w:rsidRPr="002D4D50">
        <w:rPr>
          <w:color w:val="000000" w:themeColor="text1"/>
        </w:rPr>
        <w:t>‘</w:t>
      </w:r>
      <w:r w:rsidR="005B6BFF" w:rsidRPr="002D4D50">
        <w:rPr>
          <w:color w:val="000000" w:themeColor="text1"/>
        </w:rPr>
        <w:t>anti-system parties</w:t>
      </w:r>
      <w:r w:rsidR="0077323B" w:rsidRPr="002D4D50">
        <w:rPr>
          <w:color w:val="000000" w:themeColor="text1"/>
        </w:rPr>
        <w:t>’</w:t>
      </w:r>
      <w:r w:rsidR="005B6BFF" w:rsidRPr="002D4D50">
        <w:rPr>
          <w:color w:val="000000" w:themeColor="text1"/>
        </w:rPr>
        <w:t xml:space="preserve"> (Golder</w:t>
      </w:r>
      <w:r w:rsidR="00E27147">
        <w:rPr>
          <w:color w:val="000000" w:themeColor="text1"/>
        </w:rPr>
        <w:t>,</w:t>
      </w:r>
      <w:r w:rsidR="005B6BFF" w:rsidRPr="002D4D50">
        <w:rPr>
          <w:color w:val="000000" w:themeColor="text1"/>
        </w:rPr>
        <w:t xml:space="preserve"> 2016) </w:t>
      </w:r>
      <w:r w:rsidR="00690E73" w:rsidRPr="002D4D50">
        <w:t>challenge the establishment, both in terms of their populi</w:t>
      </w:r>
      <w:r w:rsidR="00707231" w:rsidRPr="002D4D50">
        <w:t>st component</w:t>
      </w:r>
      <w:r w:rsidR="0051443C" w:rsidRPr="002D4D50">
        <w:t>,</w:t>
      </w:r>
      <w:r w:rsidR="00707231" w:rsidRPr="002D4D50">
        <w:t xml:space="preserve"> which questions the legitimacy of elites</w:t>
      </w:r>
      <w:r w:rsidR="00690E73" w:rsidRPr="002D4D50">
        <w:t xml:space="preserve"> (</w:t>
      </w:r>
      <w:proofErr w:type="spellStart"/>
      <w:r w:rsidR="009C3470" w:rsidRPr="002D4D50">
        <w:t>Akkerman</w:t>
      </w:r>
      <w:proofErr w:type="spellEnd"/>
      <w:r w:rsidR="009C3470" w:rsidRPr="002D4D50">
        <w:t xml:space="preserve"> et al</w:t>
      </w:r>
      <w:r w:rsidR="00E27147">
        <w:t>.,</w:t>
      </w:r>
      <w:r w:rsidR="009C3470" w:rsidRPr="002D4D50">
        <w:t xml:space="preserve"> 2014</w:t>
      </w:r>
      <w:r w:rsidR="006B3B8D" w:rsidRPr="002D4D50">
        <w:t xml:space="preserve">), and their </w:t>
      </w:r>
      <w:r w:rsidR="00F83D2C" w:rsidRPr="002D4D50">
        <w:t>anti-liberal</w:t>
      </w:r>
      <w:r w:rsidR="00AA31DD" w:rsidRPr="002D4D50">
        <w:t xml:space="preserve"> democratic</w:t>
      </w:r>
      <w:r w:rsidR="00707231" w:rsidRPr="002D4D50">
        <w:t xml:space="preserve"> component</w:t>
      </w:r>
      <w:r w:rsidR="00DA4841" w:rsidRPr="002D4D50">
        <w:t>,</w:t>
      </w:r>
      <w:r w:rsidR="00707231" w:rsidRPr="002D4D50">
        <w:t xml:space="preserve"> which questions the existing mechanisms of democratic representation </w:t>
      </w:r>
      <w:r w:rsidR="00690E73" w:rsidRPr="002D4D50">
        <w:t>(</w:t>
      </w:r>
      <w:proofErr w:type="spellStart"/>
      <w:r w:rsidR="00690E73" w:rsidRPr="002D4D50">
        <w:t>Haliki</w:t>
      </w:r>
      <w:r w:rsidR="008A3869" w:rsidRPr="002D4D50">
        <w:t>opoulou</w:t>
      </w:r>
      <w:proofErr w:type="spellEnd"/>
      <w:r w:rsidR="008A3869" w:rsidRPr="002D4D50">
        <w:t xml:space="preserve"> and </w:t>
      </w:r>
      <w:proofErr w:type="spellStart"/>
      <w:r w:rsidR="008A3869" w:rsidRPr="002D4D50">
        <w:t>Vasilopoulou</w:t>
      </w:r>
      <w:proofErr w:type="spellEnd"/>
      <w:r w:rsidR="00E27147">
        <w:t>,</w:t>
      </w:r>
      <w:r w:rsidR="008A3869" w:rsidRPr="002D4D50">
        <w:t xml:space="preserve"> 2018). </w:t>
      </w:r>
    </w:p>
    <w:p w14:paraId="68004807" w14:textId="77777777" w:rsidR="00EF5119" w:rsidRPr="002D4D50" w:rsidRDefault="00EF5119" w:rsidP="00ED02A7">
      <w:pPr>
        <w:spacing w:line="480" w:lineRule="auto"/>
        <w:jc w:val="both"/>
      </w:pPr>
    </w:p>
    <w:p w14:paraId="7467A62E" w14:textId="0B7167BC" w:rsidR="00996D36" w:rsidRPr="002D4D50" w:rsidRDefault="00707231" w:rsidP="00ED02A7">
      <w:pPr>
        <w:spacing w:line="480" w:lineRule="auto"/>
        <w:jc w:val="both"/>
        <w:rPr>
          <w:color w:val="FF0000"/>
        </w:rPr>
      </w:pPr>
      <w:r w:rsidRPr="002D4D50">
        <w:t>Empirically, however, findings a</w:t>
      </w:r>
      <w:r w:rsidR="0051443C" w:rsidRPr="002D4D50">
        <w:t>re conflicting: while some research confirms a</w:t>
      </w:r>
      <w:r w:rsidR="006B287B" w:rsidRPr="002D4D50">
        <w:t xml:space="preserve"> positive</w:t>
      </w:r>
      <w:r w:rsidR="0051443C" w:rsidRPr="002D4D50">
        <w:t xml:space="preserve"> association between </w:t>
      </w:r>
      <w:r w:rsidR="00C77614" w:rsidRPr="002D4D50">
        <w:t xml:space="preserve">low trust in institutions </w:t>
      </w:r>
      <w:r w:rsidR="0051443C" w:rsidRPr="002D4D50">
        <w:t>and far right voting (</w:t>
      </w:r>
      <w:proofErr w:type="spellStart"/>
      <w:r w:rsidR="0051443C" w:rsidRPr="002D4D50">
        <w:t>Akkerman</w:t>
      </w:r>
      <w:proofErr w:type="spellEnd"/>
      <w:r w:rsidR="0051443C" w:rsidRPr="002D4D50">
        <w:t xml:space="preserve"> et a</w:t>
      </w:r>
      <w:r w:rsidR="00DA4841" w:rsidRPr="002D4D50">
        <w:t>l</w:t>
      </w:r>
      <w:r w:rsidR="00E27147">
        <w:t>.,</w:t>
      </w:r>
      <w:r w:rsidR="00DA4841" w:rsidRPr="002D4D50">
        <w:t xml:space="preserve"> 2017</w:t>
      </w:r>
      <w:r w:rsidR="00AB6FF1" w:rsidRPr="002D4D50">
        <w:t xml:space="preserve">; </w:t>
      </w:r>
      <w:proofErr w:type="spellStart"/>
      <w:r w:rsidR="00AB6FF1" w:rsidRPr="002D4D50">
        <w:t>Denemark</w:t>
      </w:r>
      <w:proofErr w:type="spellEnd"/>
      <w:r w:rsidR="00AB6FF1" w:rsidRPr="002D4D50">
        <w:t xml:space="preserve"> and Bowler</w:t>
      </w:r>
      <w:r w:rsidR="00E27147">
        <w:t>,</w:t>
      </w:r>
      <w:r w:rsidR="00AB6FF1" w:rsidRPr="002D4D50">
        <w:t xml:space="preserve"> 2002; </w:t>
      </w:r>
      <w:proofErr w:type="spellStart"/>
      <w:r w:rsidR="00AB6FF1" w:rsidRPr="002D4D50">
        <w:t>Fieschi</w:t>
      </w:r>
      <w:proofErr w:type="spellEnd"/>
      <w:r w:rsidR="00AB6FF1" w:rsidRPr="002D4D50">
        <w:t xml:space="preserve"> and Heywood</w:t>
      </w:r>
      <w:r w:rsidR="00E27147">
        <w:t>,</w:t>
      </w:r>
      <w:r w:rsidR="00AB6FF1" w:rsidRPr="002D4D50">
        <w:t xml:space="preserve"> 2004; </w:t>
      </w:r>
      <w:proofErr w:type="spellStart"/>
      <w:r w:rsidR="00AB6FF1" w:rsidRPr="002D4D50">
        <w:t>Hooghe</w:t>
      </w:r>
      <w:proofErr w:type="spellEnd"/>
      <w:r w:rsidR="00AB6FF1" w:rsidRPr="002D4D50">
        <w:t xml:space="preserve"> et al.</w:t>
      </w:r>
      <w:r w:rsidR="00E27147">
        <w:t>,</w:t>
      </w:r>
      <w:r w:rsidR="00AB6FF1" w:rsidRPr="002D4D50">
        <w:t xml:space="preserve"> 2011</w:t>
      </w:r>
      <w:r w:rsidR="003B645B" w:rsidRPr="002D4D50">
        <w:t>; Lubbers et al</w:t>
      </w:r>
      <w:r w:rsidR="00E27147">
        <w:t>.,</w:t>
      </w:r>
      <w:r w:rsidR="003B645B" w:rsidRPr="002D4D50">
        <w:t xml:space="preserve"> 2002</w:t>
      </w:r>
      <w:r w:rsidR="00DA4841" w:rsidRPr="002D4D50">
        <w:t xml:space="preserve">), other scholars suggest that this relationship is not consistent across cases and </w:t>
      </w:r>
      <w:r w:rsidR="00DA4841" w:rsidRPr="002D4D50">
        <w:lastRenderedPageBreak/>
        <w:t>across time (Norris</w:t>
      </w:r>
      <w:r w:rsidR="00E27147">
        <w:t>,</w:t>
      </w:r>
      <w:r w:rsidR="00DA4841" w:rsidRPr="002D4D50">
        <w:t xml:space="preserve"> 2005; </w:t>
      </w:r>
      <w:proofErr w:type="spellStart"/>
      <w:r w:rsidR="00DA4841" w:rsidRPr="002D4D50">
        <w:t>Roodjuin</w:t>
      </w:r>
      <w:proofErr w:type="spellEnd"/>
      <w:r w:rsidR="00E27147">
        <w:t>,</w:t>
      </w:r>
      <w:r w:rsidR="00DA4841" w:rsidRPr="002D4D50">
        <w:t xml:space="preserve"> 2018</w:t>
      </w:r>
      <w:r w:rsidR="003B645B" w:rsidRPr="002D4D50">
        <w:t xml:space="preserve">; </w:t>
      </w:r>
      <w:r w:rsidR="006B287B" w:rsidRPr="002D4D50">
        <w:t>Santana et al</w:t>
      </w:r>
      <w:r w:rsidR="00E27147">
        <w:t>.,</w:t>
      </w:r>
      <w:r w:rsidR="006B287B" w:rsidRPr="002D4D50">
        <w:t xml:space="preserve"> 2020; </w:t>
      </w:r>
      <w:r w:rsidR="00E27147" w:rsidRPr="002D4D50">
        <w:t xml:space="preserve">van </w:t>
      </w:r>
      <w:proofErr w:type="spellStart"/>
      <w:r w:rsidR="00E27147" w:rsidRPr="002D4D50">
        <w:t>Hauwaert</w:t>
      </w:r>
      <w:proofErr w:type="spellEnd"/>
      <w:r w:rsidR="00E27147" w:rsidRPr="002D4D50">
        <w:t xml:space="preserve"> and van Kessel</w:t>
      </w:r>
      <w:r w:rsidR="00E27147">
        <w:t>,</w:t>
      </w:r>
      <w:r w:rsidR="00E27147" w:rsidRPr="002D4D50">
        <w:t xml:space="preserve"> 2018; </w:t>
      </w:r>
      <w:proofErr w:type="spellStart"/>
      <w:r w:rsidR="006B287B" w:rsidRPr="002D4D50">
        <w:t>Vrakopoulos</w:t>
      </w:r>
      <w:proofErr w:type="spellEnd"/>
      <w:r w:rsidR="00E27147">
        <w:t>,</w:t>
      </w:r>
      <w:r w:rsidR="006B287B" w:rsidRPr="002D4D50">
        <w:t xml:space="preserve"> 2022</w:t>
      </w:r>
      <w:r w:rsidR="00DA4841" w:rsidRPr="002D4D50">
        <w:t>).</w:t>
      </w:r>
      <w:r w:rsidR="00AA31DD" w:rsidRPr="002D4D50">
        <w:t xml:space="preserve"> </w:t>
      </w:r>
      <w:r w:rsidR="00A4073A" w:rsidRPr="002D4D50">
        <w:t xml:space="preserve">In sum there is a debate in the literature about the extent to which negative </w:t>
      </w:r>
      <w:r w:rsidR="000D6446" w:rsidRPr="002D4D50">
        <w:rPr>
          <w:bCs/>
        </w:rPr>
        <w:t>evaluations of the democratic process</w:t>
      </w:r>
      <w:r w:rsidR="00C85D0B" w:rsidRPr="002D4D50">
        <w:rPr>
          <w:bCs/>
        </w:rPr>
        <w:t xml:space="preserve"> help </w:t>
      </w:r>
      <w:r w:rsidR="00A4073A" w:rsidRPr="002D4D50">
        <w:rPr>
          <w:bCs/>
        </w:rPr>
        <w:t>understand</w:t>
      </w:r>
      <w:r w:rsidR="00C85D0B" w:rsidRPr="002D4D50">
        <w:rPr>
          <w:bCs/>
        </w:rPr>
        <w:t xml:space="preserve"> far right party support</w:t>
      </w:r>
      <w:r w:rsidR="00A4073A" w:rsidRPr="002D4D50">
        <w:rPr>
          <w:bCs/>
        </w:rPr>
        <w:t xml:space="preserve">, especially within the context of some </w:t>
      </w:r>
      <w:r w:rsidR="00C85D0B" w:rsidRPr="002D4D50">
        <w:rPr>
          <w:bCs/>
        </w:rPr>
        <w:t>empirical finding</w:t>
      </w:r>
      <w:r w:rsidR="00A4073A" w:rsidRPr="002D4D50">
        <w:rPr>
          <w:bCs/>
        </w:rPr>
        <w:t xml:space="preserve">s </w:t>
      </w:r>
      <w:r w:rsidR="00C85D0B" w:rsidRPr="002D4D50">
        <w:rPr>
          <w:bCs/>
        </w:rPr>
        <w:t xml:space="preserve">that </w:t>
      </w:r>
      <w:r w:rsidR="00037ED4" w:rsidRPr="002D4D50">
        <w:rPr>
          <w:bCs/>
        </w:rPr>
        <w:t xml:space="preserve">certain </w:t>
      </w:r>
      <w:r w:rsidR="009D15E4" w:rsidRPr="002D4D50">
        <w:rPr>
          <w:bCs/>
        </w:rPr>
        <w:t xml:space="preserve">individuals </w:t>
      </w:r>
      <w:r w:rsidR="006A66BA" w:rsidRPr="002D4D50">
        <w:rPr>
          <w:bCs/>
        </w:rPr>
        <w:t xml:space="preserve">who </w:t>
      </w:r>
      <w:r w:rsidR="000D6446" w:rsidRPr="002D4D50">
        <w:rPr>
          <w:bCs/>
        </w:rPr>
        <w:t xml:space="preserve">evaluate the democratic process positively, for example by </w:t>
      </w:r>
      <w:r w:rsidR="006A66BA" w:rsidRPr="002D4D50">
        <w:rPr>
          <w:bCs/>
        </w:rPr>
        <w:t>report</w:t>
      </w:r>
      <w:r w:rsidR="000D6446" w:rsidRPr="002D4D50">
        <w:rPr>
          <w:bCs/>
        </w:rPr>
        <w:t>ing</w:t>
      </w:r>
      <w:r w:rsidR="006A66BA" w:rsidRPr="002D4D50">
        <w:rPr>
          <w:bCs/>
        </w:rPr>
        <w:t xml:space="preserve"> high levels</w:t>
      </w:r>
      <w:r w:rsidR="00D73417" w:rsidRPr="002D4D50">
        <w:rPr>
          <w:bCs/>
        </w:rPr>
        <w:t xml:space="preserve"> government satisfaction (Norris</w:t>
      </w:r>
      <w:r w:rsidR="004C355A">
        <w:rPr>
          <w:bCs/>
        </w:rPr>
        <w:t>,</w:t>
      </w:r>
      <w:r w:rsidR="00D73417" w:rsidRPr="002D4D50">
        <w:rPr>
          <w:bCs/>
        </w:rPr>
        <w:t xml:space="preserve"> 2005)</w:t>
      </w:r>
      <w:r w:rsidR="000D6446" w:rsidRPr="002D4D50">
        <w:rPr>
          <w:bCs/>
        </w:rPr>
        <w:t>,</w:t>
      </w:r>
      <w:r w:rsidR="006A66BA" w:rsidRPr="002D4D50">
        <w:rPr>
          <w:bCs/>
        </w:rPr>
        <w:t xml:space="preserve"> </w:t>
      </w:r>
      <w:r w:rsidR="00C85D0B" w:rsidRPr="002D4D50">
        <w:rPr>
          <w:bCs/>
        </w:rPr>
        <w:t xml:space="preserve">may </w:t>
      </w:r>
      <w:r w:rsidR="00621A8C" w:rsidRPr="002D4D50">
        <w:rPr>
          <w:bCs/>
        </w:rPr>
        <w:t xml:space="preserve">also </w:t>
      </w:r>
      <w:r w:rsidR="00C85D0B" w:rsidRPr="002D4D50">
        <w:rPr>
          <w:bCs/>
        </w:rPr>
        <w:t>vote for the far right</w:t>
      </w:r>
      <w:r w:rsidR="00A4073A" w:rsidRPr="002D4D50">
        <w:rPr>
          <w:bCs/>
        </w:rPr>
        <w:t xml:space="preserve">. </w:t>
      </w:r>
    </w:p>
    <w:p w14:paraId="3C8EE3F4" w14:textId="50CBCC93" w:rsidR="00703CB5" w:rsidRPr="002D4D50" w:rsidRDefault="00703CB5" w:rsidP="00ED02A7">
      <w:pPr>
        <w:spacing w:line="480" w:lineRule="auto"/>
        <w:jc w:val="both"/>
      </w:pPr>
    </w:p>
    <w:p w14:paraId="674D0041" w14:textId="47A328BE" w:rsidR="00EE1989" w:rsidRPr="002D4D50" w:rsidRDefault="00703CB5" w:rsidP="00206DEA">
      <w:pPr>
        <w:spacing w:line="480" w:lineRule="auto"/>
        <w:jc w:val="both"/>
        <w:rPr>
          <w:bCs/>
          <w:color w:val="000000" w:themeColor="text1"/>
        </w:rPr>
      </w:pPr>
      <w:r w:rsidRPr="002D4D50">
        <w:t xml:space="preserve">This </w:t>
      </w:r>
      <w:r w:rsidR="00934CD6" w:rsidRPr="002D4D50">
        <w:t xml:space="preserve">article </w:t>
      </w:r>
      <w:r w:rsidR="00102CAF" w:rsidRPr="002D4D50">
        <w:rPr>
          <w:color w:val="000000" w:themeColor="text1"/>
        </w:rPr>
        <w:t>adds nuance</w:t>
      </w:r>
      <w:r w:rsidR="004A70BE" w:rsidRPr="002D4D50">
        <w:rPr>
          <w:color w:val="000000" w:themeColor="text1"/>
        </w:rPr>
        <w:t xml:space="preserve"> to this debate </w:t>
      </w:r>
      <w:r w:rsidRPr="002D4D50">
        <w:rPr>
          <w:color w:val="000000" w:themeColor="text1"/>
        </w:rPr>
        <w:t xml:space="preserve">by </w:t>
      </w:r>
      <w:r w:rsidR="00DD4C92" w:rsidRPr="002D4D50">
        <w:t xml:space="preserve">offering a theoretical and empirical reassessment of the </w:t>
      </w:r>
      <w:r w:rsidR="00971F4C" w:rsidRPr="002D4D50">
        <w:t>association</w:t>
      </w:r>
      <w:r w:rsidR="00DD4C92" w:rsidRPr="002D4D50">
        <w:t xml:space="preserve"> between </w:t>
      </w:r>
      <w:r w:rsidR="00801387" w:rsidRPr="002D4D50">
        <w:t xml:space="preserve">evaluations of the democratic process </w:t>
      </w:r>
      <w:r w:rsidR="00DD4C92" w:rsidRPr="002D4D50">
        <w:t>and far r</w:t>
      </w:r>
      <w:r w:rsidR="00A74BC3" w:rsidRPr="002D4D50">
        <w:t xml:space="preserve">ight party support </w:t>
      </w:r>
      <w:r w:rsidRPr="002D4D50">
        <w:t xml:space="preserve">taking into account the heterogeneity of the </w:t>
      </w:r>
      <w:proofErr w:type="gramStart"/>
      <w:r w:rsidRPr="002D4D50">
        <w:t>far right</w:t>
      </w:r>
      <w:proofErr w:type="gramEnd"/>
      <w:r w:rsidRPr="002D4D50">
        <w:t xml:space="preserve"> vot</w:t>
      </w:r>
      <w:r w:rsidR="00E91B3F" w:rsidRPr="002D4D50">
        <w:t>er</w:t>
      </w:r>
      <w:r w:rsidRPr="002D4D50">
        <w:t xml:space="preserve"> pool</w:t>
      </w:r>
      <w:r w:rsidR="00A74BC3" w:rsidRPr="002D4D50">
        <w:t xml:space="preserve">. </w:t>
      </w:r>
      <w:r w:rsidR="00801387" w:rsidRPr="002D4D50">
        <w:rPr>
          <w:bCs/>
          <w:color w:val="000000" w:themeColor="text1"/>
        </w:rPr>
        <w:t>We suggest that citizens assess two components of the democratic process</w:t>
      </w:r>
      <w:r w:rsidR="00070017" w:rsidRPr="002D4D50">
        <w:rPr>
          <w:bCs/>
          <w:color w:val="000000" w:themeColor="text1"/>
        </w:rPr>
        <w:t xml:space="preserve"> </w:t>
      </w:r>
      <w:r w:rsidR="00391C7C" w:rsidRPr="002D4D50">
        <w:rPr>
          <w:bCs/>
          <w:color w:val="000000" w:themeColor="text1"/>
        </w:rPr>
        <w:t>(Dahl</w:t>
      </w:r>
      <w:r w:rsidR="004C355A">
        <w:rPr>
          <w:bCs/>
          <w:color w:val="000000" w:themeColor="text1"/>
        </w:rPr>
        <w:t>,</w:t>
      </w:r>
      <w:r w:rsidR="00391C7C" w:rsidRPr="002D4D50">
        <w:rPr>
          <w:bCs/>
          <w:color w:val="000000" w:themeColor="text1"/>
        </w:rPr>
        <w:t xml:space="preserve"> 1998; de Vries</w:t>
      </w:r>
      <w:r w:rsidR="004C355A">
        <w:rPr>
          <w:bCs/>
          <w:color w:val="000000" w:themeColor="text1"/>
        </w:rPr>
        <w:t>,</w:t>
      </w:r>
      <w:r w:rsidR="00391C7C" w:rsidRPr="002D4D50">
        <w:rPr>
          <w:bCs/>
          <w:color w:val="000000" w:themeColor="text1"/>
        </w:rPr>
        <w:t xml:space="preserve"> 2018; Easton</w:t>
      </w:r>
      <w:r w:rsidR="004C355A">
        <w:rPr>
          <w:bCs/>
          <w:color w:val="000000" w:themeColor="text1"/>
        </w:rPr>
        <w:t>,</w:t>
      </w:r>
      <w:r w:rsidR="00391C7C" w:rsidRPr="002D4D50">
        <w:rPr>
          <w:bCs/>
          <w:color w:val="000000" w:themeColor="text1"/>
        </w:rPr>
        <w:t xml:space="preserve"> 1965</w:t>
      </w:r>
      <w:r w:rsidR="004C3C6B" w:rsidRPr="002D4D50">
        <w:rPr>
          <w:bCs/>
          <w:color w:val="000000" w:themeColor="text1"/>
        </w:rPr>
        <w:t>; 1975</w:t>
      </w:r>
      <w:r w:rsidR="00391C7C" w:rsidRPr="002D4D50">
        <w:rPr>
          <w:bCs/>
          <w:color w:val="000000" w:themeColor="text1"/>
        </w:rPr>
        <w:t xml:space="preserve">). </w:t>
      </w:r>
      <w:r w:rsidR="00070017" w:rsidRPr="002D4D50">
        <w:rPr>
          <w:bCs/>
          <w:color w:val="000000" w:themeColor="text1"/>
        </w:rPr>
        <w:t>First, t</w:t>
      </w:r>
      <w:r w:rsidR="00391C7C" w:rsidRPr="002D4D50">
        <w:rPr>
          <w:bCs/>
          <w:color w:val="000000" w:themeColor="text1"/>
        </w:rPr>
        <w:t xml:space="preserve">he </w:t>
      </w:r>
      <w:r w:rsidR="00070017" w:rsidRPr="002D4D50">
        <w:rPr>
          <w:bCs/>
          <w:i/>
          <w:iCs/>
          <w:color w:val="000000" w:themeColor="text1"/>
        </w:rPr>
        <w:t>diffuse</w:t>
      </w:r>
      <w:r w:rsidR="005123AC" w:rsidRPr="002D4D50">
        <w:rPr>
          <w:bCs/>
          <w:i/>
          <w:iCs/>
          <w:color w:val="000000" w:themeColor="text1"/>
        </w:rPr>
        <w:t xml:space="preserve">, </w:t>
      </w:r>
      <w:r w:rsidR="005123AC" w:rsidRPr="002D4D50">
        <w:rPr>
          <w:bCs/>
          <w:color w:val="000000" w:themeColor="text1"/>
        </w:rPr>
        <w:t>which</w:t>
      </w:r>
      <w:r w:rsidR="00391C7C" w:rsidRPr="002D4D50">
        <w:rPr>
          <w:bCs/>
          <w:color w:val="000000" w:themeColor="text1"/>
        </w:rPr>
        <w:t xml:space="preserve"> refers </w:t>
      </w:r>
      <w:r w:rsidR="00070017" w:rsidRPr="002D4D50">
        <w:rPr>
          <w:bCs/>
          <w:color w:val="000000" w:themeColor="text1"/>
        </w:rPr>
        <w:t xml:space="preserve">to </w:t>
      </w:r>
      <w:r w:rsidR="00391C7C" w:rsidRPr="002D4D50">
        <w:rPr>
          <w:bCs/>
          <w:color w:val="000000" w:themeColor="text1"/>
        </w:rPr>
        <w:t>br</w:t>
      </w:r>
      <w:r w:rsidR="00070017" w:rsidRPr="002D4D50">
        <w:rPr>
          <w:bCs/>
          <w:color w:val="000000" w:themeColor="text1"/>
        </w:rPr>
        <w:t>o</w:t>
      </w:r>
      <w:r w:rsidR="00391C7C" w:rsidRPr="002D4D50">
        <w:rPr>
          <w:bCs/>
          <w:color w:val="000000" w:themeColor="text1"/>
        </w:rPr>
        <w:t xml:space="preserve">ad </w:t>
      </w:r>
      <w:r w:rsidR="00391C7C" w:rsidRPr="002D4D50">
        <w:t xml:space="preserve">support towards the democratic system, expressed through </w:t>
      </w:r>
      <w:r w:rsidR="00391C7C" w:rsidRPr="002D4D50">
        <w:rPr>
          <w:bCs/>
        </w:rPr>
        <w:t>trust in institutions</w:t>
      </w:r>
      <w:r w:rsidR="005123AC" w:rsidRPr="002D4D50">
        <w:rPr>
          <w:bCs/>
        </w:rPr>
        <w:t>; and</w:t>
      </w:r>
      <w:r w:rsidR="00391C7C" w:rsidRPr="002D4D50">
        <w:rPr>
          <w:bCs/>
        </w:rPr>
        <w:t xml:space="preserve"> </w:t>
      </w:r>
      <w:r w:rsidR="005123AC" w:rsidRPr="002D4D50">
        <w:rPr>
          <w:lang w:val="en-US"/>
        </w:rPr>
        <w:t>s</w:t>
      </w:r>
      <w:r w:rsidR="00070017" w:rsidRPr="002D4D50">
        <w:rPr>
          <w:lang w:val="en-US"/>
        </w:rPr>
        <w:t xml:space="preserve">econd, the </w:t>
      </w:r>
      <w:r w:rsidR="00391C7C" w:rsidRPr="002D4D50">
        <w:rPr>
          <w:i/>
        </w:rPr>
        <w:t>specific</w:t>
      </w:r>
      <w:r w:rsidR="00391C7C" w:rsidRPr="002D4D50">
        <w:t xml:space="preserve"> </w:t>
      </w:r>
      <w:r w:rsidR="005123AC" w:rsidRPr="002D4D50">
        <w:t xml:space="preserve">which </w:t>
      </w:r>
      <w:r w:rsidR="00070017" w:rsidRPr="002D4D50">
        <w:rPr>
          <w:color w:val="000000" w:themeColor="text1"/>
        </w:rPr>
        <w:t>refers</w:t>
      </w:r>
      <w:r w:rsidR="004C3C6B" w:rsidRPr="002D4D50">
        <w:rPr>
          <w:color w:val="000000" w:themeColor="text1"/>
        </w:rPr>
        <w:t xml:space="preserve"> to satisfaction with system performance and policy outputs</w:t>
      </w:r>
      <w:r w:rsidR="004C3C6B" w:rsidRPr="002D4D50">
        <w:rPr>
          <w:rFonts w:eastAsia="Batang"/>
          <w:color w:val="000000" w:themeColor="text1"/>
        </w:rPr>
        <w:t xml:space="preserve">. </w:t>
      </w:r>
      <w:r w:rsidR="00BC66F4" w:rsidRPr="002D4D50">
        <w:rPr>
          <w:bCs/>
          <w:color w:val="000000" w:themeColor="text1"/>
        </w:rPr>
        <w:t>U</w:t>
      </w:r>
      <w:r w:rsidR="00DA6618" w:rsidRPr="002D4D50">
        <w:rPr>
          <w:bCs/>
          <w:color w:val="000000" w:themeColor="text1"/>
        </w:rPr>
        <w:t xml:space="preserve">sing </w:t>
      </w:r>
      <w:r w:rsidR="00DA6618" w:rsidRPr="002D4D50">
        <w:rPr>
          <w:bCs/>
        </w:rPr>
        <w:t xml:space="preserve">data from </w:t>
      </w:r>
      <w:r w:rsidR="001331C3" w:rsidRPr="002D4D50">
        <w:rPr>
          <w:bCs/>
        </w:rPr>
        <w:t>9</w:t>
      </w:r>
      <w:r w:rsidR="00DA6618" w:rsidRPr="002D4D50">
        <w:rPr>
          <w:bCs/>
        </w:rPr>
        <w:t xml:space="preserve"> waves of the European Social Survey (2002-201</w:t>
      </w:r>
      <w:r w:rsidR="001331C3" w:rsidRPr="002D4D50">
        <w:rPr>
          <w:bCs/>
        </w:rPr>
        <w:t>8</w:t>
      </w:r>
      <w:r w:rsidR="00DA6618" w:rsidRPr="002D4D50">
        <w:rPr>
          <w:bCs/>
        </w:rPr>
        <w:t xml:space="preserve">), we show </w:t>
      </w:r>
      <w:r w:rsidR="00BC66F4" w:rsidRPr="002D4D50">
        <w:rPr>
          <w:bCs/>
        </w:rPr>
        <w:t xml:space="preserve">empirically </w:t>
      </w:r>
      <w:r w:rsidR="00AE13CE" w:rsidRPr="002D4D50">
        <w:rPr>
          <w:bCs/>
        </w:rPr>
        <w:t>that</w:t>
      </w:r>
      <w:r w:rsidR="00376DA4" w:rsidRPr="002D4D50">
        <w:rPr>
          <w:bCs/>
        </w:rPr>
        <w:t xml:space="preserve">, first, </w:t>
      </w:r>
      <w:r w:rsidR="00DA6618" w:rsidRPr="002D4D50">
        <w:t xml:space="preserve">voters’ evaluations </w:t>
      </w:r>
      <w:r w:rsidR="00920144" w:rsidRPr="002D4D50">
        <w:t>of th</w:t>
      </w:r>
      <w:r w:rsidR="00DA6618" w:rsidRPr="002D4D50">
        <w:t xml:space="preserve">ese two components </w:t>
      </w:r>
      <w:r w:rsidR="0027577F" w:rsidRPr="002D4D50">
        <w:t>are associated with</w:t>
      </w:r>
      <w:r w:rsidR="00DA6618" w:rsidRPr="002D4D50">
        <w:t xml:space="preserve"> their electoral behaviour</w:t>
      </w:r>
      <w:r w:rsidR="00376DA4" w:rsidRPr="002D4D50">
        <w:t xml:space="preserve">. </w:t>
      </w:r>
      <w:r w:rsidR="005F66DC" w:rsidRPr="002D4D50">
        <w:t>T</w:t>
      </w:r>
      <w:r w:rsidR="0027577F" w:rsidRPr="002D4D50">
        <w:t xml:space="preserve">hose </w:t>
      </w:r>
      <w:r w:rsidR="00376DA4" w:rsidRPr="002D4D50">
        <w:t>citizens</w:t>
      </w:r>
      <w:r w:rsidR="0027577F" w:rsidRPr="002D4D50">
        <w:t xml:space="preserve"> who </w:t>
      </w:r>
      <w:r w:rsidR="005F66DC" w:rsidRPr="002D4D50">
        <w:t>trust</w:t>
      </w:r>
      <w:r w:rsidR="0027577F" w:rsidRPr="002D4D50">
        <w:t xml:space="preserve"> institutions and positively </w:t>
      </w:r>
      <w:r w:rsidR="004C3C6B" w:rsidRPr="002D4D50">
        <w:t xml:space="preserve">evaluate system performance and policy outputs </w:t>
      </w:r>
      <w:r w:rsidR="0027577F" w:rsidRPr="002D4D50">
        <w:t xml:space="preserve">are </w:t>
      </w:r>
      <w:r w:rsidR="00376DA4" w:rsidRPr="002D4D50">
        <w:t xml:space="preserve">less likely to vote for a </w:t>
      </w:r>
      <w:proofErr w:type="gramStart"/>
      <w:r w:rsidR="00376DA4" w:rsidRPr="002D4D50">
        <w:t>far right</w:t>
      </w:r>
      <w:proofErr w:type="gramEnd"/>
      <w:r w:rsidR="00376DA4" w:rsidRPr="002D4D50">
        <w:t xml:space="preserve"> party. </w:t>
      </w:r>
      <w:r w:rsidR="005F66DC" w:rsidRPr="002D4D50">
        <w:t xml:space="preserve">Conversely, </w:t>
      </w:r>
      <w:proofErr w:type="gramStart"/>
      <w:r w:rsidR="005F66DC" w:rsidRPr="002D4D50">
        <w:t>voters</w:t>
      </w:r>
      <w:proofErr w:type="gramEnd"/>
      <w:r w:rsidR="005F66DC" w:rsidRPr="002D4D50">
        <w:t xml:space="preserve"> discontent with the democratic process are more likely to </w:t>
      </w:r>
      <w:r w:rsidR="003E07DB">
        <w:t>opt</w:t>
      </w:r>
      <w:r w:rsidR="003E07DB" w:rsidRPr="002D4D50">
        <w:t xml:space="preserve"> </w:t>
      </w:r>
      <w:r w:rsidR="005F66DC" w:rsidRPr="002D4D50">
        <w:t xml:space="preserve">for the far right. Second, </w:t>
      </w:r>
      <w:r w:rsidR="005F66DC" w:rsidRPr="002D4D50">
        <w:rPr>
          <w:color w:val="000000" w:themeColor="text1"/>
        </w:rPr>
        <w:t xml:space="preserve">we also show that </w:t>
      </w:r>
      <w:r w:rsidR="00A14B7F" w:rsidRPr="002D4D50">
        <w:rPr>
          <w:color w:val="000000" w:themeColor="text1"/>
        </w:rPr>
        <w:t>f</w:t>
      </w:r>
      <w:r w:rsidR="00870772" w:rsidRPr="002D4D50">
        <w:rPr>
          <w:color w:val="000000" w:themeColor="text1"/>
        </w:rPr>
        <w:t>or those voters with strong anti-immigrant sentiments who may be identified as the core nationalist far right constituency (e.g.</w:t>
      </w:r>
      <w:r w:rsidR="004C355A">
        <w:rPr>
          <w:color w:val="000000" w:themeColor="text1"/>
        </w:rPr>
        <w:t>,</w:t>
      </w:r>
      <w:r w:rsidR="00870772" w:rsidRPr="002D4D50">
        <w:rPr>
          <w:color w:val="000000" w:themeColor="text1"/>
        </w:rPr>
        <w:t xml:space="preserve"> Golder</w:t>
      </w:r>
      <w:r w:rsidR="004C355A">
        <w:rPr>
          <w:color w:val="000000" w:themeColor="text1"/>
        </w:rPr>
        <w:t>,</w:t>
      </w:r>
      <w:r w:rsidR="00870772" w:rsidRPr="002D4D50">
        <w:rPr>
          <w:color w:val="000000" w:themeColor="text1"/>
        </w:rPr>
        <w:t xml:space="preserve"> 2016; </w:t>
      </w:r>
      <w:proofErr w:type="spellStart"/>
      <w:r w:rsidR="00870772" w:rsidRPr="002D4D50">
        <w:rPr>
          <w:color w:val="000000" w:themeColor="text1"/>
        </w:rPr>
        <w:t>Halikiopoulou</w:t>
      </w:r>
      <w:proofErr w:type="spellEnd"/>
      <w:r w:rsidR="00870772" w:rsidRPr="002D4D50">
        <w:rPr>
          <w:color w:val="000000" w:themeColor="text1"/>
        </w:rPr>
        <w:t xml:space="preserve"> and </w:t>
      </w:r>
      <w:proofErr w:type="spellStart"/>
      <w:r w:rsidR="00870772" w:rsidRPr="002D4D50">
        <w:rPr>
          <w:color w:val="000000" w:themeColor="text1"/>
        </w:rPr>
        <w:t>Vlandas</w:t>
      </w:r>
      <w:proofErr w:type="spellEnd"/>
      <w:r w:rsidR="004C355A">
        <w:rPr>
          <w:color w:val="000000" w:themeColor="text1"/>
        </w:rPr>
        <w:t>,</w:t>
      </w:r>
      <w:r w:rsidR="00870772" w:rsidRPr="002D4D50">
        <w:rPr>
          <w:color w:val="000000" w:themeColor="text1"/>
        </w:rPr>
        <w:t xml:space="preserve"> 2020; </w:t>
      </w:r>
      <w:proofErr w:type="spellStart"/>
      <w:r w:rsidR="00870772" w:rsidRPr="002D4D50">
        <w:rPr>
          <w:color w:val="000000" w:themeColor="text1"/>
        </w:rPr>
        <w:t>Ivarsflaten</w:t>
      </w:r>
      <w:proofErr w:type="spellEnd"/>
      <w:r w:rsidR="004C355A">
        <w:rPr>
          <w:color w:val="000000" w:themeColor="text1"/>
        </w:rPr>
        <w:t>,</w:t>
      </w:r>
      <w:r w:rsidR="00870772" w:rsidRPr="002D4D50">
        <w:rPr>
          <w:color w:val="000000" w:themeColor="text1"/>
        </w:rPr>
        <w:t xml:space="preserve"> 2008) results differ. </w:t>
      </w:r>
      <w:r w:rsidR="00284237" w:rsidRPr="002D4D50">
        <w:rPr>
          <w:bCs/>
          <w:color w:val="000000" w:themeColor="text1"/>
        </w:rPr>
        <w:t xml:space="preserve">Whereas on the one hand we confirm that among the general population, indeed positive evaluations of the democratic process may serve as a deterrent </w:t>
      </w:r>
      <w:r w:rsidR="00284237" w:rsidRPr="002D4D50">
        <w:rPr>
          <w:bCs/>
          <w:color w:val="000000" w:themeColor="text1"/>
        </w:rPr>
        <w:lastRenderedPageBreak/>
        <w:t xml:space="preserve">for </w:t>
      </w:r>
      <w:proofErr w:type="gramStart"/>
      <w:r w:rsidR="00284237" w:rsidRPr="002D4D50">
        <w:rPr>
          <w:bCs/>
          <w:color w:val="000000" w:themeColor="text1"/>
        </w:rPr>
        <w:t>far right</w:t>
      </w:r>
      <w:proofErr w:type="gramEnd"/>
      <w:r w:rsidR="00284237" w:rsidRPr="002D4D50">
        <w:rPr>
          <w:bCs/>
          <w:color w:val="000000" w:themeColor="text1"/>
        </w:rPr>
        <w:t xml:space="preserve"> party support, on the other hand we show that the same assessments are unlikely to deter the far right’s ideological voters. In some circumstances, they might even have a galvanising effect, prompting a backlash among some core voters. In sum, our findings indicate that for some individuals with strong anti-immigrant attitudes, evaluations of the democratic process may even be positively associated with </w:t>
      </w:r>
      <w:proofErr w:type="gramStart"/>
      <w:r w:rsidR="00284237" w:rsidRPr="002D4D50">
        <w:rPr>
          <w:bCs/>
          <w:color w:val="000000" w:themeColor="text1"/>
        </w:rPr>
        <w:t>far right</w:t>
      </w:r>
      <w:proofErr w:type="gramEnd"/>
      <w:r w:rsidR="00284237" w:rsidRPr="002D4D50">
        <w:rPr>
          <w:bCs/>
          <w:color w:val="000000" w:themeColor="text1"/>
        </w:rPr>
        <w:t xml:space="preserve"> party support.</w:t>
      </w:r>
    </w:p>
    <w:p w14:paraId="3E4B5577" w14:textId="77777777" w:rsidR="00387311" w:rsidRPr="002D4D50" w:rsidRDefault="00387311" w:rsidP="00ED02A7">
      <w:pPr>
        <w:spacing w:line="480" w:lineRule="auto"/>
        <w:jc w:val="both"/>
        <w:rPr>
          <w:bCs/>
        </w:rPr>
      </w:pPr>
    </w:p>
    <w:p w14:paraId="32FE7D90" w14:textId="129AFDC0" w:rsidR="00284237" w:rsidRPr="002D4D50" w:rsidRDefault="00387311" w:rsidP="00284237">
      <w:pPr>
        <w:spacing w:line="480" w:lineRule="auto"/>
        <w:jc w:val="both"/>
        <w:rPr>
          <w:bCs/>
        </w:rPr>
      </w:pPr>
      <w:r w:rsidRPr="002D4D50">
        <w:rPr>
          <w:bCs/>
        </w:rPr>
        <w:t xml:space="preserve">Our </w:t>
      </w:r>
      <w:r w:rsidR="00102CAF" w:rsidRPr="002D4D50">
        <w:rPr>
          <w:bCs/>
        </w:rPr>
        <w:t xml:space="preserve">contribution is twofold. First, the </w:t>
      </w:r>
      <w:r w:rsidRPr="002D4D50">
        <w:rPr>
          <w:bCs/>
        </w:rPr>
        <w:t xml:space="preserve">article contributes </w:t>
      </w:r>
      <w:r w:rsidR="005C0FB2" w:rsidRPr="002D4D50">
        <w:rPr>
          <w:bCs/>
        </w:rPr>
        <w:t>to voting behaviour scholarship</w:t>
      </w:r>
      <w:r w:rsidR="00593848" w:rsidRPr="002D4D50">
        <w:rPr>
          <w:bCs/>
        </w:rPr>
        <w:t xml:space="preserve">, and in particular the emerging literature on </w:t>
      </w:r>
      <w:proofErr w:type="gramStart"/>
      <w:r w:rsidR="00593848" w:rsidRPr="002D4D50">
        <w:rPr>
          <w:bCs/>
        </w:rPr>
        <w:t>far right</w:t>
      </w:r>
      <w:proofErr w:type="gramEnd"/>
      <w:r w:rsidR="00593848" w:rsidRPr="002D4D50">
        <w:rPr>
          <w:bCs/>
        </w:rPr>
        <w:t xml:space="preserve"> intra-partisan heterogeneity (</w:t>
      </w:r>
      <w:proofErr w:type="spellStart"/>
      <w:r w:rsidR="00593848" w:rsidRPr="002D4D50">
        <w:rPr>
          <w:bCs/>
        </w:rPr>
        <w:t>Damhuis</w:t>
      </w:r>
      <w:proofErr w:type="spellEnd"/>
      <w:r w:rsidR="00D1351B">
        <w:rPr>
          <w:bCs/>
        </w:rPr>
        <w:t>,</w:t>
      </w:r>
      <w:r w:rsidR="00593848" w:rsidRPr="002D4D50">
        <w:rPr>
          <w:bCs/>
        </w:rPr>
        <w:t xml:space="preserve"> 2020</w:t>
      </w:r>
      <w:r w:rsidR="004935C1" w:rsidRPr="002D4D50">
        <w:rPr>
          <w:bCs/>
        </w:rPr>
        <w:t>;</w:t>
      </w:r>
      <w:r w:rsidR="00593848" w:rsidRPr="002D4D50">
        <w:rPr>
          <w:bCs/>
        </w:rPr>
        <w:t xml:space="preserve"> </w:t>
      </w:r>
      <w:proofErr w:type="spellStart"/>
      <w:r w:rsidR="004935C1" w:rsidRPr="002D4D50">
        <w:rPr>
          <w:bCs/>
        </w:rPr>
        <w:t>Halikiopoulou</w:t>
      </w:r>
      <w:proofErr w:type="spellEnd"/>
      <w:r w:rsidR="004935C1" w:rsidRPr="002D4D50">
        <w:rPr>
          <w:bCs/>
        </w:rPr>
        <w:t xml:space="preserve"> and </w:t>
      </w:r>
      <w:proofErr w:type="spellStart"/>
      <w:r w:rsidR="004935C1" w:rsidRPr="002D4D50">
        <w:rPr>
          <w:bCs/>
        </w:rPr>
        <w:t>Vlandas</w:t>
      </w:r>
      <w:proofErr w:type="spellEnd"/>
      <w:r w:rsidR="00D1351B">
        <w:rPr>
          <w:bCs/>
        </w:rPr>
        <w:t>,</w:t>
      </w:r>
      <w:r w:rsidR="004935C1" w:rsidRPr="002D4D50">
        <w:rPr>
          <w:bCs/>
        </w:rPr>
        <w:t xml:space="preserve"> 2020; </w:t>
      </w:r>
      <w:proofErr w:type="spellStart"/>
      <w:r w:rsidR="004935C1" w:rsidRPr="002D4D50">
        <w:rPr>
          <w:bCs/>
        </w:rPr>
        <w:t>Stockemer</w:t>
      </w:r>
      <w:proofErr w:type="spellEnd"/>
      <w:r w:rsidR="004935C1" w:rsidRPr="002D4D50">
        <w:rPr>
          <w:bCs/>
        </w:rPr>
        <w:t xml:space="preserve"> et al</w:t>
      </w:r>
      <w:r w:rsidR="00D1351B">
        <w:rPr>
          <w:bCs/>
        </w:rPr>
        <w:t>.,</w:t>
      </w:r>
      <w:r w:rsidR="004935C1" w:rsidRPr="002D4D50">
        <w:rPr>
          <w:bCs/>
        </w:rPr>
        <w:t xml:space="preserve"> 2021; </w:t>
      </w:r>
      <w:r w:rsidR="00593848" w:rsidRPr="002D4D50">
        <w:rPr>
          <w:bCs/>
        </w:rPr>
        <w:t>Steiner et al</w:t>
      </w:r>
      <w:r w:rsidR="00D1351B">
        <w:rPr>
          <w:bCs/>
        </w:rPr>
        <w:t>.,</w:t>
      </w:r>
      <w:r w:rsidR="00593848" w:rsidRPr="002D4D50">
        <w:rPr>
          <w:bCs/>
        </w:rPr>
        <w:t xml:space="preserve"> 2022), </w:t>
      </w:r>
      <w:r w:rsidR="005C0FB2" w:rsidRPr="002D4D50">
        <w:rPr>
          <w:bCs/>
        </w:rPr>
        <w:t>by showing that evaluations of the democratic process have a different effect on sub-groups of the far right electorate.</w:t>
      </w:r>
      <w:r w:rsidR="00054A92" w:rsidRPr="002D4D50">
        <w:rPr>
          <w:bCs/>
        </w:rPr>
        <w:t xml:space="preserve"> By theorising core and peripheral far right voters </w:t>
      </w:r>
      <w:r w:rsidR="00284237" w:rsidRPr="002D4D50">
        <w:rPr>
          <w:bCs/>
        </w:rPr>
        <w:t xml:space="preserve">we show that that evaluations of the democratic process are likely to be associated with the way people vote in different ways. This adds value to our understanding of </w:t>
      </w:r>
      <w:proofErr w:type="gramStart"/>
      <w:r w:rsidR="00284237" w:rsidRPr="002D4D50">
        <w:rPr>
          <w:bCs/>
        </w:rPr>
        <w:t>far right</w:t>
      </w:r>
      <w:proofErr w:type="gramEnd"/>
      <w:r w:rsidR="00284237" w:rsidRPr="002D4D50">
        <w:rPr>
          <w:bCs/>
        </w:rPr>
        <w:t xml:space="preserve"> party success and responds to calls for challenging the underlying assumption that there is a single far right voter profile (</w:t>
      </w:r>
      <w:r w:rsidR="003E07DB">
        <w:rPr>
          <w:bCs/>
        </w:rPr>
        <w:t>s</w:t>
      </w:r>
      <w:r w:rsidR="00284237" w:rsidRPr="002D4D50">
        <w:rPr>
          <w:bCs/>
        </w:rPr>
        <w:t xml:space="preserve">ee </w:t>
      </w:r>
      <w:proofErr w:type="spellStart"/>
      <w:r w:rsidR="00284237" w:rsidRPr="002D4D50">
        <w:rPr>
          <w:bCs/>
        </w:rPr>
        <w:t>Mudde</w:t>
      </w:r>
      <w:proofErr w:type="spellEnd"/>
      <w:r w:rsidR="00D1351B">
        <w:rPr>
          <w:bCs/>
        </w:rPr>
        <w:t>,</w:t>
      </w:r>
      <w:r w:rsidR="00284237" w:rsidRPr="002D4D50">
        <w:rPr>
          <w:bCs/>
        </w:rPr>
        <w:t xml:space="preserve"> 2007; </w:t>
      </w:r>
      <w:proofErr w:type="spellStart"/>
      <w:r w:rsidR="00284237" w:rsidRPr="002D4D50">
        <w:rPr>
          <w:bCs/>
        </w:rPr>
        <w:t>Stockemer</w:t>
      </w:r>
      <w:proofErr w:type="spellEnd"/>
      <w:r w:rsidR="00284237" w:rsidRPr="002D4D50">
        <w:rPr>
          <w:bCs/>
        </w:rPr>
        <w:t xml:space="preserve"> et al</w:t>
      </w:r>
      <w:r w:rsidR="00D1351B">
        <w:rPr>
          <w:bCs/>
        </w:rPr>
        <w:t>.,</w:t>
      </w:r>
      <w:r w:rsidR="00284237" w:rsidRPr="002D4D50">
        <w:rPr>
          <w:bCs/>
        </w:rPr>
        <w:t xml:space="preserve"> 2021). </w:t>
      </w:r>
      <w:r w:rsidR="00102CAF" w:rsidRPr="002D4D50">
        <w:rPr>
          <w:bCs/>
        </w:rPr>
        <w:t>Second, e</w:t>
      </w:r>
      <w:r w:rsidR="00F3690F" w:rsidRPr="002D4D50">
        <w:rPr>
          <w:bCs/>
        </w:rPr>
        <w:t xml:space="preserve">mpirically, we test the association between evaluations of the democratic process and far right party support using </w:t>
      </w:r>
      <w:r w:rsidR="00F3690F" w:rsidRPr="002D4D50">
        <w:t xml:space="preserve">high quality comparative data. The examination of multiple ESS waves allows us to discern </w:t>
      </w:r>
      <w:r w:rsidR="001F0915" w:rsidRPr="002D4D50">
        <w:t>generalisable</w:t>
      </w:r>
      <w:r w:rsidR="00F3690F" w:rsidRPr="002D4D50">
        <w:t xml:space="preserve"> patterns across countries and across time</w:t>
      </w:r>
      <w:r w:rsidR="001F0915" w:rsidRPr="002D4D50">
        <w:t>.</w:t>
      </w:r>
      <w:r w:rsidR="00F3690F" w:rsidRPr="002D4D50">
        <w:t xml:space="preserve"> The employment of a series of sophisticated modelling techniques</w:t>
      </w:r>
      <w:r w:rsidR="001F0915" w:rsidRPr="002D4D50">
        <w:t xml:space="preserve"> </w:t>
      </w:r>
      <w:r w:rsidR="00F3690F" w:rsidRPr="002D4D50">
        <w:t>and robustness checks gives us confidence about the strength and validity of our findings.</w:t>
      </w:r>
      <w:r w:rsidR="00F93590" w:rsidRPr="002D4D50">
        <w:rPr>
          <w:bCs/>
        </w:rPr>
        <w:t xml:space="preserve"> </w:t>
      </w:r>
      <w:r w:rsidR="00284237" w:rsidRPr="002D4D50">
        <w:rPr>
          <w:bCs/>
        </w:rPr>
        <w:t>Overall</w:t>
      </w:r>
      <w:r w:rsidR="00D1351B">
        <w:rPr>
          <w:bCs/>
        </w:rPr>
        <w:t>,</w:t>
      </w:r>
      <w:r w:rsidR="00284237" w:rsidRPr="002D4D50">
        <w:rPr>
          <w:bCs/>
        </w:rPr>
        <w:t xml:space="preserve"> the article adds an interesting and highly relevant nuance to the debate around democratic discontent and the vote for far right </w:t>
      </w:r>
      <w:proofErr w:type="gramStart"/>
      <w:r w:rsidR="00284237" w:rsidRPr="002D4D50">
        <w:rPr>
          <w:bCs/>
        </w:rPr>
        <w:lastRenderedPageBreak/>
        <w:t>parties, and</w:t>
      </w:r>
      <w:proofErr w:type="gramEnd"/>
      <w:r w:rsidR="00284237" w:rsidRPr="002D4D50">
        <w:rPr>
          <w:bCs/>
        </w:rPr>
        <w:t xml:space="preserve"> illustrates why scholars should pay more attention to </w:t>
      </w:r>
      <w:r w:rsidR="00EB0B94">
        <w:rPr>
          <w:bCs/>
        </w:rPr>
        <w:t xml:space="preserve">intra-partisan </w:t>
      </w:r>
      <w:r w:rsidR="00284237" w:rsidRPr="002D4D50">
        <w:rPr>
          <w:bCs/>
        </w:rPr>
        <w:t>heterogeneity.</w:t>
      </w:r>
    </w:p>
    <w:p w14:paraId="6DE90DFB" w14:textId="77777777" w:rsidR="00F22CE0" w:rsidRPr="002D4D50" w:rsidRDefault="00F22CE0" w:rsidP="00ED02A7">
      <w:pPr>
        <w:spacing w:line="480" w:lineRule="auto"/>
        <w:jc w:val="both"/>
      </w:pPr>
    </w:p>
    <w:p w14:paraId="40F415F1" w14:textId="5442BED7" w:rsidR="000B4EFB" w:rsidRPr="002D4D50" w:rsidRDefault="00BF4C86" w:rsidP="00ED02A7">
      <w:pPr>
        <w:spacing w:line="480" w:lineRule="auto"/>
        <w:jc w:val="both"/>
        <w:rPr>
          <w:b/>
        </w:rPr>
      </w:pPr>
      <w:r w:rsidRPr="002D4D50">
        <w:rPr>
          <w:b/>
        </w:rPr>
        <w:t xml:space="preserve">Evaluations of the democratic process </w:t>
      </w:r>
      <w:r w:rsidR="00566B8B" w:rsidRPr="002D4D50">
        <w:rPr>
          <w:b/>
        </w:rPr>
        <w:t>and far right voting behaviour</w:t>
      </w:r>
    </w:p>
    <w:p w14:paraId="44C5C1E8" w14:textId="77777777" w:rsidR="00921207" w:rsidRPr="002D4D50" w:rsidRDefault="00921207" w:rsidP="00ED02A7">
      <w:pPr>
        <w:spacing w:line="480" w:lineRule="auto"/>
        <w:jc w:val="both"/>
        <w:rPr>
          <w:bCs/>
        </w:rPr>
      </w:pPr>
    </w:p>
    <w:p w14:paraId="444157B8" w14:textId="5244E092" w:rsidR="0093292D" w:rsidRPr="002D4D50" w:rsidRDefault="00042CE5" w:rsidP="00ED02A7">
      <w:pPr>
        <w:spacing w:line="480" w:lineRule="auto"/>
        <w:jc w:val="both"/>
      </w:pPr>
      <w:r w:rsidRPr="002D4D50">
        <w:t>Citizens</w:t>
      </w:r>
      <w:r w:rsidR="00D3288F" w:rsidRPr="002D4D50">
        <w:t xml:space="preserve"> and </w:t>
      </w:r>
      <w:r w:rsidR="0007056A" w:rsidRPr="002D4D50">
        <w:t>the s</w:t>
      </w:r>
      <w:r w:rsidR="00D3288F" w:rsidRPr="002D4D50">
        <w:t xml:space="preserve">tate are equally bound in a contractual relationship of dual obligation. </w:t>
      </w:r>
      <w:r w:rsidR="00940CAC" w:rsidRPr="002D4D50">
        <w:t xml:space="preserve">The former </w:t>
      </w:r>
      <w:proofErr w:type="gramStart"/>
      <w:r w:rsidR="00D3288F" w:rsidRPr="002D4D50">
        <w:t>agree</w:t>
      </w:r>
      <w:proofErr w:type="gramEnd"/>
      <w:r w:rsidR="00D3288F" w:rsidRPr="002D4D50">
        <w:t xml:space="preserve"> to pool their individual resources, and in return expect </w:t>
      </w:r>
      <w:r w:rsidR="00940CAC" w:rsidRPr="002D4D50">
        <w:t xml:space="preserve">the latter to provide </w:t>
      </w:r>
      <w:r w:rsidR="00D3288F" w:rsidRPr="002D4D50">
        <w:t xml:space="preserve">a framework of social opportunities </w:t>
      </w:r>
      <w:r w:rsidR="00940CAC" w:rsidRPr="002D4D50">
        <w:t xml:space="preserve">and access to </w:t>
      </w:r>
      <w:r w:rsidR="00D3288F" w:rsidRPr="002D4D50">
        <w:t xml:space="preserve">collective goods, including education, </w:t>
      </w:r>
      <w:r w:rsidR="00940CAC" w:rsidRPr="002D4D50">
        <w:t>employment</w:t>
      </w:r>
      <w:r w:rsidR="00FF5311">
        <w:t>,</w:t>
      </w:r>
      <w:r w:rsidR="00D3288F" w:rsidRPr="002D4D50">
        <w:t xml:space="preserve"> welfare, health, and social security. </w:t>
      </w:r>
      <w:r w:rsidR="000738FB" w:rsidRPr="002D4D50">
        <w:t xml:space="preserve">In other words, </w:t>
      </w:r>
      <w:r w:rsidR="00D3288F" w:rsidRPr="002D4D50">
        <w:t xml:space="preserve">organised democratic society </w:t>
      </w:r>
      <w:r w:rsidR="00940CAC" w:rsidRPr="002D4D50">
        <w:t xml:space="preserve">is best understood as </w:t>
      </w:r>
      <w:r w:rsidR="00940CAC" w:rsidRPr="002D4D50">
        <w:rPr>
          <w:lang w:val="en-US"/>
        </w:rPr>
        <w:t>a framework of collective cooperation</w:t>
      </w:r>
      <w:r w:rsidR="00566D4D" w:rsidRPr="002D4D50">
        <w:rPr>
          <w:lang w:val="en-US"/>
        </w:rPr>
        <w:t>,</w:t>
      </w:r>
      <w:r w:rsidR="00940CAC" w:rsidRPr="002D4D50">
        <w:rPr>
          <w:lang w:val="en-US"/>
        </w:rPr>
        <w:t xml:space="preserve"> </w:t>
      </w:r>
      <w:r w:rsidR="00764A4B" w:rsidRPr="002D4D50">
        <w:rPr>
          <w:lang w:val="en-US"/>
        </w:rPr>
        <w:t>which</w:t>
      </w:r>
      <w:r w:rsidR="00940CAC" w:rsidRPr="002D4D50">
        <w:rPr>
          <w:lang w:val="en-US"/>
        </w:rPr>
        <w:t xml:space="preserve"> involves </w:t>
      </w:r>
      <w:r w:rsidR="00D3288F" w:rsidRPr="002D4D50">
        <w:t xml:space="preserve">a trade-off between individual freedoms and collective </w:t>
      </w:r>
      <w:proofErr w:type="gramStart"/>
      <w:r w:rsidR="00D3288F" w:rsidRPr="002D4D50">
        <w:t>pay-offs</w:t>
      </w:r>
      <w:proofErr w:type="gramEnd"/>
      <w:r w:rsidR="00D3288F" w:rsidRPr="002D4D50">
        <w:t xml:space="preserve"> (Slater et al.</w:t>
      </w:r>
      <w:r w:rsidR="00D1351B">
        <w:t>,</w:t>
      </w:r>
      <w:r w:rsidR="00D3288F" w:rsidRPr="002D4D50">
        <w:t xml:space="preserve"> 2014; </w:t>
      </w:r>
      <w:proofErr w:type="spellStart"/>
      <w:r w:rsidR="00D3288F" w:rsidRPr="002D4D50">
        <w:t>Wimmer</w:t>
      </w:r>
      <w:proofErr w:type="spellEnd"/>
      <w:r w:rsidR="00D1351B">
        <w:t>,</w:t>
      </w:r>
      <w:r w:rsidR="00D3288F" w:rsidRPr="002D4D50">
        <w:t xml:space="preserve"> 1997</w:t>
      </w:r>
      <w:r w:rsidR="00940CAC" w:rsidRPr="002D4D50">
        <w:t>).</w:t>
      </w:r>
      <w:r w:rsidR="003D67BD" w:rsidRPr="002D4D50">
        <w:t xml:space="preserve"> </w:t>
      </w:r>
      <w:r w:rsidR="00C6591F" w:rsidRPr="002D4D50">
        <w:rPr>
          <w:bCs/>
        </w:rPr>
        <w:t>Citizens</w:t>
      </w:r>
      <w:r w:rsidR="000738FB" w:rsidRPr="002D4D50">
        <w:rPr>
          <w:bCs/>
        </w:rPr>
        <w:t>, therefore,</w:t>
      </w:r>
      <w:r w:rsidR="00C6591F" w:rsidRPr="002D4D50">
        <w:rPr>
          <w:bCs/>
        </w:rPr>
        <w:t xml:space="preserve"> experience democracy through their</w:t>
      </w:r>
      <w:r w:rsidR="007800B5" w:rsidRPr="002D4D50">
        <w:rPr>
          <w:bCs/>
        </w:rPr>
        <w:t xml:space="preserve"> everyday interactions with institutions</w:t>
      </w:r>
      <w:r w:rsidR="007E34FC" w:rsidRPr="002D4D50">
        <w:rPr>
          <w:bCs/>
        </w:rPr>
        <w:t>: public benefits, the quality of local hospitals and schools, corruption, neighbourhood crime levels o</w:t>
      </w:r>
      <w:r w:rsidR="003D0E9F" w:rsidRPr="002D4D50">
        <w:rPr>
          <w:bCs/>
        </w:rPr>
        <w:t>r the conditions determining employment</w:t>
      </w:r>
      <w:r w:rsidR="007E34FC" w:rsidRPr="002D4D50">
        <w:rPr>
          <w:bCs/>
        </w:rPr>
        <w:t xml:space="preserve"> security. </w:t>
      </w:r>
      <w:r w:rsidR="000D7087" w:rsidRPr="002D4D50">
        <w:t xml:space="preserve">Their </w:t>
      </w:r>
      <w:r w:rsidR="007E34FC" w:rsidRPr="002D4D50">
        <w:t>perceptions of how state resou</w:t>
      </w:r>
      <w:r w:rsidR="007800B5" w:rsidRPr="002D4D50">
        <w:t>rces are extracted and utilised,</w:t>
      </w:r>
      <w:r w:rsidR="007E34FC" w:rsidRPr="002D4D50">
        <w:t xml:space="preserve"> and what makes decisions as per the use of </w:t>
      </w:r>
      <w:r w:rsidR="007800B5" w:rsidRPr="002D4D50">
        <w:t xml:space="preserve">these </w:t>
      </w:r>
      <w:r w:rsidR="007E34FC" w:rsidRPr="002D4D50">
        <w:t xml:space="preserve">resources </w:t>
      </w:r>
      <w:r w:rsidR="007800B5" w:rsidRPr="002D4D50">
        <w:t xml:space="preserve">legitimate, </w:t>
      </w:r>
      <w:r w:rsidR="007E34FC" w:rsidRPr="002D4D50">
        <w:t>are inextricably interwoven with their perceptions of their interactive experiences.</w:t>
      </w:r>
      <w:r w:rsidR="007E34FC" w:rsidRPr="002D4D50">
        <w:rPr>
          <w:bCs/>
        </w:rPr>
        <w:t xml:space="preserve"> Their approval or disapproval of thes</w:t>
      </w:r>
      <w:r w:rsidR="00533DC1" w:rsidRPr="002D4D50">
        <w:rPr>
          <w:bCs/>
        </w:rPr>
        <w:t>e</w:t>
      </w:r>
      <w:r w:rsidR="007E34FC" w:rsidRPr="002D4D50">
        <w:rPr>
          <w:bCs/>
        </w:rPr>
        <w:t xml:space="preserve"> institutions is </w:t>
      </w:r>
      <w:r w:rsidR="00C819E1" w:rsidRPr="002D4D50">
        <w:t>expressed through elections, designed</w:t>
      </w:r>
      <w:r w:rsidR="000738FB" w:rsidRPr="002D4D50">
        <w:t xml:space="preserve"> </w:t>
      </w:r>
      <w:r w:rsidR="00C819E1" w:rsidRPr="002D4D50">
        <w:t>to legitimate</w:t>
      </w:r>
      <w:r w:rsidR="009E4BAA" w:rsidRPr="002D4D50">
        <w:t xml:space="preserve"> the social contract and defin</w:t>
      </w:r>
      <w:r w:rsidR="006E5AD4" w:rsidRPr="002D4D50">
        <w:t>e</w:t>
      </w:r>
      <w:r w:rsidR="009E4BAA" w:rsidRPr="002D4D50">
        <w:t xml:space="preserve"> the type of contract voters want</w:t>
      </w:r>
      <w:r w:rsidR="005353F4" w:rsidRPr="002D4D50">
        <w:t xml:space="preserve"> (</w:t>
      </w:r>
      <w:proofErr w:type="spellStart"/>
      <w:r w:rsidR="00D1351B" w:rsidRPr="002D4D50">
        <w:t>Canache</w:t>
      </w:r>
      <w:proofErr w:type="spellEnd"/>
      <w:r w:rsidR="00D1351B" w:rsidRPr="002D4D50">
        <w:t xml:space="preserve"> et al</w:t>
      </w:r>
      <w:r w:rsidR="00D1351B">
        <w:t>.,</w:t>
      </w:r>
      <w:r w:rsidR="00D1351B" w:rsidRPr="002D4D50">
        <w:t xml:space="preserve"> 2001; Claassen &amp; </w:t>
      </w:r>
      <w:proofErr w:type="spellStart"/>
      <w:r w:rsidR="00D1351B" w:rsidRPr="002D4D50">
        <w:t>Magalhães</w:t>
      </w:r>
      <w:proofErr w:type="spellEnd"/>
      <w:r w:rsidR="00D1351B">
        <w:t>,</w:t>
      </w:r>
      <w:r w:rsidR="00D1351B" w:rsidRPr="002D4D50">
        <w:t xml:space="preserve"> 2022</w:t>
      </w:r>
      <w:r w:rsidR="00D1351B">
        <w:t xml:space="preserve">; </w:t>
      </w:r>
      <w:r w:rsidR="005353F4" w:rsidRPr="002D4D50">
        <w:t>Miller</w:t>
      </w:r>
      <w:r w:rsidR="00D1351B">
        <w:t>,</w:t>
      </w:r>
      <w:r w:rsidR="005353F4" w:rsidRPr="002D4D50">
        <w:t xml:space="preserve"> 1974</w:t>
      </w:r>
      <w:r w:rsidR="008672F5" w:rsidRPr="002D4D50">
        <w:t xml:space="preserve">; </w:t>
      </w:r>
      <w:r w:rsidR="00D64431" w:rsidRPr="002D4D50">
        <w:t>Norris</w:t>
      </w:r>
      <w:r w:rsidR="00D1351B">
        <w:t>,</w:t>
      </w:r>
      <w:r w:rsidR="00D64431" w:rsidRPr="002D4D50">
        <w:t xml:space="preserve"> 2017). </w:t>
      </w:r>
    </w:p>
    <w:p w14:paraId="4B68FEAF" w14:textId="77777777" w:rsidR="00BA1E24" w:rsidRPr="002D4D50" w:rsidRDefault="00BA1E24" w:rsidP="00ED02A7">
      <w:pPr>
        <w:spacing w:line="480" w:lineRule="auto"/>
        <w:jc w:val="both"/>
      </w:pPr>
    </w:p>
    <w:p w14:paraId="23240AE0" w14:textId="02514017" w:rsidR="00C70913" w:rsidRPr="002D4D50" w:rsidRDefault="002927BB" w:rsidP="00C70913">
      <w:pPr>
        <w:spacing w:line="480" w:lineRule="auto"/>
        <w:jc w:val="both"/>
      </w:pPr>
      <w:r w:rsidRPr="002D4D50">
        <w:t xml:space="preserve">The literature theorises the concept of political support as multi-dimensional. </w:t>
      </w:r>
      <w:r w:rsidR="00C70913" w:rsidRPr="002D4D50">
        <w:t xml:space="preserve">Easton </w:t>
      </w:r>
      <w:r w:rsidR="004C0F89" w:rsidRPr="002D4D50">
        <w:t xml:space="preserve">(1965; 1975) </w:t>
      </w:r>
      <w:r w:rsidR="00C70913" w:rsidRPr="002D4D50">
        <w:t xml:space="preserve">distinguishes between </w:t>
      </w:r>
      <w:r w:rsidR="00C70913" w:rsidRPr="002D4D50">
        <w:rPr>
          <w:i/>
          <w:iCs/>
        </w:rPr>
        <w:t>diffuse</w:t>
      </w:r>
      <w:r w:rsidR="00C70913" w:rsidRPr="002D4D50">
        <w:t xml:space="preserve"> and </w:t>
      </w:r>
      <w:r w:rsidR="00C70913" w:rsidRPr="002D4D50">
        <w:rPr>
          <w:i/>
          <w:iCs/>
        </w:rPr>
        <w:t>specific</w:t>
      </w:r>
      <w:r w:rsidR="00C70913" w:rsidRPr="002D4D50">
        <w:t xml:space="preserve">, each referring to different objects of </w:t>
      </w:r>
      <w:r w:rsidR="00C70913" w:rsidRPr="002D4D50">
        <w:lastRenderedPageBreak/>
        <w:t xml:space="preserve">support. </w:t>
      </w:r>
      <w:r w:rsidR="00606032" w:rsidRPr="002D4D50">
        <w:rPr>
          <w:iCs/>
        </w:rPr>
        <w:t>D</w:t>
      </w:r>
      <w:r w:rsidR="00C70913" w:rsidRPr="002D4D50">
        <w:rPr>
          <w:iCs/>
        </w:rPr>
        <w:t xml:space="preserve">iffuse </w:t>
      </w:r>
      <w:r w:rsidR="00C70913" w:rsidRPr="002D4D50">
        <w:t xml:space="preserve">support </w:t>
      </w:r>
      <w:r w:rsidR="00606032" w:rsidRPr="002D4D50">
        <w:t>is directed towards fundamental aspects of the political system; specific support is closely related to performance and outcome (</w:t>
      </w:r>
      <w:proofErr w:type="spellStart"/>
      <w:r w:rsidR="00606032" w:rsidRPr="002D4D50">
        <w:t>Pequito</w:t>
      </w:r>
      <w:proofErr w:type="spellEnd"/>
      <w:r w:rsidR="00606032" w:rsidRPr="002D4D50">
        <w:t xml:space="preserve"> Teixeira et al</w:t>
      </w:r>
      <w:r w:rsidR="00681D4C">
        <w:t>.,</w:t>
      </w:r>
      <w:r w:rsidR="00606032" w:rsidRPr="002D4D50">
        <w:t xml:space="preserve"> 2014). </w:t>
      </w:r>
      <w:r w:rsidRPr="002D4D50">
        <w:t>T</w:t>
      </w:r>
      <w:r w:rsidR="00606032" w:rsidRPr="002D4D50">
        <w:t xml:space="preserve">here is </w:t>
      </w:r>
      <w:r w:rsidRPr="002D4D50">
        <w:t xml:space="preserve">much </w:t>
      </w:r>
      <w:r w:rsidR="00606032" w:rsidRPr="002D4D50">
        <w:t>debate</w:t>
      </w:r>
      <w:r w:rsidRPr="002D4D50">
        <w:t>, however, on the meaning and interpretation of th</w:t>
      </w:r>
      <w:r w:rsidR="00531944" w:rsidRPr="002D4D50">
        <w:t>ese</w:t>
      </w:r>
      <w:r w:rsidRPr="002D4D50">
        <w:t xml:space="preserve"> concept</w:t>
      </w:r>
      <w:r w:rsidR="00531944" w:rsidRPr="002D4D50">
        <w:t>s</w:t>
      </w:r>
      <w:r w:rsidRPr="002D4D50">
        <w:t xml:space="preserve"> (</w:t>
      </w:r>
      <w:r w:rsidR="00E94A73" w:rsidRPr="002D4D50">
        <w:t>e.g.</w:t>
      </w:r>
      <w:r w:rsidR="00681D4C">
        <w:t>,</w:t>
      </w:r>
      <w:r w:rsidR="00E94A73" w:rsidRPr="002D4D50">
        <w:t xml:space="preserve"> </w:t>
      </w:r>
      <w:proofErr w:type="spellStart"/>
      <w:r w:rsidRPr="002D4D50">
        <w:t>Canache</w:t>
      </w:r>
      <w:proofErr w:type="spellEnd"/>
      <w:r w:rsidRPr="002D4D50">
        <w:t xml:space="preserve"> et al</w:t>
      </w:r>
      <w:r w:rsidR="00681D4C">
        <w:t>.,</w:t>
      </w:r>
      <w:r w:rsidRPr="002D4D50">
        <w:t xml:space="preserve"> 2001; </w:t>
      </w:r>
      <w:r w:rsidR="00681D4C" w:rsidRPr="002D4D50">
        <w:t xml:space="preserve">Claassen &amp; </w:t>
      </w:r>
      <w:proofErr w:type="spellStart"/>
      <w:r w:rsidR="00681D4C" w:rsidRPr="002D4D50">
        <w:t>Magalhães</w:t>
      </w:r>
      <w:proofErr w:type="spellEnd"/>
      <w:r w:rsidR="00681D4C">
        <w:t>,</w:t>
      </w:r>
      <w:r w:rsidR="00681D4C" w:rsidRPr="002D4D50">
        <w:t xml:space="preserve"> 2022</w:t>
      </w:r>
      <w:r w:rsidR="00681D4C">
        <w:t xml:space="preserve">; </w:t>
      </w:r>
      <w:r w:rsidR="00681D4C" w:rsidRPr="002D4D50">
        <w:t>Easton</w:t>
      </w:r>
      <w:r w:rsidR="00681D4C">
        <w:t>,</w:t>
      </w:r>
      <w:r w:rsidR="00681D4C" w:rsidRPr="002D4D50">
        <w:t xml:space="preserve"> 1975;</w:t>
      </w:r>
      <w:r w:rsidR="00681D4C">
        <w:t xml:space="preserve"> </w:t>
      </w:r>
      <w:r w:rsidRPr="002D4D50">
        <w:t>Norris</w:t>
      </w:r>
      <w:r w:rsidR="00681D4C">
        <w:t>,</w:t>
      </w:r>
      <w:r w:rsidRPr="002D4D50">
        <w:t xml:space="preserve"> 2017). </w:t>
      </w:r>
      <w:r w:rsidR="00531944" w:rsidRPr="002D4D50">
        <w:t xml:space="preserve">Part of this debate relates to the concrete operationalisation and measurement of each component. </w:t>
      </w:r>
      <w:r w:rsidR="007D4437" w:rsidRPr="002D4D50">
        <w:t>For example</w:t>
      </w:r>
      <w:r w:rsidR="00AE59DC" w:rsidRPr="002D4D50">
        <w:t>, on the one hand,</w:t>
      </w:r>
      <w:r w:rsidR="007D4437" w:rsidRPr="002D4D50">
        <w:t xml:space="preserve"> diffuse support can be operationalised as support for </w:t>
      </w:r>
      <w:r w:rsidR="00AE59DC" w:rsidRPr="002D4D50">
        <w:t xml:space="preserve">the </w:t>
      </w:r>
      <w:r w:rsidR="007D4437" w:rsidRPr="002D4D50">
        <w:t>political system in the abstract (</w:t>
      </w:r>
      <w:proofErr w:type="spellStart"/>
      <w:r w:rsidR="007D4437" w:rsidRPr="002D4D50">
        <w:t>Pequito</w:t>
      </w:r>
      <w:proofErr w:type="spellEnd"/>
      <w:r w:rsidR="007D4437" w:rsidRPr="002D4D50">
        <w:t xml:space="preserve"> Teixeira et al</w:t>
      </w:r>
      <w:r w:rsidR="00DA5A5E">
        <w:t>.,</w:t>
      </w:r>
      <w:r w:rsidR="007D4437" w:rsidRPr="002D4D50">
        <w:t xml:space="preserve"> 2014)</w:t>
      </w:r>
      <w:r w:rsidR="004C0F89" w:rsidRPr="002D4D50">
        <w:t>,</w:t>
      </w:r>
      <w:r w:rsidR="007D4437" w:rsidRPr="002D4D50">
        <w:t xml:space="preserve"> but is also often measured in terms of institutional trust (De Vries</w:t>
      </w:r>
      <w:r w:rsidR="00DA5A5E">
        <w:t>,</w:t>
      </w:r>
      <w:r w:rsidR="007D4437" w:rsidRPr="002D4D50">
        <w:t xml:space="preserve"> 2018</w:t>
      </w:r>
      <w:r w:rsidR="00DA5A5E">
        <w:t xml:space="preserve">; </w:t>
      </w:r>
      <w:r w:rsidR="00DA5A5E" w:rsidRPr="002D4D50">
        <w:t>Easton 1965; 1975</w:t>
      </w:r>
      <w:r w:rsidR="00AE59DC" w:rsidRPr="002D4D50">
        <w:t>).</w:t>
      </w:r>
      <w:r w:rsidR="004C0F89" w:rsidRPr="002D4D50">
        <w:t xml:space="preserve"> </w:t>
      </w:r>
      <w:r w:rsidR="00C70913" w:rsidRPr="002D4D50">
        <w:rPr>
          <w:lang w:val="en-US"/>
        </w:rPr>
        <w:t xml:space="preserve">Citizens should be able to trust democratic </w:t>
      </w:r>
      <w:r w:rsidR="004773FE" w:rsidRPr="002D4D50">
        <w:rPr>
          <w:lang w:val="en-US"/>
        </w:rPr>
        <w:t>institutions</w:t>
      </w:r>
      <w:r w:rsidR="00C70913" w:rsidRPr="002D4D50">
        <w:rPr>
          <w:lang w:val="en-US"/>
        </w:rPr>
        <w:t xml:space="preserve"> as part of a transparent and accountable process, regardless of whether they agree with the outcome.</w:t>
      </w:r>
      <w:r w:rsidR="00C70913" w:rsidRPr="002D4D50">
        <w:t xml:space="preserve"> </w:t>
      </w:r>
      <w:r w:rsidR="00AE59DC" w:rsidRPr="002D4D50">
        <w:t xml:space="preserve">On the other hand, specific support </w:t>
      </w:r>
      <w:r w:rsidR="004773FE" w:rsidRPr="002D4D50">
        <w:t>tends to be operationalised in terms of citizens</w:t>
      </w:r>
      <w:r w:rsidR="004C0F89" w:rsidRPr="002D4D50">
        <w:t>’</w:t>
      </w:r>
      <w:r w:rsidR="004773FE" w:rsidRPr="002D4D50">
        <w:t xml:space="preserve"> evaluations of </w:t>
      </w:r>
      <w:r w:rsidR="00E92AD2">
        <w:t xml:space="preserve">system </w:t>
      </w:r>
      <w:r w:rsidR="004773FE" w:rsidRPr="002D4D50">
        <w:t>performance and policy outputs (</w:t>
      </w:r>
      <w:proofErr w:type="spellStart"/>
      <w:r w:rsidR="004773FE" w:rsidRPr="002D4D50">
        <w:t>Pequito</w:t>
      </w:r>
      <w:proofErr w:type="spellEnd"/>
      <w:r w:rsidR="004773FE" w:rsidRPr="002D4D50">
        <w:t xml:space="preserve"> Teixeira et al</w:t>
      </w:r>
      <w:r w:rsidR="00DA5A5E">
        <w:t>.,</w:t>
      </w:r>
      <w:r w:rsidR="004773FE" w:rsidRPr="002D4D50">
        <w:t xml:space="preserve"> 2014). The literature is divided about whether ‘satisfaction with democracy’ is an indicator of diffuse or specific support, but there is </w:t>
      </w:r>
      <w:r w:rsidR="00AB6B81" w:rsidRPr="002D4D50">
        <w:t xml:space="preserve">an </w:t>
      </w:r>
      <w:r w:rsidR="004773FE" w:rsidRPr="002D4D50">
        <w:rPr>
          <w:color w:val="000000" w:themeColor="text1"/>
        </w:rPr>
        <w:t xml:space="preserve">increasing </w:t>
      </w:r>
      <w:r w:rsidR="00AB6B81" w:rsidRPr="002D4D50">
        <w:rPr>
          <w:color w:val="000000" w:themeColor="text1"/>
        </w:rPr>
        <w:t xml:space="preserve">tendency </w:t>
      </w:r>
      <w:r w:rsidR="004773FE" w:rsidRPr="002D4D50">
        <w:t xml:space="preserve">‘to treat democratic satisfaction as capturing an instrumental or performance-based appraisal of the regime’ (Claassen &amp; </w:t>
      </w:r>
      <w:proofErr w:type="spellStart"/>
      <w:r w:rsidR="004773FE" w:rsidRPr="002D4D50">
        <w:t>Magalhães</w:t>
      </w:r>
      <w:proofErr w:type="spellEnd"/>
      <w:r w:rsidR="00DA5A5E">
        <w:t>,</w:t>
      </w:r>
      <w:r w:rsidR="004773FE" w:rsidRPr="002D4D50">
        <w:t xml:space="preserve"> 2022: 872; see als</w:t>
      </w:r>
      <w:r w:rsidR="00DA5A5E">
        <w:t>o</w:t>
      </w:r>
      <w:r w:rsidR="004773FE" w:rsidRPr="002D4D50">
        <w:t xml:space="preserve"> </w:t>
      </w:r>
      <w:proofErr w:type="spellStart"/>
      <w:r w:rsidR="004773FE" w:rsidRPr="002D4D50">
        <w:t>Canache</w:t>
      </w:r>
      <w:proofErr w:type="spellEnd"/>
      <w:r w:rsidR="004773FE" w:rsidRPr="002D4D50">
        <w:t xml:space="preserve"> et al</w:t>
      </w:r>
      <w:r w:rsidR="00DA5A5E">
        <w:t xml:space="preserve">., </w:t>
      </w:r>
      <w:r w:rsidR="004773FE" w:rsidRPr="002D4D50">
        <w:t>2001</w:t>
      </w:r>
      <w:r w:rsidR="00DA5A5E">
        <w:t xml:space="preserve">; </w:t>
      </w:r>
      <w:r w:rsidR="00DA5A5E" w:rsidRPr="002D4D50">
        <w:t>Linde and Ekman</w:t>
      </w:r>
      <w:r w:rsidR="00DA5A5E">
        <w:t>,</w:t>
      </w:r>
      <w:r w:rsidR="00DA5A5E" w:rsidRPr="002D4D50">
        <w:t xml:space="preserve"> 2003</w:t>
      </w:r>
      <w:r w:rsidR="00DA5A5E">
        <w:t>)</w:t>
      </w:r>
      <w:r w:rsidR="004773FE" w:rsidRPr="002D4D50">
        <w:t xml:space="preserve">. </w:t>
      </w:r>
      <w:r w:rsidR="00C70913" w:rsidRPr="002D4D50">
        <w:rPr>
          <w:rFonts w:eastAsia="Batang"/>
        </w:rPr>
        <w:t xml:space="preserve">Citizens evaluate the way democracy </w:t>
      </w:r>
      <w:r w:rsidR="00C70913" w:rsidRPr="002D4D50">
        <w:rPr>
          <w:rFonts w:eastAsia="Batang"/>
          <w:i/>
        </w:rPr>
        <w:t>works</w:t>
      </w:r>
      <w:r w:rsidR="00C70913" w:rsidRPr="002D4D50">
        <w:rPr>
          <w:rFonts w:eastAsia="Batang"/>
        </w:rPr>
        <w:t xml:space="preserve"> </w:t>
      </w:r>
      <w:r w:rsidR="00C70913" w:rsidRPr="002D4D50">
        <w:rPr>
          <w:rFonts w:eastAsia="Batang"/>
          <w:color w:val="000000" w:themeColor="text1"/>
        </w:rPr>
        <w:t>(</w:t>
      </w:r>
      <w:proofErr w:type="spellStart"/>
      <w:r w:rsidR="00C70913" w:rsidRPr="002D4D50">
        <w:rPr>
          <w:rFonts w:eastAsia="Batang"/>
          <w:color w:val="000000" w:themeColor="text1"/>
        </w:rPr>
        <w:t>Akkerman</w:t>
      </w:r>
      <w:proofErr w:type="spellEnd"/>
      <w:r w:rsidR="00C70913" w:rsidRPr="002D4D50">
        <w:rPr>
          <w:rFonts w:eastAsia="Batang"/>
          <w:color w:val="000000" w:themeColor="text1"/>
        </w:rPr>
        <w:t xml:space="preserve"> et al.</w:t>
      </w:r>
      <w:r w:rsidR="00DA5A5E">
        <w:rPr>
          <w:rFonts w:eastAsia="Batang"/>
          <w:color w:val="000000" w:themeColor="text1"/>
        </w:rPr>
        <w:t>,</w:t>
      </w:r>
      <w:r w:rsidR="00C70913" w:rsidRPr="002D4D50">
        <w:rPr>
          <w:rFonts w:eastAsia="Batang"/>
          <w:color w:val="000000" w:themeColor="text1"/>
        </w:rPr>
        <w:t xml:space="preserve"> 2017; Norris</w:t>
      </w:r>
      <w:r w:rsidR="00DA5A5E">
        <w:rPr>
          <w:rFonts w:eastAsia="Batang"/>
          <w:color w:val="000000" w:themeColor="text1"/>
        </w:rPr>
        <w:t>,</w:t>
      </w:r>
      <w:r w:rsidR="00C70913" w:rsidRPr="002D4D50">
        <w:rPr>
          <w:rFonts w:eastAsia="Batang"/>
          <w:color w:val="000000" w:themeColor="text1"/>
        </w:rPr>
        <w:t xml:space="preserve"> 2005), </w:t>
      </w:r>
      <w:r w:rsidR="00C70913" w:rsidRPr="002D4D50">
        <w:rPr>
          <w:rFonts w:eastAsia="Batang"/>
        </w:rPr>
        <w:t xml:space="preserve">and assess </w:t>
      </w:r>
      <w:r w:rsidR="00C70913" w:rsidRPr="002D4D50">
        <w:t>policy formulation, implementation</w:t>
      </w:r>
      <w:r w:rsidR="00FF5311">
        <w:t>,</w:t>
      </w:r>
      <w:r w:rsidR="00C70913" w:rsidRPr="002D4D50">
        <w:t xml:space="preserve"> and outcome in areas such as the economy, health</w:t>
      </w:r>
      <w:r w:rsidR="00FF5311">
        <w:t>,</w:t>
      </w:r>
      <w:r w:rsidR="00C70913" w:rsidRPr="002D4D50">
        <w:t xml:space="preserve"> and education (</w:t>
      </w:r>
      <w:proofErr w:type="spellStart"/>
      <w:r w:rsidR="00C70913" w:rsidRPr="002D4D50">
        <w:t>Agerberg</w:t>
      </w:r>
      <w:proofErr w:type="spellEnd"/>
      <w:r w:rsidR="00DA5A5E">
        <w:t>,</w:t>
      </w:r>
      <w:r w:rsidR="00C70913" w:rsidRPr="002D4D50">
        <w:t xml:space="preserve"> 2017; Norris</w:t>
      </w:r>
      <w:r w:rsidR="00DA5A5E">
        <w:t>,</w:t>
      </w:r>
      <w:r w:rsidR="00C70913" w:rsidRPr="002D4D50">
        <w:t xml:space="preserve"> 2005; van </w:t>
      </w:r>
      <w:proofErr w:type="spellStart"/>
      <w:r w:rsidR="00C70913" w:rsidRPr="002D4D50">
        <w:t>Hauwaert</w:t>
      </w:r>
      <w:proofErr w:type="spellEnd"/>
      <w:r w:rsidR="00C70913" w:rsidRPr="002D4D50">
        <w:t xml:space="preserve"> and van Kessel</w:t>
      </w:r>
      <w:r w:rsidR="00DA5A5E">
        <w:t>,</w:t>
      </w:r>
      <w:r w:rsidR="00C70913" w:rsidRPr="002D4D50">
        <w:t xml:space="preserve"> 2018). </w:t>
      </w:r>
    </w:p>
    <w:p w14:paraId="2EEFBDB3" w14:textId="77777777" w:rsidR="00542490" w:rsidRPr="002D4D50" w:rsidRDefault="00542490" w:rsidP="00C70913">
      <w:pPr>
        <w:spacing w:line="480" w:lineRule="auto"/>
        <w:jc w:val="both"/>
      </w:pPr>
    </w:p>
    <w:p w14:paraId="76ECD3E2" w14:textId="311332F8" w:rsidR="00564CEF" w:rsidRPr="002D4D50" w:rsidRDefault="00776B57" w:rsidP="00ED02A7">
      <w:pPr>
        <w:spacing w:line="480" w:lineRule="auto"/>
        <w:jc w:val="both"/>
      </w:pPr>
      <w:r w:rsidRPr="002D4D50">
        <w:t>The extent to which citizens trust instituti</w:t>
      </w:r>
      <w:r w:rsidR="00C2100C" w:rsidRPr="002D4D50">
        <w:t xml:space="preserve">ons and expect effective policies </w:t>
      </w:r>
      <w:r w:rsidRPr="002D4D50">
        <w:t>is likely to shape their voting preferences.</w:t>
      </w:r>
      <w:r w:rsidR="001A4D70" w:rsidRPr="002D4D50">
        <w:t xml:space="preserve"> </w:t>
      </w:r>
      <w:r w:rsidR="00000FE1" w:rsidRPr="002D4D50">
        <w:t>D</w:t>
      </w:r>
      <w:r w:rsidR="00C65B41" w:rsidRPr="002D4D50">
        <w:t>eclining</w:t>
      </w:r>
      <w:r w:rsidR="00000FE1" w:rsidRPr="002D4D50">
        <w:t xml:space="preserve"> institutional</w:t>
      </w:r>
      <w:r w:rsidR="00C65B41" w:rsidRPr="002D4D50">
        <w:t xml:space="preserve"> trust</w:t>
      </w:r>
      <w:r w:rsidR="00000FE1" w:rsidRPr="002D4D50">
        <w:t xml:space="preserve"> and negative evaluations of</w:t>
      </w:r>
      <w:r w:rsidR="001652C8" w:rsidRPr="002D4D50">
        <w:t xml:space="preserve"> system performance </w:t>
      </w:r>
      <w:r w:rsidR="00000FE1" w:rsidRPr="002D4D50">
        <w:t>are</w:t>
      </w:r>
      <w:r w:rsidR="00C65B41" w:rsidRPr="002D4D50">
        <w:t xml:space="preserve"> likely to damage mainstream parties, which become associated with the </w:t>
      </w:r>
      <w:r w:rsidR="00C65B41" w:rsidRPr="002D4D50">
        <w:lastRenderedPageBreak/>
        <w:t xml:space="preserve">poor </w:t>
      </w:r>
      <w:r w:rsidR="00000FE1" w:rsidRPr="002D4D50">
        <w:t>policy choices</w:t>
      </w:r>
      <w:r w:rsidR="00A75B1D">
        <w:t xml:space="preserve"> that</w:t>
      </w:r>
      <w:r w:rsidR="00000FE1" w:rsidRPr="002D4D50">
        <w:t xml:space="preserve"> negatively impact</w:t>
      </w:r>
      <w:r w:rsidR="00C65B41" w:rsidRPr="002D4D50">
        <w:t xml:space="preserve"> on citizens’ personal </w:t>
      </w:r>
      <w:r w:rsidR="00FF5311" w:rsidRPr="002D4D50">
        <w:t>everyday</w:t>
      </w:r>
      <w:r w:rsidR="00C65B41" w:rsidRPr="002D4D50">
        <w:t xml:space="preserve"> experiences. </w:t>
      </w:r>
      <w:r w:rsidR="00264110" w:rsidRPr="002D4D50">
        <w:t>Voters with low or declining levels of trust</w:t>
      </w:r>
      <w:r w:rsidR="00564CEF" w:rsidRPr="002D4D50">
        <w:t xml:space="preserve">, as well as those voters </w:t>
      </w:r>
      <w:r w:rsidR="001A6D51" w:rsidRPr="002D4D50">
        <w:t xml:space="preserve">who negatively evaluate </w:t>
      </w:r>
      <w:r w:rsidR="00765E6A" w:rsidRPr="002D4D50">
        <w:t xml:space="preserve">system performance </w:t>
      </w:r>
      <w:r w:rsidR="00FF5311">
        <w:t xml:space="preserve">and </w:t>
      </w:r>
      <w:r w:rsidR="00C2100C" w:rsidRPr="002D4D50">
        <w:t>polic</w:t>
      </w:r>
      <w:r w:rsidR="001652C8" w:rsidRPr="002D4D50">
        <w:t>y outputs</w:t>
      </w:r>
      <w:r w:rsidR="00001E5B" w:rsidRPr="002D4D50">
        <w:t>,</w:t>
      </w:r>
      <w:r w:rsidR="00564CEF" w:rsidRPr="002D4D50">
        <w:t xml:space="preserve"> </w:t>
      </w:r>
      <w:r w:rsidR="00264110" w:rsidRPr="002D4D50">
        <w:t>are likely to</w:t>
      </w:r>
      <w:r w:rsidR="002D35A9" w:rsidRPr="002D4D50">
        <w:t xml:space="preserve"> reward</w:t>
      </w:r>
      <w:r w:rsidR="00264110" w:rsidRPr="002D4D50">
        <w:t xml:space="preserve"> political parties that challenge the establishment and existing political norms</w:t>
      </w:r>
      <w:r w:rsidR="001A4D70" w:rsidRPr="002D4D50">
        <w:t xml:space="preserve"> (</w:t>
      </w:r>
      <w:proofErr w:type="spellStart"/>
      <w:r w:rsidR="001A4D70" w:rsidRPr="002D4D50">
        <w:t>Voogd</w:t>
      </w:r>
      <w:proofErr w:type="spellEnd"/>
      <w:r w:rsidR="001A4D70" w:rsidRPr="002D4D50">
        <w:t xml:space="preserve"> et al.</w:t>
      </w:r>
      <w:r w:rsidR="00B031C9">
        <w:t>,</w:t>
      </w:r>
      <w:r w:rsidR="001A4D70" w:rsidRPr="002D4D50">
        <w:t xml:space="preserve"> 2019).</w:t>
      </w:r>
    </w:p>
    <w:p w14:paraId="7B4F7683" w14:textId="77777777" w:rsidR="00AA22C5" w:rsidRPr="002D4D50" w:rsidRDefault="00AA22C5" w:rsidP="00ED02A7">
      <w:pPr>
        <w:spacing w:line="480" w:lineRule="auto"/>
        <w:jc w:val="both"/>
      </w:pPr>
    </w:p>
    <w:p w14:paraId="54E2FE78" w14:textId="4871659A" w:rsidR="00AA158B" w:rsidRPr="002D4D50" w:rsidRDefault="00001E5B" w:rsidP="00ED02A7">
      <w:pPr>
        <w:spacing w:line="480" w:lineRule="auto"/>
        <w:jc w:val="both"/>
        <w:rPr>
          <w:color w:val="000000" w:themeColor="text1"/>
        </w:rPr>
      </w:pPr>
      <w:r w:rsidRPr="002D4D50">
        <w:t xml:space="preserve">Far right parties </w:t>
      </w:r>
      <w:r w:rsidR="00F5662E" w:rsidRPr="002D4D50">
        <w:t xml:space="preserve">could be considered among the prime </w:t>
      </w:r>
      <w:r w:rsidRPr="002D4D50">
        <w:t>beneficiaries of th</w:t>
      </w:r>
      <w:r w:rsidR="009A63F8" w:rsidRPr="002D4D50">
        <w:t>ese</w:t>
      </w:r>
      <w:r w:rsidRPr="002D4D50">
        <w:t xml:space="preserve"> process</w:t>
      </w:r>
      <w:r w:rsidR="009A63F8" w:rsidRPr="002D4D50">
        <w:t>es</w:t>
      </w:r>
      <w:r w:rsidR="00084A01" w:rsidRPr="002D4D50">
        <w:rPr>
          <w:rStyle w:val="FootnoteReference"/>
        </w:rPr>
        <w:footnoteReference w:id="2"/>
      </w:r>
      <w:r w:rsidRPr="002D4D50">
        <w:t xml:space="preserve">. </w:t>
      </w:r>
      <w:r w:rsidR="007612E8" w:rsidRPr="002D4D50">
        <w:rPr>
          <w:color w:val="000000" w:themeColor="text1"/>
        </w:rPr>
        <w:t xml:space="preserve">These parties </w:t>
      </w:r>
      <w:r w:rsidR="000A5F48" w:rsidRPr="002D4D50">
        <w:rPr>
          <w:color w:val="000000" w:themeColor="text1"/>
        </w:rPr>
        <w:t xml:space="preserve">offer nationalist solutions to </w:t>
      </w:r>
      <w:r w:rsidR="000A5F48" w:rsidRPr="002D4D50">
        <w:rPr>
          <w:i/>
          <w:iCs/>
          <w:color w:val="000000" w:themeColor="text1"/>
        </w:rPr>
        <w:t>all</w:t>
      </w:r>
      <w:r w:rsidR="000A5F48" w:rsidRPr="002D4D50">
        <w:rPr>
          <w:color w:val="000000" w:themeColor="text1"/>
        </w:rPr>
        <w:t xml:space="preserve"> socio-economic problems (</w:t>
      </w:r>
      <w:proofErr w:type="spellStart"/>
      <w:r w:rsidR="000A5F48" w:rsidRPr="002D4D50">
        <w:rPr>
          <w:color w:val="000000" w:themeColor="text1"/>
        </w:rPr>
        <w:t>Vasilopoulou</w:t>
      </w:r>
      <w:proofErr w:type="spellEnd"/>
      <w:r w:rsidR="000A5F48" w:rsidRPr="002D4D50">
        <w:rPr>
          <w:color w:val="000000" w:themeColor="text1"/>
        </w:rPr>
        <w:t xml:space="preserve"> and </w:t>
      </w:r>
      <w:proofErr w:type="spellStart"/>
      <w:r w:rsidR="000A5F48" w:rsidRPr="002D4D50">
        <w:rPr>
          <w:color w:val="000000" w:themeColor="text1"/>
        </w:rPr>
        <w:t>Halikiopoulou</w:t>
      </w:r>
      <w:proofErr w:type="spellEnd"/>
      <w:r w:rsidR="00B031C9">
        <w:rPr>
          <w:color w:val="000000" w:themeColor="text1"/>
        </w:rPr>
        <w:t>,</w:t>
      </w:r>
      <w:r w:rsidR="000A5F48" w:rsidRPr="002D4D50">
        <w:rPr>
          <w:color w:val="000000" w:themeColor="text1"/>
        </w:rPr>
        <w:t xml:space="preserve"> 201</w:t>
      </w:r>
      <w:r w:rsidR="00B94AF3" w:rsidRPr="002D4D50">
        <w:rPr>
          <w:color w:val="000000" w:themeColor="text1"/>
        </w:rPr>
        <w:t>5</w:t>
      </w:r>
      <w:r w:rsidR="000A5F48" w:rsidRPr="002D4D50">
        <w:rPr>
          <w:color w:val="000000" w:themeColor="text1"/>
        </w:rPr>
        <w:t>)</w:t>
      </w:r>
      <w:r w:rsidR="00304B43" w:rsidRPr="002D4D50">
        <w:rPr>
          <w:color w:val="000000" w:themeColor="text1"/>
        </w:rPr>
        <w:t>. They</w:t>
      </w:r>
      <w:r w:rsidR="000A5F48" w:rsidRPr="002D4D50">
        <w:rPr>
          <w:color w:val="000000" w:themeColor="text1"/>
        </w:rPr>
        <w:t xml:space="preserve"> centr</w:t>
      </w:r>
      <w:r w:rsidR="00304B43" w:rsidRPr="002D4D50">
        <w:rPr>
          <w:color w:val="000000" w:themeColor="text1"/>
        </w:rPr>
        <w:t>e</w:t>
      </w:r>
      <w:r w:rsidR="000A5F48" w:rsidRPr="002D4D50">
        <w:rPr>
          <w:color w:val="000000" w:themeColor="text1"/>
        </w:rPr>
        <w:t xml:space="preserve"> on a purported conflict between in-groups and out-groups</w:t>
      </w:r>
      <w:r w:rsidR="007612E8" w:rsidRPr="002D4D50">
        <w:rPr>
          <w:color w:val="000000" w:themeColor="text1"/>
        </w:rPr>
        <w:t xml:space="preserve"> and</w:t>
      </w:r>
      <w:r w:rsidR="000A5F48" w:rsidRPr="002D4D50">
        <w:rPr>
          <w:color w:val="000000" w:themeColor="text1"/>
        </w:rPr>
        <w:t xml:space="preserve"> put forward policies that always prioritise the in-group over the out-group in a quest to forge and maintain </w:t>
      </w:r>
      <w:r w:rsidR="00573294" w:rsidRPr="002D4D50">
        <w:rPr>
          <w:color w:val="000000" w:themeColor="text1"/>
        </w:rPr>
        <w:t xml:space="preserve">the homogeneity of the nation. </w:t>
      </w:r>
      <w:r w:rsidR="00304B43" w:rsidRPr="002D4D50">
        <w:rPr>
          <w:color w:val="000000" w:themeColor="text1"/>
        </w:rPr>
        <w:t xml:space="preserve">The </w:t>
      </w:r>
      <w:proofErr w:type="gramStart"/>
      <w:r w:rsidR="00304B43" w:rsidRPr="002D4D50">
        <w:rPr>
          <w:color w:val="000000" w:themeColor="text1"/>
        </w:rPr>
        <w:t>far right</w:t>
      </w:r>
      <w:proofErr w:type="gramEnd"/>
      <w:r w:rsidR="00304B43" w:rsidRPr="002D4D50">
        <w:rPr>
          <w:color w:val="000000" w:themeColor="text1"/>
        </w:rPr>
        <w:t xml:space="preserve"> umbrella term covers parties that belong to both the ‘extreme’ and ‘radical’ right categories</w:t>
      </w:r>
      <w:r w:rsidR="00765E6A" w:rsidRPr="002D4D50">
        <w:rPr>
          <w:color w:val="000000" w:themeColor="text1"/>
        </w:rPr>
        <w:t xml:space="preserve"> (</w:t>
      </w:r>
      <w:proofErr w:type="spellStart"/>
      <w:r w:rsidR="00765E6A" w:rsidRPr="002D4D50">
        <w:rPr>
          <w:color w:val="000000" w:themeColor="text1"/>
        </w:rPr>
        <w:t>Mudde</w:t>
      </w:r>
      <w:proofErr w:type="spellEnd"/>
      <w:r w:rsidR="00B031C9">
        <w:rPr>
          <w:color w:val="000000" w:themeColor="text1"/>
        </w:rPr>
        <w:t>,</w:t>
      </w:r>
      <w:r w:rsidR="00765E6A" w:rsidRPr="002D4D50">
        <w:rPr>
          <w:color w:val="000000" w:themeColor="text1"/>
        </w:rPr>
        <w:t xml:space="preserve"> 2010; </w:t>
      </w:r>
      <w:proofErr w:type="spellStart"/>
      <w:r w:rsidR="00765E6A" w:rsidRPr="002D4D50">
        <w:rPr>
          <w:color w:val="000000" w:themeColor="text1"/>
        </w:rPr>
        <w:t>Vasilopoulou</w:t>
      </w:r>
      <w:proofErr w:type="spellEnd"/>
      <w:r w:rsidR="00765E6A" w:rsidRPr="002D4D50">
        <w:rPr>
          <w:color w:val="000000" w:themeColor="text1"/>
        </w:rPr>
        <w:t xml:space="preserve"> and </w:t>
      </w:r>
      <w:proofErr w:type="spellStart"/>
      <w:r w:rsidR="00765E6A" w:rsidRPr="002D4D50">
        <w:rPr>
          <w:color w:val="000000" w:themeColor="text1"/>
        </w:rPr>
        <w:t>Halikiopoulou</w:t>
      </w:r>
      <w:proofErr w:type="spellEnd"/>
      <w:r w:rsidR="00B031C9">
        <w:rPr>
          <w:color w:val="000000" w:themeColor="text1"/>
        </w:rPr>
        <w:t>,</w:t>
      </w:r>
      <w:r w:rsidR="00765E6A" w:rsidRPr="002D4D50">
        <w:rPr>
          <w:color w:val="000000" w:themeColor="text1"/>
        </w:rPr>
        <w:t xml:space="preserve"> 2015; </w:t>
      </w:r>
      <w:proofErr w:type="spellStart"/>
      <w:r w:rsidR="00765E6A" w:rsidRPr="002D4D50">
        <w:rPr>
          <w:color w:val="000000" w:themeColor="text1"/>
        </w:rPr>
        <w:t>Vrakopoulos</w:t>
      </w:r>
      <w:proofErr w:type="spellEnd"/>
      <w:r w:rsidR="00B031C9">
        <w:rPr>
          <w:color w:val="000000" w:themeColor="text1"/>
        </w:rPr>
        <w:t>,</w:t>
      </w:r>
      <w:r w:rsidR="00765E6A" w:rsidRPr="002D4D50">
        <w:rPr>
          <w:color w:val="000000" w:themeColor="text1"/>
        </w:rPr>
        <w:t xml:space="preserve"> 2022)</w:t>
      </w:r>
      <w:r w:rsidR="00304B43" w:rsidRPr="002D4D50">
        <w:rPr>
          <w:color w:val="000000" w:themeColor="text1"/>
        </w:rPr>
        <w:t xml:space="preserve">. </w:t>
      </w:r>
      <w:r w:rsidR="00AD72F6" w:rsidRPr="002D4D50">
        <w:rPr>
          <w:color w:val="000000" w:themeColor="text1"/>
        </w:rPr>
        <w:t>Traditional scholarship suggests that a</w:t>
      </w:r>
      <w:r w:rsidR="00304B43" w:rsidRPr="002D4D50">
        <w:rPr>
          <w:color w:val="000000" w:themeColor="text1"/>
        </w:rPr>
        <w:t>ll f</w:t>
      </w:r>
      <w:r w:rsidR="002A5550" w:rsidRPr="002D4D50">
        <w:rPr>
          <w:color w:val="000000" w:themeColor="text1"/>
        </w:rPr>
        <w:t xml:space="preserve">ar right parties are </w:t>
      </w:r>
      <w:r w:rsidR="00765E6A" w:rsidRPr="002D4D50">
        <w:rPr>
          <w:color w:val="000000" w:themeColor="text1"/>
        </w:rPr>
        <w:t>‘</w:t>
      </w:r>
      <w:r w:rsidR="002A5550" w:rsidRPr="002D4D50">
        <w:rPr>
          <w:color w:val="000000" w:themeColor="text1"/>
        </w:rPr>
        <w:t>inherently anti-system’ (Golder</w:t>
      </w:r>
      <w:r w:rsidR="00B031C9">
        <w:rPr>
          <w:color w:val="000000" w:themeColor="text1"/>
        </w:rPr>
        <w:t>,</w:t>
      </w:r>
      <w:r w:rsidR="002A5550" w:rsidRPr="002D4D50">
        <w:rPr>
          <w:color w:val="000000" w:themeColor="text1"/>
        </w:rPr>
        <w:t xml:space="preserve"> 2016</w:t>
      </w:r>
      <w:r w:rsidR="001B1EB8" w:rsidRPr="002D4D50">
        <w:rPr>
          <w:color w:val="000000" w:themeColor="text1"/>
        </w:rPr>
        <w:t>: 478</w:t>
      </w:r>
      <w:r w:rsidR="002A5550" w:rsidRPr="002D4D50">
        <w:rPr>
          <w:color w:val="000000" w:themeColor="text1"/>
        </w:rPr>
        <w:t>)</w:t>
      </w:r>
      <w:r w:rsidR="00B669E8" w:rsidRPr="002D4D50">
        <w:rPr>
          <w:color w:val="000000" w:themeColor="text1"/>
        </w:rPr>
        <w:t xml:space="preserve"> and </w:t>
      </w:r>
      <w:r w:rsidR="00E12EAC" w:rsidRPr="002D4D50">
        <w:rPr>
          <w:color w:val="000000" w:themeColor="text1"/>
        </w:rPr>
        <w:t>have an antagonistic relationship with democra</w:t>
      </w:r>
      <w:r w:rsidR="00104A7D">
        <w:rPr>
          <w:color w:val="000000" w:themeColor="text1"/>
        </w:rPr>
        <w:t>cy</w:t>
      </w:r>
      <w:r w:rsidR="00E12EAC" w:rsidRPr="002D4D50">
        <w:rPr>
          <w:color w:val="000000" w:themeColor="text1"/>
        </w:rPr>
        <w:t xml:space="preserve"> as both radicalism and extremism </w:t>
      </w:r>
      <w:r w:rsidR="00B669E8" w:rsidRPr="002D4D50">
        <w:rPr>
          <w:color w:val="000000" w:themeColor="text1"/>
        </w:rPr>
        <w:t>oppose</w:t>
      </w:r>
      <w:r w:rsidR="00E12EAC" w:rsidRPr="002D4D50">
        <w:rPr>
          <w:color w:val="000000" w:themeColor="text1"/>
        </w:rPr>
        <w:t xml:space="preserve"> fundamental</w:t>
      </w:r>
      <w:r w:rsidR="00B669E8" w:rsidRPr="002D4D50">
        <w:rPr>
          <w:color w:val="000000" w:themeColor="text1"/>
        </w:rPr>
        <w:t xml:space="preserve"> democratic values (</w:t>
      </w:r>
      <w:proofErr w:type="spellStart"/>
      <w:r w:rsidR="00776C47" w:rsidRPr="002D4D50">
        <w:rPr>
          <w:color w:val="000000" w:themeColor="text1"/>
        </w:rPr>
        <w:t>Mudde</w:t>
      </w:r>
      <w:proofErr w:type="spellEnd"/>
      <w:r w:rsidR="00B031C9">
        <w:rPr>
          <w:color w:val="000000" w:themeColor="text1"/>
        </w:rPr>
        <w:t>,</w:t>
      </w:r>
      <w:r w:rsidR="00776C47" w:rsidRPr="002D4D50">
        <w:rPr>
          <w:color w:val="000000" w:themeColor="text1"/>
        </w:rPr>
        <w:t xml:space="preserve"> 2010). </w:t>
      </w:r>
      <w:r w:rsidR="002A5550" w:rsidRPr="002D4D50">
        <w:rPr>
          <w:color w:val="000000" w:themeColor="text1"/>
        </w:rPr>
        <w:t xml:space="preserve">Far right variants, however, differ, in the </w:t>
      </w:r>
      <w:r w:rsidR="002A5550" w:rsidRPr="002D4D50">
        <w:rPr>
          <w:i/>
          <w:iCs/>
          <w:color w:val="000000" w:themeColor="text1"/>
        </w:rPr>
        <w:t>type</w:t>
      </w:r>
      <w:r w:rsidR="002A5550" w:rsidRPr="002D4D50">
        <w:rPr>
          <w:color w:val="000000" w:themeColor="text1"/>
        </w:rPr>
        <w:t xml:space="preserve"> of democracy they oppose. </w:t>
      </w:r>
      <w:r w:rsidR="000A5F48" w:rsidRPr="002D4D50">
        <w:rPr>
          <w:color w:val="000000" w:themeColor="text1"/>
        </w:rPr>
        <w:t>While</w:t>
      </w:r>
      <w:r w:rsidR="00BC19C5" w:rsidRPr="002D4D50">
        <w:rPr>
          <w:color w:val="000000" w:themeColor="text1"/>
        </w:rPr>
        <w:t xml:space="preserve"> extrem</w:t>
      </w:r>
      <w:r w:rsidR="009617ED">
        <w:rPr>
          <w:color w:val="000000" w:themeColor="text1"/>
        </w:rPr>
        <w:t>e right parties</w:t>
      </w:r>
      <w:r w:rsidR="00BC19C5" w:rsidRPr="002D4D50">
        <w:rPr>
          <w:color w:val="000000" w:themeColor="text1"/>
        </w:rPr>
        <w:t xml:space="preserve"> oppose </w:t>
      </w:r>
      <w:r w:rsidR="00C8312D" w:rsidRPr="002D4D50">
        <w:rPr>
          <w:color w:val="000000" w:themeColor="text1"/>
        </w:rPr>
        <w:t xml:space="preserve">both </w:t>
      </w:r>
      <w:r w:rsidR="00BC19C5" w:rsidRPr="002D4D50">
        <w:rPr>
          <w:color w:val="000000" w:themeColor="text1"/>
        </w:rPr>
        <w:t xml:space="preserve">procedural and </w:t>
      </w:r>
      <w:r w:rsidR="00C8312D" w:rsidRPr="002D4D50">
        <w:rPr>
          <w:color w:val="000000" w:themeColor="text1"/>
        </w:rPr>
        <w:t xml:space="preserve">substantive </w:t>
      </w:r>
      <w:r w:rsidR="00BC19C5" w:rsidRPr="002D4D50">
        <w:rPr>
          <w:color w:val="000000" w:themeColor="text1"/>
        </w:rPr>
        <w:t>democracy</w:t>
      </w:r>
      <w:r w:rsidR="002A5550" w:rsidRPr="002D4D50">
        <w:rPr>
          <w:color w:val="000000" w:themeColor="text1"/>
        </w:rPr>
        <w:t>,</w:t>
      </w:r>
      <w:r w:rsidR="00BA24D1" w:rsidRPr="002D4D50">
        <w:rPr>
          <w:color w:val="000000" w:themeColor="text1"/>
        </w:rPr>
        <w:t xml:space="preserve"> radical</w:t>
      </w:r>
      <w:r w:rsidR="009617ED">
        <w:rPr>
          <w:color w:val="000000" w:themeColor="text1"/>
        </w:rPr>
        <w:t xml:space="preserve"> right parties</w:t>
      </w:r>
      <w:r w:rsidR="00BA24D1" w:rsidRPr="002D4D50">
        <w:rPr>
          <w:color w:val="000000" w:themeColor="text1"/>
        </w:rPr>
        <w:t xml:space="preserve"> oppose liberal democracy</w:t>
      </w:r>
      <w:r w:rsidR="00B51964" w:rsidRPr="002D4D50">
        <w:rPr>
          <w:color w:val="000000" w:themeColor="text1"/>
        </w:rPr>
        <w:t xml:space="preserve"> </w:t>
      </w:r>
      <w:r w:rsidR="00AA158B" w:rsidRPr="002D4D50">
        <w:rPr>
          <w:color w:val="000000" w:themeColor="text1"/>
        </w:rPr>
        <w:t>and question key aspects of the constitutional order</w:t>
      </w:r>
      <w:r w:rsidR="007B79F5" w:rsidRPr="002D4D50">
        <w:rPr>
          <w:color w:val="000000" w:themeColor="text1"/>
        </w:rPr>
        <w:t xml:space="preserve"> (Golder</w:t>
      </w:r>
      <w:r w:rsidR="00B031C9">
        <w:rPr>
          <w:color w:val="000000" w:themeColor="text1"/>
        </w:rPr>
        <w:t>,</w:t>
      </w:r>
      <w:r w:rsidR="007B79F5" w:rsidRPr="002D4D50">
        <w:rPr>
          <w:color w:val="000000" w:themeColor="text1"/>
        </w:rPr>
        <w:t xml:space="preserve"> 2016</w:t>
      </w:r>
      <w:r w:rsidR="00B031C9">
        <w:rPr>
          <w:color w:val="000000" w:themeColor="text1"/>
        </w:rPr>
        <w:t xml:space="preserve">; </w:t>
      </w:r>
      <w:proofErr w:type="spellStart"/>
      <w:r w:rsidR="00B031C9" w:rsidRPr="002D4D50">
        <w:rPr>
          <w:color w:val="000000" w:themeColor="text1"/>
        </w:rPr>
        <w:t>Mudde</w:t>
      </w:r>
      <w:proofErr w:type="spellEnd"/>
      <w:r w:rsidR="00B031C9">
        <w:rPr>
          <w:color w:val="000000" w:themeColor="text1"/>
        </w:rPr>
        <w:t>,</w:t>
      </w:r>
      <w:r w:rsidR="00B031C9" w:rsidRPr="002D4D50">
        <w:rPr>
          <w:color w:val="000000" w:themeColor="text1"/>
        </w:rPr>
        <w:t xml:space="preserve"> 2010</w:t>
      </w:r>
      <w:r w:rsidR="007B79F5" w:rsidRPr="002D4D50">
        <w:rPr>
          <w:color w:val="000000" w:themeColor="text1"/>
        </w:rPr>
        <w:t>)</w:t>
      </w:r>
      <w:r w:rsidR="00EA26D3" w:rsidRPr="002D4D50">
        <w:rPr>
          <w:color w:val="000000" w:themeColor="text1"/>
        </w:rPr>
        <w:t xml:space="preserve">. </w:t>
      </w:r>
      <w:r w:rsidR="00E12EAC" w:rsidRPr="002D4D50">
        <w:rPr>
          <w:color w:val="000000" w:themeColor="text1"/>
        </w:rPr>
        <w:t xml:space="preserve">In practice, however, extreme right variants often use democracy, and run for elections, </w:t>
      </w:r>
      <w:r w:rsidR="006769CA" w:rsidRPr="002D4D50">
        <w:rPr>
          <w:color w:val="000000" w:themeColor="text1"/>
        </w:rPr>
        <w:t xml:space="preserve">as a means for </w:t>
      </w:r>
      <w:r w:rsidR="00E12EAC" w:rsidRPr="002D4D50">
        <w:rPr>
          <w:color w:val="000000" w:themeColor="text1"/>
        </w:rPr>
        <w:t>achiev</w:t>
      </w:r>
      <w:r w:rsidR="006769CA" w:rsidRPr="002D4D50">
        <w:rPr>
          <w:color w:val="000000" w:themeColor="text1"/>
        </w:rPr>
        <w:t>ing</w:t>
      </w:r>
      <w:r w:rsidR="00E12EAC" w:rsidRPr="002D4D50">
        <w:rPr>
          <w:color w:val="000000" w:themeColor="text1"/>
        </w:rPr>
        <w:t xml:space="preserve"> their goals (</w:t>
      </w:r>
      <w:proofErr w:type="spellStart"/>
      <w:r w:rsidR="00E12EAC" w:rsidRPr="002D4D50">
        <w:rPr>
          <w:color w:val="000000" w:themeColor="text1"/>
        </w:rPr>
        <w:t>Vasilopoulou</w:t>
      </w:r>
      <w:proofErr w:type="spellEnd"/>
      <w:r w:rsidR="00E12EAC" w:rsidRPr="002D4D50">
        <w:rPr>
          <w:color w:val="000000" w:themeColor="text1"/>
        </w:rPr>
        <w:t xml:space="preserve"> and </w:t>
      </w:r>
      <w:proofErr w:type="spellStart"/>
      <w:r w:rsidR="00E12EAC" w:rsidRPr="002D4D50">
        <w:rPr>
          <w:color w:val="000000" w:themeColor="text1"/>
        </w:rPr>
        <w:t>Halikiopoulou</w:t>
      </w:r>
      <w:proofErr w:type="spellEnd"/>
      <w:r w:rsidR="00B031C9">
        <w:rPr>
          <w:color w:val="000000" w:themeColor="text1"/>
        </w:rPr>
        <w:t>,</w:t>
      </w:r>
      <w:r w:rsidR="00E12EAC" w:rsidRPr="002D4D50">
        <w:rPr>
          <w:color w:val="000000" w:themeColor="text1"/>
        </w:rPr>
        <w:t xml:space="preserve"> 2015). </w:t>
      </w:r>
    </w:p>
    <w:p w14:paraId="43050F7B" w14:textId="77777777" w:rsidR="001829C1" w:rsidRPr="002D4D50" w:rsidRDefault="001829C1" w:rsidP="00ED02A7">
      <w:pPr>
        <w:spacing w:line="480" w:lineRule="auto"/>
        <w:jc w:val="both"/>
        <w:rPr>
          <w:color w:val="000000" w:themeColor="text1"/>
        </w:rPr>
      </w:pPr>
    </w:p>
    <w:p w14:paraId="162103EA" w14:textId="6AA32E05" w:rsidR="009037C4" w:rsidRPr="002D4D50" w:rsidRDefault="00BD6272" w:rsidP="00ED02A7">
      <w:pPr>
        <w:spacing w:line="480" w:lineRule="auto"/>
        <w:jc w:val="both"/>
        <w:rPr>
          <w:color w:val="000000" w:themeColor="text1"/>
        </w:rPr>
      </w:pPr>
      <w:r w:rsidRPr="002D4D50">
        <w:rPr>
          <w:color w:val="000000" w:themeColor="text1"/>
        </w:rPr>
        <w:lastRenderedPageBreak/>
        <w:t>Given their antagonistic relationship with democracy, b</w:t>
      </w:r>
      <w:r w:rsidR="007E3C19" w:rsidRPr="002D4D50">
        <w:rPr>
          <w:color w:val="000000" w:themeColor="text1"/>
        </w:rPr>
        <w:t xml:space="preserve">oth variants of the </w:t>
      </w:r>
      <w:proofErr w:type="gramStart"/>
      <w:r w:rsidR="007E3C19" w:rsidRPr="002D4D50">
        <w:rPr>
          <w:color w:val="000000" w:themeColor="text1"/>
        </w:rPr>
        <w:t>far right</w:t>
      </w:r>
      <w:proofErr w:type="gramEnd"/>
      <w:r w:rsidR="007E3C19" w:rsidRPr="002D4D50">
        <w:rPr>
          <w:color w:val="000000" w:themeColor="text1"/>
        </w:rPr>
        <w:t xml:space="preserve"> party family</w:t>
      </w:r>
      <w:r w:rsidRPr="002D4D50">
        <w:rPr>
          <w:color w:val="000000" w:themeColor="text1"/>
        </w:rPr>
        <w:t xml:space="preserve"> </w:t>
      </w:r>
      <w:r w:rsidR="007E3C19" w:rsidRPr="002D4D50">
        <w:rPr>
          <w:color w:val="000000" w:themeColor="text1"/>
        </w:rPr>
        <w:t xml:space="preserve">are likely to benefit from </w:t>
      </w:r>
      <w:r w:rsidR="00543BC7" w:rsidRPr="002D4D50">
        <w:rPr>
          <w:color w:val="000000" w:themeColor="text1"/>
        </w:rPr>
        <w:t>negative evaluations of the democratic process</w:t>
      </w:r>
      <w:r w:rsidR="00FF5311">
        <w:rPr>
          <w:color w:val="000000" w:themeColor="text1"/>
        </w:rPr>
        <w:t>,</w:t>
      </w:r>
      <w:r w:rsidR="00543BC7" w:rsidRPr="002D4D50">
        <w:rPr>
          <w:color w:val="000000" w:themeColor="text1"/>
        </w:rPr>
        <w:t xml:space="preserve"> including </w:t>
      </w:r>
      <w:r w:rsidR="007E3C19" w:rsidRPr="002D4D50">
        <w:rPr>
          <w:color w:val="000000" w:themeColor="text1"/>
        </w:rPr>
        <w:t xml:space="preserve">low or declining levels of trust, </w:t>
      </w:r>
      <w:r w:rsidR="00543BC7" w:rsidRPr="002D4D50">
        <w:rPr>
          <w:color w:val="000000" w:themeColor="text1"/>
        </w:rPr>
        <w:t xml:space="preserve">dissatisfaction with </w:t>
      </w:r>
      <w:r w:rsidR="00FE30C6" w:rsidRPr="002D4D50">
        <w:rPr>
          <w:color w:val="000000" w:themeColor="text1"/>
        </w:rPr>
        <w:t>system performance</w:t>
      </w:r>
      <w:r w:rsidR="00543BC7" w:rsidRPr="002D4D50">
        <w:rPr>
          <w:color w:val="000000" w:themeColor="text1"/>
        </w:rPr>
        <w:t xml:space="preserve"> and policy outputs</w:t>
      </w:r>
      <w:r w:rsidR="007E3C19" w:rsidRPr="002D4D50">
        <w:rPr>
          <w:color w:val="000000" w:themeColor="text1"/>
        </w:rPr>
        <w:t xml:space="preserve">. </w:t>
      </w:r>
      <w:r w:rsidRPr="002D4D50">
        <w:rPr>
          <w:color w:val="000000" w:themeColor="text1"/>
        </w:rPr>
        <w:t xml:space="preserve">Indeed, </w:t>
      </w:r>
      <w:r w:rsidR="00C308F5">
        <w:rPr>
          <w:color w:val="000000" w:themeColor="text1"/>
        </w:rPr>
        <w:t>research</w:t>
      </w:r>
      <w:r w:rsidRPr="002D4D50">
        <w:rPr>
          <w:color w:val="000000" w:themeColor="text1"/>
        </w:rPr>
        <w:t xml:space="preserve"> has shown that both extreme (</w:t>
      </w:r>
      <w:proofErr w:type="spellStart"/>
      <w:r w:rsidRPr="002D4D50">
        <w:rPr>
          <w:color w:val="000000" w:themeColor="text1"/>
        </w:rPr>
        <w:t>Vasilopoulou</w:t>
      </w:r>
      <w:proofErr w:type="spellEnd"/>
      <w:r w:rsidRPr="002D4D50">
        <w:rPr>
          <w:color w:val="000000" w:themeColor="text1"/>
        </w:rPr>
        <w:t xml:space="preserve"> and </w:t>
      </w:r>
      <w:proofErr w:type="spellStart"/>
      <w:r w:rsidRPr="002D4D50">
        <w:rPr>
          <w:color w:val="000000" w:themeColor="text1"/>
        </w:rPr>
        <w:t>Halikiopoulou</w:t>
      </w:r>
      <w:proofErr w:type="spellEnd"/>
      <w:r w:rsidR="00B031C9">
        <w:rPr>
          <w:color w:val="000000" w:themeColor="text1"/>
        </w:rPr>
        <w:t>,</w:t>
      </w:r>
      <w:r w:rsidRPr="002D4D50">
        <w:rPr>
          <w:color w:val="000000" w:themeColor="text1"/>
        </w:rPr>
        <w:t xml:space="preserve"> 2015</w:t>
      </w:r>
      <w:r w:rsidR="00B031C9">
        <w:rPr>
          <w:color w:val="000000" w:themeColor="text1"/>
        </w:rPr>
        <w:t xml:space="preserve">; </w:t>
      </w:r>
      <w:proofErr w:type="spellStart"/>
      <w:r w:rsidR="00B031C9" w:rsidRPr="002D4D50">
        <w:rPr>
          <w:color w:val="000000" w:themeColor="text1"/>
        </w:rPr>
        <w:t>Vrakopoulos</w:t>
      </w:r>
      <w:proofErr w:type="spellEnd"/>
      <w:r w:rsidR="00B031C9">
        <w:rPr>
          <w:color w:val="000000" w:themeColor="text1"/>
        </w:rPr>
        <w:t>,</w:t>
      </w:r>
      <w:r w:rsidR="00B031C9" w:rsidRPr="002D4D50">
        <w:rPr>
          <w:color w:val="000000" w:themeColor="text1"/>
        </w:rPr>
        <w:t xml:space="preserve"> 2022</w:t>
      </w:r>
      <w:r w:rsidRPr="002D4D50">
        <w:rPr>
          <w:color w:val="000000" w:themeColor="text1"/>
        </w:rPr>
        <w:t>) and radical right (</w:t>
      </w:r>
      <w:proofErr w:type="spellStart"/>
      <w:r w:rsidRPr="002D4D50">
        <w:rPr>
          <w:color w:val="000000" w:themeColor="text1"/>
        </w:rPr>
        <w:t>Argerberg</w:t>
      </w:r>
      <w:proofErr w:type="spellEnd"/>
      <w:r w:rsidR="00B031C9">
        <w:rPr>
          <w:color w:val="000000" w:themeColor="text1"/>
        </w:rPr>
        <w:t>,</w:t>
      </w:r>
      <w:r w:rsidRPr="002D4D50">
        <w:rPr>
          <w:color w:val="000000" w:themeColor="text1"/>
        </w:rPr>
        <w:t xml:space="preserve"> 2017) parties are often electorally successful in contexts of low quality of government and democratic discontent. </w:t>
      </w:r>
      <w:r w:rsidR="00FE30C6" w:rsidRPr="002D4D50">
        <w:t xml:space="preserve">The </w:t>
      </w:r>
      <w:r w:rsidR="00573294" w:rsidRPr="002D4D50">
        <w:t>key ideological features of this party family</w:t>
      </w:r>
      <w:r w:rsidR="007E3C19" w:rsidRPr="002D4D50">
        <w:t xml:space="preserve"> </w:t>
      </w:r>
      <w:r w:rsidR="00573294" w:rsidRPr="002D4D50">
        <w:t>draw upon trust</w:t>
      </w:r>
      <w:r w:rsidR="00C77F68" w:rsidRPr="002D4D50">
        <w:t>,</w:t>
      </w:r>
      <w:r w:rsidR="00573294" w:rsidRPr="002D4D50">
        <w:t xml:space="preserve"> </w:t>
      </w:r>
      <w:r w:rsidR="00DB613E" w:rsidRPr="002D4D50">
        <w:t xml:space="preserve">performance and </w:t>
      </w:r>
      <w:r w:rsidR="00573294" w:rsidRPr="002D4D50">
        <w:t>policy-related grievances over elites, institutions, the government and, overall, the existing mechanisms of democratic representation</w:t>
      </w:r>
      <w:r w:rsidR="00573294" w:rsidRPr="002D4D50">
        <w:rPr>
          <w:color w:val="000000" w:themeColor="text1"/>
        </w:rPr>
        <w:t xml:space="preserve">. </w:t>
      </w:r>
      <w:r w:rsidR="00CF7264" w:rsidRPr="002D4D50">
        <w:rPr>
          <w:color w:val="000000" w:themeColor="text1"/>
        </w:rPr>
        <w:t xml:space="preserve">The mechanism here is </w:t>
      </w:r>
      <w:r w:rsidR="00F5662E" w:rsidRPr="002D4D50">
        <w:rPr>
          <w:color w:val="000000" w:themeColor="text1"/>
        </w:rPr>
        <w:t xml:space="preserve">discontent, </w:t>
      </w:r>
      <w:r w:rsidR="00CF7264" w:rsidRPr="002D4D50">
        <w:rPr>
          <w:color w:val="000000" w:themeColor="text1"/>
        </w:rPr>
        <w:t xml:space="preserve">as the prime motive behind this vote is to express </w:t>
      </w:r>
      <w:r w:rsidR="00C77F68" w:rsidRPr="002D4D50">
        <w:rPr>
          <w:color w:val="000000" w:themeColor="text1"/>
        </w:rPr>
        <w:t xml:space="preserve">dissatisfaction with </w:t>
      </w:r>
      <w:r w:rsidR="007F42E0" w:rsidRPr="002D4D50">
        <w:rPr>
          <w:color w:val="000000" w:themeColor="text1"/>
        </w:rPr>
        <w:t xml:space="preserve">the </w:t>
      </w:r>
      <w:r w:rsidR="00C77F68" w:rsidRPr="002D4D50">
        <w:rPr>
          <w:color w:val="000000" w:themeColor="text1"/>
        </w:rPr>
        <w:t xml:space="preserve">democratic process </w:t>
      </w:r>
      <w:r w:rsidR="00CF7264" w:rsidRPr="002D4D50">
        <w:t>(</w:t>
      </w:r>
      <w:r w:rsidR="000913B5" w:rsidRPr="002D4D50">
        <w:t>Betz</w:t>
      </w:r>
      <w:r w:rsidR="00B031C9">
        <w:t>,</w:t>
      </w:r>
      <w:r w:rsidR="000913B5" w:rsidRPr="002D4D50">
        <w:t xml:space="preserve"> 1994; </w:t>
      </w:r>
      <w:r w:rsidR="00CE2394" w:rsidRPr="002D4D50">
        <w:t>v</w:t>
      </w:r>
      <w:r w:rsidR="00CF7264" w:rsidRPr="002D4D50">
        <w:t>an de</w:t>
      </w:r>
      <w:r w:rsidR="00952423" w:rsidRPr="002D4D50">
        <w:t>r</w:t>
      </w:r>
      <w:r w:rsidR="00CF7264" w:rsidRPr="002D4D50">
        <w:t xml:space="preserve"> </w:t>
      </w:r>
      <w:proofErr w:type="spellStart"/>
      <w:r w:rsidR="00CF7264" w:rsidRPr="002D4D50">
        <w:t>Brug</w:t>
      </w:r>
      <w:proofErr w:type="spellEnd"/>
      <w:r w:rsidR="00CF7264" w:rsidRPr="002D4D50">
        <w:t xml:space="preserve"> and </w:t>
      </w:r>
      <w:proofErr w:type="spellStart"/>
      <w:r w:rsidR="00CF7264" w:rsidRPr="002D4D50">
        <w:t>Fennema</w:t>
      </w:r>
      <w:proofErr w:type="spellEnd"/>
      <w:r w:rsidR="00B031C9">
        <w:t>,</w:t>
      </w:r>
      <w:r w:rsidR="00CF7264" w:rsidRPr="002D4D50">
        <w:t xml:space="preserve"> 2007</w:t>
      </w:r>
      <w:r w:rsidR="000913B5" w:rsidRPr="002D4D50">
        <w:t xml:space="preserve">; </w:t>
      </w:r>
      <w:r w:rsidR="00CE2394" w:rsidRPr="002D4D50">
        <w:t>v</w:t>
      </w:r>
      <w:r w:rsidR="000913B5" w:rsidRPr="002D4D50">
        <w:t>an de</w:t>
      </w:r>
      <w:r w:rsidR="00952423" w:rsidRPr="002D4D50">
        <w:t>r</w:t>
      </w:r>
      <w:r w:rsidR="000913B5" w:rsidRPr="002D4D50">
        <w:t xml:space="preserve"> </w:t>
      </w:r>
      <w:proofErr w:type="spellStart"/>
      <w:r w:rsidR="000913B5" w:rsidRPr="002D4D50">
        <w:t>Brug</w:t>
      </w:r>
      <w:proofErr w:type="spellEnd"/>
      <w:r w:rsidR="000913B5" w:rsidRPr="002D4D50">
        <w:t xml:space="preserve"> et al</w:t>
      </w:r>
      <w:r w:rsidR="00CE2394" w:rsidRPr="002D4D50">
        <w:t>.</w:t>
      </w:r>
      <w:r w:rsidR="00B031C9">
        <w:t>,</w:t>
      </w:r>
      <w:r w:rsidR="000913B5" w:rsidRPr="002D4D50">
        <w:t xml:space="preserve"> 2000</w:t>
      </w:r>
      <w:r w:rsidR="00CF7264" w:rsidRPr="002D4D50">
        <w:t>)</w:t>
      </w:r>
      <w:r w:rsidR="000F5C98" w:rsidRPr="002D4D50">
        <w:t xml:space="preserve">. </w:t>
      </w:r>
      <w:r w:rsidR="00A80A98" w:rsidRPr="002D4D50">
        <w:t>Indeed</w:t>
      </w:r>
      <w:r w:rsidR="005949CF" w:rsidRPr="002D4D50">
        <w:t>,</w:t>
      </w:r>
      <w:r w:rsidR="00A80A98" w:rsidRPr="002D4D50">
        <w:t xml:space="preserve"> some studies have</w:t>
      </w:r>
      <w:r w:rsidR="00624699" w:rsidRPr="002D4D50">
        <w:t xml:space="preserve"> confirmed an empirical positive association between </w:t>
      </w:r>
      <w:r w:rsidR="00AA22C5" w:rsidRPr="002D4D50">
        <w:t xml:space="preserve">distrust </w:t>
      </w:r>
      <w:r w:rsidR="00FA0831" w:rsidRPr="002D4D50">
        <w:t>and</w:t>
      </w:r>
      <w:r w:rsidR="007F42E0" w:rsidRPr="002D4D50">
        <w:t xml:space="preserve"> system dissatisfaction </w:t>
      </w:r>
      <w:r w:rsidR="002766C9">
        <w:t xml:space="preserve">on the one hand, </w:t>
      </w:r>
      <w:r w:rsidR="007F42E0" w:rsidRPr="002D4D50">
        <w:t xml:space="preserve">and </w:t>
      </w:r>
      <w:r w:rsidR="00AA22C5" w:rsidRPr="002D4D50">
        <w:t>far right voting</w:t>
      </w:r>
      <w:r w:rsidR="002766C9">
        <w:t xml:space="preserve"> on the other</w:t>
      </w:r>
      <w:r w:rsidR="00AA22C5" w:rsidRPr="002D4D50">
        <w:t xml:space="preserve"> (</w:t>
      </w:r>
      <w:proofErr w:type="spellStart"/>
      <w:r w:rsidR="00AA22C5" w:rsidRPr="002D4D50">
        <w:t>Akkerman</w:t>
      </w:r>
      <w:proofErr w:type="spellEnd"/>
      <w:r w:rsidR="00AA22C5" w:rsidRPr="002D4D50">
        <w:t xml:space="preserve"> et al</w:t>
      </w:r>
      <w:r w:rsidR="00CE2394" w:rsidRPr="002D4D50">
        <w:t>.</w:t>
      </w:r>
      <w:r w:rsidR="00B031C9">
        <w:t>,</w:t>
      </w:r>
      <w:r w:rsidR="00AA22C5" w:rsidRPr="002D4D50">
        <w:t xml:space="preserve"> 2017; </w:t>
      </w:r>
      <w:proofErr w:type="spellStart"/>
      <w:r w:rsidR="00AA22C5" w:rsidRPr="002D4D50">
        <w:t>Denemark</w:t>
      </w:r>
      <w:proofErr w:type="spellEnd"/>
      <w:r w:rsidR="00AA22C5" w:rsidRPr="002D4D50">
        <w:t xml:space="preserve"> and Bowler</w:t>
      </w:r>
      <w:r w:rsidR="00B031C9">
        <w:t>,</w:t>
      </w:r>
      <w:r w:rsidR="00AA22C5" w:rsidRPr="002D4D50">
        <w:t xml:space="preserve"> 2002; </w:t>
      </w:r>
      <w:proofErr w:type="spellStart"/>
      <w:r w:rsidR="00B031C9" w:rsidRPr="002D4D50">
        <w:t>Hooghe</w:t>
      </w:r>
      <w:proofErr w:type="spellEnd"/>
      <w:r w:rsidR="00B031C9" w:rsidRPr="002D4D50">
        <w:t xml:space="preserve"> et al.</w:t>
      </w:r>
      <w:r w:rsidR="00B031C9">
        <w:t>,</w:t>
      </w:r>
      <w:r w:rsidR="00B031C9" w:rsidRPr="002D4D50">
        <w:t xml:space="preserve"> 2011</w:t>
      </w:r>
      <w:r w:rsidR="00B031C9">
        <w:t xml:space="preserve">; </w:t>
      </w:r>
      <w:proofErr w:type="spellStart"/>
      <w:r w:rsidR="00AA22C5" w:rsidRPr="002D4D50">
        <w:t>Fieschi</w:t>
      </w:r>
      <w:proofErr w:type="spellEnd"/>
      <w:r w:rsidR="00AA22C5" w:rsidRPr="002D4D50">
        <w:t xml:space="preserve"> and Hey</w:t>
      </w:r>
      <w:r w:rsidR="00624699" w:rsidRPr="002D4D50">
        <w:t>wood</w:t>
      </w:r>
      <w:r w:rsidR="00B031C9">
        <w:t>,</w:t>
      </w:r>
      <w:r w:rsidR="00624699" w:rsidRPr="002D4D50">
        <w:t xml:space="preserve"> 2004</w:t>
      </w:r>
      <w:r w:rsidR="00CE2394" w:rsidRPr="002D4D50">
        <w:t>; Lubbers et al</w:t>
      </w:r>
      <w:r w:rsidR="00B031C9">
        <w:t>.,</w:t>
      </w:r>
      <w:r w:rsidR="00CE2394" w:rsidRPr="002D4D50">
        <w:t xml:space="preserve"> 2002</w:t>
      </w:r>
      <w:r w:rsidR="00624699" w:rsidRPr="002D4D50">
        <w:t xml:space="preserve">). </w:t>
      </w:r>
      <w:r w:rsidR="00776B57" w:rsidRPr="002D4D50">
        <w:t>I</w:t>
      </w:r>
      <w:r w:rsidR="00A80A98" w:rsidRPr="002D4D50">
        <w:t xml:space="preserve">n line </w:t>
      </w:r>
      <w:r w:rsidR="00F5127E" w:rsidRPr="002D4D50">
        <w:t xml:space="preserve">with this </w:t>
      </w:r>
      <w:proofErr w:type="gramStart"/>
      <w:r w:rsidR="00F5127E" w:rsidRPr="002D4D50">
        <w:t>literature</w:t>
      </w:r>
      <w:proofErr w:type="gramEnd"/>
      <w:r w:rsidR="00F5127E" w:rsidRPr="002D4D50">
        <w:t xml:space="preserve"> </w:t>
      </w:r>
      <w:r w:rsidR="00C94B53" w:rsidRPr="002D4D50">
        <w:t xml:space="preserve">we hypothesize: </w:t>
      </w:r>
    </w:p>
    <w:p w14:paraId="3E2A4710" w14:textId="77777777" w:rsidR="00620B37" w:rsidRPr="002D4D50" w:rsidRDefault="00620B37" w:rsidP="00ED02A7">
      <w:pPr>
        <w:spacing w:line="480" w:lineRule="auto"/>
        <w:jc w:val="both"/>
      </w:pPr>
    </w:p>
    <w:p w14:paraId="18F0AC95" w14:textId="07BC5465" w:rsidR="0032513A" w:rsidRPr="002D4D50" w:rsidRDefault="001C7BD0" w:rsidP="00ED02A7">
      <w:pPr>
        <w:spacing w:line="480" w:lineRule="auto"/>
        <w:jc w:val="both"/>
      </w:pPr>
      <w:r w:rsidRPr="002D4D50">
        <w:t xml:space="preserve">H1(a): </w:t>
      </w:r>
      <w:r w:rsidR="0032513A" w:rsidRPr="002D4D50">
        <w:t xml:space="preserve">Individuals </w:t>
      </w:r>
      <w:r w:rsidR="002806A7" w:rsidRPr="002D4D50">
        <w:t xml:space="preserve">with high levels of </w:t>
      </w:r>
      <w:r w:rsidR="0032513A" w:rsidRPr="002D4D50">
        <w:t>trust in institutions are less li</w:t>
      </w:r>
      <w:r w:rsidR="008534B1" w:rsidRPr="002D4D50">
        <w:t>kely to vote for the far right</w:t>
      </w:r>
      <w:r w:rsidR="00292D06" w:rsidRPr="002D4D50">
        <w:t>.</w:t>
      </w:r>
      <w:r w:rsidR="008534B1" w:rsidRPr="002D4D50">
        <w:t xml:space="preserve"> </w:t>
      </w:r>
    </w:p>
    <w:p w14:paraId="05201518" w14:textId="77777777" w:rsidR="00441F1C" w:rsidRPr="002D4D50" w:rsidRDefault="00441F1C" w:rsidP="00ED02A7">
      <w:pPr>
        <w:spacing w:line="480" w:lineRule="auto"/>
        <w:jc w:val="both"/>
      </w:pPr>
    </w:p>
    <w:p w14:paraId="098A549B" w14:textId="464EFD0E" w:rsidR="0045516E" w:rsidRPr="002D4D50" w:rsidRDefault="001C7BD0" w:rsidP="00ED02A7">
      <w:pPr>
        <w:spacing w:line="480" w:lineRule="auto"/>
        <w:jc w:val="both"/>
      </w:pPr>
      <w:r w:rsidRPr="002D4D50">
        <w:t>H1(b</w:t>
      </w:r>
      <w:r w:rsidR="000B4EFB" w:rsidRPr="002D4D50">
        <w:t xml:space="preserve">): </w:t>
      </w:r>
      <w:r w:rsidR="0032513A" w:rsidRPr="002D4D50">
        <w:t xml:space="preserve">Individuals </w:t>
      </w:r>
      <w:r w:rsidR="00113FC5" w:rsidRPr="00113FC5">
        <w:t xml:space="preserve">who positively evaluate </w:t>
      </w:r>
      <w:r w:rsidR="0015155D" w:rsidRPr="002D4D50">
        <w:t xml:space="preserve">system performance and </w:t>
      </w:r>
      <w:r w:rsidR="00776B57" w:rsidRPr="002D4D50">
        <w:t xml:space="preserve">policy </w:t>
      </w:r>
      <w:r w:rsidR="0015155D" w:rsidRPr="002D4D50">
        <w:t xml:space="preserve">outputs </w:t>
      </w:r>
      <w:r w:rsidR="0032513A" w:rsidRPr="002D4D50">
        <w:t>are less li</w:t>
      </w:r>
      <w:r w:rsidR="008534B1" w:rsidRPr="002D4D50">
        <w:t>kely to vote for the far right</w:t>
      </w:r>
      <w:r w:rsidR="00292D06" w:rsidRPr="002D4D50">
        <w:t>.</w:t>
      </w:r>
      <w:r w:rsidR="008534B1" w:rsidRPr="002D4D50">
        <w:t xml:space="preserve"> </w:t>
      </w:r>
      <w:r w:rsidR="0032513A" w:rsidRPr="002D4D50">
        <w:t xml:space="preserve"> </w:t>
      </w:r>
    </w:p>
    <w:p w14:paraId="56A4671C" w14:textId="77777777" w:rsidR="00CB3B3D" w:rsidRPr="002D4D50" w:rsidRDefault="00CB3B3D" w:rsidP="00ED02A7">
      <w:pPr>
        <w:spacing w:line="480" w:lineRule="auto"/>
        <w:jc w:val="both"/>
      </w:pPr>
    </w:p>
    <w:p w14:paraId="00953E94" w14:textId="4D290304" w:rsidR="0068473F" w:rsidRPr="002D4D50" w:rsidRDefault="00CB16ED" w:rsidP="00ED02A7">
      <w:pPr>
        <w:spacing w:line="480" w:lineRule="auto"/>
        <w:jc w:val="both"/>
        <w:rPr>
          <w:bCs/>
          <w:color w:val="000000" w:themeColor="text1"/>
        </w:rPr>
      </w:pPr>
      <w:r w:rsidRPr="002D4D50">
        <w:rPr>
          <w:bCs/>
          <w:color w:val="000000" w:themeColor="text1"/>
        </w:rPr>
        <w:lastRenderedPageBreak/>
        <w:t xml:space="preserve">Despite, however, the strong theoretical reasons to expect political distrust to </w:t>
      </w:r>
      <w:r w:rsidR="005C6D4E" w:rsidRPr="002D4D50">
        <w:rPr>
          <w:bCs/>
          <w:color w:val="000000" w:themeColor="text1"/>
        </w:rPr>
        <w:t xml:space="preserve">be associated with </w:t>
      </w:r>
      <w:proofErr w:type="gramStart"/>
      <w:r w:rsidRPr="002D4D50">
        <w:rPr>
          <w:bCs/>
          <w:color w:val="000000" w:themeColor="text1"/>
        </w:rPr>
        <w:t>far right</w:t>
      </w:r>
      <w:proofErr w:type="gramEnd"/>
      <w:r w:rsidRPr="002D4D50">
        <w:rPr>
          <w:bCs/>
          <w:color w:val="000000" w:themeColor="text1"/>
        </w:rPr>
        <w:t xml:space="preserve"> party support, </w:t>
      </w:r>
      <w:r w:rsidR="00454F33" w:rsidRPr="002D4D50">
        <w:rPr>
          <w:bCs/>
          <w:color w:val="000000" w:themeColor="text1"/>
        </w:rPr>
        <w:t>empirically</w:t>
      </w:r>
      <w:r w:rsidR="002B075A" w:rsidRPr="002D4D50">
        <w:rPr>
          <w:bCs/>
          <w:color w:val="000000" w:themeColor="text1"/>
        </w:rPr>
        <w:t>,</w:t>
      </w:r>
      <w:r w:rsidR="00454F33" w:rsidRPr="002D4D50">
        <w:rPr>
          <w:bCs/>
          <w:color w:val="000000" w:themeColor="text1"/>
        </w:rPr>
        <w:t xml:space="preserve"> </w:t>
      </w:r>
      <w:r w:rsidR="00F57CDA" w:rsidRPr="002D4D50">
        <w:rPr>
          <w:bCs/>
          <w:color w:val="000000" w:themeColor="text1"/>
        </w:rPr>
        <w:t xml:space="preserve">some </w:t>
      </w:r>
      <w:r w:rsidR="00454F33" w:rsidRPr="002D4D50">
        <w:rPr>
          <w:bCs/>
          <w:color w:val="000000" w:themeColor="text1"/>
        </w:rPr>
        <w:t xml:space="preserve">research highlights the counter-intuitive finding that, under certain circumstances, </w:t>
      </w:r>
      <w:r w:rsidR="00817041" w:rsidRPr="002D4D50">
        <w:rPr>
          <w:bCs/>
          <w:color w:val="000000" w:themeColor="text1"/>
        </w:rPr>
        <w:t xml:space="preserve">citizens who </w:t>
      </w:r>
      <w:r w:rsidR="002B075A" w:rsidRPr="002D4D50">
        <w:rPr>
          <w:bCs/>
          <w:color w:val="000000" w:themeColor="text1"/>
        </w:rPr>
        <w:t xml:space="preserve">positively evaluate the </w:t>
      </w:r>
      <w:r w:rsidR="00585557" w:rsidRPr="002D4D50">
        <w:rPr>
          <w:bCs/>
          <w:color w:val="000000" w:themeColor="text1"/>
        </w:rPr>
        <w:t xml:space="preserve">democratic </w:t>
      </w:r>
      <w:r w:rsidR="002B075A" w:rsidRPr="002D4D50">
        <w:rPr>
          <w:bCs/>
          <w:color w:val="000000" w:themeColor="text1"/>
        </w:rPr>
        <w:t xml:space="preserve">process </w:t>
      </w:r>
      <w:r w:rsidRPr="002D4D50">
        <w:rPr>
          <w:bCs/>
          <w:color w:val="000000" w:themeColor="text1"/>
        </w:rPr>
        <w:t>may vote for the far right</w:t>
      </w:r>
      <w:r w:rsidR="00F57CDA" w:rsidRPr="002D4D50">
        <w:rPr>
          <w:bCs/>
          <w:color w:val="000000" w:themeColor="text1"/>
        </w:rPr>
        <w:t xml:space="preserve"> (Norris</w:t>
      </w:r>
      <w:r w:rsidR="008D0B55">
        <w:rPr>
          <w:bCs/>
          <w:color w:val="000000" w:themeColor="text1"/>
        </w:rPr>
        <w:t>,</w:t>
      </w:r>
      <w:r w:rsidR="00F57CDA" w:rsidRPr="002D4D50">
        <w:rPr>
          <w:bCs/>
          <w:color w:val="000000" w:themeColor="text1"/>
        </w:rPr>
        <w:t xml:space="preserve"> 2005; Santana et al</w:t>
      </w:r>
      <w:r w:rsidR="008D0B55">
        <w:rPr>
          <w:bCs/>
          <w:color w:val="000000" w:themeColor="text1"/>
        </w:rPr>
        <w:t>.,</w:t>
      </w:r>
      <w:r w:rsidR="00F57CDA" w:rsidRPr="002D4D50">
        <w:rPr>
          <w:bCs/>
          <w:color w:val="000000" w:themeColor="text1"/>
        </w:rPr>
        <w:t xml:space="preserve"> 2020)</w:t>
      </w:r>
      <w:r w:rsidRPr="002D4D50">
        <w:rPr>
          <w:bCs/>
          <w:color w:val="000000" w:themeColor="text1"/>
        </w:rPr>
        <w:t>.</w:t>
      </w:r>
      <w:r w:rsidR="003D0E9F" w:rsidRPr="002D4D50">
        <w:rPr>
          <w:bCs/>
          <w:color w:val="000000" w:themeColor="text1"/>
        </w:rPr>
        <w:t xml:space="preserve"> I</w:t>
      </w:r>
      <w:r w:rsidR="002F58D4" w:rsidRPr="002D4D50">
        <w:rPr>
          <w:bCs/>
          <w:color w:val="000000" w:themeColor="text1"/>
        </w:rPr>
        <w:t>n other words,</w:t>
      </w:r>
      <w:r w:rsidR="00340676" w:rsidRPr="002D4D50">
        <w:rPr>
          <w:bCs/>
          <w:color w:val="000000" w:themeColor="text1"/>
        </w:rPr>
        <w:t xml:space="preserve"> voting for the far right is not exclusive to discontent voters. </w:t>
      </w:r>
      <w:r w:rsidR="00C023DA" w:rsidRPr="002D4D50">
        <w:t>Consistent with the idea that political parties often receive electoral support from a broad range of voter</w:t>
      </w:r>
      <w:r w:rsidR="00EE0B57" w:rsidRPr="002D4D50">
        <w:t>s</w:t>
      </w:r>
      <w:r w:rsidR="008F6C5B" w:rsidRPr="002D4D50">
        <w:t xml:space="preserve"> </w:t>
      </w:r>
      <w:r w:rsidR="008F6C5B" w:rsidRPr="002D4D50">
        <w:rPr>
          <w:color w:val="000000" w:themeColor="text1"/>
        </w:rPr>
        <w:t>(</w:t>
      </w:r>
      <w:proofErr w:type="spellStart"/>
      <w:r w:rsidR="008F6C5B" w:rsidRPr="002D4D50">
        <w:rPr>
          <w:color w:val="000000" w:themeColor="text1"/>
        </w:rPr>
        <w:t>Damhuis</w:t>
      </w:r>
      <w:proofErr w:type="spellEnd"/>
      <w:r w:rsidR="008D0B55">
        <w:rPr>
          <w:color w:val="000000" w:themeColor="text1"/>
        </w:rPr>
        <w:t>,</w:t>
      </w:r>
      <w:r w:rsidR="008F6C5B" w:rsidRPr="002D4D50">
        <w:rPr>
          <w:color w:val="000000" w:themeColor="text1"/>
        </w:rPr>
        <w:t xml:space="preserve"> 2020; </w:t>
      </w:r>
      <w:proofErr w:type="spellStart"/>
      <w:r w:rsidR="008F6C5B" w:rsidRPr="002D4D50">
        <w:rPr>
          <w:color w:val="000000" w:themeColor="text1"/>
        </w:rPr>
        <w:t>Halikiopoulou</w:t>
      </w:r>
      <w:proofErr w:type="spellEnd"/>
      <w:r w:rsidR="008F6C5B" w:rsidRPr="002D4D50">
        <w:rPr>
          <w:color w:val="000000" w:themeColor="text1"/>
        </w:rPr>
        <w:t xml:space="preserve"> and </w:t>
      </w:r>
      <w:proofErr w:type="spellStart"/>
      <w:r w:rsidR="008F6C5B" w:rsidRPr="002D4D50">
        <w:rPr>
          <w:color w:val="000000" w:themeColor="text1"/>
        </w:rPr>
        <w:t>Vlandas</w:t>
      </w:r>
      <w:proofErr w:type="spellEnd"/>
      <w:r w:rsidR="008D0B55">
        <w:rPr>
          <w:color w:val="000000" w:themeColor="text1"/>
        </w:rPr>
        <w:t>,</w:t>
      </w:r>
      <w:r w:rsidR="008F6C5B" w:rsidRPr="002D4D50">
        <w:rPr>
          <w:color w:val="000000" w:themeColor="text1"/>
        </w:rPr>
        <w:t xml:space="preserve"> 2020</w:t>
      </w:r>
      <w:r w:rsidR="00EB6E4E" w:rsidRPr="002D4D50">
        <w:rPr>
          <w:color w:val="000000" w:themeColor="text1"/>
        </w:rPr>
        <w:t>; Steiner et al</w:t>
      </w:r>
      <w:r w:rsidR="008D0B55">
        <w:rPr>
          <w:color w:val="000000" w:themeColor="text1"/>
        </w:rPr>
        <w:t>.,</w:t>
      </w:r>
      <w:r w:rsidR="00EB6E4E" w:rsidRPr="002D4D50">
        <w:rPr>
          <w:color w:val="000000" w:themeColor="text1"/>
        </w:rPr>
        <w:t xml:space="preserve"> 2022</w:t>
      </w:r>
      <w:r w:rsidR="008F6C5B" w:rsidRPr="002D4D50">
        <w:rPr>
          <w:color w:val="000000" w:themeColor="text1"/>
        </w:rPr>
        <w:t>)</w:t>
      </w:r>
      <w:r w:rsidR="00C023DA" w:rsidRPr="002D4D50">
        <w:rPr>
          <w:color w:val="000000" w:themeColor="text1"/>
        </w:rPr>
        <w:t xml:space="preserve">, </w:t>
      </w:r>
      <w:r w:rsidR="00C023DA" w:rsidRPr="002D4D50">
        <w:t xml:space="preserve">and that large electoral potential is associated with </w:t>
      </w:r>
      <w:proofErr w:type="spellStart"/>
      <w:r w:rsidR="00C023DA" w:rsidRPr="002D4D50">
        <w:t>mobilisational</w:t>
      </w:r>
      <w:proofErr w:type="spellEnd"/>
      <w:r w:rsidR="00C023DA" w:rsidRPr="002D4D50">
        <w:t xml:space="preserve"> capacity beyond a party’s core voting group (</w:t>
      </w:r>
      <w:proofErr w:type="spellStart"/>
      <w:r w:rsidR="00CE2394" w:rsidRPr="002D4D50">
        <w:t>Stockemer</w:t>
      </w:r>
      <w:proofErr w:type="spellEnd"/>
      <w:r w:rsidR="00CE2394" w:rsidRPr="002D4D50">
        <w:t xml:space="preserve"> et al.</w:t>
      </w:r>
      <w:r w:rsidR="008D0B55">
        <w:t>,</w:t>
      </w:r>
      <w:r w:rsidR="00CE2394" w:rsidRPr="002D4D50">
        <w:t xml:space="preserve"> 202</w:t>
      </w:r>
      <w:r w:rsidR="00595A7F" w:rsidRPr="002D4D50">
        <w:t>1</w:t>
      </w:r>
      <w:r w:rsidR="00CE2394" w:rsidRPr="002D4D50">
        <w:t xml:space="preserve">; </w:t>
      </w:r>
      <w:r w:rsidR="00C023DA" w:rsidRPr="002D4D50">
        <w:t>Tilley and Evans</w:t>
      </w:r>
      <w:r w:rsidR="008D0B55">
        <w:t>,</w:t>
      </w:r>
      <w:r w:rsidR="00C023DA" w:rsidRPr="002D4D50">
        <w:t xml:space="preserve"> 2017; </w:t>
      </w:r>
      <w:r w:rsidR="00CE2394" w:rsidRPr="002D4D50">
        <w:t>v</w:t>
      </w:r>
      <w:r w:rsidR="00C023DA" w:rsidRPr="002D4D50">
        <w:t>an de</w:t>
      </w:r>
      <w:r w:rsidR="00952423" w:rsidRPr="002D4D50">
        <w:t>r</w:t>
      </w:r>
      <w:r w:rsidR="00C023DA" w:rsidRPr="002D4D50">
        <w:t xml:space="preserve"> </w:t>
      </w:r>
      <w:proofErr w:type="spellStart"/>
      <w:r w:rsidR="00C023DA" w:rsidRPr="002D4D50">
        <w:t>Brug</w:t>
      </w:r>
      <w:proofErr w:type="spellEnd"/>
      <w:r w:rsidR="00C023DA" w:rsidRPr="002D4D50">
        <w:t xml:space="preserve"> at al</w:t>
      </w:r>
      <w:r w:rsidR="00CE2394" w:rsidRPr="002D4D50">
        <w:t>.</w:t>
      </w:r>
      <w:r w:rsidR="008D0B55">
        <w:t>,</w:t>
      </w:r>
      <w:r w:rsidR="00C023DA" w:rsidRPr="002D4D50">
        <w:t xml:space="preserve"> 2005), </w:t>
      </w:r>
      <w:r w:rsidR="00340676" w:rsidRPr="002D4D50">
        <w:t xml:space="preserve">it is both theoretically and empirically </w:t>
      </w:r>
      <w:r w:rsidR="00376DA4" w:rsidRPr="002D4D50">
        <w:t xml:space="preserve">possible that </w:t>
      </w:r>
      <w:r w:rsidR="00B4384D" w:rsidRPr="002D4D50">
        <w:t xml:space="preserve">far right core </w:t>
      </w:r>
      <w:r w:rsidR="00376DA4" w:rsidRPr="002D4D50">
        <w:t xml:space="preserve">voters behave </w:t>
      </w:r>
      <w:r w:rsidR="00B4384D" w:rsidRPr="002D4D50">
        <w:t>differently to peripheral</w:t>
      </w:r>
      <w:r w:rsidR="00376DA4" w:rsidRPr="002D4D50">
        <w:t xml:space="preserve"> voters</w:t>
      </w:r>
      <w:r w:rsidR="00B4384D" w:rsidRPr="002D4D50">
        <w:t xml:space="preserve">. </w:t>
      </w:r>
      <w:r w:rsidR="00A97690" w:rsidRPr="002D4D50">
        <w:t>On the one hand, core voters are more likely to be ideological</w:t>
      </w:r>
      <w:r w:rsidR="00E77238" w:rsidRPr="002D4D50">
        <w:t xml:space="preserve"> </w:t>
      </w:r>
      <w:r w:rsidR="00A97690" w:rsidRPr="002D4D50">
        <w:t>-or principled (</w:t>
      </w:r>
      <w:proofErr w:type="spellStart"/>
      <w:r w:rsidR="00A97690" w:rsidRPr="002D4D50">
        <w:t>Rydgren</w:t>
      </w:r>
      <w:proofErr w:type="spellEnd"/>
      <w:r w:rsidR="008D0B55">
        <w:t>,</w:t>
      </w:r>
      <w:r w:rsidR="00A97690" w:rsidRPr="002D4D50">
        <w:t xml:space="preserve"> 2008), while, on the other hand, peripheral voters </w:t>
      </w:r>
      <w:r w:rsidR="005C6D4E" w:rsidRPr="002D4D50">
        <w:t xml:space="preserve">are </w:t>
      </w:r>
      <w:r w:rsidR="00A97690" w:rsidRPr="002D4D50">
        <w:t>often motivated by their desire to express their discontent (</w:t>
      </w:r>
      <w:r w:rsidR="00CE2394" w:rsidRPr="002D4D50">
        <w:t>v</w:t>
      </w:r>
      <w:r w:rsidR="00A97690" w:rsidRPr="002D4D50">
        <w:t>an de</w:t>
      </w:r>
      <w:r w:rsidR="00952423" w:rsidRPr="002D4D50">
        <w:t>r</w:t>
      </w:r>
      <w:r w:rsidR="00A97690" w:rsidRPr="002D4D50">
        <w:t xml:space="preserve"> </w:t>
      </w:r>
      <w:proofErr w:type="spellStart"/>
      <w:r w:rsidR="00A97690" w:rsidRPr="002D4D50">
        <w:t>Brug</w:t>
      </w:r>
      <w:proofErr w:type="spellEnd"/>
      <w:r w:rsidR="00A97690" w:rsidRPr="002D4D50">
        <w:t xml:space="preserve"> and </w:t>
      </w:r>
      <w:proofErr w:type="spellStart"/>
      <w:r w:rsidR="00A97690" w:rsidRPr="002D4D50">
        <w:t>Fennema</w:t>
      </w:r>
      <w:proofErr w:type="spellEnd"/>
      <w:r w:rsidR="008D0B55">
        <w:t>,</w:t>
      </w:r>
      <w:r w:rsidR="00A97690" w:rsidRPr="002D4D50">
        <w:t xml:space="preserve"> 2007; </w:t>
      </w:r>
      <w:proofErr w:type="spellStart"/>
      <w:r w:rsidR="00A97690" w:rsidRPr="002D4D50">
        <w:t>Voogd</w:t>
      </w:r>
      <w:proofErr w:type="spellEnd"/>
      <w:r w:rsidR="00A97690" w:rsidRPr="002D4D50">
        <w:t xml:space="preserve"> et al</w:t>
      </w:r>
      <w:r w:rsidR="00CE2394" w:rsidRPr="002D4D50">
        <w:t>.</w:t>
      </w:r>
      <w:r w:rsidR="008D0B55">
        <w:t>,</w:t>
      </w:r>
      <w:r w:rsidR="00A97690" w:rsidRPr="002D4D50">
        <w:t xml:space="preserve"> 2019). The important distinction between </w:t>
      </w:r>
      <w:r w:rsidR="00EB54CE" w:rsidRPr="002D4D50">
        <w:t xml:space="preserve">galvanising </w:t>
      </w:r>
      <w:r w:rsidR="00A97690" w:rsidRPr="002D4D50">
        <w:t>the</w:t>
      </w:r>
      <w:r w:rsidR="00EB54CE" w:rsidRPr="002D4D50">
        <w:t xml:space="preserve"> core constituency and mobilising </w:t>
      </w:r>
      <w:r w:rsidR="00A97690" w:rsidRPr="002D4D50">
        <w:t>the</w:t>
      </w:r>
      <w:r w:rsidR="00EB54CE" w:rsidRPr="002D4D50">
        <w:t xml:space="preserve"> broader public (</w:t>
      </w:r>
      <w:proofErr w:type="spellStart"/>
      <w:r w:rsidR="00EB54CE" w:rsidRPr="002D4D50">
        <w:t>Sniderman</w:t>
      </w:r>
      <w:proofErr w:type="spellEnd"/>
      <w:r w:rsidR="00EB54CE" w:rsidRPr="002D4D50">
        <w:t xml:space="preserve"> et al</w:t>
      </w:r>
      <w:r w:rsidR="00CE2394" w:rsidRPr="002D4D50">
        <w:t>.</w:t>
      </w:r>
      <w:r w:rsidR="008D0B55">
        <w:t>,</w:t>
      </w:r>
      <w:r w:rsidR="00EB54CE" w:rsidRPr="002D4D50">
        <w:t xml:space="preserve"> 2004: 36)</w:t>
      </w:r>
      <w:r w:rsidR="00A97690" w:rsidRPr="002D4D50">
        <w:t xml:space="preserve"> </w:t>
      </w:r>
      <w:r w:rsidR="0068473F" w:rsidRPr="002D4D50">
        <w:t xml:space="preserve">could explain why </w:t>
      </w:r>
      <w:r w:rsidR="00EE0B57" w:rsidRPr="002D4D50">
        <w:t>individuals</w:t>
      </w:r>
      <w:r w:rsidR="0068473F" w:rsidRPr="002D4D50">
        <w:t xml:space="preserve"> with different preferences may vote for the same party, </w:t>
      </w:r>
      <w:proofErr w:type="gramStart"/>
      <w:r w:rsidR="0068473F" w:rsidRPr="002D4D50">
        <w:t xml:space="preserve">and </w:t>
      </w:r>
      <w:r w:rsidR="00534D8E" w:rsidRPr="002D4D50">
        <w:t>also</w:t>
      </w:r>
      <w:proofErr w:type="gramEnd"/>
      <w:r w:rsidR="00534D8E" w:rsidRPr="002D4D50">
        <w:t xml:space="preserve"> the counter-intuitive finding</w:t>
      </w:r>
      <w:r w:rsidR="0068473F" w:rsidRPr="002D4D50">
        <w:t xml:space="preserve"> that </w:t>
      </w:r>
      <w:r w:rsidR="000511FA" w:rsidRPr="002D4D50">
        <w:t xml:space="preserve">voters of anti-establishment parties are not always </w:t>
      </w:r>
      <w:r w:rsidR="00EB6E4E" w:rsidRPr="002D4D50">
        <w:t>critical</w:t>
      </w:r>
      <w:r w:rsidR="0074670A" w:rsidRPr="002D4D50">
        <w:t xml:space="preserve"> of the democratic process </w:t>
      </w:r>
      <w:r w:rsidR="0068473F" w:rsidRPr="002D4D50">
        <w:t>(Norris</w:t>
      </w:r>
      <w:r w:rsidR="008D0B55">
        <w:t>,</w:t>
      </w:r>
      <w:r w:rsidR="0068473F" w:rsidRPr="002D4D50">
        <w:t xml:space="preserve"> 2005). </w:t>
      </w:r>
    </w:p>
    <w:p w14:paraId="09FBE89F" w14:textId="77777777" w:rsidR="0068473F" w:rsidRPr="002D4D50" w:rsidRDefault="0068473F" w:rsidP="00ED02A7">
      <w:pPr>
        <w:spacing w:line="480" w:lineRule="auto"/>
        <w:jc w:val="both"/>
        <w:rPr>
          <w:color w:val="FF0000"/>
        </w:rPr>
      </w:pPr>
    </w:p>
    <w:p w14:paraId="2137863E" w14:textId="2FDFADD6" w:rsidR="003876D2" w:rsidRPr="002D4D50" w:rsidRDefault="00E2392A" w:rsidP="008B6439">
      <w:pPr>
        <w:spacing w:line="480" w:lineRule="auto"/>
        <w:jc w:val="both"/>
        <w:rPr>
          <w:color w:val="000000" w:themeColor="text1"/>
        </w:rPr>
      </w:pPr>
      <w:r w:rsidRPr="002D4D50">
        <w:t xml:space="preserve">Who </w:t>
      </w:r>
      <w:proofErr w:type="gramStart"/>
      <w:r w:rsidRPr="002D4D50">
        <w:t>are</w:t>
      </w:r>
      <w:proofErr w:type="gramEnd"/>
      <w:r w:rsidRPr="002D4D50">
        <w:t xml:space="preserve"> the </w:t>
      </w:r>
      <w:r w:rsidR="002F58D4" w:rsidRPr="002D4D50">
        <w:t xml:space="preserve">core far right voters? </w:t>
      </w:r>
      <w:r w:rsidR="008B6439" w:rsidRPr="002D4D50">
        <w:t xml:space="preserve">There is an emerging literature that focuses on the heterogeneity of the </w:t>
      </w:r>
      <w:proofErr w:type="gramStart"/>
      <w:r w:rsidR="008B6439" w:rsidRPr="002D4D50">
        <w:t>far right</w:t>
      </w:r>
      <w:proofErr w:type="gramEnd"/>
      <w:r w:rsidR="008B6439" w:rsidRPr="002D4D50">
        <w:t xml:space="preserve"> electorate (</w:t>
      </w:r>
      <w:proofErr w:type="spellStart"/>
      <w:r w:rsidR="00777E0C" w:rsidRPr="002D4D50">
        <w:rPr>
          <w:color w:val="000000" w:themeColor="text1"/>
        </w:rPr>
        <w:t>Damhuis</w:t>
      </w:r>
      <w:proofErr w:type="spellEnd"/>
      <w:r w:rsidR="008D0B55">
        <w:rPr>
          <w:color w:val="000000" w:themeColor="text1"/>
        </w:rPr>
        <w:t>,</w:t>
      </w:r>
      <w:r w:rsidR="00777E0C" w:rsidRPr="002D4D50">
        <w:rPr>
          <w:color w:val="000000" w:themeColor="text1"/>
        </w:rPr>
        <w:t xml:space="preserve"> 2020; </w:t>
      </w:r>
      <w:proofErr w:type="spellStart"/>
      <w:r w:rsidR="00777E0C" w:rsidRPr="002D4D50">
        <w:rPr>
          <w:color w:val="000000" w:themeColor="text1"/>
        </w:rPr>
        <w:t>Halikiopoulou</w:t>
      </w:r>
      <w:proofErr w:type="spellEnd"/>
      <w:r w:rsidR="00777E0C" w:rsidRPr="002D4D50">
        <w:rPr>
          <w:color w:val="000000" w:themeColor="text1"/>
        </w:rPr>
        <w:t xml:space="preserve"> and </w:t>
      </w:r>
      <w:proofErr w:type="spellStart"/>
      <w:r w:rsidR="00777E0C" w:rsidRPr="002D4D50">
        <w:rPr>
          <w:color w:val="000000" w:themeColor="text1"/>
        </w:rPr>
        <w:t>Vlandas</w:t>
      </w:r>
      <w:proofErr w:type="spellEnd"/>
      <w:r w:rsidR="008D0B55">
        <w:rPr>
          <w:color w:val="000000" w:themeColor="text1"/>
        </w:rPr>
        <w:t>,</w:t>
      </w:r>
      <w:r w:rsidR="00777E0C" w:rsidRPr="002D4D50">
        <w:rPr>
          <w:color w:val="000000" w:themeColor="text1"/>
        </w:rPr>
        <w:t xml:space="preserve"> 2020; </w:t>
      </w:r>
      <w:r w:rsidR="008D0B55" w:rsidRPr="002D4D50">
        <w:rPr>
          <w:color w:val="000000" w:themeColor="text1"/>
        </w:rPr>
        <w:t>Steiner et al</w:t>
      </w:r>
      <w:r w:rsidR="008D0B55">
        <w:rPr>
          <w:color w:val="000000" w:themeColor="text1"/>
        </w:rPr>
        <w:t>.,</w:t>
      </w:r>
      <w:r w:rsidR="008D0B55" w:rsidRPr="002D4D50">
        <w:rPr>
          <w:color w:val="000000" w:themeColor="text1"/>
        </w:rPr>
        <w:t xml:space="preserve"> 2022</w:t>
      </w:r>
      <w:r w:rsidR="008D0B55">
        <w:rPr>
          <w:color w:val="000000" w:themeColor="text1"/>
        </w:rPr>
        <w:t xml:space="preserve">; </w:t>
      </w:r>
      <w:proofErr w:type="spellStart"/>
      <w:r w:rsidR="00CD6631" w:rsidRPr="002D4D50">
        <w:rPr>
          <w:color w:val="000000" w:themeColor="text1"/>
        </w:rPr>
        <w:t>Stockemer</w:t>
      </w:r>
      <w:proofErr w:type="spellEnd"/>
      <w:r w:rsidR="00CD6631" w:rsidRPr="002D4D50">
        <w:rPr>
          <w:color w:val="000000" w:themeColor="text1"/>
        </w:rPr>
        <w:t xml:space="preserve"> et al</w:t>
      </w:r>
      <w:r w:rsidR="008D0B55">
        <w:rPr>
          <w:color w:val="000000" w:themeColor="text1"/>
        </w:rPr>
        <w:t>.,</w:t>
      </w:r>
      <w:r w:rsidR="00CD6631" w:rsidRPr="002D4D50">
        <w:rPr>
          <w:color w:val="000000" w:themeColor="text1"/>
        </w:rPr>
        <w:t xml:space="preserve"> 2021</w:t>
      </w:r>
      <w:r w:rsidR="008B6439" w:rsidRPr="002D4D50">
        <w:t xml:space="preserve">). </w:t>
      </w:r>
      <w:r w:rsidR="008B6439" w:rsidRPr="002D4D50">
        <w:rPr>
          <w:color w:val="000000" w:themeColor="text1"/>
        </w:rPr>
        <w:t xml:space="preserve">This literature suggests that the </w:t>
      </w:r>
      <w:proofErr w:type="gramStart"/>
      <w:r w:rsidR="008B6439" w:rsidRPr="002D4D50">
        <w:rPr>
          <w:color w:val="000000" w:themeColor="text1"/>
        </w:rPr>
        <w:t>far right</w:t>
      </w:r>
      <w:proofErr w:type="gramEnd"/>
      <w:r w:rsidR="008B6439" w:rsidRPr="002D4D50">
        <w:rPr>
          <w:color w:val="000000" w:themeColor="text1"/>
        </w:rPr>
        <w:t xml:space="preserve"> electorate consists of ‘multiple subgroups of supporters varying in terms of social, </w:t>
      </w:r>
      <w:r w:rsidR="008B6439" w:rsidRPr="002D4D50">
        <w:rPr>
          <w:color w:val="000000" w:themeColor="text1"/>
        </w:rPr>
        <w:lastRenderedPageBreak/>
        <w:t xml:space="preserve">normative and </w:t>
      </w:r>
      <w:r w:rsidR="00584CD8" w:rsidRPr="002D4D50">
        <w:rPr>
          <w:color w:val="000000" w:themeColor="text1"/>
        </w:rPr>
        <w:t>evaluative</w:t>
      </w:r>
      <w:r w:rsidR="008B6439" w:rsidRPr="002D4D50">
        <w:rPr>
          <w:color w:val="000000" w:themeColor="text1"/>
        </w:rPr>
        <w:t xml:space="preserve"> characteristics’ (</w:t>
      </w:r>
      <w:proofErr w:type="spellStart"/>
      <w:r w:rsidR="008B6439" w:rsidRPr="002D4D50">
        <w:rPr>
          <w:color w:val="000000" w:themeColor="text1"/>
        </w:rPr>
        <w:t>Damhuis</w:t>
      </w:r>
      <w:proofErr w:type="spellEnd"/>
      <w:r w:rsidR="008D0B55">
        <w:rPr>
          <w:color w:val="000000" w:themeColor="text1"/>
        </w:rPr>
        <w:t>,</w:t>
      </w:r>
      <w:r w:rsidR="008B6439" w:rsidRPr="002D4D50">
        <w:rPr>
          <w:color w:val="000000" w:themeColor="text1"/>
        </w:rPr>
        <w:t xml:space="preserve"> 2020: 19).</w:t>
      </w:r>
      <w:r w:rsidR="008B6439" w:rsidRPr="002D4D50">
        <w:rPr>
          <w:color w:val="FF0000"/>
        </w:rPr>
        <w:t xml:space="preserve"> </w:t>
      </w:r>
      <w:r w:rsidR="008B6439" w:rsidRPr="002D4D50">
        <w:rPr>
          <w:color w:val="000000" w:themeColor="text1"/>
        </w:rPr>
        <w:t xml:space="preserve">While these different subgroups may </w:t>
      </w:r>
      <w:r w:rsidR="002A5445" w:rsidRPr="002D4D50">
        <w:rPr>
          <w:color w:val="000000" w:themeColor="text1"/>
        </w:rPr>
        <w:t>range</w:t>
      </w:r>
      <w:r w:rsidR="008B6439" w:rsidRPr="002D4D50">
        <w:rPr>
          <w:color w:val="000000" w:themeColor="text1"/>
        </w:rPr>
        <w:t xml:space="preserve"> socio-demographically, they tend to be united by some of their attitudes. For example</w:t>
      </w:r>
      <w:r w:rsidR="008D0B55">
        <w:rPr>
          <w:color w:val="000000" w:themeColor="text1"/>
        </w:rPr>
        <w:t>,</w:t>
      </w:r>
      <w:r w:rsidR="008B6439" w:rsidRPr="002D4D50">
        <w:rPr>
          <w:color w:val="000000" w:themeColor="text1"/>
        </w:rPr>
        <w:t xml:space="preserve"> Steiner et al</w:t>
      </w:r>
      <w:r w:rsidR="008D0B55">
        <w:rPr>
          <w:color w:val="000000" w:themeColor="text1"/>
        </w:rPr>
        <w:t>.</w:t>
      </w:r>
      <w:r w:rsidR="008B6439" w:rsidRPr="002D4D50">
        <w:rPr>
          <w:color w:val="000000" w:themeColor="text1"/>
        </w:rPr>
        <w:t xml:space="preserve"> (2022) focus on perceptions of being left behind and feelings of lacking societal recognition; </w:t>
      </w:r>
      <w:proofErr w:type="spellStart"/>
      <w:r w:rsidR="008B6439" w:rsidRPr="002D4D50">
        <w:rPr>
          <w:color w:val="000000" w:themeColor="text1"/>
        </w:rPr>
        <w:t>Stockemer</w:t>
      </w:r>
      <w:proofErr w:type="spellEnd"/>
      <w:r w:rsidR="008B6439" w:rsidRPr="002D4D50">
        <w:rPr>
          <w:color w:val="000000" w:themeColor="text1"/>
        </w:rPr>
        <w:t xml:space="preserve"> et al</w:t>
      </w:r>
      <w:r w:rsidR="008D0B55">
        <w:rPr>
          <w:color w:val="000000" w:themeColor="text1"/>
        </w:rPr>
        <w:t>.</w:t>
      </w:r>
      <w:r w:rsidR="008B6439" w:rsidRPr="002D4D50">
        <w:rPr>
          <w:color w:val="000000" w:themeColor="text1"/>
        </w:rPr>
        <w:t xml:space="preserve"> (2021) focus on negative attitudes towards immigrants. We adopt a similar approach </w:t>
      </w:r>
      <w:r w:rsidR="003876D2" w:rsidRPr="002D4D50">
        <w:rPr>
          <w:color w:val="000000" w:themeColor="text1"/>
        </w:rPr>
        <w:t>focusing on attitudinal characteristics</w:t>
      </w:r>
      <w:r w:rsidR="002A5445" w:rsidRPr="002D4D50">
        <w:rPr>
          <w:color w:val="000000" w:themeColor="text1"/>
        </w:rPr>
        <w:t>, specifically anti-immigration attitudes,</w:t>
      </w:r>
      <w:r w:rsidR="003876D2" w:rsidRPr="002D4D50">
        <w:rPr>
          <w:color w:val="000000" w:themeColor="text1"/>
        </w:rPr>
        <w:t xml:space="preserve"> which we relate directly to the core far right party ideology. </w:t>
      </w:r>
    </w:p>
    <w:p w14:paraId="70953A2C" w14:textId="77777777" w:rsidR="008C6992" w:rsidRPr="002D4D50" w:rsidRDefault="008C6992" w:rsidP="008B6439">
      <w:pPr>
        <w:spacing w:line="480" w:lineRule="auto"/>
        <w:jc w:val="both"/>
        <w:rPr>
          <w:color w:val="000000" w:themeColor="text1"/>
        </w:rPr>
      </w:pPr>
    </w:p>
    <w:p w14:paraId="4B877DA0" w14:textId="7E112AB3" w:rsidR="00424CA5" w:rsidRPr="002D4D50" w:rsidRDefault="00C52BC4" w:rsidP="00ED02A7">
      <w:pPr>
        <w:spacing w:line="480" w:lineRule="auto"/>
        <w:jc w:val="both"/>
        <w:rPr>
          <w:color w:val="FF0000"/>
        </w:rPr>
      </w:pPr>
      <w:r w:rsidRPr="002D4D50">
        <w:t xml:space="preserve">Far right party ideology </w:t>
      </w:r>
      <w:r w:rsidR="00EA0069" w:rsidRPr="002D4D50">
        <w:t>combines nationalism with xenophobia (</w:t>
      </w:r>
      <w:proofErr w:type="spellStart"/>
      <w:r w:rsidR="008D0B55" w:rsidRPr="002D4D50">
        <w:rPr>
          <w:color w:val="000000" w:themeColor="text1"/>
        </w:rPr>
        <w:t>Bonikowski</w:t>
      </w:r>
      <w:proofErr w:type="spellEnd"/>
      <w:r w:rsidR="008D0B55">
        <w:rPr>
          <w:color w:val="000000" w:themeColor="text1"/>
        </w:rPr>
        <w:t>,</w:t>
      </w:r>
      <w:r w:rsidR="008D0B55" w:rsidRPr="002D4D50">
        <w:rPr>
          <w:color w:val="000000" w:themeColor="text1"/>
        </w:rPr>
        <w:t xml:space="preserve"> 2017</w:t>
      </w:r>
      <w:r w:rsidR="008D0B55">
        <w:rPr>
          <w:color w:val="000000" w:themeColor="text1"/>
        </w:rPr>
        <w:t xml:space="preserve">; </w:t>
      </w:r>
      <w:proofErr w:type="spellStart"/>
      <w:r w:rsidR="001802A2" w:rsidRPr="002D4D50">
        <w:t>Halikiopoulou</w:t>
      </w:r>
      <w:proofErr w:type="spellEnd"/>
      <w:r w:rsidR="001802A2" w:rsidRPr="002D4D50">
        <w:t xml:space="preserve"> et al.</w:t>
      </w:r>
      <w:r w:rsidR="008D0B55">
        <w:t>,</w:t>
      </w:r>
      <w:r w:rsidR="001802A2" w:rsidRPr="002D4D50">
        <w:t xml:space="preserve"> 2013; </w:t>
      </w:r>
      <w:r w:rsidR="003D2204" w:rsidRPr="002D4D50">
        <w:t>Golder</w:t>
      </w:r>
      <w:r w:rsidR="008D0B55">
        <w:t>,</w:t>
      </w:r>
      <w:r w:rsidR="003D2204" w:rsidRPr="002D4D50">
        <w:t xml:space="preserve"> 2016</w:t>
      </w:r>
      <w:r w:rsidR="006C691B" w:rsidRPr="002D4D50">
        <w:rPr>
          <w:color w:val="000000" w:themeColor="text1"/>
        </w:rPr>
        <w:t xml:space="preserve">; </w:t>
      </w:r>
      <w:r w:rsidR="003D2204" w:rsidRPr="002D4D50">
        <w:t>Lubbers</w:t>
      </w:r>
      <w:r w:rsidR="008D0B55">
        <w:t>,</w:t>
      </w:r>
      <w:r w:rsidR="003D2204" w:rsidRPr="002D4D50">
        <w:t xml:space="preserve"> 201</w:t>
      </w:r>
      <w:r w:rsidR="003D2204" w:rsidRPr="002D4D50">
        <w:rPr>
          <w:color w:val="000000" w:themeColor="text1"/>
        </w:rPr>
        <w:t>9</w:t>
      </w:r>
      <w:r w:rsidR="00EA0069" w:rsidRPr="002D4D50">
        <w:rPr>
          <w:color w:val="000000" w:themeColor="text1"/>
        </w:rPr>
        <w:t xml:space="preserve">). </w:t>
      </w:r>
      <w:r w:rsidR="00844019" w:rsidRPr="002D4D50">
        <w:rPr>
          <w:color w:val="000000" w:themeColor="text1"/>
        </w:rPr>
        <w:t xml:space="preserve">Both radical and extreme </w:t>
      </w:r>
      <w:r w:rsidR="00286964" w:rsidRPr="002D4D50">
        <w:rPr>
          <w:color w:val="000000" w:themeColor="text1"/>
        </w:rPr>
        <w:t xml:space="preserve">right </w:t>
      </w:r>
      <w:r w:rsidR="00844019" w:rsidRPr="002D4D50">
        <w:rPr>
          <w:color w:val="000000" w:themeColor="text1"/>
        </w:rPr>
        <w:t>variants</w:t>
      </w:r>
      <w:r w:rsidR="00286964" w:rsidRPr="002D4D50">
        <w:rPr>
          <w:color w:val="FF0000"/>
        </w:rPr>
        <w:t xml:space="preserve"> </w:t>
      </w:r>
      <w:r w:rsidR="004D400F" w:rsidRPr="002D4D50">
        <w:t xml:space="preserve">view society through the prism of a </w:t>
      </w:r>
      <w:r w:rsidR="00A97690" w:rsidRPr="002D4D50">
        <w:t xml:space="preserve">purported </w:t>
      </w:r>
      <w:r w:rsidR="004D400F" w:rsidRPr="002D4D50">
        <w:t>conflict between insiders and outsiders, pledge to prioritise</w:t>
      </w:r>
      <w:r w:rsidR="00E77238" w:rsidRPr="002D4D50">
        <w:t xml:space="preserve"> </w:t>
      </w:r>
      <w:r w:rsidR="004D400F" w:rsidRPr="002D4D50">
        <w:t>-and always protect</w:t>
      </w:r>
      <w:r w:rsidR="008E2976" w:rsidRPr="002D4D50">
        <w:t>- the interests of th</w:t>
      </w:r>
      <w:r w:rsidR="004D400F" w:rsidRPr="002D4D50">
        <w:t>e former over and against the latter</w:t>
      </w:r>
      <w:r w:rsidR="00C40C8A" w:rsidRPr="002D4D50">
        <w:t>.</w:t>
      </w:r>
      <w:r w:rsidR="002E7A11" w:rsidRPr="002D4D50">
        <w:t xml:space="preserve"> </w:t>
      </w:r>
      <w:r w:rsidR="00844019" w:rsidRPr="002D4D50">
        <w:rPr>
          <w:color w:val="000000" w:themeColor="text1"/>
        </w:rPr>
        <w:t>Through an identity-based discourse (</w:t>
      </w:r>
      <w:proofErr w:type="spellStart"/>
      <w:r w:rsidR="00844019" w:rsidRPr="002D4D50">
        <w:rPr>
          <w:color w:val="000000" w:themeColor="text1"/>
        </w:rPr>
        <w:t>Bonikowski</w:t>
      </w:r>
      <w:proofErr w:type="spellEnd"/>
      <w:r w:rsidR="008D0B55">
        <w:rPr>
          <w:color w:val="000000" w:themeColor="text1"/>
        </w:rPr>
        <w:t>,</w:t>
      </w:r>
      <w:r w:rsidR="00844019" w:rsidRPr="002D4D50">
        <w:rPr>
          <w:color w:val="000000" w:themeColor="text1"/>
        </w:rPr>
        <w:t xml:space="preserve"> 2017), </w:t>
      </w:r>
      <w:r w:rsidR="00A649D5">
        <w:t>far right parties</w:t>
      </w:r>
      <w:r w:rsidR="00D65A5D" w:rsidRPr="002D4D50">
        <w:t xml:space="preserve"> emphasise differences between cultures, and suggest it is imperative to keep them apart </w:t>
      </w:r>
      <w:proofErr w:type="gramStart"/>
      <w:r w:rsidR="00D65A5D" w:rsidRPr="002D4D50">
        <w:t>in order to</w:t>
      </w:r>
      <w:proofErr w:type="gramEnd"/>
      <w:r w:rsidR="00D65A5D" w:rsidRPr="002D4D50">
        <w:t xml:space="preserve"> preserve their unique features intact. </w:t>
      </w:r>
      <w:r w:rsidR="001802A2" w:rsidRPr="002D4D50">
        <w:t>Far right parties may define i</w:t>
      </w:r>
      <w:r w:rsidR="00D65A5D" w:rsidRPr="002D4D50">
        <w:t xml:space="preserve">n-groups and out-groups with reference to ascriptive criteria of </w:t>
      </w:r>
      <w:r w:rsidR="001802A2" w:rsidRPr="002D4D50">
        <w:t xml:space="preserve">national </w:t>
      </w:r>
      <w:r w:rsidR="00D65A5D" w:rsidRPr="002D4D50">
        <w:t>belonging -hence</w:t>
      </w:r>
      <w:r w:rsidR="001802A2" w:rsidRPr="002D4D50">
        <w:t xml:space="preserve"> employing an explicitly </w:t>
      </w:r>
      <w:r w:rsidR="00D65A5D" w:rsidRPr="002D4D50">
        <w:t xml:space="preserve">nativist </w:t>
      </w:r>
      <w:r w:rsidR="001802A2" w:rsidRPr="002D4D50">
        <w:t>narrative</w:t>
      </w:r>
      <w:r w:rsidR="00D65A5D" w:rsidRPr="002D4D50">
        <w:t xml:space="preserve">; or </w:t>
      </w:r>
      <w:proofErr w:type="gramStart"/>
      <w:r w:rsidR="00D65A5D" w:rsidRPr="002D4D50">
        <w:t>on the basis of</w:t>
      </w:r>
      <w:proofErr w:type="gramEnd"/>
      <w:r w:rsidR="00D65A5D" w:rsidRPr="002D4D50">
        <w:t xml:space="preserve"> ideological criteria of national belonging </w:t>
      </w:r>
      <w:r w:rsidR="001802A2" w:rsidRPr="002D4D50">
        <w:t>– hence employing a predominately civic nationalist narrative (Halikiopoulou et al.</w:t>
      </w:r>
      <w:r w:rsidR="008D0B55">
        <w:t>,</w:t>
      </w:r>
      <w:r w:rsidR="001802A2" w:rsidRPr="002D4D50">
        <w:t xml:space="preserve"> 2013). </w:t>
      </w:r>
      <w:r w:rsidR="00A82C3E" w:rsidRPr="002D4D50">
        <w:t xml:space="preserve">These parties </w:t>
      </w:r>
      <w:r w:rsidR="001802A2" w:rsidRPr="002D4D50">
        <w:t xml:space="preserve">centre </w:t>
      </w:r>
      <w:r w:rsidR="003024BC" w:rsidRPr="002D4D50">
        <w:t>their programmatic agendas on the issue of immigration</w:t>
      </w:r>
      <w:r w:rsidR="004D400F" w:rsidRPr="002D4D50">
        <w:t>,</w:t>
      </w:r>
      <w:r w:rsidR="003024BC" w:rsidRPr="002D4D50">
        <w:t xml:space="preserve"> </w:t>
      </w:r>
      <w:r w:rsidR="0066440D" w:rsidRPr="002D4D50">
        <w:t xml:space="preserve">which they view as harmful to the nation-state and its identity. </w:t>
      </w:r>
      <w:r w:rsidR="00145207" w:rsidRPr="002D4D50">
        <w:t xml:space="preserve">They </w:t>
      </w:r>
      <w:r w:rsidR="003024BC" w:rsidRPr="002D4D50">
        <w:t>compete by emphasising extreme positions on immigration (</w:t>
      </w:r>
      <w:r w:rsidR="008B7D7F" w:rsidRPr="002D4D50">
        <w:t>v</w:t>
      </w:r>
      <w:r w:rsidR="003024BC" w:rsidRPr="002D4D50">
        <w:t xml:space="preserve">an </w:t>
      </w:r>
      <w:proofErr w:type="spellStart"/>
      <w:r w:rsidR="003024BC" w:rsidRPr="002D4D50">
        <w:t>Spanje</w:t>
      </w:r>
      <w:proofErr w:type="spellEnd"/>
      <w:r w:rsidR="008D0B55">
        <w:t>,</w:t>
      </w:r>
      <w:r w:rsidR="003024BC" w:rsidRPr="002D4D50">
        <w:t xml:space="preserve"> 2010; Wagner and Meyer</w:t>
      </w:r>
      <w:r w:rsidR="008D0B55">
        <w:t>,</w:t>
      </w:r>
      <w:r w:rsidR="003024BC" w:rsidRPr="002D4D50">
        <w:t xml:space="preserve"> 2016) and frame immigrants as a threat to various dimensions of national cohesion, including economic and value-cultural (e.g.</w:t>
      </w:r>
      <w:r w:rsidR="008D0B55">
        <w:t>,</w:t>
      </w:r>
      <w:r w:rsidR="003024BC" w:rsidRPr="002D4D50">
        <w:t xml:space="preserve"> </w:t>
      </w:r>
      <w:proofErr w:type="spellStart"/>
      <w:r w:rsidR="003024BC" w:rsidRPr="002D4D50">
        <w:t>Rydgren</w:t>
      </w:r>
      <w:proofErr w:type="spellEnd"/>
      <w:r w:rsidR="008D0B55">
        <w:t>,</w:t>
      </w:r>
      <w:r w:rsidR="003024BC" w:rsidRPr="002D4D50">
        <w:t xml:space="preserve"> 2008).</w:t>
      </w:r>
      <w:r w:rsidR="00803BF8" w:rsidRPr="002D4D50">
        <w:t xml:space="preserve"> </w:t>
      </w:r>
      <w:r w:rsidR="003024BC" w:rsidRPr="002D4D50">
        <w:t xml:space="preserve">They </w:t>
      </w:r>
      <w:r w:rsidR="008F55F9" w:rsidRPr="002D4D50">
        <w:t xml:space="preserve">also </w:t>
      </w:r>
      <w:r w:rsidR="00427B20" w:rsidRPr="002D4D50">
        <w:t xml:space="preserve">advocate discrimination in access to </w:t>
      </w:r>
      <w:r w:rsidR="00427B20" w:rsidRPr="002D4D50">
        <w:lastRenderedPageBreak/>
        <w:t>welfare services based on native citizenship (</w:t>
      </w:r>
      <w:r w:rsidR="008B7D7F" w:rsidRPr="002D4D50">
        <w:t xml:space="preserve">Afonso and </w:t>
      </w:r>
      <w:proofErr w:type="spellStart"/>
      <w:r w:rsidR="008B7D7F" w:rsidRPr="002D4D50">
        <w:t>Renwald</w:t>
      </w:r>
      <w:proofErr w:type="spellEnd"/>
      <w:r w:rsidR="008D0B55">
        <w:t>,</w:t>
      </w:r>
      <w:r w:rsidR="008B7D7F" w:rsidRPr="002D4D50">
        <w:t xml:space="preserve"> 201</w:t>
      </w:r>
      <w:r w:rsidR="004308E1">
        <w:t>8</w:t>
      </w:r>
      <w:r w:rsidR="008B7D7F" w:rsidRPr="002D4D50">
        <w:t xml:space="preserve">; </w:t>
      </w:r>
      <w:proofErr w:type="spellStart"/>
      <w:r w:rsidR="008B7D7F" w:rsidRPr="002D4D50">
        <w:t>Magni</w:t>
      </w:r>
      <w:proofErr w:type="spellEnd"/>
      <w:r w:rsidR="008D0B55">
        <w:t>,</w:t>
      </w:r>
      <w:r w:rsidR="008B7D7F" w:rsidRPr="002D4D50">
        <w:t xml:space="preserve"> 2020</w:t>
      </w:r>
      <w:r w:rsidR="00427B20" w:rsidRPr="002D4D50">
        <w:t xml:space="preserve">). </w:t>
      </w:r>
      <w:r w:rsidR="00D5049E" w:rsidRPr="002D4D50">
        <w:t xml:space="preserve">The increasing association of </w:t>
      </w:r>
      <w:proofErr w:type="gramStart"/>
      <w:r w:rsidR="00D5049E" w:rsidRPr="002D4D50">
        <w:t>far right</w:t>
      </w:r>
      <w:proofErr w:type="gramEnd"/>
      <w:r w:rsidR="00D5049E" w:rsidRPr="002D4D50">
        <w:t xml:space="preserve"> parties with the immigration issu</w:t>
      </w:r>
      <w:r w:rsidR="003024BC" w:rsidRPr="002D4D50">
        <w:t>e can be attributed both to the</w:t>
      </w:r>
      <w:r w:rsidR="00D5049E" w:rsidRPr="002D4D50">
        <w:t xml:space="preserve"> ideological compatibility </w:t>
      </w:r>
      <w:r w:rsidR="003024BC" w:rsidRPr="002D4D50">
        <w:t>between nationalism and immigration scepticism</w:t>
      </w:r>
      <w:r w:rsidR="00C802EF" w:rsidRPr="002D4D50">
        <w:t xml:space="preserve"> (Lubbers</w:t>
      </w:r>
      <w:r w:rsidR="008D0B55">
        <w:t>,</w:t>
      </w:r>
      <w:r w:rsidR="00C802EF" w:rsidRPr="002D4D50">
        <w:t xml:space="preserve"> 20</w:t>
      </w:r>
      <w:r w:rsidR="001502F2" w:rsidRPr="002D4D50">
        <w:t>19</w:t>
      </w:r>
      <w:r w:rsidR="00C802EF" w:rsidRPr="002D4D50">
        <w:t>)</w:t>
      </w:r>
      <w:r w:rsidR="003024BC" w:rsidRPr="002D4D50">
        <w:t xml:space="preserve">, </w:t>
      </w:r>
      <w:r w:rsidR="00D5049E" w:rsidRPr="002D4D50">
        <w:t>as well as the far right party strategy to emphasise various dimensions of immigration, including the legal status of immigrants, multiculturalism and social integration, jobs and welfare access, public services and entitlement criteria</w:t>
      </w:r>
      <w:r w:rsidR="00803BF8" w:rsidRPr="002D4D50">
        <w:t xml:space="preserve"> (</w:t>
      </w:r>
      <w:proofErr w:type="spellStart"/>
      <w:r w:rsidR="00063429" w:rsidRPr="002D4D50">
        <w:t>Rydgren</w:t>
      </w:r>
      <w:proofErr w:type="spellEnd"/>
      <w:r w:rsidR="008D0B55">
        <w:t>,</w:t>
      </w:r>
      <w:r w:rsidR="00063429" w:rsidRPr="002D4D50">
        <w:t xml:space="preserve"> 2008</w:t>
      </w:r>
      <w:r w:rsidR="00803BF8" w:rsidRPr="002D4D50">
        <w:t>)</w:t>
      </w:r>
      <w:r w:rsidR="00D5049E" w:rsidRPr="002D4D50">
        <w:t xml:space="preserve">. </w:t>
      </w:r>
    </w:p>
    <w:p w14:paraId="09BBDF4A" w14:textId="77777777" w:rsidR="008F6C5B" w:rsidRPr="002D4D50" w:rsidRDefault="008F6C5B" w:rsidP="00ED02A7">
      <w:pPr>
        <w:spacing w:line="480" w:lineRule="auto"/>
        <w:jc w:val="both"/>
      </w:pPr>
    </w:p>
    <w:p w14:paraId="3C012739" w14:textId="0E5A7140" w:rsidR="00B02876" w:rsidRPr="002D4D50" w:rsidRDefault="00A97690" w:rsidP="00ED02A7">
      <w:pPr>
        <w:spacing w:line="480" w:lineRule="auto"/>
        <w:jc w:val="both"/>
      </w:pPr>
      <w:r w:rsidRPr="002D4D50">
        <w:t>The p</w:t>
      </w:r>
      <w:r w:rsidR="00FF535F" w:rsidRPr="002D4D50">
        <w:t xml:space="preserve">rimary </w:t>
      </w:r>
      <w:r w:rsidR="00803BF8" w:rsidRPr="002D4D50">
        <w:t xml:space="preserve">far right party </w:t>
      </w:r>
      <w:r w:rsidRPr="002D4D50">
        <w:t>t</w:t>
      </w:r>
      <w:r w:rsidR="00FF535F" w:rsidRPr="002D4D50">
        <w:t xml:space="preserve">arget constituency </w:t>
      </w:r>
      <w:r w:rsidRPr="002D4D50">
        <w:t>includes vot</w:t>
      </w:r>
      <w:r w:rsidR="000B4907" w:rsidRPr="002D4D50">
        <w:t xml:space="preserve">ers </w:t>
      </w:r>
      <w:r w:rsidR="004F5D2F" w:rsidRPr="002D4D50">
        <w:t xml:space="preserve">who identify </w:t>
      </w:r>
      <w:r w:rsidR="000B4907" w:rsidRPr="002D4D50">
        <w:t xml:space="preserve">fully with </w:t>
      </w:r>
      <w:r w:rsidR="00702773" w:rsidRPr="002D4D50">
        <w:t xml:space="preserve">the </w:t>
      </w:r>
      <w:proofErr w:type="gramStart"/>
      <w:r w:rsidR="00702773" w:rsidRPr="002D4D50">
        <w:t>far right</w:t>
      </w:r>
      <w:proofErr w:type="gramEnd"/>
      <w:r w:rsidR="00803BF8" w:rsidRPr="002D4D50">
        <w:t xml:space="preserve"> parties</w:t>
      </w:r>
      <w:r w:rsidR="00493B49" w:rsidRPr="002D4D50">
        <w:t>’</w:t>
      </w:r>
      <w:r w:rsidR="000B4907" w:rsidRPr="002D4D50">
        <w:t xml:space="preserve"> nationalist-xenophobic</w:t>
      </w:r>
      <w:r w:rsidRPr="002D4D50">
        <w:t xml:space="preserve"> platform</w:t>
      </w:r>
      <w:r w:rsidR="00803BF8" w:rsidRPr="002D4D50">
        <w:t>s</w:t>
      </w:r>
      <w:r w:rsidRPr="002D4D50">
        <w:t>. Th</w:t>
      </w:r>
      <w:r w:rsidR="00702773" w:rsidRPr="002D4D50">
        <w:t>e</w:t>
      </w:r>
      <w:r w:rsidR="009C5BF1">
        <w:t>se voters</w:t>
      </w:r>
      <w:r w:rsidRPr="002D4D50">
        <w:t xml:space="preserve"> tend to ha</w:t>
      </w:r>
      <w:r w:rsidR="000B4907" w:rsidRPr="002D4D50">
        <w:t>ve strong nationalist</w:t>
      </w:r>
      <w:r w:rsidR="009C46F7" w:rsidRPr="002D4D50">
        <w:t>ic</w:t>
      </w:r>
      <w:r w:rsidR="000B4907" w:rsidRPr="002D4D50">
        <w:t xml:space="preserve"> attitudes, including national identification, national pride</w:t>
      </w:r>
      <w:r w:rsidR="006A245C">
        <w:t>,</w:t>
      </w:r>
      <w:r w:rsidR="000B4907" w:rsidRPr="002D4D50">
        <w:t xml:space="preserve"> and an ethnic conception of nationhood </w:t>
      </w:r>
      <w:r w:rsidR="00FC0DC4" w:rsidRPr="002D4D50">
        <w:t xml:space="preserve">(Lubbers and </w:t>
      </w:r>
      <w:proofErr w:type="spellStart"/>
      <w:r w:rsidR="00FC0DC4" w:rsidRPr="002D4D50">
        <w:t>Coenders</w:t>
      </w:r>
      <w:proofErr w:type="spellEnd"/>
      <w:r w:rsidR="008D0B55">
        <w:t>,</w:t>
      </w:r>
      <w:r w:rsidR="00FC0DC4" w:rsidRPr="002D4D50">
        <w:t xml:space="preserve"> 2017).</w:t>
      </w:r>
      <w:r w:rsidR="000B4907" w:rsidRPr="002D4D50">
        <w:rPr>
          <w:color w:val="FF0000"/>
        </w:rPr>
        <w:t xml:space="preserve"> </w:t>
      </w:r>
      <w:r w:rsidR="009C46F7" w:rsidRPr="002D4D50">
        <w:t xml:space="preserve">Their nationalistic attitudes are </w:t>
      </w:r>
      <w:r w:rsidRPr="002D4D50">
        <w:t>accompanied by unfavourable attitudes towards immigrants</w:t>
      </w:r>
      <w:r w:rsidR="009C46F7" w:rsidRPr="002D4D50">
        <w:t xml:space="preserve"> who they view as a threat to the homogeneity, security</w:t>
      </w:r>
      <w:r w:rsidR="006A245C">
        <w:t>,</w:t>
      </w:r>
      <w:r w:rsidR="009C46F7" w:rsidRPr="002D4D50">
        <w:t xml:space="preserve"> and prosperity of the nation-state</w:t>
      </w:r>
      <w:r w:rsidR="001E1DF2" w:rsidRPr="002D4D50">
        <w:t xml:space="preserve"> (Lubbers</w:t>
      </w:r>
      <w:r w:rsidR="008D0B55">
        <w:t>,</w:t>
      </w:r>
      <w:r w:rsidR="001E1DF2" w:rsidRPr="002D4D50">
        <w:t xml:space="preserve"> 20</w:t>
      </w:r>
      <w:r w:rsidR="001502F2" w:rsidRPr="002D4D50">
        <w:t>19</w:t>
      </w:r>
      <w:r w:rsidR="001E1DF2" w:rsidRPr="002D4D50">
        <w:t>)</w:t>
      </w:r>
      <w:r w:rsidR="009C46F7" w:rsidRPr="002D4D50">
        <w:t xml:space="preserve">. </w:t>
      </w:r>
      <w:r w:rsidR="00FC0DC4" w:rsidRPr="002D4D50">
        <w:t>These voters identify the need to protect the homogeneity of the nation-state from outsiders as their key priority (Lubbers</w:t>
      </w:r>
      <w:r w:rsidR="008D0B55">
        <w:t>,</w:t>
      </w:r>
      <w:r w:rsidR="00FC0DC4" w:rsidRPr="002D4D50">
        <w:t xml:space="preserve"> 20</w:t>
      </w:r>
      <w:r w:rsidR="001502F2" w:rsidRPr="002D4D50">
        <w:t>19</w:t>
      </w:r>
      <w:r w:rsidR="00FC0DC4" w:rsidRPr="002D4D50">
        <w:t xml:space="preserve">; </w:t>
      </w:r>
      <w:proofErr w:type="spellStart"/>
      <w:r w:rsidR="00FC0DC4" w:rsidRPr="002D4D50">
        <w:t>Rydgren</w:t>
      </w:r>
      <w:proofErr w:type="spellEnd"/>
      <w:r w:rsidR="008D0B55">
        <w:t>,</w:t>
      </w:r>
      <w:r w:rsidR="00FC0DC4" w:rsidRPr="002D4D50">
        <w:t xml:space="preserve"> 2008). </w:t>
      </w:r>
      <w:r w:rsidR="00D5049E" w:rsidRPr="002D4D50">
        <w:t>Empirical literature agrees</w:t>
      </w:r>
      <w:r w:rsidR="009C46F7" w:rsidRPr="002D4D50">
        <w:t xml:space="preserve"> that, at the individual level, </w:t>
      </w:r>
      <w:r w:rsidR="00886E99" w:rsidRPr="002D4D50">
        <w:t xml:space="preserve">opposition to immigration </w:t>
      </w:r>
      <w:r w:rsidR="009C46F7" w:rsidRPr="002D4D50">
        <w:t xml:space="preserve">is </w:t>
      </w:r>
      <w:r w:rsidR="00886E99" w:rsidRPr="002D4D50">
        <w:t xml:space="preserve">the greatest predictor of </w:t>
      </w:r>
      <w:proofErr w:type="gramStart"/>
      <w:r w:rsidR="00886E99" w:rsidRPr="002D4D50">
        <w:t>far right</w:t>
      </w:r>
      <w:proofErr w:type="gramEnd"/>
      <w:r w:rsidR="00886E99" w:rsidRPr="002D4D50">
        <w:t xml:space="preserve"> party support (</w:t>
      </w:r>
      <w:r w:rsidR="004274B5" w:rsidRPr="002D4D50">
        <w:t>Golder</w:t>
      </w:r>
      <w:r w:rsidR="008D0B55">
        <w:t>,</w:t>
      </w:r>
      <w:r w:rsidR="004274B5" w:rsidRPr="002D4D50">
        <w:t xml:space="preserve"> 2016; </w:t>
      </w:r>
      <w:proofErr w:type="spellStart"/>
      <w:r w:rsidR="00886E99" w:rsidRPr="002D4D50">
        <w:t>Ivarsflaten</w:t>
      </w:r>
      <w:proofErr w:type="spellEnd"/>
      <w:r w:rsidR="008D0B55">
        <w:t>,</w:t>
      </w:r>
      <w:r w:rsidR="00886E99" w:rsidRPr="002D4D50">
        <w:t xml:space="preserve"> 2008; </w:t>
      </w:r>
      <w:r w:rsidR="004274B5" w:rsidRPr="002D4D50">
        <w:t xml:space="preserve">Lubbers and </w:t>
      </w:r>
      <w:proofErr w:type="spellStart"/>
      <w:r w:rsidR="004274B5" w:rsidRPr="002D4D50">
        <w:t>Güveli</w:t>
      </w:r>
      <w:proofErr w:type="spellEnd"/>
      <w:r w:rsidR="008D0B55">
        <w:t>,</w:t>
      </w:r>
      <w:r w:rsidR="004274B5" w:rsidRPr="002D4D50">
        <w:t xml:space="preserve"> 2007; </w:t>
      </w:r>
      <w:r w:rsidR="00886E99" w:rsidRPr="002D4D50">
        <w:t>Lucassen and Lubbers</w:t>
      </w:r>
      <w:r w:rsidR="008D0B55">
        <w:t>,</w:t>
      </w:r>
      <w:r w:rsidR="00886E99" w:rsidRPr="002D4D50">
        <w:t xml:space="preserve"> 2012; </w:t>
      </w:r>
      <w:proofErr w:type="spellStart"/>
      <w:r w:rsidR="00886E99" w:rsidRPr="002D4D50">
        <w:t>Rooduijn</w:t>
      </w:r>
      <w:proofErr w:type="spellEnd"/>
      <w:r w:rsidR="00886E99" w:rsidRPr="002D4D50">
        <w:t xml:space="preserve"> et al.</w:t>
      </w:r>
      <w:r w:rsidR="008D0B55">
        <w:t>,</w:t>
      </w:r>
      <w:r w:rsidR="00886E99" w:rsidRPr="002D4D50">
        <w:t xml:space="preserve"> 2017; </w:t>
      </w:r>
      <w:proofErr w:type="spellStart"/>
      <w:r w:rsidR="00886E99" w:rsidRPr="002D4D50">
        <w:t>Rydgren</w:t>
      </w:r>
      <w:proofErr w:type="spellEnd"/>
      <w:r w:rsidR="008D0B55">
        <w:t>,</w:t>
      </w:r>
      <w:r w:rsidR="00886E99" w:rsidRPr="002D4D50">
        <w:t xml:space="preserve"> 2008</w:t>
      </w:r>
      <w:r w:rsidR="003043F7" w:rsidRPr="002D4D50">
        <w:t xml:space="preserve">; </w:t>
      </w:r>
      <w:proofErr w:type="spellStart"/>
      <w:r w:rsidR="003043F7" w:rsidRPr="002D4D50">
        <w:t>Sto</w:t>
      </w:r>
      <w:r w:rsidR="00C116EA" w:rsidRPr="002D4D50">
        <w:t>c</w:t>
      </w:r>
      <w:r w:rsidR="003043F7" w:rsidRPr="002D4D50">
        <w:t>kemer</w:t>
      </w:r>
      <w:proofErr w:type="spellEnd"/>
      <w:r w:rsidR="003043F7" w:rsidRPr="002D4D50">
        <w:t xml:space="preserve"> et al.</w:t>
      </w:r>
      <w:r w:rsidR="008D0B55">
        <w:t>,</w:t>
      </w:r>
      <w:r w:rsidR="003043F7" w:rsidRPr="002D4D50">
        <w:t xml:space="preserve"> 2018</w:t>
      </w:r>
      <w:r w:rsidR="00886E99" w:rsidRPr="002D4D50">
        <w:t xml:space="preserve">). </w:t>
      </w:r>
    </w:p>
    <w:p w14:paraId="2EE4BA5C" w14:textId="77777777" w:rsidR="00B02876" w:rsidRPr="002D4D50" w:rsidRDefault="00B02876" w:rsidP="00ED02A7">
      <w:pPr>
        <w:spacing w:line="480" w:lineRule="auto"/>
        <w:jc w:val="both"/>
      </w:pPr>
    </w:p>
    <w:p w14:paraId="4F3DA473" w14:textId="48D9B231" w:rsidR="00602D62" w:rsidRPr="002D4D50" w:rsidRDefault="009C46F7" w:rsidP="00860A6C">
      <w:pPr>
        <w:spacing w:line="480" w:lineRule="auto"/>
        <w:jc w:val="both"/>
      </w:pPr>
      <w:r w:rsidRPr="002D4D50">
        <w:t>Therefore, we may define voters with strong anti-immigration sentiments as the core far right party constituency</w:t>
      </w:r>
      <w:r w:rsidR="00355205" w:rsidRPr="002D4D50">
        <w:t>. The mechanism here is nationalism</w:t>
      </w:r>
      <w:r w:rsidR="007036FA" w:rsidRPr="002D4D50">
        <w:t xml:space="preserve">. These voters prioritise the protection of the in-group from the out-group </w:t>
      </w:r>
      <w:r w:rsidR="007036FA" w:rsidRPr="002D4D50">
        <w:rPr>
          <w:lang w:val="en-US"/>
        </w:rPr>
        <w:t>and</w:t>
      </w:r>
      <w:r w:rsidR="007036FA" w:rsidRPr="002D4D50">
        <w:t xml:space="preserve"> vote ideologically on the basis of a </w:t>
      </w:r>
      <w:r w:rsidR="007036FA" w:rsidRPr="002D4D50">
        <w:lastRenderedPageBreak/>
        <w:t xml:space="preserve">principled endorsement of </w:t>
      </w:r>
      <w:proofErr w:type="gramStart"/>
      <w:r w:rsidR="007036FA" w:rsidRPr="002D4D50">
        <w:t>far right</w:t>
      </w:r>
      <w:proofErr w:type="gramEnd"/>
      <w:r w:rsidR="007036FA" w:rsidRPr="002D4D50">
        <w:t xml:space="preserve"> party agendas. </w:t>
      </w:r>
      <w:r w:rsidR="008549FD" w:rsidRPr="002D4D50">
        <w:t xml:space="preserve">The voting behaviour of these individuals </w:t>
      </w:r>
      <w:r w:rsidR="00005B26" w:rsidRPr="002D4D50">
        <w:t xml:space="preserve">is likely </w:t>
      </w:r>
      <w:r w:rsidR="008549FD" w:rsidRPr="002D4D50">
        <w:t>to hinge on questions of deservingness</w:t>
      </w:r>
      <w:r w:rsidR="00251160" w:rsidRPr="002D4D50">
        <w:t xml:space="preserve"> and selective solidarity (</w:t>
      </w:r>
      <w:proofErr w:type="spellStart"/>
      <w:r w:rsidR="00251160" w:rsidRPr="002D4D50">
        <w:t>Magni</w:t>
      </w:r>
      <w:proofErr w:type="spellEnd"/>
      <w:r w:rsidR="00AC741D">
        <w:t>,</w:t>
      </w:r>
      <w:r w:rsidR="00251160" w:rsidRPr="002D4D50">
        <w:t xml:space="preserve"> 2020)</w:t>
      </w:r>
      <w:r w:rsidR="008549FD" w:rsidRPr="002D4D50">
        <w:t xml:space="preserve">- </w:t>
      </w:r>
      <w:r w:rsidR="006A245C" w:rsidRPr="002D4D50">
        <w:t>i.e.,</w:t>
      </w:r>
      <w:r w:rsidR="008549FD" w:rsidRPr="002D4D50">
        <w:t xml:space="preserve"> questions about </w:t>
      </w:r>
      <w:r w:rsidR="008549FD" w:rsidRPr="002D4D50">
        <w:rPr>
          <w:color w:val="000000" w:themeColor="text1"/>
        </w:rPr>
        <w:t>entitlement to the collective goods of the state (</w:t>
      </w:r>
      <w:r w:rsidR="00AC741D" w:rsidRPr="002D4D50">
        <w:rPr>
          <w:color w:val="000000" w:themeColor="text1"/>
        </w:rPr>
        <w:t>Van der Waal et al.</w:t>
      </w:r>
      <w:r w:rsidR="00AC741D">
        <w:rPr>
          <w:color w:val="000000" w:themeColor="text1"/>
        </w:rPr>
        <w:t>,</w:t>
      </w:r>
      <w:r w:rsidR="00AC741D" w:rsidRPr="002D4D50">
        <w:rPr>
          <w:color w:val="000000" w:themeColor="text1"/>
        </w:rPr>
        <w:t xml:space="preserve"> 2010</w:t>
      </w:r>
      <w:r w:rsidR="00AC741D">
        <w:rPr>
          <w:color w:val="000000" w:themeColor="text1"/>
        </w:rPr>
        <w:t xml:space="preserve">; </w:t>
      </w:r>
      <w:proofErr w:type="spellStart"/>
      <w:r w:rsidR="008549FD" w:rsidRPr="002D4D50">
        <w:rPr>
          <w:color w:val="000000" w:themeColor="text1"/>
        </w:rPr>
        <w:t>Wimmer</w:t>
      </w:r>
      <w:proofErr w:type="spellEnd"/>
      <w:r w:rsidR="00AC741D">
        <w:rPr>
          <w:color w:val="000000" w:themeColor="text1"/>
        </w:rPr>
        <w:t>,</w:t>
      </w:r>
      <w:r w:rsidR="008549FD" w:rsidRPr="002D4D50">
        <w:rPr>
          <w:color w:val="000000" w:themeColor="text1"/>
        </w:rPr>
        <w:t xml:space="preserve"> 1997).</w:t>
      </w:r>
      <w:r w:rsidR="008549FD" w:rsidRPr="002D4D50">
        <w:rPr>
          <w:color w:val="FF0000"/>
        </w:rPr>
        <w:t xml:space="preserve"> </w:t>
      </w:r>
      <w:r w:rsidR="003F2A80" w:rsidRPr="002D4D50">
        <w:rPr>
          <w:color w:val="000000" w:themeColor="text1"/>
        </w:rPr>
        <w:t>To theorise this</w:t>
      </w:r>
      <w:r w:rsidR="008C0375" w:rsidRPr="002D4D50">
        <w:rPr>
          <w:color w:val="000000" w:themeColor="text1"/>
        </w:rPr>
        <w:t>,</w:t>
      </w:r>
      <w:r w:rsidR="003F2A80" w:rsidRPr="002D4D50">
        <w:rPr>
          <w:color w:val="000000" w:themeColor="text1"/>
        </w:rPr>
        <w:t xml:space="preserve"> we borrow from nationalism literature</w:t>
      </w:r>
      <w:r w:rsidR="00BD4DBD" w:rsidRPr="002D4D50">
        <w:rPr>
          <w:color w:val="000000" w:themeColor="text1"/>
        </w:rPr>
        <w:t>,</w:t>
      </w:r>
      <w:r w:rsidR="003F2A80" w:rsidRPr="002D4D50">
        <w:rPr>
          <w:color w:val="000000" w:themeColor="text1"/>
        </w:rPr>
        <w:t xml:space="preserve"> which conceptualises the </w:t>
      </w:r>
      <w:r w:rsidR="003F2A80" w:rsidRPr="002D4D50">
        <w:t>nation as an ‘imagined community of solidarity’ (</w:t>
      </w:r>
      <w:proofErr w:type="spellStart"/>
      <w:r w:rsidR="003F2A80" w:rsidRPr="002D4D50">
        <w:t>Wimmer</w:t>
      </w:r>
      <w:proofErr w:type="spellEnd"/>
      <w:r w:rsidR="00AC741D">
        <w:t>,</w:t>
      </w:r>
      <w:r w:rsidR="003F2A80" w:rsidRPr="002D4D50">
        <w:t xml:space="preserve"> 1997: 29, see also Singh and </w:t>
      </w:r>
      <w:proofErr w:type="spellStart"/>
      <w:r w:rsidR="003F2A80" w:rsidRPr="002D4D50">
        <w:t>vom</w:t>
      </w:r>
      <w:proofErr w:type="spellEnd"/>
      <w:r w:rsidR="003F2A80" w:rsidRPr="002D4D50">
        <w:t xml:space="preserve"> </w:t>
      </w:r>
      <w:proofErr w:type="spellStart"/>
      <w:r w:rsidR="003F2A80" w:rsidRPr="002D4D50">
        <w:t>Hau</w:t>
      </w:r>
      <w:proofErr w:type="spellEnd"/>
      <w:r w:rsidR="00AC741D">
        <w:t>,</w:t>
      </w:r>
      <w:r w:rsidR="003F2A80" w:rsidRPr="002D4D50">
        <w:t xml:space="preserve"> 2016</w:t>
      </w:r>
      <w:r w:rsidR="00AC741D">
        <w:t xml:space="preserve">; </w:t>
      </w:r>
      <w:proofErr w:type="spellStart"/>
      <w:r w:rsidR="00AC741D" w:rsidRPr="002D4D50">
        <w:t>Wimmer</w:t>
      </w:r>
      <w:proofErr w:type="spellEnd"/>
      <w:r w:rsidR="00AC741D">
        <w:t>,</w:t>
      </w:r>
      <w:r w:rsidR="00AC741D" w:rsidRPr="002D4D50">
        <w:t xml:space="preserve"> 2016</w:t>
      </w:r>
      <w:r w:rsidR="003F2A80" w:rsidRPr="002D4D50">
        <w:t xml:space="preserve">). The doctrine of nationalism is one of the modern world’s foundational principles, which has offered a solution to democracy’s boundary problem by legitimising the rule of a </w:t>
      </w:r>
      <w:proofErr w:type="gramStart"/>
      <w:r w:rsidR="003F2A80" w:rsidRPr="002D4D50">
        <w:t>nationally</w:t>
      </w:r>
      <w:r w:rsidR="00BD4DBD" w:rsidRPr="002D4D50">
        <w:t>-</w:t>
      </w:r>
      <w:r w:rsidR="003F2A80" w:rsidRPr="002D4D50">
        <w:t>defined</w:t>
      </w:r>
      <w:proofErr w:type="gramEnd"/>
      <w:r w:rsidR="003F2A80" w:rsidRPr="002D4D50">
        <w:t xml:space="preserve"> people and limiting</w:t>
      </w:r>
      <w:r w:rsidR="00BD4DBD" w:rsidRPr="002D4D50">
        <w:t xml:space="preserve"> public good</w:t>
      </w:r>
      <w:r w:rsidR="003F2A80" w:rsidRPr="002D4D50">
        <w:t xml:space="preserve"> access to</w:t>
      </w:r>
      <w:r w:rsidR="00BD4DBD" w:rsidRPr="002D4D50">
        <w:t xml:space="preserve"> the</w:t>
      </w:r>
      <w:r w:rsidR="003F2A80" w:rsidRPr="002D4D50">
        <w:t xml:space="preserve"> members of the nation (</w:t>
      </w:r>
      <w:proofErr w:type="spellStart"/>
      <w:r w:rsidR="003F2A80" w:rsidRPr="002D4D50">
        <w:t>Wimmer</w:t>
      </w:r>
      <w:proofErr w:type="spellEnd"/>
      <w:r w:rsidR="00AC741D">
        <w:t>,</w:t>
      </w:r>
      <w:r w:rsidR="003F2A80" w:rsidRPr="002D4D50">
        <w:t xml:space="preserve"> 2019). Given that states provide citizens with public goods, </w:t>
      </w:r>
      <w:r w:rsidR="00DB1E91" w:rsidRPr="002D4D50">
        <w:t>such as education, health</w:t>
      </w:r>
      <w:r w:rsidR="006A245C">
        <w:t>,</w:t>
      </w:r>
      <w:r w:rsidR="00DB1E91" w:rsidRPr="002D4D50">
        <w:t xml:space="preserve"> and physical infrastructure (Mann</w:t>
      </w:r>
      <w:r w:rsidR="00AC741D">
        <w:t>,</w:t>
      </w:r>
      <w:r w:rsidR="00DB1E91" w:rsidRPr="002D4D50">
        <w:t xml:space="preserve"> 1984; </w:t>
      </w:r>
      <w:proofErr w:type="spellStart"/>
      <w:r w:rsidR="00DB1E91" w:rsidRPr="002D4D50">
        <w:t>Soifer</w:t>
      </w:r>
      <w:proofErr w:type="spellEnd"/>
      <w:r w:rsidR="00DB1E91" w:rsidRPr="002D4D50">
        <w:t xml:space="preserve"> and </w:t>
      </w:r>
      <w:proofErr w:type="spellStart"/>
      <w:r w:rsidR="00DB1E91" w:rsidRPr="002D4D50">
        <w:t>vom</w:t>
      </w:r>
      <w:proofErr w:type="spellEnd"/>
      <w:r w:rsidR="00DB1E91" w:rsidRPr="002D4D50">
        <w:t xml:space="preserve"> </w:t>
      </w:r>
      <w:proofErr w:type="spellStart"/>
      <w:r w:rsidR="00DB1E91" w:rsidRPr="002D4D50">
        <w:t>Hau</w:t>
      </w:r>
      <w:proofErr w:type="spellEnd"/>
      <w:r w:rsidR="00AC741D">
        <w:t>,</w:t>
      </w:r>
      <w:r w:rsidR="00DB1E91" w:rsidRPr="002D4D50">
        <w:t xml:space="preserve"> 2008; </w:t>
      </w:r>
      <w:proofErr w:type="spellStart"/>
      <w:r w:rsidR="00DB1E91" w:rsidRPr="002D4D50">
        <w:t>Wimmer</w:t>
      </w:r>
      <w:proofErr w:type="spellEnd"/>
      <w:r w:rsidR="00AC741D">
        <w:t>,</w:t>
      </w:r>
      <w:r w:rsidR="00DB1E91" w:rsidRPr="002D4D50">
        <w:t xml:space="preserve"> 2016), </w:t>
      </w:r>
      <w:r w:rsidR="003F2A80" w:rsidRPr="002D4D50">
        <w:t xml:space="preserve">nationalism creates a perceived competition between insiders and outsiders for access to these goods. Individuals with strong nationalist attitudes are more likely to oppose sharing public goods with ethnic others. </w:t>
      </w:r>
      <w:proofErr w:type="spellStart"/>
      <w:r w:rsidR="003F2A80" w:rsidRPr="002D4D50">
        <w:t>Wimmer</w:t>
      </w:r>
      <w:proofErr w:type="spellEnd"/>
      <w:r w:rsidR="003F2A80" w:rsidRPr="002D4D50">
        <w:t xml:space="preserve"> (2016) terms this the </w:t>
      </w:r>
      <w:r w:rsidR="008C0375" w:rsidRPr="002D4D50">
        <w:t>‘</w:t>
      </w:r>
      <w:r w:rsidR="003F2A80" w:rsidRPr="002D4D50">
        <w:t>ethnic egotism</w:t>
      </w:r>
      <w:r w:rsidR="008C0375" w:rsidRPr="002D4D50">
        <w:t>’</w:t>
      </w:r>
      <w:r w:rsidR="003F2A80" w:rsidRPr="002D4D50">
        <w:t xml:space="preserve"> mechanism.</w:t>
      </w:r>
      <w:r w:rsidR="00407E37" w:rsidRPr="002D4D50">
        <w:rPr>
          <w:color w:val="000000" w:themeColor="text1"/>
        </w:rPr>
        <w:t xml:space="preserve"> Voters with strong anti-immigrant attitudes are likely to have a narrower perception of deservingness because they are more likely to see the state and its institutions as benefitting </w:t>
      </w:r>
      <w:r w:rsidR="00BD4DBD" w:rsidRPr="002D4D50">
        <w:rPr>
          <w:color w:val="000000" w:themeColor="text1"/>
        </w:rPr>
        <w:t xml:space="preserve">the </w:t>
      </w:r>
      <w:r w:rsidR="00407E37" w:rsidRPr="002D4D50">
        <w:rPr>
          <w:color w:val="000000" w:themeColor="text1"/>
        </w:rPr>
        <w:t xml:space="preserve">native majority. </w:t>
      </w:r>
      <w:r w:rsidR="003F2A80" w:rsidRPr="002D4D50">
        <w:t xml:space="preserve">In other words, access to </w:t>
      </w:r>
      <w:r w:rsidR="00BD4DBD" w:rsidRPr="002D4D50">
        <w:t xml:space="preserve">the </w:t>
      </w:r>
      <w:r w:rsidR="003F2A80" w:rsidRPr="002D4D50">
        <w:t xml:space="preserve">collective goods of the state can be understood as an </w:t>
      </w:r>
      <w:r w:rsidR="00BD4DBD" w:rsidRPr="002D4D50">
        <w:t>‘</w:t>
      </w:r>
      <w:r w:rsidR="003F2A80" w:rsidRPr="002D4D50">
        <w:t>element of a political struggle about who has the right to be cared for by the state and society</w:t>
      </w:r>
      <w:r w:rsidR="00BD4DBD" w:rsidRPr="002D4D50">
        <w:t>’</w:t>
      </w:r>
      <w:r w:rsidR="003F2A80" w:rsidRPr="002D4D50">
        <w:t xml:space="preserve"> (</w:t>
      </w:r>
      <w:proofErr w:type="spellStart"/>
      <w:r w:rsidR="003F2A80" w:rsidRPr="002D4D50">
        <w:t>Wimmer</w:t>
      </w:r>
      <w:proofErr w:type="spellEnd"/>
      <w:r w:rsidR="00AC741D">
        <w:t>,</w:t>
      </w:r>
      <w:r w:rsidR="003F2A80" w:rsidRPr="002D4D50">
        <w:t xml:space="preserve"> 1997: 17). </w:t>
      </w:r>
      <w:r w:rsidR="00602D62" w:rsidRPr="002D4D50">
        <w:t xml:space="preserve">We may, therefore, expect nationalist voters </w:t>
      </w:r>
      <w:r w:rsidR="00BD4DBD" w:rsidRPr="002D4D50">
        <w:t>to be</w:t>
      </w:r>
      <w:r w:rsidR="00602D62" w:rsidRPr="002D4D50">
        <w:t xml:space="preserve"> more likely to see the nation as a social solidarity pact, endangered by outsiders.  </w:t>
      </w:r>
    </w:p>
    <w:p w14:paraId="6621321C" w14:textId="77777777" w:rsidR="00602D62" w:rsidRPr="002D4D50" w:rsidRDefault="00602D62" w:rsidP="00860A6C">
      <w:pPr>
        <w:spacing w:line="480" w:lineRule="auto"/>
        <w:jc w:val="both"/>
      </w:pPr>
    </w:p>
    <w:p w14:paraId="05E3DB67" w14:textId="5AD60C9C" w:rsidR="00FC4FCD" w:rsidRPr="002D4D50" w:rsidRDefault="00407E37" w:rsidP="00FC4FCD">
      <w:pPr>
        <w:spacing w:line="480" w:lineRule="auto"/>
        <w:jc w:val="both"/>
        <w:rPr>
          <w:color w:val="000000" w:themeColor="text1"/>
        </w:rPr>
      </w:pPr>
      <w:r w:rsidRPr="002D4D50">
        <w:t>The concept</w:t>
      </w:r>
      <w:r w:rsidR="005B75CD" w:rsidRPr="002D4D50">
        <w:t>s</w:t>
      </w:r>
      <w:r w:rsidRPr="002D4D50">
        <w:t xml:space="preserve"> of </w:t>
      </w:r>
      <w:r w:rsidRPr="002D4D50">
        <w:rPr>
          <w:color w:val="000000" w:themeColor="text1"/>
        </w:rPr>
        <w:t>s</w:t>
      </w:r>
      <w:r w:rsidR="008549FD" w:rsidRPr="002D4D50">
        <w:rPr>
          <w:color w:val="000000" w:themeColor="text1"/>
        </w:rPr>
        <w:t>elective solidarity</w:t>
      </w:r>
      <w:r w:rsidR="005B75CD" w:rsidRPr="002D4D50">
        <w:rPr>
          <w:color w:val="000000" w:themeColor="text1"/>
        </w:rPr>
        <w:t xml:space="preserve"> and ethnic egotism</w:t>
      </w:r>
      <w:r w:rsidR="00602D62" w:rsidRPr="002D4D50">
        <w:rPr>
          <w:color w:val="000000" w:themeColor="text1"/>
        </w:rPr>
        <w:t>, therefore,</w:t>
      </w:r>
      <w:r w:rsidR="008549FD" w:rsidRPr="002D4D50">
        <w:rPr>
          <w:color w:val="000000" w:themeColor="text1"/>
        </w:rPr>
        <w:t xml:space="preserve"> </w:t>
      </w:r>
      <w:r w:rsidRPr="002D4D50">
        <w:rPr>
          <w:color w:val="000000" w:themeColor="text1"/>
        </w:rPr>
        <w:t xml:space="preserve">help us understand why </w:t>
      </w:r>
      <w:r w:rsidR="008549FD" w:rsidRPr="002D4D50">
        <w:rPr>
          <w:color w:val="000000" w:themeColor="text1"/>
        </w:rPr>
        <w:t xml:space="preserve">natives </w:t>
      </w:r>
      <w:r w:rsidR="00EF4CBC" w:rsidRPr="002D4D50">
        <w:rPr>
          <w:color w:val="000000" w:themeColor="text1"/>
        </w:rPr>
        <w:t xml:space="preserve">with strong nationalist attitudes are more likely to </w:t>
      </w:r>
      <w:r w:rsidRPr="002D4D50">
        <w:rPr>
          <w:color w:val="000000" w:themeColor="text1"/>
        </w:rPr>
        <w:t xml:space="preserve">prioritise the provision of public </w:t>
      </w:r>
      <w:r w:rsidRPr="002D4D50">
        <w:rPr>
          <w:color w:val="000000" w:themeColor="text1"/>
        </w:rPr>
        <w:lastRenderedPageBreak/>
        <w:t>goods such as health, education</w:t>
      </w:r>
      <w:r w:rsidR="00BD4DBD" w:rsidRPr="002D4D50">
        <w:rPr>
          <w:color w:val="000000" w:themeColor="text1"/>
        </w:rPr>
        <w:t>,</w:t>
      </w:r>
      <w:r w:rsidRPr="002D4D50">
        <w:rPr>
          <w:color w:val="000000" w:themeColor="text1"/>
        </w:rPr>
        <w:t xml:space="preserve"> and other welfare services in their policy preferences (Arndt and Thomsen</w:t>
      </w:r>
      <w:r w:rsidR="00AC741D">
        <w:rPr>
          <w:color w:val="000000" w:themeColor="text1"/>
        </w:rPr>
        <w:t>,</w:t>
      </w:r>
      <w:r w:rsidRPr="002D4D50">
        <w:rPr>
          <w:color w:val="000000" w:themeColor="text1"/>
        </w:rPr>
        <w:t xml:space="preserve"> 2019</w:t>
      </w:r>
      <w:r w:rsidR="00BD4DBD" w:rsidRPr="002D4D50">
        <w:rPr>
          <w:color w:val="000000" w:themeColor="text1"/>
        </w:rPr>
        <w:t xml:space="preserve">; </w:t>
      </w:r>
      <w:proofErr w:type="spellStart"/>
      <w:r w:rsidR="00BD4DBD" w:rsidRPr="002D4D50">
        <w:rPr>
          <w:color w:val="000000" w:themeColor="text1"/>
        </w:rPr>
        <w:t>Wimmer</w:t>
      </w:r>
      <w:proofErr w:type="spellEnd"/>
      <w:r w:rsidR="00AC741D">
        <w:rPr>
          <w:color w:val="000000" w:themeColor="text1"/>
        </w:rPr>
        <w:t>,</w:t>
      </w:r>
      <w:r w:rsidR="00BD4DBD" w:rsidRPr="002D4D50">
        <w:rPr>
          <w:color w:val="000000" w:themeColor="text1"/>
        </w:rPr>
        <w:t xml:space="preserve"> 2016</w:t>
      </w:r>
      <w:r w:rsidRPr="002D4D50">
        <w:rPr>
          <w:color w:val="000000" w:themeColor="text1"/>
        </w:rPr>
        <w:t>).</w:t>
      </w:r>
      <w:r w:rsidR="00C31C15" w:rsidRPr="002D4D50">
        <w:rPr>
          <w:color w:val="000000" w:themeColor="text1"/>
        </w:rPr>
        <w:t xml:space="preserve"> Nationalist </w:t>
      </w:r>
      <w:r w:rsidR="00005B26" w:rsidRPr="002D4D50">
        <w:rPr>
          <w:color w:val="000000" w:themeColor="text1"/>
        </w:rPr>
        <w:t>voters</w:t>
      </w:r>
      <w:r w:rsidR="008549FD" w:rsidRPr="002D4D50">
        <w:rPr>
          <w:color w:val="000000" w:themeColor="text1"/>
        </w:rPr>
        <w:t xml:space="preserve"> are likely to support a conditional version of the welfare state that differentiates access between immigrants and natives (Bay et al.</w:t>
      </w:r>
      <w:r w:rsidR="00AC741D">
        <w:rPr>
          <w:color w:val="000000" w:themeColor="text1"/>
        </w:rPr>
        <w:t>,</w:t>
      </w:r>
      <w:r w:rsidR="008549FD" w:rsidRPr="002D4D50">
        <w:rPr>
          <w:color w:val="000000" w:themeColor="text1"/>
        </w:rPr>
        <w:t xml:space="preserve"> 2013). These individuals often evaluate specific redistribution policies (and subsequently government involvement) </w:t>
      </w:r>
      <w:proofErr w:type="gramStart"/>
      <w:r w:rsidR="008549FD" w:rsidRPr="002D4D50">
        <w:rPr>
          <w:color w:val="000000" w:themeColor="text1"/>
        </w:rPr>
        <w:t>on the basis of</w:t>
      </w:r>
      <w:proofErr w:type="gramEnd"/>
      <w:r w:rsidR="008549FD" w:rsidRPr="002D4D50">
        <w:rPr>
          <w:color w:val="000000" w:themeColor="text1"/>
        </w:rPr>
        <w:t xml:space="preserve"> whether they benefit the in-group (e.g.</w:t>
      </w:r>
      <w:r w:rsidR="00AC741D">
        <w:rPr>
          <w:color w:val="000000" w:themeColor="text1"/>
        </w:rPr>
        <w:t>,</w:t>
      </w:r>
      <w:r w:rsidR="008549FD" w:rsidRPr="002D4D50">
        <w:rPr>
          <w:color w:val="000000" w:themeColor="text1"/>
        </w:rPr>
        <w:t xml:space="preserve"> see </w:t>
      </w:r>
      <w:proofErr w:type="spellStart"/>
      <w:r w:rsidR="008549FD" w:rsidRPr="002D4D50">
        <w:rPr>
          <w:color w:val="000000" w:themeColor="text1"/>
        </w:rPr>
        <w:t>Busemeyer</w:t>
      </w:r>
      <w:proofErr w:type="spellEnd"/>
      <w:r w:rsidR="008549FD" w:rsidRPr="002D4D50">
        <w:rPr>
          <w:color w:val="000000" w:themeColor="text1"/>
        </w:rPr>
        <w:t xml:space="preserve"> and </w:t>
      </w:r>
      <w:proofErr w:type="spellStart"/>
      <w:r w:rsidR="008549FD" w:rsidRPr="002D4D50">
        <w:rPr>
          <w:color w:val="000000" w:themeColor="text1"/>
        </w:rPr>
        <w:t>Neimanns</w:t>
      </w:r>
      <w:proofErr w:type="spellEnd"/>
      <w:r w:rsidR="00AC741D">
        <w:rPr>
          <w:color w:val="000000" w:themeColor="text1"/>
        </w:rPr>
        <w:t>,</w:t>
      </w:r>
      <w:r w:rsidR="008549FD" w:rsidRPr="002D4D50">
        <w:rPr>
          <w:color w:val="000000" w:themeColor="text1"/>
        </w:rPr>
        <w:t xml:space="preserve"> 2017).</w:t>
      </w:r>
      <w:r w:rsidR="00FC4FCD" w:rsidRPr="002D4D50">
        <w:rPr>
          <w:color w:val="FF0000"/>
        </w:rPr>
        <w:t xml:space="preserve"> </w:t>
      </w:r>
      <w:r w:rsidR="00FC4FCD" w:rsidRPr="002D4D50">
        <w:rPr>
          <w:color w:val="000000" w:themeColor="text1"/>
        </w:rPr>
        <w:t xml:space="preserve">Therefore, positive </w:t>
      </w:r>
      <w:r w:rsidR="00005B26" w:rsidRPr="002D4D50">
        <w:rPr>
          <w:color w:val="000000" w:themeColor="text1"/>
        </w:rPr>
        <w:t xml:space="preserve">evaluations of the democratic process </w:t>
      </w:r>
      <w:r w:rsidR="00FC4FCD" w:rsidRPr="002D4D50">
        <w:rPr>
          <w:color w:val="000000" w:themeColor="text1"/>
        </w:rPr>
        <w:t xml:space="preserve">among </w:t>
      </w:r>
      <w:r w:rsidR="00005B26" w:rsidRPr="002D4D50">
        <w:rPr>
          <w:color w:val="000000" w:themeColor="text1"/>
        </w:rPr>
        <w:t>some individuals</w:t>
      </w:r>
      <w:r w:rsidR="00FC4FCD" w:rsidRPr="002D4D50">
        <w:rPr>
          <w:color w:val="000000" w:themeColor="text1"/>
        </w:rPr>
        <w:t xml:space="preserve"> with anti-immigrant attitudes </w:t>
      </w:r>
      <w:r w:rsidR="00005B26" w:rsidRPr="002D4D50">
        <w:rPr>
          <w:color w:val="000000" w:themeColor="text1"/>
        </w:rPr>
        <w:t>are likely to</w:t>
      </w:r>
      <w:r w:rsidR="00FC4FCD" w:rsidRPr="002D4D50">
        <w:rPr>
          <w:color w:val="000000" w:themeColor="text1"/>
        </w:rPr>
        <w:t xml:space="preserve"> translate electorally to voting for parties that emphasise restricting institutional access to the in-group. </w:t>
      </w:r>
      <w:r w:rsidR="00FC4FCD" w:rsidRPr="002D4D50">
        <w:rPr>
          <w:color w:val="000000" w:themeColor="text1"/>
          <w:lang w:val="en-US"/>
        </w:rPr>
        <w:t xml:space="preserve">As such, we hypothesize that: </w:t>
      </w:r>
    </w:p>
    <w:p w14:paraId="278D40D9" w14:textId="77777777" w:rsidR="00891C89" w:rsidRPr="002D4D50" w:rsidRDefault="00891C89" w:rsidP="00ED02A7">
      <w:pPr>
        <w:spacing w:line="480" w:lineRule="auto"/>
        <w:jc w:val="both"/>
      </w:pPr>
    </w:p>
    <w:p w14:paraId="05F581BA" w14:textId="4FA605ED" w:rsidR="00622740" w:rsidRPr="002D4D50" w:rsidRDefault="00370A9B" w:rsidP="00ED02A7">
      <w:pPr>
        <w:spacing w:line="480" w:lineRule="auto"/>
        <w:jc w:val="both"/>
      </w:pPr>
      <w:r w:rsidRPr="002D4D50">
        <w:t>H2(a)</w:t>
      </w:r>
      <w:r w:rsidR="0007056A" w:rsidRPr="002D4D50">
        <w:t>:</w:t>
      </w:r>
      <w:r w:rsidRPr="002D4D50">
        <w:t xml:space="preserve"> </w:t>
      </w:r>
      <w:r w:rsidR="00692808" w:rsidRPr="002D4D50">
        <w:t>Higher levels of t</w:t>
      </w:r>
      <w:r w:rsidR="007036FA" w:rsidRPr="002D4D50">
        <w:t>r</w:t>
      </w:r>
      <w:r w:rsidR="00622740" w:rsidRPr="002D4D50">
        <w:t xml:space="preserve">ust </w:t>
      </w:r>
      <w:r w:rsidR="007036FA" w:rsidRPr="002D4D50">
        <w:t xml:space="preserve">in institutions </w:t>
      </w:r>
      <w:r w:rsidR="00692808" w:rsidRPr="002D4D50">
        <w:t xml:space="preserve">are </w:t>
      </w:r>
      <w:r w:rsidR="00622740" w:rsidRPr="002D4D50">
        <w:t xml:space="preserve">likely to </w:t>
      </w:r>
      <w:r w:rsidR="00A14B7F" w:rsidRPr="002D4D50">
        <w:t>be associated with</w:t>
      </w:r>
      <w:r w:rsidR="00622740" w:rsidRPr="002D4D50">
        <w:t xml:space="preserve"> </w:t>
      </w:r>
      <w:proofErr w:type="gramStart"/>
      <w:r w:rsidR="00622740" w:rsidRPr="002D4D50">
        <w:t>far right</w:t>
      </w:r>
      <w:proofErr w:type="gramEnd"/>
      <w:r w:rsidR="00622740" w:rsidRPr="002D4D50">
        <w:t xml:space="preserve"> party support among </w:t>
      </w:r>
      <w:r w:rsidR="007036FA" w:rsidRPr="002D4D50">
        <w:t>core far right</w:t>
      </w:r>
      <w:r w:rsidR="008534B1" w:rsidRPr="002D4D50">
        <w:t xml:space="preserve"> voters</w:t>
      </w:r>
      <w:r w:rsidR="00005B26" w:rsidRPr="002D4D50">
        <w:t>.</w:t>
      </w:r>
      <w:r w:rsidR="008534B1" w:rsidRPr="002D4D50">
        <w:t xml:space="preserve"> </w:t>
      </w:r>
    </w:p>
    <w:p w14:paraId="66AD03BB" w14:textId="5A47C835" w:rsidR="00257F61" w:rsidRPr="002D4D50" w:rsidRDefault="00257F61" w:rsidP="00ED02A7">
      <w:pPr>
        <w:spacing w:line="480" w:lineRule="auto"/>
        <w:jc w:val="both"/>
      </w:pPr>
    </w:p>
    <w:p w14:paraId="07617A82" w14:textId="0F8B29B1" w:rsidR="00C07F4F" w:rsidRPr="002D4D50" w:rsidRDefault="00370A9B" w:rsidP="00ED02A7">
      <w:pPr>
        <w:spacing w:line="480" w:lineRule="auto"/>
        <w:jc w:val="both"/>
      </w:pPr>
      <w:r w:rsidRPr="002D4D50">
        <w:t>H2(b)</w:t>
      </w:r>
      <w:r w:rsidR="0007056A" w:rsidRPr="002D4D50">
        <w:t>:</w:t>
      </w:r>
      <w:r w:rsidRPr="002D4D50">
        <w:t xml:space="preserve"> </w:t>
      </w:r>
      <w:r w:rsidR="007036FA" w:rsidRPr="002D4D50">
        <w:t>Positive evaluations</w:t>
      </w:r>
      <w:r w:rsidR="006E4EC1" w:rsidRPr="002D4D50">
        <w:t xml:space="preserve"> of system performance</w:t>
      </w:r>
      <w:r w:rsidR="007036FA" w:rsidRPr="002D4D50">
        <w:t xml:space="preserve"> </w:t>
      </w:r>
      <w:r w:rsidR="0022449F" w:rsidRPr="002D4D50">
        <w:t xml:space="preserve">and policy outputs </w:t>
      </w:r>
      <w:r w:rsidR="007036FA" w:rsidRPr="002D4D50">
        <w:t xml:space="preserve">are </w:t>
      </w:r>
      <w:r w:rsidR="00622740" w:rsidRPr="002D4D50">
        <w:t xml:space="preserve">likely to </w:t>
      </w:r>
      <w:r w:rsidR="00A14B7F" w:rsidRPr="002D4D50">
        <w:t>be associated with</w:t>
      </w:r>
      <w:r w:rsidR="00622740" w:rsidRPr="002D4D50">
        <w:t xml:space="preserve"> </w:t>
      </w:r>
      <w:proofErr w:type="gramStart"/>
      <w:r w:rsidR="00622740" w:rsidRPr="002D4D50">
        <w:t>far right</w:t>
      </w:r>
      <w:proofErr w:type="gramEnd"/>
      <w:r w:rsidR="00622740" w:rsidRPr="002D4D50">
        <w:t xml:space="preserve"> party </w:t>
      </w:r>
      <w:r w:rsidRPr="002D4D50">
        <w:t xml:space="preserve">support among </w:t>
      </w:r>
      <w:r w:rsidR="007036FA" w:rsidRPr="002D4D50">
        <w:t>core far right</w:t>
      </w:r>
      <w:r w:rsidRPr="002D4D50">
        <w:t xml:space="preserve"> voters</w:t>
      </w:r>
      <w:r w:rsidR="00DC238C" w:rsidRPr="002D4D50">
        <w:t xml:space="preserve">. </w:t>
      </w:r>
      <w:r w:rsidR="008534B1" w:rsidRPr="002D4D50">
        <w:t xml:space="preserve"> </w:t>
      </w:r>
      <w:r w:rsidR="00257F61" w:rsidRPr="002D4D50">
        <w:t xml:space="preserve"> </w:t>
      </w:r>
    </w:p>
    <w:p w14:paraId="1B346ECF" w14:textId="77777777" w:rsidR="003E4AED" w:rsidRPr="002D4D50" w:rsidRDefault="003E4AED" w:rsidP="00ED02A7">
      <w:pPr>
        <w:spacing w:line="480" w:lineRule="auto"/>
        <w:jc w:val="both"/>
      </w:pPr>
    </w:p>
    <w:p w14:paraId="0BC4C99E" w14:textId="27FA3340" w:rsidR="005C2870" w:rsidRPr="002D4D50" w:rsidRDefault="005C2870" w:rsidP="00ED02A7">
      <w:pPr>
        <w:spacing w:line="480" w:lineRule="auto"/>
        <w:jc w:val="both"/>
        <w:rPr>
          <w:b/>
        </w:rPr>
      </w:pPr>
      <w:r w:rsidRPr="002D4D50">
        <w:rPr>
          <w:b/>
        </w:rPr>
        <w:t>Data and methods</w:t>
      </w:r>
    </w:p>
    <w:p w14:paraId="448CE4E8" w14:textId="77777777" w:rsidR="00DD6E35" w:rsidRPr="002D4D50" w:rsidRDefault="00DD6E35" w:rsidP="00ED02A7">
      <w:pPr>
        <w:spacing w:line="480" w:lineRule="auto"/>
        <w:jc w:val="both"/>
        <w:rPr>
          <w:b/>
        </w:rPr>
      </w:pPr>
    </w:p>
    <w:p w14:paraId="5A443747" w14:textId="7EC47AE6" w:rsidR="005C2870" w:rsidRPr="002D4D50" w:rsidRDefault="005C2870" w:rsidP="00ED02A7">
      <w:pPr>
        <w:spacing w:line="480" w:lineRule="auto"/>
        <w:jc w:val="both"/>
        <w:rPr>
          <w:color w:val="000000" w:themeColor="text1"/>
        </w:rPr>
      </w:pPr>
      <w:r w:rsidRPr="002D4D50">
        <w:rPr>
          <w:color w:val="000000" w:themeColor="text1"/>
        </w:rPr>
        <w:t>To test the above expectations, we rely on individual-level data from the European Social Survey (ESS</w:t>
      </w:r>
      <w:r w:rsidR="00905D66" w:rsidRPr="002D4D50">
        <w:rPr>
          <w:color w:val="000000" w:themeColor="text1"/>
        </w:rPr>
        <w:t xml:space="preserve"> 2020</w:t>
      </w:r>
      <w:r w:rsidRPr="002D4D50">
        <w:rPr>
          <w:color w:val="000000" w:themeColor="text1"/>
        </w:rPr>
        <w:t xml:space="preserve">) for </w:t>
      </w:r>
      <w:r w:rsidR="00584914" w:rsidRPr="002D4D50">
        <w:rPr>
          <w:color w:val="000000" w:themeColor="text1"/>
        </w:rPr>
        <w:t xml:space="preserve">twenty-three </w:t>
      </w:r>
      <w:r w:rsidR="008A61B5" w:rsidRPr="002D4D50">
        <w:rPr>
          <w:color w:val="000000" w:themeColor="text1"/>
        </w:rPr>
        <w:t xml:space="preserve">European countries. </w:t>
      </w:r>
      <w:proofErr w:type="gramStart"/>
      <w:r w:rsidR="00E2082A" w:rsidRPr="002D4D50">
        <w:rPr>
          <w:color w:val="000000" w:themeColor="text1"/>
        </w:rPr>
        <w:t>Similar</w:t>
      </w:r>
      <w:r w:rsidR="008A61B5" w:rsidRPr="002D4D50">
        <w:rPr>
          <w:color w:val="000000" w:themeColor="text1"/>
        </w:rPr>
        <w:t>ly</w:t>
      </w:r>
      <w:proofErr w:type="gramEnd"/>
      <w:r w:rsidR="00E2082A" w:rsidRPr="002D4D50">
        <w:rPr>
          <w:color w:val="000000" w:themeColor="text1"/>
        </w:rPr>
        <w:t xml:space="preserve"> to literature that uses data from </w:t>
      </w:r>
      <w:r w:rsidR="00DE7BCB" w:rsidRPr="002D4D50">
        <w:rPr>
          <w:color w:val="000000" w:themeColor="text1"/>
        </w:rPr>
        <w:t xml:space="preserve">multiple </w:t>
      </w:r>
      <w:r w:rsidR="00E2082A" w:rsidRPr="002D4D50">
        <w:rPr>
          <w:color w:val="000000" w:themeColor="text1"/>
        </w:rPr>
        <w:t>ESS</w:t>
      </w:r>
      <w:r w:rsidR="00DE7BCB" w:rsidRPr="002D4D50">
        <w:rPr>
          <w:color w:val="000000" w:themeColor="text1"/>
        </w:rPr>
        <w:t xml:space="preserve"> waves</w:t>
      </w:r>
      <w:r w:rsidR="00E2082A" w:rsidRPr="002D4D50">
        <w:rPr>
          <w:color w:val="000000" w:themeColor="text1"/>
        </w:rPr>
        <w:t xml:space="preserve"> (see e.g.</w:t>
      </w:r>
      <w:r w:rsidR="00065D5A" w:rsidRPr="002D4D50">
        <w:rPr>
          <w:color w:val="000000" w:themeColor="text1"/>
        </w:rPr>
        <w:t xml:space="preserve"> Benedetto et al</w:t>
      </w:r>
      <w:r w:rsidR="00AC741D">
        <w:rPr>
          <w:color w:val="000000" w:themeColor="text1"/>
        </w:rPr>
        <w:t>.,</w:t>
      </w:r>
      <w:r w:rsidR="00065D5A" w:rsidRPr="002D4D50">
        <w:rPr>
          <w:color w:val="000000" w:themeColor="text1"/>
        </w:rPr>
        <w:t xml:space="preserve"> 2020; </w:t>
      </w:r>
      <w:proofErr w:type="spellStart"/>
      <w:r w:rsidR="00E2082A" w:rsidRPr="002D4D50">
        <w:rPr>
          <w:color w:val="000000" w:themeColor="text1"/>
        </w:rPr>
        <w:t>Rooduijn</w:t>
      </w:r>
      <w:proofErr w:type="spellEnd"/>
      <w:r w:rsidR="00AC741D">
        <w:rPr>
          <w:color w:val="000000" w:themeColor="text1"/>
        </w:rPr>
        <w:t>,</w:t>
      </w:r>
      <w:r w:rsidR="00E2082A" w:rsidRPr="002D4D50">
        <w:rPr>
          <w:color w:val="000000" w:themeColor="text1"/>
        </w:rPr>
        <w:t xml:space="preserve"> 2018</w:t>
      </w:r>
      <w:r w:rsidR="008A61B5" w:rsidRPr="002D4D50">
        <w:rPr>
          <w:color w:val="000000" w:themeColor="text1"/>
        </w:rPr>
        <w:t xml:space="preserve">; </w:t>
      </w:r>
      <w:proofErr w:type="spellStart"/>
      <w:r w:rsidR="008A61B5" w:rsidRPr="002D4D50">
        <w:rPr>
          <w:color w:val="000000" w:themeColor="text1"/>
        </w:rPr>
        <w:t>Rooduijn</w:t>
      </w:r>
      <w:proofErr w:type="spellEnd"/>
      <w:r w:rsidR="008A61B5" w:rsidRPr="002D4D50">
        <w:rPr>
          <w:color w:val="000000" w:themeColor="text1"/>
        </w:rPr>
        <w:t xml:space="preserve"> and Burgoon</w:t>
      </w:r>
      <w:r w:rsidR="00AC741D">
        <w:rPr>
          <w:color w:val="000000" w:themeColor="text1"/>
        </w:rPr>
        <w:t>,</w:t>
      </w:r>
      <w:r w:rsidR="008A61B5" w:rsidRPr="002D4D50">
        <w:rPr>
          <w:color w:val="000000" w:themeColor="text1"/>
        </w:rPr>
        <w:t xml:space="preserve"> 2018</w:t>
      </w:r>
      <w:r w:rsidR="00E2082A" w:rsidRPr="002D4D50">
        <w:rPr>
          <w:color w:val="000000" w:themeColor="text1"/>
        </w:rPr>
        <w:t>), o</w:t>
      </w:r>
      <w:r w:rsidRPr="002D4D50">
        <w:rPr>
          <w:color w:val="000000" w:themeColor="text1"/>
        </w:rPr>
        <w:t xml:space="preserve">ur dataset includes </w:t>
      </w:r>
      <w:r w:rsidR="007A4180" w:rsidRPr="002D4D50">
        <w:rPr>
          <w:color w:val="000000" w:themeColor="text1"/>
        </w:rPr>
        <w:t xml:space="preserve">nine </w:t>
      </w:r>
      <w:r w:rsidRPr="002D4D50">
        <w:rPr>
          <w:color w:val="000000" w:themeColor="text1"/>
        </w:rPr>
        <w:t>waves, carried out eve</w:t>
      </w:r>
      <w:r w:rsidR="008A61B5" w:rsidRPr="002D4D50">
        <w:rPr>
          <w:color w:val="000000" w:themeColor="text1"/>
        </w:rPr>
        <w:t xml:space="preserve">ry two years from 2002 to </w:t>
      </w:r>
      <w:r w:rsidR="007A4180" w:rsidRPr="002D4D50">
        <w:rPr>
          <w:color w:val="000000" w:themeColor="text1"/>
        </w:rPr>
        <w:t>2018</w:t>
      </w:r>
      <w:r w:rsidR="008A61B5" w:rsidRPr="002D4D50">
        <w:rPr>
          <w:color w:val="000000" w:themeColor="text1"/>
        </w:rPr>
        <w:t xml:space="preserve">. </w:t>
      </w:r>
      <w:r w:rsidR="00710CDD" w:rsidRPr="002D4D50">
        <w:rPr>
          <w:color w:val="000000" w:themeColor="text1"/>
        </w:rPr>
        <w:t>We use the term ‘far right’ in line with a growing body of literature (Golder</w:t>
      </w:r>
      <w:r w:rsidR="00AC741D">
        <w:rPr>
          <w:color w:val="000000" w:themeColor="text1"/>
        </w:rPr>
        <w:t xml:space="preserve">, </w:t>
      </w:r>
      <w:r w:rsidR="00710CDD" w:rsidRPr="002D4D50">
        <w:rPr>
          <w:color w:val="000000" w:themeColor="text1"/>
        </w:rPr>
        <w:lastRenderedPageBreak/>
        <w:t xml:space="preserve">2016; </w:t>
      </w:r>
      <w:proofErr w:type="spellStart"/>
      <w:r w:rsidR="00710CDD" w:rsidRPr="002D4D50">
        <w:rPr>
          <w:color w:val="000000" w:themeColor="text1"/>
        </w:rPr>
        <w:t>Mudde</w:t>
      </w:r>
      <w:proofErr w:type="spellEnd"/>
      <w:r w:rsidR="00AC741D">
        <w:rPr>
          <w:color w:val="000000" w:themeColor="text1"/>
        </w:rPr>
        <w:t>,</w:t>
      </w:r>
      <w:r w:rsidR="00710CDD" w:rsidRPr="002D4D50">
        <w:rPr>
          <w:color w:val="000000" w:themeColor="text1"/>
        </w:rPr>
        <w:t xml:space="preserve"> 2019; </w:t>
      </w:r>
      <w:proofErr w:type="spellStart"/>
      <w:r w:rsidR="00710CDD" w:rsidRPr="002D4D50">
        <w:rPr>
          <w:color w:val="000000" w:themeColor="text1"/>
        </w:rPr>
        <w:t>Halikiopoulou</w:t>
      </w:r>
      <w:proofErr w:type="spellEnd"/>
      <w:r w:rsidR="00710CDD" w:rsidRPr="002D4D50">
        <w:rPr>
          <w:color w:val="000000" w:themeColor="text1"/>
        </w:rPr>
        <w:t xml:space="preserve"> and </w:t>
      </w:r>
      <w:proofErr w:type="spellStart"/>
      <w:r w:rsidR="00710CDD" w:rsidRPr="002D4D50">
        <w:rPr>
          <w:color w:val="000000" w:themeColor="text1"/>
        </w:rPr>
        <w:t>Vlandas</w:t>
      </w:r>
      <w:proofErr w:type="spellEnd"/>
      <w:r w:rsidR="00AC741D">
        <w:rPr>
          <w:color w:val="000000" w:themeColor="text1"/>
        </w:rPr>
        <w:t>,</w:t>
      </w:r>
      <w:r w:rsidR="00710CDD" w:rsidRPr="002D4D50">
        <w:rPr>
          <w:color w:val="000000" w:themeColor="text1"/>
        </w:rPr>
        <w:t xml:space="preserve"> 2020; </w:t>
      </w:r>
      <w:r w:rsidR="00AC741D" w:rsidRPr="002D4D50">
        <w:rPr>
          <w:color w:val="000000" w:themeColor="text1"/>
        </w:rPr>
        <w:t>Lucassen and Lubbers</w:t>
      </w:r>
      <w:r w:rsidR="00AC741D">
        <w:rPr>
          <w:color w:val="000000" w:themeColor="text1"/>
        </w:rPr>
        <w:t>,</w:t>
      </w:r>
      <w:r w:rsidR="00AC741D" w:rsidRPr="002D4D50">
        <w:rPr>
          <w:color w:val="000000" w:themeColor="text1"/>
        </w:rPr>
        <w:t xml:space="preserve"> 2012</w:t>
      </w:r>
      <w:r w:rsidR="00AC741D">
        <w:rPr>
          <w:color w:val="000000" w:themeColor="text1"/>
        </w:rPr>
        <w:t xml:space="preserve">; </w:t>
      </w:r>
      <w:proofErr w:type="spellStart"/>
      <w:r w:rsidR="00710CDD" w:rsidRPr="002D4D50">
        <w:rPr>
          <w:color w:val="000000" w:themeColor="text1"/>
        </w:rPr>
        <w:t>Stockemer</w:t>
      </w:r>
      <w:proofErr w:type="spellEnd"/>
      <w:r w:rsidR="00710CDD" w:rsidRPr="002D4D50">
        <w:rPr>
          <w:color w:val="000000" w:themeColor="text1"/>
        </w:rPr>
        <w:t xml:space="preserve"> et al</w:t>
      </w:r>
      <w:r w:rsidR="00AC741D">
        <w:rPr>
          <w:color w:val="000000" w:themeColor="text1"/>
        </w:rPr>
        <w:t>.,</w:t>
      </w:r>
      <w:r w:rsidR="00710CDD" w:rsidRPr="002D4D50">
        <w:rPr>
          <w:color w:val="000000" w:themeColor="text1"/>
        </w:rPr>
        <w:t xml:space="preserve"> 2021) to describe parties that use nationalism, populism</w:t>
      </w:r>
      <w:r w:rsidR="006A245C">
        <w:rPr>
          <w:color w:val="000000" w:themeColor="text1"/>
        </w:rPr>
        <w:t>,</w:t>
      </w:r>
      <w:r w:rsidR="00710CDD" w:rsidRPr="002D4D50">
        <w:rPr>
          <w:color w:val="000000" w:themeColor="text1"/>
        </w:rPr>
        <w:t xml:space="preserve"> and authoritarianism in their programmatic agendas (Golder</w:t>
      </w:r>
      <w:r w:rsidR="00AC741D">
        <w:rPr>
          <w:color w:val="000000" w:themeColor="text1"/>
        </w:rPr>
        <w:t>,</w:t>
      </w:r>
      <w:r w:rsidR="00710CDD" w:rsidRPr="002D4D50">
        <w:rPr>
          <w:color w:val="000000" w:themeColor="text1"/>
        </w:rPr>
        <w:t xml:space="preserve"> 2016; </w:t>
      </w:r>
      <w:proofErr w:type="spellStart"/>
      <w:r w:rsidR="00710CDD" w:rsidRPr="002D4D50">
        <w:rPr>
          <w:color w:val="000000" w:themeColor="text1"/>
        </w:rPr>
        <w:t>Vlandas</w:t>
      </w:r>
      <w:proofErr w:type="spellEnd"/>
      <w:r w:rsidR="00710CDD" w:rsidRPr="002D4D50">
        <w:rPr>
          <w:color w:val="000000" w:themeColor="text1"/>
        </w:rPr>
        <w:t xml:space="preserve"> and </w:t>
      </w:r>
      <w:proofErr w:type="spellStart"/>
      <w:r w:rsidR="00710CDD" w:rsidRPr="002D4D50">
        <w:rPr>
          <w:color w:val="000000" w:themeColor="text1"/>
        </w:rPr>
        <w:t>Halikiopoulou</w:t>
      </w:r>
      <w:proofErr w:type="spellEnd"/>
      <w:r w:rsidR="00AC741D">
        <w:rPr>
          <w:color w:val="000000" w:themeColor="text1"/>
        </w:rPr>
        <w:t>,</w:t>
      </w:r>
      <w:r w:rsidR="00710CDD" w:rsidRPr="002D4D50">
        <w:rPr>
          <w:color w:val="000000" w:themeColor="text1"/>
        </w:rPr>
        <w:t xml:space="preserve"> 2022).  These parties </w:t>
      </w:r>
      <w:r w:rsidR="002C076D" w:rsidRPr="002D4D50">
        <w:rPr>
          <w:color w:val="000000" w:themeColor="text1"/>
        </w:rPr>
        <w:t>place the prioritisation of the in-group at the top of their political agenda (</w:t>
      </w:r>
      <w:r w:rsidR="00481B1D" w:rsidRPr="002D4D50">
        <w:rPr>
          <w:color w:val="000000" w:themeColor="text1"/>
        </w:rPr>
        <w:t>Lucassen and Lubbers</w:t>
      </w:r>
      <w:r w:rsidR="00AC741D">
        <w:rPr>
          <w:color w:val="000000" w:themeColor="text1"/>
        </w:rPr>
        <w:t>,</w:t>
      </w:r>
      <w:r w:rsidR="00481B1D" w:rsidRPr="002D4D50">
        <w:rPr>
          <w:color w:val="000000" w:themeColor="text1"/>
        </w:rPr>
        <w:t xml:space="preserve"> 2012</w:t>
      </w:r>
      <w:r w:rsidR="002C076D" w:rsidRPr="002D4D50">
        <w:rPr>
          <w:color w:val="000000" w:themeColor="text1"/>
        </w:rPr>
        <w:t xml:space="preserve">) and propose </w:t>
      </w:r>
      <w:r w:rsidR="00C612AC" w:rsidRPr="002D4D50">
        <w:rPr>
          <w:color w:val="000000" w:themeColor="text1"/>
        </w:rPr>
        <w:t>‘</w:t>
      </w:r>
      <w:r w:rsidR="00C920AA" w:rsidRPr="002D4D50">
        <w:rPr>
          <w:color w:val="000000" w:themeColor="text1"/>
        </w:rPr>
        <w:t>nationalist solutions</w:t>
      </w:r>
      <w:r w:rsidR="00C612AC" w:rsidRPr="002D4D50">
        <w:rPr>
          <w:color w:val="000000" w:themeColor="text1"/>
        </w:rPr>
        <w:t>’</w:t>
      </w:r>
      <w:r w:rsidR="00C920AA" w:rsidRPr="002D4D50">
        <w:rPr>
          <w:color w:val="000000" w:themeColor="text1"/>
        </w:rPr>
        <w:t xml:space="preserve"> to all socio-economic problems (</w:t>
      </w:r>
      <w:proofErr w:type="spellStart"/>
      <w:r w:rsidR="00C920AA" w:rsidRPr="002D4D50">
        <w:rPr>
          <w:color w:val="000000" w:themeColor="text1"/>
        </w:rPr>
        <w:t>Vasilopoulou</w:t>
      </w:r>
      <w:proofErr w:type="spellEnd"/>
      <w:r w:rsidR="00C920AA" w:rsidRPr="002D4D50">
        <w:rPr>
          <w:color w:val="000000" w:themeColor="text1"/>
        </w:rPr>
        <w:t xml:space="preserve"> and </w:t>
      </w:r>
      <w:proofErr w:type="spellStart"/>
      <w:r w:rsidR="00C920AA" w:rsidRPr="002D4D50">
        <w:rPr>
          <w:color w:val="000000" w:themeColor="text1"/>
        </w:rPr>
        <w:t>Halikiopoulou</w:t>
      </w:r>
      <w:proofErr w:type="spellEnd"/>
      <w:r w:rsidR="00AC741D">
        <w:rPr>
          <w:color w:val="000000" w:themeColor="text1"/>
        </w:rPr>
        <w:t>,</w:t>
      </w:r>
      <w:r w:rsidR="00C920AA" w:rsidRPr="002D4D50">
        <w:rPr>
          <w:color w:val="000000" w:themeColor="text1"/>
        </w:rPr>
        <w:t xml:space="preserve"> 2015)</w:t>
      </w:r>
      <w:r w:rsidR="00BA34A1" w:rsidRPr="002D4D50">
        <w:rPr>
          <w:color w:val="000000" w:themeColor="text1"/>
        </w:rPr>
        <w:t xml:space="preserve">. </w:t>
      </w:r>
      <w:r w:rsidR="00710CDD" w:rsidRPr="002D4D50">
        <w:rPr>
          <w:color w:val="000000" w:themeColor="text1"/>
        </w:rPr>
        <w:t>To operationalise far right parties</w:t>
      </w:r>
      <w:r w:rsidR="007344D7" w:rsidRPr="002D4D50">
        <w:rPr>
          <w:color w:val="000000" w:themeColor="text1"/>
        </w:rPr>
        <w:t>,</w:t>
      </w:r>
      <w:r w:rsidR="00710CDD" w:rsidRPr="002D4D50">
        <w:rPr>
          <w:color w:val="000000" w:themeColor="text1"/>
        </w:rPr>
        <w:t xml:space="preserve"> we use the classification offered by the </w:t>
      </w:r>
      <w:proofErr w:type="spellStart"/>
      <w:r w:rsidR="00710CDD" w:rsidRPr="002D4D50">
        <w:rPr>
          <w:color w:val="000000" w:themeColor="text1"/>
        </w:rPr>
        <w:t>PopuList</w:t>
      </w:r>
      <w:proofErr w:type="spellEnd"/>
      <w:r w:rsidR="00710CDD" w:rsidRPr="002D4D50">
        <w:rPr>
          <w:color w:val="000000" w:themeColor="text1"/>
        </w:rPr>
        <w:t xml:space="preserve"> (</w:t>
      </w:r>
      <w:proofErr w:type="spellStart"/>
      <w:r w:rsidR="00710CDD" w:rsidRPr="002D4D50">
        <w:rPr>
          <w:color w:val="000000" w:themeColor="text1"/>
        </w:rPr>
        <w:t>Rooduijn</w:t>
      </w:r>
      <w:proofErr w:type="spellEnd"/>
      <w:r w:rsidR="00710CDD" w:rsidRPr="002D4D50">
        <w:rPr>
          <w:color w:val="000000" w:themeColor="text1"/>
        </w:rPr>
        <w:t xml:space="preserve"> et al</w:t>
      </w:r>
      <w:r w:rsidR="00AC741D">
        <w:rPr>
          <w:color w:val="000000" w:themeColor="text1"/>
        </w:rPr>
        <w:t>.,</w:t>
      </w:r>
      <w:r w:rsidR="00710CDD" w:rsidRPr="002D4D50">
        <w:rPr>
          <w:color w:val="000000" w:themeColor="text1"/>
        </w:rPr>
        <w:t xml:space="preserve"> 2019)</w:t>
      </w:r>
      <w:r w:rsidR="007C7A31" w:rsidRPr="002D4D50">
        <w:rPr>
          <w:color w:val="000000" w:themeColor="text1"/>
        </w:rPr>
        <w:t xml:space="preserve">. </w:t>
      </w:r>
      <w:r w:rsidR="00860D4E" w:rsidRPr="002D4D50">
        <w:rPr>
          <w:color w:val="000000" w:themeColor="text1"/>
        </w:rPr>
        <w:t xml:space="preserve">The </w:t>
      </w:r>
      <w:proofErr w:type="spellStart"/>
      <w:r w:rsidR="00860D4E" w:rsidRPr="002D4D50">
        <w:rPr>
          <w:color w:val="000000" w:themeColor="text1"/>
        </w:rPr>
        <w:t>PopuList</w:t>
      </w:r>
      <w:proofErr w:type="spellEnd"/>
      <w:r w:rsidR="00860D4E" w:rsidRPr="002D4D50">
        <w:rPr>
          <w:color w:val="000000" w:themeColor="text1"/>
        </w:rPr>
        <w:t xml:space="preserve"> is a widely </w:t>
      </w:r>
      <w:r w:rsidR="00A20CD3" w:rsidRPr="002D4D50">
        <w:rPr>
          <w:color w:val="000000" w:themeColor="text1"/>
        </w:rPr>
        <w:t>referenced</w:t>
      </w:r>
      <w:r w:rsidR="00860D4E" w:rsidRPr="002D4D50">
        <w:rPr>
          <w:color w:val="000000" w:themeColor="text1"/>
        </w:rPr>
        <w:t xml:space="preserve"> database, </w:t>
      </w:r>
      <w:r w:rsidR="00FF20A2" w:rsidRPr="002D4D50">
        <w:rPr>
          <w:color w:val="000000" w:themeColor="text1"/>
        </w:rPr>
        <w:t xml:space="preserve">peer reviewed by </w:t>
      </w:r>
      <w:r w:rsidR="00EC5A18" w:rsidRPr="002D4D50">
        <w:rPr>
          <w:color w:val="000000" w:themeColor="text1"/>
        </w:rPr>
        <w:t xml:space="preserve">experts </w:t>
      </w:r>
      <w:r w:rsidR="00FF20A2" w:rsidRPr="002D4D50">
        <w:rPr>
          <w:color w:val="000000" w:themeColor="text1"/>
        </w:rPr>
        <w:t xml:space="preserve">and </w:t>
      </w:r>
      <w:r w:rsidR="00860D4E" w:rsidRPr="002D4D50">
        <w:rPr>
          <w:color w:val="000000" w:themeColor="text1"/>
        </w:rPr>
        <w:t>used extensively in the literature to classify parties</w:t>
      </w:r>
      <w:r w:rsidR="00C612AC" w:rsidRPr="002D4D50">
        <w:rPr>
          <w:color w:val="000000" w:themeColor="text1"/>
        </w:rPr>
        <w:t>, including the far right</w:t>
      </w:r>
      <w:r w:rsidR="00113FC5">
        <w:rPr>
          <w:color w:val="000000" w:themeColor="text1"/>
        </w:rPr>
        <w:t xml:space="preserve">. </w:t>
      </w:r>
      <w:r w:rsidR="00D545D0" w:rsidRPr="002D4D50">
        <w:rPr>
          <w:color w:val="000000" w:themeColor="text1"/>
        </w:rPr>
        <w:t xml:space="preserve">Our </w:t>
      </w:r>
      <w:r w:rsidR="00D545D0" w:rsidRPr="002D4D50">
        <w:rPr>
          <w:i/>
          <w:color w:val="000000" w:themeColor="text1"/>
        </w:rPr>
        <w:t>dependent variable</w:t>
      </w:r>
      <w:r w:rsidR="00D545D0" w:rsidRPr="002D4D50">
        <w:rPr>
          <w:color w:val="000000" w:themeColor="text1"/>
        </w:rPr>
        <w:t xml:space="preserve"> is measured as 1 if an individual voted for a </w:t>
      </w:r>
      <w:proofErr w:type="gramStart"/>
      <w:r w:rsidR="00D545D0" w:rsidRPr="002D4D50">
        <w:rPr>
          <w:color w:val="000000" w:themeColor="text1"/>
        </w:rPr>
        <w:t>far right</w:t>
      </w:r>
      <w:proofErr w:type="gramEnd"/>
      <w:r w:rsidR="00D545D0" w:rsidRPr="002D4D50">
        <w:rPr>
          <w:color w:val="000000" w:themeColor="text1"/>
        </w:rPr>
        <w:t xml:space="preserve"> party in the last national election and 0 if they did not. </w:t>
      </w:r>
      <w:r w:rsidR="0047615A" w:rsidRPr="002D4D50">
        <w:rPr>
          <w:color w:val="000000" w:themeColor="text1"/>
        </w:rPr>
        <w:t xml:space="preserve"> </w:t>
      </w:r>
      <w:r w:rsidR="00666651" w:rsidRPr="002D4D50">
        <w:rPr>
          <w:color w:val="000000" w:themeColor="text1"/>
        </w:rPr>
        <w:t>O</w:t>
      </w:r>
      <w:r w:rsidR="0047615A" w:rsidRPr="002D4D50">
        <w:rPr>
          <w:color w:val="000000" w:themeColor="text1"/>
        </w:rPr>
        <w:t>ur sample</w:t>
      </w:r>
      <w:r w:rsidR="00666651" w:rsidRPr="002D4D50">
        <w:rPr>
          <w:color w:val="000000" w:themeColor="text1"/>
        </w:rPr>
        <w:t xml:space="preserve"> includes</w:t>
      </w:r>
      <w:r w:rsidR="0047615A" w:rsidRPr="002D4D50">
        <w:rPr>
          <w:color w:val="000000" w:themeColor="text1"/>
        </w:rPr>
        <w:t xml:space="preserve"> 15,045 individuals </w:t>
      </w:r>
      <w:r w:rsidR="00666651" w:rsidRPr="002D4D50">
        <w:rPr>
          <w:color w:val="000000" w:themeColor="text1"/>
        </w:rPr>
        <w:t xml:space="preserve">who </w:t>
      </w:r>
      <w:r w:rsidR="0047615A" w:rsidRPr="002D4D50">
        <w:rPr>
          <w:color w:val="000000" w:themeColor="text1"/>
        </w:rPr>
        <w:t xml:space="preserve">declared </w:t>
      </w:r>
      <w:r w:rsidR="00666651" w:rsidRPr="002D4D50">
        <w:rPr>
          <w:color w:val="000000" w:themeColor="text1"/>
        </w:rPr>
        <w:t xml:space="preserve">having </w:t>
      </w:r>
      <w:r w:rsidR="0047615A" w:rsidRPr="002D4D50">
        <w:rPr>
          <w:color w:val="000000" w:themeColor="text1"/>
        </w:rPr>
        <w:t>vot</w:t>
      </w:r>
      <w:r w:rsidR="00666651" w:rsidRPr="002D4D50">
        <w:rPr>
          <w:color w:val="000000" w:themeColor="text1"/>
        </w:rPr>
        <w:t>ed</w:t>
      </w:r>
      <w:r w:rsidR="0047615A" w:rsidRPr="002D4D50">
        <w:rPr>
          <w:color w:val="000000" w:themeColor="text1"/>
        </w:rPr>
        <w:t xml:space="preserve"> for the far right (7.37 percent). </w:t>
      </w:r>
      <w:r w:rsidR="00666651" w:rsidRPr="002D4D50">
        <w:rPr>
          <w:color w:val="000000" w:themeColor="text1"/>
        </w:rPr>
        <w:t>It excludes n</w:t>
      </w:r>
      <w:r w:rsidR="006231A6" w:rsidRPr="002D4D50">
        <w:rPr>
          <w:color w:val="000000" w:themeColor="text1"/>
        </w:rPr>
        <w:t xml:space="preserve">on-voters. </w:t>
      </w:r>
      <w:r w:rsidR="00D565C5" w:rsidRPr="002D4D50">
        <w:rPr>
          <w:color w:val="000000" w:themeColor="text1"/>
        </w:rPr>
        <w:t xml:space="preserve">For an overview of the selected far right parties, see Appendix Table 1. </w:t>
      </w:r>
    </w:p>
    <w:p w14:paraId="0609927C" w14:textId="77777777" w:rsidR="005C2870" w:rsidRPr="002D4D50" w:rsidRDefault="005C2870" w:rsidP="00ED02A7">
      <w:pPr>
        <w:spacing w:line="480" w:lineRule="auto"/>
        <w:jc w:val="both"/>
      </w:pPr>
    </w:p>
    <w:p w14:paraId="7E60799E" w14:textId="33D658C3" w:rsidR="00C612AC" w:rsidRPr="002D4D50" w:rsidRDefault="007036FA" w:rsidP="00641DA5">
      <w:pPr>
        <w:spacing w:line="480" w:lineRule="auto"/>
        <w:jc w:val="both"/>
      </w:pPr>
      <w:r w:rsidRPr="002D4D50">
        <w:rPr>
          <w:i/>
        </w:rPr>
        <w:t>Independent variables</w:t>
      </w:r>
      <w:r w:rsidR="005C2870" w:rsidRPr="002D4D50">
        <w:t xml:space="preserve">: </w:t>
      </w:r>
      <w:r w:rsidR="004B04C8" w:rsidRPr="002D4D50">
        <w:t xml:space="preserve">Our rationale for operationalising our independent variables is based on </w:t>
      </w:r>
      <w:r w:rsidR="00683407" w:rsidRPr="002D4D50">
        <w:t xml:space="preserve">the need to </w:t>
      </w:r>
      <w:r w:rsidR="004B04C8" w:rsidRPr="002D4D50">
        <w:t>empirically captur</w:t>
      </w:r>
      <w:r w:rsidR="00683407" w:rsidRPr="002D4D50">
        <w:t>e</w:t>
      </w:r>
      <w:r w:rsidR="004B04C8" w:rsidRPr="002D4D50">
        <w:t xml:space="preserve"> the different facets of </w:t>
      </w:r>
      <w:r w:rsidR="00683407" w:rsidRPr="002D4D50">
        <w:t xml:space="preserve">support for the </w:t>
      </w:r>
      <w:r w:rsidR="004B04C8" w:rsidRPr="002D4D50">
        <w:t xml:space="preserve">democratic process discussed in the literature. As noted above there is debate about how to measure each component </w:t>
      </w:r>
      <w:r w:rsidR="00EB7AE1" w:rsidRPr="002D4D50">
        <w:t xml:space="preserve">of political support </w:t>
      </w:r>
      <w:r w:rsidR="004B04C8" w:rsidRPr="002D4D50">
        <w:t>(</w:t>
      </w:r>
      <w:proofErr w:type="spellStart"/>
      <w:r w:rsidR="004B04C8" w:rsidRPr="002D4D50">
        <w:t>Canache</w:t>
      </w:r>
      <w:proofErr w:type="spellEnd"/>
      <w:r w:rsidR="004B04C8" w:rsidRPr="002D4D50">
        <w:t xml:space="preserve"> et al</w:t>
      </w:r>
      <w:r w:rsidR="00AC741D">
        <w:t>.,</w:t>
      </w:r>
      <w:r w:rsidR="004B04C8" w:rsidRPr="002D4D50">
        <w:t xml:space="preserve"> 2001; </w:t>
      </w:r>
      <w:r w:rsidR="00AC741D" w:rsidRPr="002D4D50">
        <w:t>Easton</w:t>
      </w:r>
      <w:r w:rsidR="00AC741D">
        <w:t>,</w:t>
      </w:r>
      <w:r w:rsidR="00AC741D" w:rsidRPr="002D4D50">
        <w:t xml:space="preserve"> 1975; </w:t>
      </w:r>
      <w:r w:rsidR="004B04C8" w:rsidRPr="002D4D50">
        <w:t>Norris</w:t>
      </w:r>
      <w:r w:rsidR="00AC741D">
        <w:t>,</w:t>
      </w:r>
      <w:r w:rsidR="004B04C8" w:rsidRPr="002D4D50">
        <w:t xml:space="preserve"> 2017; Claassen &amp; </w:t>
      </w:r>
      <w:proofErr w:type="spellStart"/>
      <w:r w:rsidR="004B04C8" w:rsidRPr="002D4D50">
        <w:t>Magalhães</w:t>
      </w:r>
      <w:proofErr w:type="spellEnd"/>
      <w:r w:rsidR="00AC741D">
        <w:t>,</w:t>
      </w:r>
      <w:r w:rsidR="004B04C8" w:rsidRPr="002D4D50">
        <w:t xml:space="preserve"> 2022). </w:t>
      </w:r>
      <w:r w:rsidR="00EB7AE1" w:rsidRPr="002D4D50">
        <w:t>We acknowledge this debate and follow established literature as follows. First, t</w:t>
      </w:r>
      <w:r w:rsidR="001013AB" w:rsidRPr="002D4D50">
        <w:t>o</w:t>
      </w:r>
      <w:r w:rsidR="005C2870" w:rsidRPr="002D4D50">
        <w:t xml:space="preserve"> operationalize </w:t>
      </w:r>
      <w:r w:rsidR="00BA34A1" w:rsidRPr="002D4D50">
        <w:t xml:space="preserve">the </w:t>
      </w:r>
      <w:r w:rsidR="00641DA5" w:rsidRPr="002D4D50">
        <w:t>diffuse dimension</w:t>
      </w:r>
      <w:r w:rsidR="006423F1" w:rsidRPr="002D4D50">
        <w:t xml:space="preserve"> of the democratic </w:t>
      </w:r>
      <w:r w:rsidR="00641DA5" w:rsidRPr="002D4D50">
        <w:t xml:space="preserve">evaluation </w:t>
      </w:r>
      <w:r w:rsidR="006423F1" w:rsidRPr="002D4D50">
        <w:t>process</w:t>
      </w:r>
      <w:r w:rsidR="00BA34A1" w:rsidRPr="002D4D50">
        <w:t xml:space="preserve">, we </w:t>
      </w:r>
      <w:r w:rsidR="00EB7AE1" w:rsidRPr="002D4D50">
        <w:t xml:space="preserve">focus on </w:t>
      </w:r>
      <w:r w:rsidR="002C72E4" w:rsidRPr="002D4D50">
        <w:t>institutional</w:t>
      </w:r>
      <w:r w:rsidR="00EB7AE1" w:rsidRPr="002D4D50">
        <w:t xml:space="preserve"> trust (</w:t>
      </w:r>
      <w:r w:rsidR="00AC741D">
        <w:t>d</w:t>
      </w:r>
      <w:r w:rsidR="00EB7AE1" w:rsidRPr="002D4D50">
        <w:t>e Vries</w:t>
      </w:r>
      <w:r w:rsidR="00AC741D">
        <w:t>,</w:t>
      </w:r>
      <w:r w:rsidR="00EB7AE1" w:rsidRPr="002D4D50">
        <w:t xml:space="preserve"> 2018</w:t>
      </w:r>
      <w:r w:rsidR="00AC741D">
        <w:t xml:space="preserve">; </w:t>
      </w:r>
      <w:r w:rsidR="00AC741D" w:rsidRPr="002D4D50">
        <w:t>Easton</w:t>
      </w:r>
      <w:r w:rsidR="00AC741D">
        <w:t>,</w:t>
      </w:r>
      <w:r w:rsidR="00AC741D" w:rsidRPr="002D4D50">
        <w:t xml:space="preserve"> 1965; 1975</w:t>
      </w:r>
      <w:r w:rsidR="00EB7AE1" w:rsidRPr="002D4D50">
        <w:t xml:space="preserve">). Specifically, we </w:t>
      </w:r>
      <w:r w:rsidR="00BA34A1" w:rsidRPr="002D4D50">
        <w:t xml:space="preserve">use </w:t>
      </w:r>
      <w:r w:rsidR="00BA34A1" w:rsidRPr="002D4D50">
        <w:rPr>
          <w:bCs/>
        </w:rPr>
        <w:t>a battery of items that capture an individual</w:t>
      </w:r>
      <w:r w:rsidR="00C612AC" w:rsidRPr="002D4D50">
        <w:rPr>
          <w:bCs/>
        </w:rPr>
        <w:t>’</w:t>
      </w:r>
      <w:r w:rsidR="00BA34A1" w:rsidRPr="002D4D50">
        <w:rPr>
          <w:bCs/>
        </w:rPr>
        <w:t xml:space="preserve">s level of trust in </w:t>
      </w:r>
      <w:proofErr w:type="gramStart"/>
      <w:r w:rsidR="00BA34A1" w:rsidRPr="002D4D50">
        <w:rPr>
          <w:bCs/>
        </w:rPr>
        <w:t>a number of</w:t>
      </w:r>
      <w:proofErr w:type="gramEnd"/>
      <w:r w:rsidR="00BA34A1" w:rsidRPr="002D4D50">
        <w:rPr>
          <w:bCs/>
        </w:rPr>
        <w:t xml:space="preserve"> domestic institutions, including the </w:t>
      </w:r>
      <w:r w:rsidR="00BA34A1" w:rsidRPr="002D4D50">
        <w:t xml:space="preserve">parliament, the legal system, the police, politicians </w:t>
      </w:r>
      <w:r w:rsidR="00BA34A1" w:rsidRPr="002D4D50">
        <w:lastRenderedPageBreak/>
        <w:t>and political partie</w:t>
      </w:r>
      <w:r w:rsidR="00264654" w:rsidRPr="002D4D50">
        <w:t>s</w:t>
      </w:r>
      <w:r w:rsidR="00C612AC" w:rsidRPr="002D4D50">
        <w:t xml:space="preserve"> (see also </w:t>
      </w:r>
      <w:proofErr w:type="spellStart"/>
      <w:r w:rsidR="00C612AC" w:rsidRPr="002D4D50">
        <w:t>Zhirkov</w:t>
      </w:r>
      <w:proofErr w:type="spellEnd"/>
      <w:r w:rsidR="00AC741D">
        <w:t>,</w:t>
      </w:r>
      <w:r w:rsidR="00C612AC" w:rsidRPr="002D4D50">
        <w:t xml:space="preserve"> 2014)</w:t>
      </w:r>
      <w:r w:rsidR="00264654" w:rsidRPr="002D4D50">
        <w:t xml:space="preserve">. </w:t>
      </w:r>
      <w:r w:rsidR="00BA34A1" w:rsidRPr="002D4D50">
        <w:t xml:space="preserve"> We generate a single measure of institutional trust that ranges from 0 to 10 (α=0.89). Higher values indicate high levels of trust. </w:t>
      </w:r>
    </w:p>
    <w:p w14:paraId="209DDDB3" w14:textId="77777777" w:rsidR="00C612AC" w:rsidRPr="002D4D50" w:rsidRDefault="00C612AC" w:rsidP="00641DA5">
      <w:pPr>
        <w:spacing w:line="480" w:lineRule="auto"/>
        <w:jc w:val="both"/>
      </w:pPr>
    </w:p>
    <w:p w14:paraId="1674DBD9" w14:textId="5BF94625" w:rsidR="001D0514" w:rsidRPr="002D4D50" w:rsidRDefault="008953AF" w:rsidP="008953AF">
      <w:pPr>
        <w:spacing w:line="480" w:lineRule="auto"/>
        <w:jc w:val="both"/>
      </w:pPr>
      <w:r w:rsidRPr="002D4D50">
        <w:t xml:space="preserve">Second, to operationalize the specific dimension of the democratic evaluation process, we rely on literature that focuses on </w:t>
      </w:r>
      <w:r w:rsidR="00AB5455" w:rsidRPr="002D4D50">
        <w:t xml:space="preserve">two different components: </w:t>
      </w:r>
      <w:r w:rsidR="00C92459">
        <w:t xml:space="preserve">(a) </w:t>
      </w:r>
      <w:r w:rsidRPr="002D4D50">
        <w:t xml:space="preserve">system performance and </w:t>
      </w:r>
      <w:r w:rsidR="00C92459">
        <w:t xml:space="preserve">(b) </w:t>
      </w:r>
      <w:r w:rsidRPr="002D4D50">
        <w:t>policy outputs (</w:t>
      </w:r>
      <w:proofErr w:type="spellStart"/>
      <w:r w:rsidRPr="002D4D50">
        <w:t>Pequito</w:t>
      </w:r>
      <w:proofErr w:type="spellEnd"/>
      <w:r w:rsidRPr="002D4D50">
        <w:t xml:space="preserve"> Teixeira et al</w:t>
      </w:r>
      <w:r w:rsidR="00AC741D">
        <w:t>.,</w:t>
      </w:r>
      <w:r w:rsidRPr="002D4D50">
        <w:t xml:space="preserve"> 2014</w:t>
      </w:r>
      <w:r w:rsidR="00AC741D">
        <w:t xml:space="preserve">; </w:t>
      </w:r>
      <w:r w:rsidR="00AC741D" w:rsidRPr="002D4D50">
        <w:t xml:space="preserve">Claassen &amp; </w:t>
      </w:r>
      <w:proofErr w:type="spellStart"/>
      <w:r w:rsidR="00AC741D" w:rsidRPr="002D4D50">
        <w:t>Magalhães</w:t>
      </w:r>
      <w:proofErr w:type="spellEnd"/>
      <w:r w:rsidR="00AC741D">
        <w:t>,</w:t>
      </w:r>
      <w:r w:rsidR="00AC741D" w:rsidRPr="002D4D50">
        <w:t xml:space="preserve"> 2022</w:t>
      </w:r>
      <w:r w:rsidRPr="002D4D50">
        <w:t xml:space="preserve">). </w:t>
      </w:r>
      <w:r w:rsidR="00AB5455" w:rsidRPr="002D4D50">
        <w:t>The operationalisation of system performance</w:t>
      </w:r>
      <w:r w:rsidRPr="002D4D50">
        <w:t xml:space="preserve"> includes treating ‘satisfaction with how democracy works’ as a performance indicator (Claassen &amp; </w:t>
      </w:r>
      <w:proofErr w:type="spellStart"/>
      <w:r w:rsidRPr="002D4D50">
        <w:t>Magalhães</w:t>
      </w:r>
      <w:proofErr w:type="spellEnd"/>
      <w:r w:rsidR="00AC741D">
        <w:t>,</w:t>
      </w:r>
      <w:r w:rsidRPr="002D4D50">
        <w:t xml:space="preserve"> 2022). Specifically, we rely on three performance satisfaction variables (see also </w:t>
      </w:r>
      <w:proofErr w:type="spellStart"/>
      <w:r w:rsidRPr="002D4D50">
        <w:t>Zhirkov</w:t>
      </w:r>
      <w:proofErr w:type="spellEnd"/>
      <w:r w:rsidR="00AC741D">
        <w:t>,</w:t>
      </w:r>
      <w:r w:rsidRPr="002D4D50">
        <w:t xml:space="preserve"> 2014): (1) satisfaction with the present state of the economy; (2) satisfaction with the way the national government is doing its job; and (3) satisfaction with the way democracy works in the country. </w:t>
      </w:r>
      <w:r w:rsidRPr="002D4D50">
        <w:rPr>
          <w:bCs/>
        </w:rPr>
        <w:t>We combine the three items by taking the average where higher values indicate satisfaction on a 0-10 scale (</w:t>
      </w:r>
      <w:r w:rsidRPr="002D4D50">
        <w:rPr>
          <w:bCs/>
          <w:lang w:val="el-GR"/>
        </w:rPr>
        <w:t>α</w:t>
      </w:r>
      <w:r w:rsidRPr="002D4D50">
        <w:rPr>
          <w:bCs/>
        </w:rPr>
        <w:t xml:space="preserve">=0.83). This combined indicator captures overall performance satisfaction. </w:t>
      </w:r>
    </w:p>
    <w:p w14:paraId="4B4FA2E6" w14:textId="77777777" w:rsidR="001D0514" w:rsidRPr="002D4D50" w:rsidRDefault="001D0514" w:rsidP="008953AF">
      <w:pPr>
        <w:spacing w:line="480" w:lineRule="auto"/>
        <w:jc w:val="both"/>
      </w:pPr>
    </w:p>
    <w:p w14:paraId="5FB3AE0F" w14:textId="77028D17" w:rsidR="00BA34A1" w:rsidRPr="002D4D50" w:rsidRDefault="008953AF" w:rsidP="00641DA5">
      <w:pPr>
        <w:spacing w:line="480" w:lineRule="auto"/>
        <w:jc w:val="both"/>
        <w:rPr>
          <w:color w:val="000000" w:themeColor="text1"/>
        </w:rPr>
      </w:pPr>
      <w:r w:rsidRPr="002D4D50">
        <w:t xml:space="preserve">To operationalize </w:t>
      </w:r>
      <w:r w:rsidR="00AB5455" w:rsidRPr="002D4D50">
        <w:t xml:space="preserve">the policy outputs component of </w:t>
      </w:r>
      <w:r w:rsidRPr="002D4D50">
        <w:t>the specific dimension of the democratic evaluation process we use an additional two indicators. Our rationale here is to capture evaluations of the performance of specific policy outputs (Norris</w:t>
      </w:r>
      <w:r w:rsidR="00AC741D">
        <w:t>,</w:t>
      </w:r>
      <w:r w:rsidRPr="002D4D50">
        <w:t xml:space="preserve"> 2005; </w:t>
      </w:r>
      <w:proofErr w:type="spellStart"/>
      <w:r w:rsidRPr="002D4D50">
        <w:t>Pequito</w:t>
      </w:r>
      <w:proofErr w:type="spellEnd"/>
      <w:r w:rsidRPr="002D4D50">
        <w:t xml:space="preserve"> Teixeira et al</w:t>
      </w:r>
      <w:r w:rsidR="00AC741D">
        <w:t xml:space="preserve">., </w:t>
      </w:r>
      <w:r w:rsidRPr="002D4D50">
        <w:t>2014), based on citizens’ interactive experiences with public services as outlined in our theoretical framework</w:t>
      </w:r>
      <w:r w:rsidR="00B477A0" w:rsidRPr="002D4D50">
        <w:t xml:space="preserve">. </w:t>
      </w:r>
      <w:r w:rsidR="00761672" w:rsidRPr="002D4D50">
        <w:t>Along the lines of Norris (2005), we distinguish between different policy areas in order to identify whether they have substantively different effects</w:t>
      </w:r>
      <w:r w:rsidR="00BD4DBD" w:rsidRPr="002D4D50">
        <w:t xml:space="preserve"> on </w:t>
      </w:r>
      <w:proofErr w:type="gramStart"/>
      <w:r w:rsidR="00BD4DBD" w:rsidRPr="002D4D50">
        <w:t>far right</w:t>
      </w:r>
      <w:proofErr w:type="gramEnd"/>
      <w:r w:rsidR="00BD4DBD" w:rsidRPr="002D4D50">
        <w:t xml:space="preserve"> voting</w:t>
      </w:r>
      <w:r w:rsidR="00761672" w:rsidRPr="002D4D50">
        <w:t>. We choose our policy areas d</w:t>
      </w:r>
      <w:r w:rsidR="00CF73E7" w:rsidRPr="002D4D50">
        <w:t>raw</w:t>
      </w:r>
      <w:r w:rsidR="00761672" w:rsidRPr="002D4D50">
        <w:t>ing</w:t>
      </w:r>
      <w:r w:rsidR="00CF73E7" w:rsidRPr="002D4D50">
        <w:t xml:space="preserve"> on literature on </w:t>
      </w:r>
      <w:r w:rsidR="00B477A0" w:rsidRPr="002D4D50">
        <w:t xml:space="preserve">nationalism and </w:t>
      </w:r>
      <w:r w:rsidR="00CF73E7" w:rsidRPr="002D4D50">
        <w:rPr>
          <w:color w:val="000000" w:themeColor="text1"/>
        </w:rPr>
        <w:t>state infrastructural power (Mann</w:t>
      </w:r>
      <w:r w:rsidR="00AC741D">
        <w:rPr>
          <w:color w:val="000000" w:themeColor="text1"/>
        </w:rPr>
        <w:t>,</w:t>
      </w:r>
      <w:r w:rsidR="00CF73E7" w:rsidRPr="002D4D50">
        <w:rPr>
          <w:color w:val="000000" w:themeColor="text1"/>
        </w:rPr>
        <w:t xml:space="preserve"> 1984; </w:t>
      </w:r>
      <w:proofErr w:type="spellStart"/>
      <w:r w:rsidR="00CF73E7" w:rsidRPr="002D4D50">
        <w:rPr>
          <w:color w:val="000000" w:themeColor="text1"/>
        </w:rPr>
        <w:t>Soifer</w:t>
      </w:r>
      <w:proofErr w:type="spellEnd"/>
      <w:r w:rsidR="00CF73E7" w:rsidRPr="002D4D50">
        <w:rPr>
          <w:color w:val="000000" w:themeColor="text1"/>
        </w:rPr>
        <w:t xml:space="preserve"> and </w:t>
      </w:r>
      <w:proofErr w:type="spellStart"/>
      <w:r w:rsidR="00CF73E7" w:rsidRPr="002D4D50">
        <w:rPr>
          <w:color w:val="000000" w:themeColor="text1"/>
        </w:rPr>
        <w:t>vom</w:t>
      </w:r>
      <w:proofErr w:type="spellEnd"/>
      <w:r w:rsidR="00CF73E7" w:rsidRPr="002D4D50">
        <w:rPr>
          <w:color w:val="000000" w:themeColor="text1"/>
        </w:rPr>
        <w:t xml:space="preserve"> </w:t>
      </w:r>
      <w:proofErr w:type="spellStart"/>
      <w:r w:rsidR="00CF73E7" w:rsidRPr="002D4D50">
        <w:rPr>
          <w:color w:val="000000" w:themeColor="text1"/>
        </w:rPr>
        <w:t>Hau</w:t>
      </w:r>
      <w:proofErr w:type="spellEnd"/>
      <w:r w:rsidR="00AC741D">
        <w:rPr>
          <w:color w:val="000000" w:themeColor="text1"/>
        </w:rPr>
        <w:t>,</w:t>
      </w:r>
      <w:r w:rsidR="00CF73E7" w:rsidRPr="002D4D50">
        <w:rPr>
          <w:color w:val="000000" w:themeColor="text1"/>
        </w:rPr>
        <w:t xml:space="preserve"> 2008</w:t>
      </w:r>
      <w:r w:rsidR="00B477A0" w:rsidRPr="002D4D50">
        <w:rPr>
          <w:color w:val="000000" w:themeColor="text1"/>
        </w:rPr>
        <w:t xml:space="preserve">; </w:t>
      </w:r>
      <w:proofErr w:type="spellStart"/>
      <w:r w:rsidR="00B477A0" w:rsidRPr="002D4D50">
        <w:rPr>
          <w:color w:val="000000" w:themeColor="text1"/>
        </w:rPr>
        <w:t>Wimmer</w:t>
      </w:r>
      <w:proofErr w:type="spellEnd"/>
      <w:r w:rsidR="00AC741D">
        <w:rPr>
          <w:color w:val="000000" w:themeColor="text1"/>
        </w:rPr>
        <w:t>,</w:t>
      </w:r>
      <w:r w:rsidR="00B477A0" w:rsidRPr="002D4D50">
        <w:rPr>
          <w:color w:val="000000" w:themeColor="text1"/>
        </w:rPr>
        <w:t xml:space="preserve"> 2016</w:t>
      </w:r>
      <w:r w:rsidR="00CF73E7" w:rsidRPr="002D4D50">
        <w:rPr>
          <w:color w:val="000000" w:themeColor="text1"/>
        </w:rPr>
        <w:t>).</w:t>
      </w:r>
      <w:r w:rsidR="00B477A0" w:rsidRPr="002D4D50">
        <w:rPr>
          <w:color w:val="000000" w:themeColor="text1"/>
        </w:rPr>
        <w:t xml:space="preserve"> </w:t>
      </w:r>
      <w:r w:rsidR="00AB5455" w:rsidRPr="002D4D50">
        <w:rPr>
          <w:color w:val="000000" w:themeColor="text1"/>
        </w:rPr>
        <w:t xml:space="preserve">The </w:t>
      </w:r>
      <w:r w:rsidR="00AB5455" w:rsidRPr="002D4D50">
        <w:rPr>
          <w:color w:val="000000" w:themeColor="text1"/>
        </w:rPr>
        <w:lastRenderedPageBreak/>
        <w:t>conceptualisation of the nation as a community of solidarity suggests that in addition to trust (diffuse dimension), and system performance (specific dimension</w:t>
      </w:r>
      <w:r w:rsidR="001D0514" w:rsidRPr="002D4D50">
        <w:rPr>
          <w:color w:val="000000" w:themeColor="text1"/>
        </w:rPr>
        <w:t>, system performance</w:t>
      </w:r>
      <w:r w:rsidR="00AB5455" w:rsidRPr="002D4D50">
        <w:rPr>
          <w:color w:val="000000" w:themeColor="text1"/>
        </w:rPr>
        <w:t xml:space="preserve">), citizens also evaluate the democratic process </w:t>
      </w:r>
      <w:proofErr w:type="gramStart"/>
      <w:r w:rsidR="00AB5455" w:rsidRPr="002D4D50">
        <w:rPr>
          <w:color w:val="000000" w:themeColor="text1"/>
        </w:rPr>
        <w:t>on the basis of</w:t>
      </w:r>
      <w:proofErr w:type="gramEnd"/>
      <w:r w:rsidR="00AB5455" w:rsidRPr="002D4D50">
        <w:rPr>
          <w:color w:val="000000" w:themeColor="text1"/>
        </w:rPr>
        <w:t xml:space="preserve"> the ability of the state to develop and implement policies for the provision of public goods (specific dimension, policy outputs). Literature on state infrastructural power specifically highlights three types of policies: education, health and physical infrastructure (</w:t>
      </w:r>
      <w:proofErr w:type="spellStart"/>
      <w:r w:rsidR="00AB5455" w:rsidRPr="002D4D50">
        <w:rPr>
          <w:color w:val="000000" w:themeColor="text1"/>
        </w:rPr>
        <w:t>Wimmer</w:t>
      </w:r>
      <w:proofErr w:type="spellEnd"/>
      <w:r w:rsidR="00AC741D">
        <w:rPr>
          <w:color w:val="000000" w:themeColor="text1"/>
        </w:rPr>
        <w:t>,</w:t>
      </w:r>
      <w:r w:rsidR="00AB5455" w:rsidRPr="002D4D50">
        <w:rPr>
          <w:color w:val="000000" w:themeColor="text1"/>
        </w:rPr>
        <w:t xml:space="preserve"> 2016). This is because these policies are directly related to questions about who has the right to be cared for by the state and society (</w:t>
      </w:r>
      <w:proofErr w:type="spellStart"/>
      <w:r w:rsidR="00AB5455" w:rsidRPr="002D4D50">
        <w:rPr>
          <w:color w:val="000000" w:themeColor="text1"/>
        </w:rPr>
        <w:t>Wimmer</w:t>
      </w:r>
      <w:proofErr w:type="spellEnd"/>
      <w:r w:rsidR="00AC741D">
        <w:rPr>
          <w:color w:val="000000" w:themeColor="text1"/>
        </w:rPr>
        <w:t>,</w:t>
      </w:r>
      <w:r w:rsidR="00AB5455" w:rsidRPr="002D4D50">
        <w:rPr>
          <w:color w:val="000000" w:themeColor="text1"/>
        </w:rPr>
        <w:t xml:space="preserve"> 1997), which underpin the struggle for access to the collective goods of the state and are thus key for measuring the presence of an ‘ethnic egotism’ mechanism (</w:t>
      </w:r>
      <w:proofErr w:type="spellStart"/>
      <w:r w:rsidR="00AB5455" w:rsidRPr="002D4D50">
        <w:rPr>
          <w:color w:val="000000" w:themeColor="text1"/>
        </w:rPr>
        <w:t>Wimmer</w:t>
      </w:r>
      <w:proofErr w:type="spellEnd"/>
      <w:r w:rsidR="00AC741D">
        <w:rPr>
          <w:color w:val="000000" w:themeColor="text1"/>
        </w:rPr>
        <w:t>,</w:t>
      </w:r>
      <w:r w:rsidR="00AB5455" w:rsidRPr="002D4D50">
        <w:rPr>
          <w:color w:val="000000" w:themeColor="text1"/>
        </w:rPr>
        <w:t xml:space="preserve"> 2016).</w:t>
      </w:r>
      <w:r w:rsidR="000858A3" w:rsidRPr="002D4D50">
        <w:t xml:space="preserve"> Following this literature</w:t>
      </w:r>
      <w:r w:rsidR="00761672" w:rsidRPr="002D4D50">
        <w:t xml:space="preserve">, and given ESS availability, </w:t>
      </w:r>
      <w:r w:rsidR="00761672" w:rsidRPr="002D4D50">
        <w:rPr>
          <w:color w:val="000000" w:themeColor="text1"/>
        </w:rPr>
        <w:t>w</w:t>
      </w:r>
      <w:r w:rsidRPr="002D4D50">
        <w:t xml:space="preserve">e choose two </w:t>
      </w:r>
      <w:r w:rsidR="00BD4DBD" w:rsidRPr="002D4D50">
        <w:t xml:space="preserve">of these </w:t>
      </w:r>
      <w:r w:rsidRPr="002D4D50">
        <w:t>policy areas, i.e.</w:t>
      </w:r>
      <w:r w:rsidR="00E40394">
        <w:t>,</w:t>
      </w:r>
      <w:r w:rsidRPr="002D4D50">
        <w:t xml:space="preserve"> education and health</w:t>
      </w:r>
      <w:r w:rsidR="00761672" w:rsidRPr="002D4D50">
        <w:t>.</w:t>
      </w:r>
      <w:r w:rsidRPr="002D4D50">
        <w:t xml:space="preserve"> </w:t>
      </w:r>
      <w:r w:rsidR="00761672" w:rsidRPr="002D4D50">
        <w:t>These</w:t>
      </w:r>
      <w:r w:rsidRPr="002D4D50">
        <w:t xml:space="preserve"> are two prime areas of individuals’ day</w:t>
      </w:r>
      <w:r w:rsidR="00E40394">
        <w:t>-</w:t>
      </w:r>
      <w:r w:rsidRPr="002D4D50">
        <w:t xml:space="preserve">today interaction with the state and affect most citizens. </w:t>
      </w:r>
      <w:r w:rsidR="005C2870" w:rsidRPr="002D4D50">
        <w:rPr>
          <w:bCs/>
        </w:rPr>
        <w:t>We employ two items, i.e.</w:t>
      </w:r>
      <w:r w:rsidR="00E40394">
        <w:rPr>
          <w:bCs/>
        </w:rPr>
        <w:t>,</w:t>
      </w:r>
      <w:r w:rsidR="005C2870" w:rsidRPr="002D4D50">
        <w:rPr>
          <w:bCs/>
        </w:rPr>
        <w:t xml:space="preserve"> ‘what you think overall about the state of education in [country] nowadays’ and ‘what you think overall about the state of health services in [country] </w:t>
      </w:r>
      <w:proofErr w:type="gramStart"/>
      <w:r w:rsidR="005C2870" w:rsidRPr="002D4D50">
        <w:rPr>
          <w:bCs/>
        </w:rPr>
        <w:t>nowadays’</w:t>
      </w:r>
      <w:proofErr w:type="gramEnd"/>
      <w:r w:rsidR="001013AB" w:rsidRPr="002D4D50">
        <w:rPr>
          <w:bCs/>
        </w:rPr>
        <w:t>.</w:t>
      </w:r>
      <w:r w:rsidR="005C2870" w:rsidRPr="002D4D50">
        <w:rPr>
          <w:bCs/>
        </w:rPr>
        <w:t xml:space="preserve"> These range from 0 to 10 where high values indicate positive evaluations of the state of education and health services. </w:t>
      </w:r>
    </w:p>
    <w:p w14:paraId="7F177B3D" w14:textId="77777777" w:rsidR="00B5041E" w:rsidRPr="002D4D50" w:rsidRDefault="00B5041E" w:rsidP="00641DA5">
      <w:pPr>
        <w:spacing w:line="480" w:lineRule="auto"/>
        <w:jc w:val="both"/>
        <w:rPr>
          <w:bCs/>
        </w:rPr>
      </w:pPr>
    </w:p>
    <w:p w14:paraId="27B8EF5F" w14:textId="63BD2BB7" w:rsidR="002340FB" w:rsidRPr="002D4D50" w:rsidRDefault="008953AF" w:rsidP="002340FB">
      <w:pPr>
        <w:spacing w:line="480" w:lineRule="auto"/>
        <w:jc w:val="both"/>
      </w:pPr>
      <w:r w:rsidRPr="002D4D50">
        <w:t>We operationalise core far right voters with reference to</w:t>
      </w:r>
      <w:r w:rsidR="00454B9D" w:rsidRPr="002D4D50">
        <w:t xml:space="preserve"> anti-immigration attitudes.</w:t>
      </w:r>
      <w:r w:rsidRPr="002D4D50">
        <w:t xml:space="preserve"> As noted in our theoretical framework, we do this following literature that defines core voters in terms of their attitudinal characteristics in line with the key tenet of the </w:t>
      </w:r>
      <w:proofErr w:type="gramStart"/>
      <w:r w:rsidRPr="002D4D50">
        <w:t>far right</w:t>
      </w:r>
      <w:proofErr w:type="gramEnd"/>
      <w:r w:rsidRPr="002D4D50">
        <w:t xml:space="preserve"> ideology (e.g. </w:t>
      </w:r>
      <w:proofErr w:type="spellStart"/>
      <w:r w:rsidRPr="002D4D50">
        <w:t>Stockemer</w:t>
      </w:r>
      <w:proofErr w:type="spellEnd"/>
      <w:r w:rsidRPr="002D4D50">
        <w:t xml:space="preserve"> et al</w:t>
      </w:r>
      <w:r w:rsidR="00AC741D">
        <w:t>.,</w:t>
      </w:r>
      <w:r w:rsidRPr="002D4D50">
        <w:t xml:space="preserve"> 2021). </w:t>
      </w:r>
      <w:r w:rsidR="00B5041E" w:rsidRPr="002D4D50">
        <w:t xml:space="preserve">We assess an individual’s attitude towards immigration through responses to three questions: 1. ‘Would you say it is generally bad or good for [country]'s economy that people come to live here from other countries?’; 2. ‘Would you </w:t>
      </w:r>
      <w:r w:rsidR="00B5041E" w:rsidRPr="002D4D50">
        <w:lastRenderedPageBreak/>
        <w:t>say that [country]'s cultural life is generally undermined or enriched by people coming to live here from other countries?’; and 3. ‘Is [country] made a worse or a better place to live by people coming to live here from other countries?’. We combine responses into a single measure, ranging from 0 to 10, where high values indicate pro-immigration attitudes (</w:t>
      </w:r>
      <w:r w:rsidR="00B5041E" w:rsidRPr="002D4D50">
        <w:rPr>
          <w:lang w:val="el-GR"/>
        </w:rPr>
        <w:t>α</w:t>
      </w:r>
      <w:r w:rsidR="00B5041E" w:rsidRPr="002D4D50">
        <w:t xml:space="preserve">=0.85). </w:t>
      </w:r>
      <w:proofErr w:type="gramStart"/>
      <w:r w:rsidR="002340FB" w:rsidRPr="002D4D50">
        <w:t>In light of</w:t>
      </w:r>
      <w:proofErr w:type="gramEnd"/>
      <w:r w:rsidR="002340FB" w:rsidRPr="002D4D50">
        <w:t xml:space="preserve"> the theoretical framework discussed above, we interact this with the variables capturing the diffuse and specific dimensions of the democratic evaluation process. </w:t>
      </w:r>
    </w:p>
    <w:p w14:paraId="4FBBCA7D" w14:textId="77777777" w:rsidR="002340FB" w:rsidRPr="002D4D50" w:rsidRDefault="002340FB" w:rsidP="00ED02A7">
      <w:pPr>
        <w:spacing w:line="480" w:lineRule="auto"/>
        <w:jc w:val="both"/>
      </w:pPr>
    </w:p>
    <w:p w14:paraId="3BDFA14A" w14:textId="7E8F04E5" w:rsidR="007B65ED" w:rsidRPr="002D4D50" w:rsidRDefault="007B65ED" w:rsidP="00ED02A7">
      <w:pPr>
        <w:spacing w:line="480" w:lineRule="auto"/>
        <w:jc w:val="both"/>
      </w:pPr>
      <w:r w:rsidRPr="002D4D50">
        <w:t xml:space="preserve">Our selection of immigration as the defining feature of a </w:t>
      </w:r>
      <w:proofErr w:type="gramStart"/>
      <w:r w:rsidRPr="002D4D50">
        <w:t>far right</w:t>
      </w:r>
      <w:proofErr w:type="gramEnd"/>
      <w:r w:rsidRPr="002D4D50">
        <w:t xml:space="preserve"> supporter is also confirmed empirically in our data. We</w:t>
      </w:r>
      <w:r w:rsidR="005423B9" w:rsidRPr="002D4D50">
        <w:t xml:space="preserve"> have tested the core individual predictors of the far right as identified by </w:t>
      </w:r>
      <w:proofErr w:type="spellStart"/>
      <w:r w:rsidR="005423B9" w:rsidRPr="002D4D50">
        <w:t>Stockemer</w:t>
      </w:r>
      <w:proofErr w:type="spellEnd"/>
      <w:r w:rsidR="005423B9" w:rsidRPr="002D4D50">
        <w:t xml:space="preserve"> (</w:t>
      </w:r>
      <w:r w:rsidR="00E95548" w:rsidRPr="002D4D50">
        <w:t>2018</w:t>
      </w:r>
      <w:r w:rsidR="005423B9" w:rsidRPr="002D4D50">
        <w:t>), including immigration attitudes, employment status, age, education and gender,</w:t>
      </w:r>
      <w:r w:rsidRPr="002D4D50">
        <w:t xml:space="preserve"> </w:t>
      </w:r>
      <w:r w:rsidR="005423B9" w:rsidRPr="002D4D50">
        <w:t xml:space="preserve">in a model predicting far right party support. We have standardised all variables using z-scores to assess the relative explanatory weight of different predictors. Our results </w:t>
      </w:r>
      <w:r w:rsidRPr="002D4D50">
        <w:t xml:space="preserve">confirm that immigration is indeed the strongest predictor of </w:t>
      </w:r>
      <w:proofErr w:type="gramStart"/>
      <w:r w:rsidRPr="002D4D50">
        <w:t>far right</w:t>
      </w:r>
      <w:proofErr w:type="gramEnd"/>
      <w:r w:rsidRPr="002D4D50">
        <w:t xml:space="preserve"> party support (see appendix</w:t>
      </w:r>
      <w:r w:rsidR="005423B9" w:rsidRPr="002D4D50">
        <w:t xml:space="preserve"> </w:t>
      </w:r>
      <w:r w:rsidR="00ED10ED" w:rsidRPr="002D4D50">
        <w:t>Figure 4</w:t>
      </w:r>
      <w:r w:rsidRPr="002D4D50">
        <w:t xml:space="preserve">). </w:t>
      </w:r>
      <w:r w:rsidR="008953AF" w:rsidRPr="002D4D50">
        <w:t xml:space="preserve">This suggests that immigration attitudes constitute an appropriate proxy for operationalising core far right voters. </w:t>
      </w:r>
    </w:p>
    <w:p w14:paraId="1D3E4A78" w14:textId="77777777" w:rsidR="004F53E4" w:rsidRPr="002D4D50" w:rsidRDefault="004F53E4" w:rsidP="00ED02A7">
      <w:pPr>
        <w:spacing w:line="480" w:lineRule="auto"/>
        <w:jc w:val="both"/>
      </w:pPr>
    </w:p>
    <w:p w14:paraId="51F93CB8" w14:textId="1477B142" w:rsidR="005C2870" w:rsidRPr="002D4D50" w:rsidRDefault="005C2870" w:rsidP="00ED02A7">
      <w:pPr>
        <w:spacing w:line="480" w:lineRule="auto"/>
        <w:jc w:val="both"/>
      </w:pPr>
      <w:r w:rsidRPr="002D4D50">
        <w:rPr>
          <w:i/>
        </w:rPr>
        <w:t>Control variables</w:t>
      </w:r>
      <w:r w:rsidRPr="002D4D50">
        <w:t xml:space="preserve">: The models are estimated with a number of individual-level </w:t>
      </w:r>
      <w:r w:rsidR="00E83A3F" w:rsidRPr="002D4D50">
        <w:t>variables</w:t>
      </w:r>
      <w:r w:rsidRPr="002D4D50">
        <w:t xml:space="preserve"> that have been shown to impact on </w:t>
      </w:r>
      <w:proofErr w:type="gramStart"/>
      <w:r w:rsidRPr="002D4D50">
        <w:t>far right</w:t>
      </w:r>
      <w:proofErr w:type="gramEnd"/>
      <w:r w:rsidRPr="002D4D50">
        <w:t xml:space="preserve"> party support (e.g. see Golder 2016 for an overview). </w:t>
      </w:r>
      <w:r w:rsidR="004F53E4" w:rsidRPr="002D4D50">
        <w:t>W</w:t>
      </w:r>
      <w:r w:rsidRPr="002D4D50">
        <w:t xml:space="preserve">e include standard socio-demographic variables, such as gender (1=male), age, years of education, the area </w:t>
      </w:r>
      <w:r w:rsidR="00E83A3F" w:rsidRPr="002D4D50">
        <w:t>of domicile</w:t>
      </w:r>
      <w:r w:rsidRPr="002D4D50">
        <w:t xml:space="preserve"> (1=urban), and </w:t>
      </w:r>
      <w:r w:rsidR="00E83A3F" w:rsidRPr="002D4D50">
        <w:t>employment status</w:t>
      </w:r>
      <w:r w:rsidRPr="002D4D50">
        <w:t xml:space="preserve"> (1=unemployed). We</w:t>
      </w:r>
      <w:r w:rsidR="004F53E4" w:rsidRPr="002D4D50">
        <w:t xml:space="preserve"> also</w:t>
      </w:r>
      <w:r w:rsidRPr="002D4D50">
        <w:t xml:space="preserve"> measure subjective economic well-being through a question that asks individuals to report how they feel about their household’s income nowadays. This </w:t>
      </w:r>
      <w:r w:rsidRPr="002D4D50">
        <w:lastRenderedPageBreak/>
        <w:t xml:space="preserve">variable ranges from 1 to 4 where high values indicate finding it very difficult on their household’s present income. We include respondents’ self-placement on the left-right scale (1-left; 10=right). For descriptive statistics, see Appendix </w:t>
      </w:r>
      <w:r w:rsidR="00040D50" w:rsidRPr="002D4D50">
        <w:t>Table</w:t>
      </w:r>
      <w:r w:rsidR="004F53E4" w:rsidRPr="002D4D50">
        <w:t xml:space="preserve"> </w:t>
      </w:r>
      <w:r w:rsidRPr="002D4D50">
        <w:t xml:space="preserve">2. </w:t>
      </w:r>
    </w:p>
    <w:p w14:paraId="619B3742" w14:textId="77777777" w:rsidR="005C2870" w:rsidRPr="002D4D50" w:rsidRDefault="005C2870" w:rsidP="00ED02A7">
      <w:pPr>
        <w:spacing w:line="480" w:lineRule="auto"/>
        <w:jc w:val="both"/>
      </w:pPr>
    </w:p>
    <w:p w14:paraId="0D3D4F99" w14:textId="0926C117" w:rsidR="00636B14" w:rsidRPr="002D4D50" w:rsidRDefault="005C2870" w:rsidP="00ED02A7">
      <w:pPr>
        <w:spacing w:line="480" w:lineRule="auto"/>
        <w:jc w:val="both"/>
      </w:pPr>
      <w:r w:rsidRPr="002D4D50">
        <w:rPr>
          <w:i/>
        </w:rPr>
        <w:t>Models</w:t>
      </w:r>
      <w:r w:rsidRPr="002D4D50">
        <w:t xml:space="preserve">: Our data have a hierarchical structure with individuals nested in country-years. </w:t>
      </w:r>
      <w:proofErr w:type="gramStart"/>
      <w:r w:rsidR="002956C6" w:rsidRPr="002D4D50">
        <w:t>Similar to</w:t>
      </w:r>
      <w:proofErr w:type="gramEnd"/>
      <w:r w:rsidR="002956C6" w:rsidRPr="002D4D50">
        <w:t xml:space="preserve"> previous studies employing ESS data (</w:t>
      </w:r>
      <w:proofErr w:type="spellStart"/>
      <w:r w:rsidR="002956C6" w:rsidRPr="002D4D50">
        <w:t>Caughey</w:t>
      </w:r>
      <w:proofErr w:type="spellEnd"/>
      <w:r w:rsidR="002956C6" w:rsidRPr="002D4D50">
        <w:t xml:space="preserve"> et al.</w:t>
      </w:r>
      <w:r w:rsidR="00AC741D">
        <w:t>,</w:t>
      </w:r>
      <w:r w:rsidR="002956C6" w:rsidRPr="002D4D50">
        <w:t xml:space="preserve"> 2019; Benedetto et al.</w:t>
      </w:r>
      <w:r w:rsidR="00AC741D">
        <w:t>,</w:t>
      </w:r>
      <w:r w:rsidR="002956C6" w:rsidRPr="002D4D50">
        <w:t xml:space="preserve"> 2020) and be</w:t>
      </w:r>
      <w:r w:rsidR="008E4247" w:rsidRPr="002D4D50">
        <w:t>cause we are substantively interested in individual level variation, we employ fixed effects modelling statistical techniques</w:t>
      </w:r>
      <w:r w:rsidR="00EE6931" w:rsidRPr="002D4D50">
        <w:t>,</w:t>
      </w:r>
      <w:r w:rsidR="008E4247" w:rsidRPr="002D4D50">
        <w:t xml:space="preserve"> </w:t>
      </w:r>
      <w:r w:rsidR="001E0B41" w:rsidRPr="002D4D50">
        <w:t xml:space="preserve">which allow us to remove </w:t>
      </w:r>
      <w:r w:rsidR="00EE6931" w:rsidRPr="002D4D50">
        <w:t>variation between higher-</w:t>
      </w:r>
      <w:r w:rsidR="008E4247" w:rsidRPr="002D4D50">
        <w:t xml:space="preserve">level units from the parameter estimation. This </w:t>
      </w:r>
      <w:r w:rsidR="001E0B41" w:rsidRPr="002D4D50">
        <w:t xml:space="preserve">modelling choice </w:t>
      </w:r>
      <w:r w:rsidR="008E4247" w:rsidRPr="002D4D50">
        <w:t xml:space="preserve">has the advantage of removing all potential unobserved confounding variables at the </w:t>
      </w:r>
      <w:r w:rsidR="003E6133" w:rsidRPr="002D4D50">
        <w:t>count</w:t>
      </w:r>
      <w:r w:rsidR="004F53E4" w:rsidRPr="002D4D50">
        <w:t>ry-year</w:t>
      </w:r>
      <w:r w:rsidR="003E6133" w:rsidRPr="002D4D50">
        <w:t xml:space="preserve"> </w:t>
      </w:r>
      <w:r w:rsidR="008E4247" w:rsidRPr="002D4D50">
        <w:t>level from the analysis</w:t>
      </w:r>
      <w:r w:rsidR="001774FC" w:rsidRPr="002D4D50">
        <w:t xml:space="preserve"> (Allison</w:t>
      </w:r>
      <w:r w:rsidR="00AC741D">
        <w:t>,</w:t>
      </w:r>
      <w:r w:rsidR="001774FC" w:rsidRPr="002D4D50">
        <w:t xml:space="preserve"> 2009).</w:t>
      </w:r>
      <w:r w:rsidR="007C4EC2" w:rsidRPr="002D4D50">
        <w:t xml:space="preserve"> </w:t>
      </w:r>
      <w:r w:rsidR="00F46E56" w:rsidRPr="002D4D50">
        <w:t>Due to the</w:t>
      </w:r>
      <w:r w:rsidRPr="002D4D50">
        <w:t xml:space="preserve"> dichotomous</w:t>
      </w:r>
      <w:r w:rsidR="00F46E56" w:rsidRPr="002D4D50">
        <w:t xml:space="preserve"> nature of our dependent variable</w:t>
      </w:r>
      <w:r w:rsidRPr="002D4D50">
        <w:t xml:space="preserve">, we estimate logistic </w:t>
      </w:r>
      <w:r w:rsidR="001E2B59" w:rsidRPr="002D4D50">
        <w:t>fixed effects</w:t>
      </w:r>
      <w:r w:rsidRPr="002D4D50">
        <w:t xml:space="preserve"> models. </w:t>
      </w:r>
      <w:r w:rsidR="007C4EC2" w:rsidRPr="002D4D50">
        <w:t>Our statistical tests indicate</w:t>
      </w:r>
      <w:r w:rsidR="00C37310" w:rsidRPr="002D4D50">
        <w:t xml:space="preserve"> that multicollinearity </w:t>
      </w:r>
      <w:r w:rsidR="007C4EC2" w:rsidRPr="002D4D50">
        <w:t>is</w:t>
      </w:r>
      <w:r w:rsidR="00C37310" w:rsidRPr="002D4D50">
        <w:t xml:space="preserve"> not a concern</w:t>
      </w:r>
      <w:r w:rsidR="00AC2CE6" w:rsidRPr="002D4D50">
        <w:t xml:space="preserve"> (VIF: 1.0</w:t>
      </w:r>
      <w:r w:rsidR="0013460B" w:rsidRPr="002D4D50">
        <w:t>1</w:t>
      </w:r>
      <w:r w:rsidR="00AC2CE6" w:rsidRPr="002D4D50">
        <w:t>-</w:t>
      </w:r>
      <w:r w:rsidR="0013460B" w:rsidRPr="002D4D50">
        <w:t>2</w:t>
      </w:r>
      <w:r w:rsidR="00AC2CE6" w:rsidRPr="002D4D50">
        <w:t>.</w:t>
      </w:r>
      <w:r w:rsidR="0013460B" w:rsidRPr="002D4D50">
        <w:t>2</w:t>
      </w:r>
      <w:r w:rsidR="007C2D9D" w:rsidRPr="002D4D50">
        <w:t>7</w:t>
      </w:r>
      <w:r w:rsidR="00AC2CE6" w:rsidRPr="002D4D50">
        <w:t>; Tolerance: 0.</w:t>
      </w:r>
      <w:r w:rsidR="003704C9" w:rsidRPr="002D4D50">
        <w:t>44</w:t>
      </w:r>
      <w:r w:rsidR="00AC2CE6" w:rsidRPr="002D4D50">
        <w:t>-0.</w:t>
      </w:r>
      <w:r w:rsidR="007C2D9D" w:rsidRPr="002D4D50">
        <w:t>98</w:t>
      </w:r>
      <w:r w:rsidR="00AC2CE6" w:rsidRPr="002D4D50">
        <w:t>)</w:t>
      </w:r>
      <w:r w:rsidR="007E27AA" w:rsidRPr="002D4D50">
        <w:t>.</w:t>
      </w:r>
      <w:r w:rsidR="00AC2CE6" w:rsidRPr="002D4D50">
        <w:t xml:space="preserve"> </w:t>
      </w:r>
    </w:p>
    <w:p w14:paraId="728950FF" w14:textId="77777777" w:rsidR="00F50F6F" w:rsidRPr="002D4D50" w:rsidRDefault="00F50F6F" w:rsidP="00ED02A7">
      <w:pPr>
        <w:spacing w:line="480" w:lineRule="auto"/>
        <w:jc w:val="both"/>
        <w:rPr>
          <w:b/>
        </w:rPr>
      </w:pPr>
    </w:p>
    <w:p w14:paraId="30111B2B" w14:textId="3CB1229A" w:rsidR="005C2870" w:rsidRPr="002D4D50" w:rsidRDefault="005C2870" w:rsidP="00ED02A7">
      <w:pPr>
        <w:spacing w:line="480" w:lineRule="auto"/>
        <w:jc w:val="both"/>
        <w:rPr>
          <w:b/>
        </w:rPr>
      </w:pPr>
      <w:r w:rsidRPr="002D4D50">
        <w:rPr>
          <w:b/>
        </w:rPr>
        <w:t xml:space="preserve">Results </w:t>
      </w:r>
    </w:p>
    <w:p w14:paraId="5A8E6CAD" w14:textId="1B9C06D4" w:rsidR="007C4EC2" w:rsidRPr="002D4D50" w:rsidRDefault="00532FEE" w:rsidP="00ED02A7">
      <w:pPr>
        <w:spacing w:line="480" w:lineRule="auto"/>
        <w:jc w:val="both"/>
      </w:pPr>
      <w:r w:rsidRPr="002D4D50">
        <w:t xml:space="preserve">We commence with a descriptive analysis </w:t>
      </w:r>
      <w:r w:rsidR="000948B7" w:rsidRPr="002D4D50">
        <w:t xml:space="preserve">comparing far right to non-far right voters (figure 1) </w:t>
      </w:r>
      <w:r w:rsidR="008C1923" w:rsidRPr="002D4D50">
        <w:t>to</w:t>
      </w:r>
      <w:r w:rsidR="000948B7" w:rsidRPr="002D4D50">
        <w:t xml:space="preserve"> identify how the former score vis-à-vis the latter on</w:t>
      </w:r>
      <w:r w:rsidRPr="002D4D50">
        <w:t xml:space="preserve"> the</w:t>
      </w:r>
      <w:r w:rsidR="00D3387C" w:rsidRPr="002D4D50">
        <w:t xml:space="preserve">ir evaluations of the democratic </w:t>
      </w:r>
      <w:r w:rsidR="00C24A38" w:rsidRPr="002D4D50">
        <w:t xml:space="preserve">process. </w:t>
      </w:r>
      <w:r w:rsidR="000948B7" w:rsidRPr="002D4D50">
        <w:t>Overall</w:t>
      </w:r>
      <w:r w:rsidR="00AC741D" w:rsidRPr="00AC741D">
        <w:t>,</w:t>
      </w:r>
      <w:r w:rsidR="000948B7" w:rsidRPr="002D4D50">
        <w:t xml:space="preserve"> this analysis illustrates that, on average, far right voters are not substantially more </w:t>
      </w:r>
      <w:r w:rsidR="002D7D65" w:rsidRPr="002D4D50">
        <w:t>discontent</w:t>
      </w:r>
      <w:r w:rsidR="000948B7" w:rsidRPr="002D4D50">
        <w:t xml:space="preserve"> compared to non-far right voters. </w:t>
      </w:r>
      <w:r w:rsidR="002D7D65" w:rsidRPr="002D4D50">
        <w:t>W</w:t>
      </w:r>
      <w:r w:rsidR="004309C4" w:rsidRPr="002D4D50">
        <w:t xml:space="preserve">ith regards to the </w:t>
      </w:r>
      <w:r w:rsidR="002D7D65" w:rsidRPr="002D4D50">
        <w:t>diffuse</w:t>
      </w:r>
      <w:r w:rsidR="004309C4" w:rsidRPr="002D4D50">
        <w:t xml:space="preserve"> component, differences between far right and non-far right voters are small</w:t>
      </w:r>
      <w:r w:rsidR="008C1923" w:rsidRPr="002D4D50">
        <w:t xml:space="preserve"> </w:t>
      </w:r>
      <w:r w:rsidR="00B51505" w:rsidRPr="002D4D50">
        <w:t>(Trust in institutions: Far right voters: M=4.</w:t>
      </w:r>
      <w:r w:rsidR="006F4CD5" w:rsidRPr="002D4D50">
        <w:t>44</w:t>
      </w:r>
      <w:r w:rsidR="00B51505" w:rsidRPr="002D4D50">
        <w:t xml:space="preserve">; SD=2; </w:t>
      </w:r>
      <w:proofErr w:type="gramStart"/>
      <w:r w:rsidR="00B51505" w:rsidRPr="002D4D50">
        <w:t>Non-far</w:t>
      </w:r>
      <w:proofErr w:type="gramEnd"/>
      <w:r w:rsidR="00B51505" w:rsidRPr="002D4D50">
        <w:t xml:space="preserve"> right voters: M=4.</w:t>
      </w:r>
      <w:r w:rsidR="00FA6103" w:rsidRPr="002D4D50">
        <w:t>8</w:t>
      </w:r>
      <w:r w:rsidR="006F4CD5" w:rsidRPr="002D4D50">
        <w:t>9</w:t>
      </w:r>
      <w:r w:rsidR="00B51505" w:rsidRPr="002D4D50">
        <w:t>; SD=2.1)</w:t>
      </w:r>
      <w:r w:rsidR="004309C4" w:rsidRPr="002D4D50">
        <w:t xml:space="preserve">. </w:t>
      </w:r>
      <w:r w:rsidR="002D7D65" w:rsidRPr="002D4D50">
        <w:t>T</w:t>
      </w:r>
      <w:r w:rsidR="004309C4" w:rsidRPr="002D4D50">
        <w:t xml:space="preserve">hese differences are </w:t>
      </w:r>
      <w:r w:rsidR="002D7D65" w:rsidRPr="002D4D50">
        <w:t>even</w:t>
      </w:r>
      <w:r w:rsidR="004309C4" w:rsidRPr="002D4D50">
        <w:t xml:space="preserve"> less prominent when it comes to the </w:t>
      </w:r>
      <w:r w:rsidR="002D7D65" w:rsidRPr="002D4D50">
        <w:t>specific dimension</w:t>
      </w:r>
      <w:r w:rsidR="00B51505" w:rsidRPr="002D4D50">
        <w:t xml:space="preserve"> (</w:t>
      </w:r>
      <w:r w:rsidR="002B6FA8" w:rsidRPr="002D4D50">
        <w:t>Performance satisfaction</w:t>
      </w:r>
      <w:r w:rsidR="00B51505" w:rsidRPr="002D4D50">
        <w:t>: Far right voters: M=4.</w:t>
      </w:r>
      <w:r w:rsidR="006F4CD5" w:rsidRPr="002D4D50">
        <w:t>7</w:t>
      </w:r>
      <w:r w:rsidR="00FA6103" w:rsidRPr="002D4D50">
        <w:t>6</w:t>
      </w:r>
      <w:r w:rsidR="00B51505" w:rsidRPr="002D4D50">
        <w:t>; SD=2.1</w:t>
      </w:r>
      <w:r w:rsidR="006F4CD5" w:rsidRPr="002D4D50">
        <w:t>7</w:t>
      </w:r>
      <w:r w:rsidR="00B51505" w:rsidRPr="002D4D50">
        <w:t xml:space="preserve">; Non far right voters: </w:t>
      </w:r>
      <w:r w:rsidR="00B51505" w:rsidRPr="002D4D50">
        <w:lastRenderedPageBreak/>
        <w:t>M=5.0</w:t>
      </w:r>
      <w:r w:rsidR="006F4CD5" w:rsidRPr="002D4D50">
        <w:t>5</w:t>
      </w:r>
      <w:r w:rsidR="00B51505" w:rsidRPr="002D4D50">
        <w:t>; SD=2.13; State of health: Far right voters: M=5.</w:t>
      </w:r>
      <w:r w:rsidR="006F4CD5" w:rsidRPr="002D4D50">
        <w:t>23</w:t>
      </w:r>
      <w:r w:rsidR="00B51505" w:rsidRPr="002D4D50">
        <w:t>; SD=2.5</w:t>
      </w:r>
      <w:r w:rsidR="006F4CD5" w:rsidRPr="002D4D50">
        <w:t>8</w:t>
      </w:r>
      <w:r w:rsidR="00B51505" w:rsidRPr="002D4D50">
        <w:t>; Non far right voters: M=5.7</w:t>
      </w:r>
      <w:r w:rsidR="00FA6103" w:rsidRPr="002D4D50">
        <w:t>2</w:t>
      </w:r>
      <w:r w:rsidR="00B51505" w:rsidRPr="002D4D50">
        <w:t>; SD=2.4</w:t>
      </w:r>
      <w:r w:rsidR="00FA6103" w:rsidRPr="002D4D50">
        <w:t>9</w:t>
      </w:r>
      <w:r w:rsidR="00B51505" w:rsidRPr="002D4D50">
        <w:t>; State of education: Far right voters: M=5.7</w:t>
      </w:r>
      <w:r w:rsidR="006F4CD5" w:rsidRPr="002D4D50">
        <w:t>6</w:t>
      </w:r>
      <w:r w:rsidR="00B51505" w:rsidRPr="002D4D50">
        <w:t>; SD=2.3</w:t>
      </w:r>
      <w:r w:rsidR="00FA6103" w:rsidRPr="002D4D50">
        <w:t>4</w:t>
      </w:r>
      <w:r w:rsidR="00B51505" w:rsidRPr="002D4D50">
        <w:t>; Non far right voters: M=5.</w:t>
      </w:r>
      <w:r w:rsidR="00FA6103" w:rsidRPr="002D4D50">
        <w:t>87</w:t>
      </w:r>
      <w:r w:rsidR="00B51505" w:rsidRPr="002D4D50">
        <w:t>6; SD=2.3)</w:t>
      </w:r>
      <w:r w:rsidR="000E6CF8" w:rsidRPr="002D4D50">
        <w:t xml:space="preserve">. </w:t>
      </w:r>
      <w:r w:rsidR="003329F6" w:rsidRPr="002D4D50">
        <w:t>I</w:t>
      </w:r>
      <w:r w:rsidR="00D90EF7" w:rsidRPr="002D4D50">
        <w:t xml:space="preserve">nterestingly, a significant share of </w:t>
      </w:r>
      <w:proofErr w:type="gramStart"/>
      <w:r w:rsidR="00D90EF7" w:rsidRPr="002D4D50">
        <w:t>far right</w:t>
      </w:r>
      <w:proofErr w:type="gramEnd"/>
      <w:r w:rsidR="00D90EF7" w:rsidRPr="002D4D50">
        <w:t xml:space="preserve"> voters</w:t>
      </w:r>
      <w:r w:rsidR="002575DC" w:rsidRPr="002D4D50">
        <w:t xml:space="preserve"> perceives the framework of </w:t>
      </w:r>
      <w:r w:rsidR="00FD7266" w:rsidRPr="002D4D50">
        <w:t>collective cooperation</w:t>
      </w:r>
      <w:r w:rsidR="002575DC" w:rsidRPr="002D4D50">
        <w:t xml:space="preserve"> to be working well</w:t>
      </w:r>
      <w:r w:rsidR="00FD7266" w:rsidRPr="002D4D50">
        <w:t xml:space="preserve">. </w:t>
      </w:r>
      <w:r w:rsidR="002575DC" w:rsidRPr="002D4D50">
        <w:t xml:space="preserve">Yet, the </w:t>
      </w:r>
      <w:r w:rsidR="000F5D68" w:rsidRPr="002D4D50">
        <w:t xml:space="preserve">mean </w:t>
      </w:r>
      <w:r w:rsidR="002575DC" w:rsidRPr="002D4D50">
        <w:t xml:space="preserve">differences of these </w:t>
      </w:r>
      <w:r w:rsidR="00CE710B" w:rsidRPr="002D4D50">
        <w:t>evaluations</w:t>
      </w:r>
      <w:r w:rsidR="002575DC" w:rsidRPr="002D4D50">
        <w:t xml:space="preserve"> between the two groups are statistically significant</w:t>
      </w:r>
      <w:r w:rsidR="000F5D68" w:rsidRPr="002D4D50">
        <w:t xml:space="preserve"> (p&lt;</w:t>
      </w:r>
      <w:r w:rsidR="00FA6103" w:rsidRPr="002D4D50">
        <w:rPr>
          <w:sz w:val="22"/>
          <w:szCs w:val="22"/>
        </w:rPr>
        <w:t>0.00001</w:t>
      </w:r>
      <w:r w:rsidR="000F5D68" w:rsidRPr="002D4D50">
        <w:t>)</w:t>
      </w:r>
      <w:r w:rsidR="00C770E2" w:rsidRPr="002D4D50">
        <w:t>, which suggests that the effects of these measures on voting behaviour might also differ</w:t>
      </w:r>
      <w:r w:rsidR="002575DC" w:rsidRPr="002D4D50">
        <w:t>.</w:t>
      </w:r>
      <w:r w:rsidR="009E3AE0" w:rsidRPr="002D4D50">
        <w:rPr>
          <w:rStyle w:val="FootnoteReference"/>
        </w:rPr>
        <w:footnoteReference w:id="3"/>
      </w:r>
      <w:r w:rsidR="002575DC" w:rsidRPr="002D4D50">
        <w:t xml:space="preserve"> </w:t>
      </w:r>
    </w:p>
    <w:p w14:paraId="59C17CB7" w14:textId="039A9CBF" w:rsidR="00310D38" w:rsidRPr="002D4D50" w:rsidRDefault="007F0A92" w:rsidP="003C1181">
      <w:pPr>
        <w:jc w:val="both"/>
      </w:pPr>
      <w:r w:rsidRPr="002D4D50">
        <w:rPr>
          <w:noProof/>
        </w:rPr>
        <w:drawing>
          <wp:inline distT="0" distB="0" distL="0" distR="0" wp14:anchorId="5D7BFA84" wp14:editId="78467D74">
            <wp:extent cx="5029200" cy="365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29200" cy="3657600"/>
                    </a:xfrm>
                    <a:prstGeom prst="rect">
                      <a:avLst/>
                    </a:prstGeom>
                  </pic:spPr>
                </pic:pic>
              </a:graphicData>
            </a:graphic>
          </wp:inline>
        </w:drawing>
      </w:r>
    </w:p>
    <w:p w14:paraId="69A53075" w14:textId="22F99EF7" w:rsidR="00310D38" w:rsidRPr="002D4D50" w:rsidRDefault="00310D38" w:rsidP="00776548">
      <w:pPr>
        <w:jc w:val="both"/>
        <w:rPr>
          <w:lang w:val="en-US"/>
        </w:rPr>
      </w:pPr>
      <w:r w:rsidRPr="002D4D50">
        <w:rPr>
          <w:b/>
        </w:rPr>
        <w:t>Figure 1:</w:t>
      </w:r>
      <w:r w:rsidRPr="002D4D50">
        <w:t xml:space="preserve"> </w:t>
      </w:r>
      <w:r w:rsidR="009E3AE0" w:rsidRPr="002D4D50">
        <w:t xml:space="preserve">Comparison of </w:t>
      </w:r>
      <w:r w:rsidR="00711F48" w:rsidRPr="002D4D50">
        <w:t>evaluation</w:t>
      </w:r>
      <w:r w:rsidR="006775E6" w:rsidRPr="002D4D50">
        <w:t>s of the democratic</w:t>
      </w:r>
      <w:r w:rsidR="00711F48" w:rsidRPr="002D4D50">
        <w:t xml:space="preserve"> process</w:t>
      </w:r>
      <w:r w:rsidRPr="002D4D50">
        <w:t xml:space="preserve"> </w:t>
      </w:r>
      <w:r w:rsidR="009E3AE0" w:rsidRPr="002D4D50">
        <w:t xml:space="preserve">between far right and non-far right voters </w:t>
      </w:r>
      <w:r w:rsidRPr="002D4D50">
        <w:t xml:space="preserve">(0=low; 10=high). </w:t>
      </w:r>
      <w:r w:rsidRPr="002D4D50">
        <w:rPr>
          <w:lang w:val="en-US"/>
        </w:rPr>
        <w:t>Source: ESS 2002-</w:t>
      </w:r>
      <w:r w:rsidR="000B297C" w:rsidRPr="002D4D50">
        <w:rPr>
          <w:lang w:val="en-US"/>
        </w:rPr>
        <w:t>2018</w:t>
      </w:r>
      <w:r w:rsidRPr="002D4D50">
        <w:rPr>
          <w:lang w:val="en-US"/>
        </w:rPr>
        <w:t xml:space="preserve">. </w:t>
      </w:r>
    </w:p>
    <w:p w14:paraId="4C5EC2AB" w14:textId="77777777" w:rsidR="007C4EC2" w:rsidRPr="002D4D50" w:rsidRDefault="007C4EC2" w:rsidP="003C1181">
      <w:pPr>
        <w:jc w:val="both"/>
      </w:pPr>
    </w:p>
    <w:p w14:paraId="4E0AFBCB" w14:textId="5D9C0E74" w:rsidR="005C2870" w:rsidRPr="002D4D50" w:rsidRDefault="00E75143" w:rsidP="00ED02A7">
      <w:pPr>
        <w:spacing w:line="480" w:lineRule="auto"/>
        <w:jc w:val="both"/>
      </w:pPr>
      <w:r w:rsidRPr="002D4D50">
        <w:lastRenderedPageBreak/>
        <w:t>Next, we</w:t>
      </w:r>
      <w:r w:rsidR="005C2870" w:rsidRPr="002D4D50">
        <w:t xml:space="preserve"> have hypothesised that the likelihood to opt for </w:t>
      </w:r>
      <w:r w:rsidR="00BE4DE7" w:rsidRPr="002D4D50">
        <w:t xml:space="preserve">a </w:t>
      </w:r>
      <w:proofErr w:type="gramStart"/>
      <w:r w:rsidR="00BE4DE7" w:rsidRPr="002D4D50">
        <w:t>far right</w:t>
      </w:r>
      <w:proofErr w:type="gramEnd"/>
      <w:r w:rsidR="00BE4DE7" w:rsidRPr="002D4D50">
        <w:t xml:space="preserve"> party </w:t>
      </w:r>
      <w:r w:rsidR="005C2870" w:rsidRPr="002D4D50">
        <w:t xml:space="preserve">is </w:t>
      </w:r>
      <w:r w:rsidR="00BE4DE7" w:rsidRPr="002D4D50">
        <w:t xml:space="preserve">lower </w:t>
      </w:r>
      <w:r w:rsidR="005C2870" w:rsidRPr="002D4D50">
        <w:t xml:space="preserve">among those individuals </w:t>
      </w:r>
      <w:r w:rsidR="0052601E" w:rsidRPr="002D4D50">
        <w:t xml:space="preserve">who show more </w:t>
      </w:r>
      <w:r w:rsidR="00BE4DE7" w:rsidRPr="002D4D50">
        <w:t xml:space="preserve">trust in institutions (H1a) and </w:t>
      </w:r>
      <w:r w:rsidR="0052601E" w:rsidRPr="002D4D50">
        <w:t xml:space="preserve">positively </w:t>
      </w:r>
      <w:r w:rsidRPr="002D4D50">
        <w:t xml:space="preserve">evaluate </w:t>
      </w:r>
      <w:r w:rsidR="006775E6" w:rsidRPr="002D4D50">
        <w:t>system performance and policy outputs</w:t>
      </w:r>
      <w:r w:rsidR="0052601E" w:rsidRPr="002D4D50">
        <w:t xml:space="preserve"> (H1b)</w:t>
      </w:r>
      <w:r w:rsidR="00BE4DE7" w:rsidRPr="002D4D50">
        <w:t xml:space="preserve">. </w:t>
      </w:r>
      <w:r w:rsidR="005C2870" w:rsidRPr="002D4D50">
        <w:t xml:space="preserve">To test these assumptions, </w:t>
      </w:r>
      <w:r w:rsidR="005148FC" w:rsidRPr="002D4D50">
        <w:t>we estimate a</w:t>
      </w:r>
      <w:r w:rsidR="00370801" w:rsidRPr="002D4D50">
        <w:t xml:space="preserve"> series of</w:t>
      </w:r>
      <w:r w:rsidR="005148FC" w:rsidRPr="002D4D50">
        <w:t xml:space="preserve"> </w:t>
      </w:r>
      <w:r w:rsidR="009B5498" w:rsidRPr="002D4D50">
        <w:t xml:space="preserve">logistic fixed effects </w:t>
      </w:r>
      <w:r w:rsidR="005148FC" w:rsidRPr="002D4D50">
        <w:t>regression model</w:t>
      </w:r>
      <w:r w:rsidR="00370801" w:rsidRPr="002D4D50">
        <w:t>s</w:t>
      </w:r>
      <w:r w:rsidR="005148FC" w:rsidRPr="002D4D50">
        <w:t xml:space="preserve"> </w:t>
      </w:r>
      <w:r w:rsidR="00433A59" w:rsidRPr="002D4D50">
        <w:t>(Table 1)</w:t>
      </w:r>
      <w:r w:rsidR="005148FC" w:rsidRPr="002D4D50">
        <w:t>.</w:t>
      </w:r>
      <w:r w:rsidR="005C2870" w:rsidRPr="002D4D50">
        <w:rPr>
          <w:lang w:val="en-US"/>
        </w:rPr>
        <w:t xml:space="preserve"> </w:t>
      </w:r>
      <w:r w:rsidR="00450FDC" w:rsidRPr="002D4D50">
        <w:rPr>
          <w:lang w:val="en-US"/>
        </w:rPr>
        <w:t>We</w:t>
      </w:r>
      <w:r w:rsidR="00433A59" w:rsidRPr="002D4D50">
        <w:rPr>
          <w:lang w:val="en-US"/>
        </w:rPr>
        <w:t xml:space="preserve"> commence by </w:t>
      </w:r>
      <w:r w:rsidR="008C1923" w:rsidRPr="002D4D50">
        <w:rPr>
          <w:lang w:val="en-US"/>
        </w:rPr>
        <w:t xml:space="preserve">examining the association </w:t>
      </w:r>
      <w:r w:rsidR="00433A59" w:rsidRPr="002D4D50">
        <w:rPr>
          <w:lang w:val="en-US"/>
        </w:rPr>
        <w:t xml:space="preserve">of each </w:t>
      </w:r>
      <w:r w:rsidR="00EF326F" w:rsidRPr="002D4D50">
        <w:rPr>
          <w:lang w:val="en-US"/>
        </w:rPr>
        <w:t>measure</w:t>
      </w:r>
      <w:r w:rsidR="008C1923" w:rsidRPr="002D4D50">
        <w:rPr>
          <w:lang w:val="en-US"/>
        </w:rPr>
        <w:t xml:space="preserve"> with </w:t>
      </w:r>
      <w:proofErr w:type="gramStart"/>
      <w:r w:rsidR="008C1923" w:rsidRPr="002D4D50">
        <w:rPr>
          <w:lang w:val="en-US"/>
        </w:rPr>
        <w:t>far right</w:t>
      </w:r>
      <w:proofErr w:type="gramEnd"/>
      <w:r w:rsidR="008C1923" w:rsidRPr="002D4D50">
        <w:rPr>
          <w:lang w:val="en-US"/>
        </w:rPr>
        <w:t xml:space="preserve"> party support</w:t>
      </w:r>
      <w:r w:rsidR="00370801" w:rsidRPr="002D4D50">
        <w:rPr>
          <w:lang w:val="en-US"/>
        </w:rPr>
        <w:t xml:space="preserve"> in models that also include </w:t>
      </w:r>
      <w:r w:rsidR="00433A59" w:rsidRPr="002D4D50">
        <w:rPr>
          <w:lang w:val="en-US"/>
        </w:rPr>
        <w:t>the control variables (Table 1, Model</w:t>
      </w:r>
      <w:r w:rsidR="00B45EB2" w:rsidRPr="002D4D50">
        <w:rPr>
          <w:lang w:val="en-US"/>
        </w:rPr>
        <w:t>s</w:t>
      </w:r>
      <w:r w:rsidR="00433A59" w:rsidRPr="002D4D50">
        <w:rPr>
          <w:lang w:val="en-US"/>
        </w:rPr>
        <w:t xml:space="preserve"> 1-4)</w:t>
      </w:r>
      <w:r w:rsidR="00370801" w:rsidRPr="002D4D50">
        <w:rPr>
          <w:lang w:val="en-US"/>
        </w:rPr>
        <w:t>. We then</w:t>
      </w:r>
      <w:r w:rsidR="00433A59" w:rsidRPr="002D4D50">
        <w:rPr>
          <w:lang w:val="en-US"/>
        </w:rPr>
        <w:t xml:space="preserve"> proceed with </w:t>
      </w:r>
      <w:r w:rsidR="00370801" w:rsidRPr="002D4D50">
        <w:rPr>
          <w:lang w:val="en-US"/>
        </w:rPr>
        <w:t xml:space="preserve">incrementally </w:t>
      </w:r>
      <w:r w:rsidR="00D147AA" w:rsidRPr="002D4D50">
        <w:rPr>
          <w:lang w:val="en-US"/>
        </w:rPr>
        <w:t>inserting</w:t>
      </w:r>
      <w:r w:rsidR="00433A59" w:rsidRPr="002D4D50">
        <w:rPr>
          <w:lang w:val="en-US"/>
        </w:rPr>
        <w:t xml:space="preserve"> </w:t>
      </w:r>
      <w:r w:rsidR="00EF326F" w:rsidRPr="002D4D50">
        <w:rPr>
          <w:lang w:val="en-US"/>
        </w:rPr>
        <w:t xml:space="preserve">the </w:t>
      </w:r>
      <w:r w:rsidR="00D147AA" w:rsidRPr="002D4D50">
        <w:rPr>
          <w:lang w:val="en-US"/>
        </w:rPr>
        <w:t xml:space="preserve">additional </w:t>
      </w:r>
      <w:r w:rsidR="00EF326F" w:rsidRPr="002D4D50">
        <w:rPr>
          <w:lang w:val="en-US"/>
        </w:rPr>
        <w:t>measures</w:t>
      </w:r>
      <w:r w:rsidRPr="002D4D50">
        <w:rPr>
          <w:lang w:val="en-US"/>
        </w:rPr>
        <w:t xml:space="preserve"> </w:t>
      </w:r>
      <w:r w:rsidR="00EF326F" w:rsidRPr="002D4D50">
        <w:rPr>
          <w:lang w:val="en-US"/>
        </w:rPr>
        <w:t>in each model</w:t>
      </w:r>
      <w:r w:rsidR="00433A59" w:rsidRPr="002D4D50">
        <w:rPr>
          <w:lang w:val="en-US"/>
        </w:rPr>
        <w:t xml:space="preserve"> (Table 1, Models 5-7). </w:t>
      </w:r>
    </w:p>
    <w:p w14:paraId="37858AF3" w14:textId="77777777" w:rsidR="00F36515" w:rsidRPr="002D4D50" w:rsidRDefault="00F36515" w:rsidP="00ED02A7">
      <w:pPr>
        <w:spacing w:line="480" w:lineRule="auto"/>
        <w:jc w:val="both"/>
      </w:pPr>
    </w:p>
    <w:p w14:paraId="301E4D5A" w14:textId="2FDA6383" w:rsidR="00BF22F8" w:rsidRPr="002D4D50" w:rsidRDefault="00BF22F8" w:rsidP="006775E6">
      <w:pPr>
        <w:spacing w:line="480" w:lineRule="auto"/>
        <w:jc w:val="both"/>
      </w:pPr>
      <w:r w:rsidRPr="002D4D50">
        <w:rPr>
          <w:lang w:val="en-US"/>
        </w:rPr>
        <w:t xml:space="preserve">Our results suggest that </w:t>
      </w:r>
      <w:r w:rsidR="00CE710B" w:rsidRPr="002D4D50">
        <w:t>evaluations</w:t>
      </w:r>
      <w:r w:rsidRPr="002D4D50">
        <w:t xml:space="preserve"> of the</w:t>
      </w:r>
      <w:r w:rsidR="00C21116" w:rsidRPr="002D4D50">
        <w:t xml:space="preserve"> </w:t>
      </w:r>
      <w:r w:rsidR="00852A86" w:rsidRPr="002D4D50">
        <w:t>democratic process</w:t>
      </w:r>
      <w:r w:rsidRPr="002D4D50">
        <w:t xml:space="preserve"> are indeed significant in understanding the </w:t>
      </w:r>
      <w:proofErr w:type="gramStart"/>
      <w:r w:rsidRPr="002D4D50">
        <w:t>far right</w:t>
      </w:r>
      <w:proofErr w:type="gramEnd"/>
      <w:r w:rsidRPr="002D4D50">
        <w:t xml:space="preserve"> vote. First, in line with H1a, we find that those individuals who trust their domestic institutions are less likely to opt for a </w:t>
      </w:r>
      <w:proofErr w:type="gramStart"/>
      <w:r w:rsidRPr="002D4D50">
        <w:t>far right</w:t>
      </w:r>
      <w:proofErr w:type="gramEnd"/>
      <w:r w:rsidRPr="002D4D50">
        <w:t xml:space="preserve"> party in a national election. Second, in support for H1b, we find the same to be true for citizens who positive</w:t>
      </w:r>
      <w:r w:rsidR="00852A86" w:rsidRPr="002D4D50">
        <w:t>ly evaluat</w:t>
      </w:r>
      <w:r w:rsidR="006775E6" w:rsidRPr="002D4D50">
        <w:t>e system performance and policy outputs</w:t>
      </w:r>
      <w:r w:rsidRPr="002D4D50">
        <w:t xml:space="preserve">. </w:t>
      </w:r>
      <w:r w:rsidR="00852A86" w:rsidRPr="002D4D50">
        <w:t xml:space="preserve">Those satisfied with </w:t>
      </w:r>
      <w:r w:rsidR="00852A86" w:rsidRPr="002D4D50">
        <w:rPr>
          <w:bCs/>
        </w:rPr>
        <w:t xml:space="preserve">the present state of the economy, the way the national government is doing its job, and the way democracy works in the country, </w:t>
      </w:r>
      <w:r w:rsidRPr="002D4D50">
        <w:t xml:space="preserve">as well as those who are optimistic about the state of the health services and education in their country are less likely to vote for the far right. Broadly speaking, our findings suggest that positive </w:t>
      </w:r>
      <w:r w:rsidR="00852A86" w:rsidRPr="002D4D50">
        <w:t>evaluations of the democratic process</w:t>
      </w:r>
      <w:r w:rsidRPr="002D4D50">
        <w:t xml:space="preserve"> can act as a deterrent to the </w:t>
      </w:r>
      <w:proofErr w:type="gramStart"/>
      <w:r w:rsidRPr="002D4D50">
        <w:t>far right</w:t>
      </w:r>
      <w:proofErr w:type="gramEnd"/>
      <w:r w:rsidRPr="002D4D50">
        <w:t xml:space="preserve"> vote. When the broad framework of collective cooperation is perceived to </w:t>
      </w:r>
      <w:r w:rsidR="00C21116" w:rsidRPr="002D4D50">
        <w:t xml:space="preserve">be </w:t>
      </w:r>
      <w:r w:rsidRPr="002D4D50">
        <w:t>work</w:t>
      </w:r>
      <w:r w:rsidR="00C21116" w:rsidRPr="002D4D50">
        <w:t>ing</w:t>
      </w:r>
      <w:r w:rsidRPr="002D4D50">
        <w:t xml:space="preserve"> well, then citizens </w:t>
      </w:r>
      <w:r w:rsidR="002575DC" w:rsidRPr="002D4D50">
        <w:t>are less likely to</w:t>
      </w:r>
      <w:r w:rsidRPr="002D4D50">
        <w:t xml:space="preserve"> resort to the far right </w:t>
      </w:r>
      <w:proofErr w:type="gramStart"/>
      <w:r w:rsidRPr="002D4D50">
        <w:t>in order to</w:t>
      </w:r>
      <w:proofErr w:type="gramEnd"/>
      <w:r w:rsidRPr="002D4D50">
        <w:t xml:space="preserve"> voice their concerns against the </w:t>
      </w:r>
      <w:r w:rsidR="00852A86" w:rsidRPr="002D4D50">
        <w:t xml:space="preserve">system </w:t>
      </w:r>
      <w:r w:rsidR="000C747E" w:rsidRPr="002D4D50">
        <w:t>(for predicted probabilities</w:t>
      </w:r>
      <w:r w:rsidR="008F0231">
        <w:t>,</w:t>
      </w:r>
      <w:r w:rsidR="000C747E" w:rsidRPr="002D4D50">
        <w:t xml:space="preserve"> see </w:t>
      </w:r>
      <w:r w:rsidR="00750FC7" w:rsidRPr="002D4D50">
        <w:t xml:space="preserve">Appendix </w:t>
      </w:r>
      <w:r w:rsidR="000C747E" w:rsidRPr="002D4D50">
        <w:t xml:space="preserve">Figure </w:t>
      </w:r>
      <w:r w:rsidR="00750FC7" w:rsidRPr="002D4D50">
        <w:t>3)</w:t>
      </w:r>
      <w:r w:rsidR="00BE7DA1" w:rsidRPr="002D4D50">
        <w:t xml:space="preserve">. </w:t>
      </w:r>
    </w:p>
    <w:p w14:paraId="08EDCA9E" w14:textId="247ED0D5" w:rsidR="00BE7DA1" w:rsidRPr="002D4D50" w:rsidRDefault="00BE7DA1" w:rsidP="00ED02A7">
      <w:pPr>
        <w:spacing w:line="480" w:lineRule="auto"/>
        <w:jc w:val="both"/>
        <w:rPr>
          <w:color w:val="FF0000"/>
        </w:rPr>
        <w:sectPr w:rsidR="00BE7DA1" w:rsidRPr="002D4D50" w:rsidSect="004847A0">
          <w:footerReference w:type="even" r:id="rId11"/>
          <w:footerReference w:type="default" r:id="rId12"/>
          <w:pgSz w:w="12240" w:h="15840"/>
          <w:pgMar w:top="1440" w:right="1800" w:bottom="1440" w:left="1800" w:header="708" w:footer="708" w:gutter="0"/>
          <w:cols w:space="708"/>
          <w:docGrid w:linePitch="360"/>
        </w:sectPr>
      </w:pPr>
    </w:p>
    <w:p w14:paraId="3833EDCE" w14:textId="5EE4A412" w:rsidR="00D1705B" w:rsidRPr="002D4D50" w:rsidRDefault="00F36515" w:rsidP="003F2CC9">
      <w:r w:rsidRPr="002D4D50">
        <w:rPr>
          <w:b/>
          <w:bCs/>
        </w:rPr>
        <w:lastRenderedPageBreak/>
        <w:t>Table 1</w:t>
      </w:r>
      <w:r w:rsidRPr="002D4D50">
        <w:rPr>
          <w:b/>
        </w:rPr>
        <w:t>:</w:t>
      </w:r>
      <w:r w:rsidRPr="002D4D50">
        <w:t xml:space="preserve"> </w:t>
      </w:r>
      <w:r w:rsidR="003F2CC9" w:rsidRPr="002D4D50">
        <w:rPr>
          <w:lang w:val="en-US"/>
        </w:rPr>
        <w:t xml:space="preserve">Logistic fixed effects models </w:t>
      </w:r>
      <w:r w:rsidR="003F2CC9" w:rsidRPr="002D4D50">
        <w:t xml:space="preserve">estimating support for the far </w:t>
      </w:r>
      <w:proofErr w:type="gramStart"/>
      <w:r w:rsidR="003F2CC9" w:rsidRPr="002D4D50">
        <w:t>right</w:t>
      </w:r>
      <w:proofErr w:type="gramEnd"/>
      <w:r w:rsidR="003F2CC9" w:rsidRPr="002D4D50">
        <w:t xml:space="preserve">  </w:t>
      </w:r>
    </w:p>
    <w:tbl>
      <w:tblPr>
        <w:tblW w:w="13382" w:type="dxa"/>
        <w:tblInd w:w="-118" w:type="dxa"/>
        <w:tblLayout w:type="fixed"/>
        <w:tblLook w:val="0000" w:firstRow="0" w:lastRow="0" w:firstColumn="0" w:lastColumn="0" w:noHBand="0" w:noVBand="0"/>
      </w:tblPr>
      <w:tblGrid>
        <w:gridCol w:w="1818"/>
        <w:gridCol w:w="1652"/>
        <w:gridCol w:w="1652"/>
        <w:gridCol w:w="1652"/>
        <w:gridCol w:w="1652"/>
        <w:gridCol w:w="1652"/>
        <w:gridCol w:w="1652"/>
        <w:gridCol w:w="1652"/>
      </w:tblGrid>
      <w:tr w:rsidR="00E76581" w:rsidRPr="002D4D50" w14:paraId="408BBEDA" w14:textId="77777777" w:rsidTr="00E76581">
        <w:trPr>
          <w:trHeight w:val="413"/>
        </w:trPr>
        <w:tc>
          <w:tcPr>
            <w:tcW w:w="1818" w:type="dxa"/>
            <w:tcBorders>
              <w:top w:val="single" w:sz="8" w:space="0" w:color="auto"/>
              <w:bottom w:val="single" w:sz="8" w:space="0" w:color="auto"/>
            </w:tcBorders>
            <w:tcMar>
              <w:top w:w="100" w:type="nil"/>
              <w:right w:w="100" w:type="nil"/>
            </w:tcMar>
            <w:vAlign w:val="center"/>
          </w:tcPr>
          <w:p w14:paraId="5EE1CEF8" w14:textId="77777777" w:rsidR="00E76581" w:rsidRPr="002D4D50" w:rsidRDefault="00E76581" w:rsidP="00DA6098">
            <w:pPr>
              <w:autoSpaceDE w:val="0"/>
              <w:autoSpaceDN w:val="0"/>
              <w:adjustRightInd w:val="0"/>
              <w:rPr>
                <w:lang w:val="en-US"/>
              </w:rPr>
            </w:pPr>
          </w:p>
        </w:tc>
        <w:tc>
          <w:tcPr>
            <w:tcW w:w="1652" w:type="dxa"/>
            <w:tcBorders>
              <w:top w:val="single" w:sz="8" w:space="0" w:color="auto"/>
              <w:bottom w:val="single" w:sz="8" w:space="0" w:color="auto"/>
            </w:tcBorders>
            <w:tcMar>
              <w:top w:w="100" w:type="nil"/>
              <w:right w:w="100" w:type="nil"/>
            </w:tcMar>
            <w:vAlign w:val="center"/>
          </w:tcPr>
          <w:p w14:paraId="17CDDA3C" w14:textId="77777777" w:rsidR="00E76581" w:rsidRPr="002D4D50" w:rsidRDefault="00E76581" w:rsidP="00DA6098">
            <w:pPr>
              <w:autoSpaceDE w:val="0"/>
              <w:autoSpaceDN w:val="0"/>
              <w:adjustRightInd w:val="0"/>
              <w:jc w:val="center"/>
            </w:pPr>
            <w:r w:rsidRPr="002D4D50">
              <w:t xml:space="preserve">Model 1 </w:t>
            </w:r>
          </w:p>
        </w:tc>
        <w:tc>
          <w:tcPr>
            <w:tcW w:w="1652" w:type="dxa"/>
            <w:tcBorders>
              <w:top w:val="single" w:sz="8" w:space="0" w:color="auto"/>
              <w:bottom w:val="single" w:sz="8" w:space="0" w:color="auto"/>
            </w:tcBorders>
            <w:tcMar>
              <w:top w:w="100" w:type="nil"/>
              <w:right w:w="100" w:type="nil"/>
            </w:tcMar>
            <w:vAlign w:val="center"/>
          </w:tcPr>
          <w:p w14:paraId="4F39F6FA" w14:textId="77777777" w:rsidR="00E76581" w:rsidRPr="002D4D50" w:rsidRDefault="00E76581" w:rsidP="00DA6098">
            <w:pPr>
              <w:autoSpaceDE w:val="0"/>
              <w:autoSpaceDN w:val="0"/>
              <w:adjustRightInd w:val="0"/>
              <w:jc w:val="center"/>
            </w:pPr>
            <w:r w:rsidRPr="002D4D50">
              <w:t>Model 2</w:t>
            </w:r>
          </w:p>
        </w:tc>
        <w:tc>
          <w:tcPr>
            <w:tcW w:w="1652" w:type="dxa"/>
            <w:tcBorders>
              <w:top w:val="single" w:sz="8" w:space="0" w:color="auto"/>
              <w:bottom w:val="single" w:sz="8" w:space="0" w:color="auto"/>
            </w:tcBorders>
            <w:tcMar>
              <w:top w:w="100" w:type="nil"/>
              <w:right w:w="100" w:type="nil"/>
            </w:tcMar>
            <w:vAlign w:val="center"/>
          </w:tcPr>
          <w:p w14:paraId="7DC4C416" w14:textId="77777777" w:rsidR="00E76581" w:rsidRPr="002D4D50" w:rsidRDefault="00E76581" w:rsidP="00DA6098">
            <w:pPr>
              <w:autoSpaceDE w:val="0"/>
              <w:autoSpaceDN w:val="0"/>
              <w:adjustRightInd w:val="0"/>
              <w:jc w:val="center"/>
            </w:pPr>
            <w:r w:rsidRPr="002D4D50">
              <w:t>Model 3</w:t>
            </w:r>
          </w:p>
        </w:tc>
        <w:tc>
          <w:tcPr>
            <w:tcW w:w="1652" w:type="dxa"/>
            <w:tcBorders>
              <w:top w:val="single" w:sz="8" w:space="0" w:color="auto"/>
              <w:bottom w:val="single" w:sz="8" w:space="0" w:color="auto"/>
            </w:tcBorders>
            <w:tcMar>
              <w:top w:w="100" w:type="nil"/>
              <w:right w:w="100" w:type="nil"/>
            </w:tcMar>
            <w:vAlign w:val="center"/>
          </w:tcPr>
          <w:p w14:paraId="00A37615" w14:textId="77777777" w:rsidR="00E76581" w:rsidRPr="002D4D50" w:rsidRDefault="00E76581" w:rsidP="00DA6098">
            <w:pPr>
              <w:autoSpaceDE w:val="0"/>
              <w:autoSpaceDN w:val="0"/>
              <w:adjustRightInd w:val="0"/>
              <w:jc w:val="center"/>
            </w:pPr>
            <w:r w:rsidRPr="002D4D50">
              <w:t>Model 4</w:t>
            </w:r>
          </w:p>
        </w:tc>
        <w:tc>
          <w:tcPr>
            <w:tcW w:w="1652" w:type="dxa"/>
            <w:tcBorders>
              <w:top w:val="single" w:sz="8" w:space="0" w:color="auto"/>
              <w:bottom w:val="single" w:sz="8" w:space="0" w:color="auto"/>
            </w:tcBorders>
            <w:tcMar>
              <w:top w:w="100" w:type="nil"/>
              <w:right w:w="100" w:type="nil"/>
            </w:tcMar>
            <w:vAlign w:val="center"/>
          </w:tcPr>
          <w:p w14:paraId="19F5C14C" w14:textId="77777777" w:rsidR="00E76581" w:rsidRPr="002D4D50" w:rsidRDefault="00E76581" w:rsidP="00DA6098">
            <w:pPr>
              <w:autoSpaceDE w:val="0"/>
              <w:autoSpaceDN w:val="0"/>
              <w:adjustRightInd w:val="0"/>
              <w:jc w:val="center"/>
            </w:pPr>
            <w:r w:rsidRPr="002D4D50">
              <w:t xml:space="preserve">Model 5 </w:t>
            </w:r>
          </w:p>
        </w:tc>
        <w:tc>
          <w:tcPr>
            <w:tcW w:w="1652" w:type="dxa"/>
            <w:tcBorders>
              <w:top w:val="single" w:sz="8" w:space="0" w:color="auto"/>
              <w:bottom w:val="single" w:sz="8" w:space="0" w:color="auto"/>
            </w:tcBorders>
            <w:tcMar>
              <w:top w:w="100" w:type="nil"/>
              <w:right w:w="100" w:type="nil"/>
            </w:tcMar>
            <w:vAlign w:val="center"/>
          </w:tcPr>
          <w:p w14:paraId="040546E6" w14:textId="77777777" w:rsidR="00E76581" w:rsidRPr="002D4D50" w:rsidRDefault="00E76581" w:rsidP="00DA6098">
            <w:pPr>
              <w:autoSpaceDE w:val="0"/>
              <w:autoSpaceDN w:val="0"/>
              <w:adjustRightInd w:val="0"/>
              <w:jc w:val="center"/>
            </w:pPr>
            <w:r w:rsidRPr="002D4D50">
              <w:t xml:space="preserve">Model 6 </w:t>
            </w:r>
          </w:p>
        </w:tc>
        <w:tc>
          <w:tcPr>
            <w:tcW w:w="1652" w:type="dxa"/>
            <w:tcBorders>
              <w:top w:val="single" w:sz="8" w:space="0" w:color="auto"/>
              <w:bottom w:val="single" w:sz="8" w:space="0" w:color="auto"/>
            </w:tcBorders>
            <w:tcMar>
              <w:top w:w="100" w:type="nil"/>
              <w:right w:w="100" w:type="nil"/>
            </w:tcMar>
            <w:vAlign w:val="center"/>
          </w:tcPr>
          <w:p w14:paraId="597D8CB4" w14:textId="77777777" w:rsidR="00E76581" w:rsidRPr="002D4D50" w:rsidRDefault="00E76581" w:rsidP="00DA6098">
            <w:pPr>
              <w:autoSpaceDE w:val="0"/>
              <w:autoSpaceDN w:val="0"/>
              <w:adjustRightInd w:val="0"/>
              <w:jc w:val="center"/>
            </w:pPr>
            <w:r w:rsidRPr="002D4D50">
              <w:t>Model 7</w:t>
            </w:r>
          </w:p>
        </w:tc>
      </w:tr>
      <w:tr w:rsidR="00E76581" w:rsidRPr="002D4D50" w14:paraId="217C82C9" w14:textId="77777777" w:rsidTr="00DA6098">
        <w:trPr>
          <w:trHeight w:val="887"/>
        </w:trPr>
        <w:tc>
          <w:tcPr>
            <w:tcW w:w="1818" w:type="dxa"/>
            <w:tcBorders>
              <w:top w:val="single" w:sz="8" w:space="0" w:color="auto"/>
            </w:tcBorders>
            <w:tcMar>
              <w:top w:w="100" w:type="nil"/>
              <w:right w:w="100" w:type="nil"/>
            </w:tcMar>
            <w:vAlign w:val="center"/>
          </w:tcPr>
          <w:p w14:paraId="4C25911A" w14:textId="77777777" w:rsidR="00E76581" w:rsidRPr="002D4D50" w:rsidRDefault="00E76581" w:rsidP="00DA6098">
            <w:pPr>
              <w:autoSpaceDE w:val="0"/>
              <w:autoSpaceDN w:val="0"/>
              <w:adjustRightInd w:val="0"/>
            </w:pPr>
            <w:r w:rsidRPr="002D4D50">
              <w:rPr>
                <w:lang w:val="en-US"/>
              </w:rPr>
              <w:t>Trust in institutions</w:t>
            </w:r>
          </w:p>
        </w:tc>
        <w:tc>
          <w:tcPr>
            <w:tcW w:w="1652" w:type="dxa"/>
            <w:tcBorders>
              <w:top w:val="single" w:sz="8" w:space="0" w:color="auto"/>
            </w:tcBorders>
            <w:tcMar>
              <w:top w:w="100" w:type="nil"/>
              <w:right w:w="100" w:type="nil"/>
            </w:tcMar>
            <w:vAlign w:val="center"/>
          </w:tcPr>
          <w:p w14:paraId="583C7F77" w14:textId="77777777" w:rsidR="00E76581" w:rsidRPr="002D4D50" w:rsidRDefault="00E76581" w:rsidP="00DA6098">
            <w:pPr>
              <w:autoSpaceDE w:val="0"/>
              <w:autoSpaceDN w:val="0"/>
              <w:adjustRightInd w:val="0"/>
              <w:jc w:val="center"/>
            </w:pPr>
            <w:r w:rsidRPr="002D4D50">
              <w:t>-0.126</w:t>
            </w:r>
            <w:r w:rsidRPr="002D4D50">
              <w:rPr>
                <w:vertAlign w:val="superscript"/>
              </w:rPr>
              <w:t>***</w:t>
            </w:r>
            <w:r w:rsidRPr="002D4D50">
              <w:t xml:space="preserve"> (0.006)</w:t>
            </w:r>
          </w:p>
        </w:tc>
        <w:tc>
          <w:tcPr>
            <w:tcW w:w="1652" w:type="dxa"/>
            <w:tcBorders>
              <w:top w:val="single" w:sz="8" w:space="0" w:color="auto"/>
            </w:tcBorders>
            <w:tcMar>
              <w:top w:w="100" w:type="nil"/>
              <w:right w:w="100" w:type="nil"/>
            </w:tcMar>
            <w:vAlign w:val="center"/>
          </w:tcPr>
          <w:p w14:paraId="23F2DD16" w14:textId="77777777" w:rsidR="00E76581" w:rsidRPr="002D4D50" w:rsidRDefault="00E76581" w:rsidP="00DA6098">
            <w:pPr>
              <w:autoSpaceDE w:val="0"/>
              <w:autoSpaceDN w:val="0"/>
              <w:adjustRightInd w:val="0"/>
              <w:jc w:val="center"/>
            </w:pPr>
            <w:r w:rsidRPr="002D4D50">
              <w:t xml:space="preserve"> </w:t>
            </w:r>
          </w:p>
        </w:tc>
        <w:tc>
          <w:tcPr>
            <w:tcW w:w="1652" w:type="dxa"/>
            <w:tcBorders>
              <w:top w:val="single" w:sz="8" w:space="0" w:color="auto"/>
            </w:tcBorders>
            <w:tcMar>
              <w:top w:w="100" w:type="nil"/>
              <w:right w:w="100" w:type="nil"/>
            </w:tcMar>
            <w:vAlign w:val="center"/>
          </w:tcPr>
          <w:p w14:paraId="37185B33" w14:textId="77777777" w:rsidR="00E76581" w:rsidRPr="002D4D50" w:rsidRDefault="00E76581" w:rsidP="00DA6098">
            <w:pPr>
              <w:autoSpaceDE w:val="0"/>
              <w:autoSpaceDN w:val="0"/>
              <w:adjustRightInd w:val="0"/>
              <w:jc w:val="center"/>
            </w:pPr>
            <w:r w:rsidRPr="002D4D50">
              <w:t xml:space="preserve"> </w:t>
            </w:r>
          </w:p>
        </w:tc>
        <w:tc>
          <w:tcPr>
            <w:tcW w:w="1652" w:type="dxa"/>
            <w:tcBorders>
              <w:top w:val="single" w:sz="8" w:space="0" w:color="auto"/>
            </w:tcBorders>
            <w:tcMar>
              <w:top w:w="100" w:type="nil"/>
              <w:right w:w="100" w:type="nil"/>
            </w:tcMar>
            <w:vAlign w:val="center"/>
          </w:tcPr>
          <w:p w14:paraId="3C6F94EF" w14:textId="77777777" w:rsidR="00E76581" w:rsidRPr="002D4D50" w:rsidRDefault="00E76581" w:rsidP="00DA6098">
            <w:pPr>
              <w:autoSpaceDE w:val="0"/>
              <w:autoSpaceDN w:val="0"/>
              <w:adjustRightInd w:val="0"/>
              <w:jc w:val="center"/>
            </w:pPr>
            <w:r w:rsidRPr="002D4D50">
              <w:t xml:space="preserve"> </w:t>
            </w:r>
          </w:p>
        </w:tc>
        <w:tc>
          <w:tcPr>
            <w:tcW w:w="1652" w:type="dxa"/>
            <w:tcBorders>
              <w:top w:val="single" w:sz="8" w:space="0" w:color="auto"/>
            </w:tcBorders>
            <w:tcMar>
              <w:top w:w="100" w:type="nil"/>
              <w:right w:w="100" w:type="nil"/>
            </w:tcMar>
            <w:vAlign w:val="center"/>
          </w:tcPr>
          <w:p w14:paraId="1FB173C3" w14:textId="77777777" w:rsidR="00E76581" w:rsidRPr="002D4D50" w:rsidRDefault="00E76581" w:rsidP="00DA6098">
            <w:pPr>
              <w:autoSpaceDE w:val="0"/>
              <w:autoSpaceDN w:val="0"/>
              <w:adjustRightInd w:val="0"/>
              <w:jc w:val="center"/>
            </w:pPr>
            <w:r w:rsidRPr="002D4D50">
              <w:t>-0.0797</w:t>
            </w:r>
            <w:r w:rsidRPr="002D4D50">
              <w:rPr>
                <w:vertAlign w:val="superscript"/>
              </w:rPr>
              <w:t>***</w:t>
            </w:r>
            <w:r w:rsidRPr="002D4D50">
              <w:t xml:space="preserve"> (0.007)</w:t>
            </w:r>
          </w:p>
        </w:tc>
        <w:tc>
          <w:tcPr>
            <w:tcW w:w="1652" w:type="dxa"/>
            <w:tcBorders>
              <w:top w:val="single" w:sz="8" w:space="0" w:color="auto"/>
            </w:tcBorders>
            <w:tcMar>
              <w:top w:w="100" w:type="nil"/>
              <w:right w:w="100" w:type="nil"/>
            </w:tcMar>
            <w:vAlign w:val="center"/>
          </w:tcPr>
          <w:p w14:paraId="75B2B8A2" w14:textId="77777777" w:rsidR="00E76581" w:rsidRPr="002D4D50" w:rsidRDefault="00E76581" w:rsidP="00DA6098">
            <w:pPr>
              <w:autoSpaceDE w:val="0"/>
              <w:autoSpaceDN w:val="0"/>
              <w:adjustRightInd w:val="0"/>
              <w:jc w:val="center"/>
            </w:pPr>
            <w:r w:rsidRPr="002D4D50">
              <w:t>-0.0740</w:t>
            </w:r>
            <w:r w:rsidRPr="002D4D50">
              <w:rPr>
                <w:vertAlign w:val="superscript"/>
              </w:rPr>
              <w:t>***</w:t>
            </w:r>
            <w:r w:rsidRPr="002D4D50">
              <w:t xml:space="preserve"> (0.007)</w:t>
            </w:r>
          </w:p>
        </w:tc>
        <w:tc>
          <w:tcPr>
            <w:tcW w:w="1652" w:type="dxa"/>
            <w:tcBorders>
              <w:top w:val="single" w:sz="8" w:space="0" w:color="auto"/>
            </w:tcBorders>
            <w:tcMar>
              <w:top w:w="100" w:type="nil"/>
              <w:right w:w="100" w:type="nil"/>
            </w:tcMar>
            <w:vAlign w:val="center"/>
          </w:tcPr>
          <w:p w14:paraId="646212EA" w14:textId="77777777" w:rsidR="00E76581" w:rsidRPr="002D4D50" w:rsidRDefault="00E76581" w:rsidP="00DA6098">
            <w:pPr>
              <w:autoSpaceDE w:val="0"/>
              <w:autoSpaceDN w:val="0"/>
              <w:adjustRightInd w:val="0"/>
              <w:jc w:val="center"/>
            </w:pPr>
            <w:r w:rsidRPr="002D4D50">
              <w:t>-0.0777</w:t>
            </w:r>
            <w:r w:rsidRPr="002D4D50">
              <w:rPr>
                <w:vertAlign w:val="superscript"/>
              </w:rPr>
              <w:t>***</w:t>
            </w:r>
            <w:r w:rsidRPr="002D4D50">
              <w:t xml:space="preserve"> (0.007)</w:t>
            </w:r>
          </w:p>
        </w:tc>
      </w:tr>
      <w:tr w:rsidR="00E76581" w:rsidRPr="002D4D50" w14:paraId="7409CB0E" w14:textId="77777777" w:rsidTr="00DA6098">
        <w:trPr>
          <w:trHeight w:val="1173"/>
        </w:trPr>
        <w:tc>
          <w:tcPr>
            <w:tcW w:w="1818" w:type="dxa"/>
            <w:tcMar>
              <w:top w:w="100" w:type="nil"/>
              <w:right w:w="100" w:type="nil"/>
            </w:tcMar>
            <w:vAlign w:val="center"/>
          </w:tcPr>
          <w:p w14:paraId="40B22273" w14:textId="77777777" w:rsidR="00E76581" w:rsidRPr="002D4D50" w:rsidRDefault="00E76581" w:rsidP="00DA6098">
            <w:pPr>
              <w:autoSpaceDE w:val="0"/>
              <w:autoSpaceDN w:val="0"/>
              <w:adjustRightInd w:val="0"/>
            </w:pPr>
            <w:r w:rsidRPr="002D4D50">
              <w:rPr>
                <w:lang w:val="en-US"/>
              </w:rPr>
              <w:t>Performance Satisfaction</w:t>
            </w:r>
          </w:p>
        </w:tc>
        <w:tc>
          <w:tcPr>
            <w:tcW w:w="1652" w:type="dxa"/>
            <w:tcMar>
              <w:top w:w="100" w:type="nil"/>
              <w:right w:w="100" w:type="nil"/>
            </w:tcMar>
            <w:vAlign w:val="center"/>
          </w:tcPr>
          <w:p w14:paraId="0CE06FEB" w14:textId="77777777" w:rsidR="00E76581" w:rsidRPr="002D4D50" w:rsidRDefault="00E76581" w:rsidP="00DA6098">
            <w:pPr>
              <w:autoSpaceDE w:val="0"/>
              <w:autoSpaceDN w:val="0"/>
              <w:adjustRightInd w:val="0"/>
              <w:jc w:val="center"/>
            </w:pPr>
            <w:r w:rsidRPr="002D4D50">
              <w:t xml:space="preserve"> </w:t>
            </w:r>
          </w:p>
        </w:tc>
        <w:tc>
          <w:tcPr>
            <w:tcW w:w="1652" w:type="dxa"/>
            <w:tcMar>
              <w:top w:w="100" w:type="nil"/>
              <w:right w:w="100" w:type="nil"/>
            </w:tcMar>
            <w:vAlign w:val="center"/>
          </w:tcPr>
          <w:p w14:paraId="1932518E" w14:textId="77777777" w:rsidR="00E76581" w:rsidRPr="002D4D50" w:rsidRDefault="00E76581" w:rsidP="00DA6098">
            <w:pPr>
              <w:autoSpaceDE w:val="0"/>
              <w:autoSpaceDN w:val="0"/>
              <w:adjustRightInd w:val="0"/>
              <w:jc w:val="center"/>
            </w:pPr>
            <w:r w:rsidRPr="002D4D50">
              <w:t>-0.128</w:t>
            </w:r>
            <w:r w:rsidRPr="002D4D50">
              <w:rPr>
                <w:vertAlign w:val="superscript"/>
              </w:rPr>
              <w:t>***</w:t>
            </w:r>
            <w:r w:rsidRPr="002D4D50">
              <w:t xml:space="preserve"> (0.006)</w:t>
            </w:r>
          </w:p>
        </w:tc>
        <w:tc>
          <w:tcPr>
            <w:tcW w:w="1652" w:type="dxa"/>
            <w:tcMar>
              <w:top w:w="100" w:type="nil"/>
              <w:right w:w="100" w:type="nil"/>
            </w:tcMar>
            <w:vAlign w:val="center"/>
          </w:tcPr>
          <w:p w14:paraId="3A6F7D7E" w14:textId="77777777" w:rsidR="00E76581" w:rsidRPr="002D4D50" w:rsidRDefault="00E76581" w:rsidP="00DA6098">
            <w:pPr>
              <w:autoSpaceDE w:val="0"/>
              <w:autoSpaceDN w:val="0"/>
              <w:adjustRightInd w:val="0"/>
              <w:jc w:val="center"/>
            </w:pPr>
            <w:r w:rsidRPr="002D4D50">
              <w:t xml:space="preserve"> </w:t>
            </w:r>
          </w:p>
        </w:tc>
        <w:tc>
          <w:tcPr>
            <w:tcW w:w="1652" w:type="dxa"/>
            <w:tcMar>
              <w:top w:w="100" w:type="nil"/>
              <w:right w:w="100" w:type="nil"/>
            </w:tcMar>
            <w:vAlign w:val="center"/>
          </w:tcPr>
          <w:p w14:paraId="622E1A7F" w14:textId="77777777" w:rsidR="00E76581" w:rsidRPr="002D4D50" w:rsidRDefault="00E76581" w:rsidP="00DA6098">
            <w:pPr>
              <w:autoSpaceDE w:val="0"/>
              <w:autoSpaceDN w:val="0"/>
              <w:adjustRightInd w:val="0"/>
              <w:jc w:val="center"/>
            </w:pPr>
            <w:r w:rsidRPr="002D4D50">
              <w:t xml:space="preserve"> </w:t>
            </w:r>
          </w:p>
        </w:tc>
        <w:tc>
          <w:tcPr>
            <w:tcW w:w="1652" w:type="dxa"/>
            <w:tcMar>
              <w:top w:w="100" w:type="nil"/>
              <w:right w:w="100" w:type="nil"/>
            </w:tcMar>
            <w:vAlign w:val="center"/>
          </w:tcPr>
          <w:p w14:paraId="1DBB5E2B" w14:textId="77777777" w:rsidR="00E76581" w:rsidRPr="002D4D50" w:rsidRDefault="00E76581" w:rsidP="00DA6098">
            <w:pPr>
              <w:autoSpaceDE w:val="0"/>
              <w:autoSpaceDN w:val="0"/>
              <w:adjustRightInd w:val="0"/>
              <w:jc w:val="center"/>
            </w:pPr>
            <w:r w:rsidRPr="002D4D50">
              <w:t>-0.0820</w:t>
            </w:r>
            <w:r w:rsidRPr="002D4D50">
              <w:rPr>
                <w:vertAlign w:val="superscript"/>
              </w:rPr>
              <w:t>***</w:t>
            </w:r>
            <w:r w:rsidRPr="002D4D50">
              <w:t xml:space="preserve"> (0.007)</w:t>
            </w:r>
          </w:p>
        </w:tc>
        <w:tc>
          <w:tcPr>
            <w:tcW w:w="1652" w:type="dxa"/>
            <w:tcMar>
              <w:top w:w="100" w:type="nil"/>
              <w:right w:w="100" w:type="nil"/>
            </w:tcMar>
            <w:vAlign w:val="center"/>
          </w:tcPr>
          <w:p w14:paraId="38185DE8" w14:textId="77777777" w:rsidR="00E76581" w:rsidRPr="002D4D50" w:rsidRDefault="00E76581" w:rsidP="00DA6098">
            <w:pPr>
              <w:autoSpaceDE w:val="0"/>
              <w:autoSpaceDN w:val="0"/>
              <w:adjustRightInd w:val="0"/>
              <w:jc w:val="center"/>
            </w:pPr>
            <w:r w:rsidRPr="002D4D50">
              <w:t>-0.0735</w:t>
            </w:r>
            <w:r w:rsidRPr="002D4D50">
              <w:rPr>
                <w:vertAlign w:val="superscript"/>
              </w:rPr>
              <w:t>***</w:t>
            </w:r>
            <w:r w:rsidRPr="002D4D50">
              <w:t xml:space="preserve"> (0.007)</w:t>
            </w:r>
          </w:p>
        </w:tc>
        <w:tc>
          <w:tcPr>
            <w:tcW w:w="1652" w:type="dxa"/>
            <w:tcMar>
              <w:top w:w="100" w:type="nil"/>
              <w:right w:w="100" w:type="nil"/>
            </w:tcMar>
            <w:vAlign w:val="center"/>
          </w:tcPr>
          <w:p w14:paraId="19D74F4C" w14:textId="77777777" w:rsidR="00E76581" w:rsidRPr="002D4D50" w:rsidRDefault="00E76581" w:rsidP="00DA6098">
            <w:pPr>
              <w:autoSpaceDE w:val="0"/>
              <w:autoSpaceDN w:val="0"/>
              <w:adjustRightInd w:val="0"/>
              <w:jc w:val="center"/>
            </w:pPr>
            <w:r w:rsidRPr="002D4D50">
              <w:t>-0.0806</w:t>
            </w:r>
            <w:r w:rsidRPr="002D4D50">
              <w:rPr>
                <w:vertAlign w:val="superscript"/>
              </w:rPr>
              <w:t>***</w:t>
            </w:r>
            <w:r w:rsidRPr="002D4D50">
              <w:t xml:space="preserve"> (0.007)</w:t>
            </w:r>
          </w:p>
        </w:tc>
      </w:tr>
      <w:tr w:rsidR="00E76581" w:rsidRPr="002D4D50" w14:paraId="722B24C9" w14:textId="77777777" w:rsidTr="00DA6098">
        <w:trPr>
          <w:trHeight w:val="887"/>
        </w:trPr>
        <w:tc>
          <w:tcPr>
            <w:tcW w:w="1818" w:type="dxa"/>
            <w:tcMar>
              <w:top w:w="100" w:type="nil"/>
              <w:right w:w="100" w:type="nil"/>
            </w:tcMar>
            <w:vAlign w:val="center"/>
          </w:tcPr>
          <w:p w14:paraId="36BFDDFC" w14:textId="77777777" w:rsidR="00E76581" w:rsidRPr="002D4D50" w:rsidRDefault="00E76581" w:rsidP="00DA6098">
            <w:pPr>
              <w:autoSpaceDE w:val="0"/>
              <w:autoSpaceDN w:val="0"/>
              <w:adjustRightInd w:val="0"/>
            </w:pPr>
            <w:r w:rsidRPr="002D4D50">
              <w:rPr>
                <w:lang w:val="en-US"/>
              </w:rPr>
              <w:t>State of Health</w:t>
            </w:r>
          </w:p>
        </w:tc>
        <w:tc>
          <w:tcPr>
            <w:tcW w:w="1652" w:type="dxa"/>
            <w:tcMar>
              <w:top w:w="100" w:type="nil"/>
              <w:right w:w="100" w:type="nil"/>
            </w:tcMar>
            <w:vAlign w:val="center"/>
          </w:tcPr>
          <w:p w14:paraId="79B3D6CC" w14:textId="77777777" w:rsidR="00E76581" w:rsidRPr="002D4D50" w:rsidRDefault="00E76581" w:rsidP="00DA6098">
            <w:pPr>
              <w:autoSpaceDE w:val="0"/>
              <w:autoSpaceDN w:val="0"/>
              <w:adjustRightInd w:val="0"/>
              <w:jc w:val="center"/>
            </w:pPr>
            <w:r w:rsidRPr="002D4D50">
              <w:t xml:space="preserve"> </w:t>
            </w:r>
          </w:p>
        </w:tc>
        <w:tc>
          <w:tcPr>
            <w:tcW w:w="1652" w:type="dxa"/>
            <w:tcMar>
              <w:top w:w="100" w:type="nil"/>
              <w:right w:w="100" w:type="nil"/>
            </w:tcMar>
            <w:vAlign w:val="center"/>
          </w:tcPr>
          <w:p w14:paraId="0344508A" w14:textId="77777777" w:rsidR="00E76581" w:rsidRPr="002D4D50" w:rsidRDefault="00E76581" w:rsidP="00DA6098">
            <w:pPr>
              <w:autoSpaceDE w:val="0"/>
              <w:autoSpaceDN w:val="0"/>
              <w:adjustRightInd w:val="0"/>
              <w:jc w:val="center"/>
            </w:pPr>
            <w:r w:rsidRPr="002D4D50">
              <w:t xml:space="preserve"> </w:t>
            </w:r>
          </w:p>
        </w:tc>
        <w:tc>
          <w:tcPr>
            <w:tcW w:w="1652" w:type="dxa"/>
            <w:tcMar>
              <w:top w:w="100" w:type="nil"/>
              <w:right w:w="100" w:type="nil"/>
            </w:tcMar>
            <w:vAlign w:val="center"/>
          </w:tcPr>
          <w:p w14:paraId="6ED27E7E" w14:textId="77777777" w:rsidR="00E76581" w:rsidRPr="002D4D50" w:rsidRDefault="00E76581" w:rsidP="00DA6098">
            <w:pPr>
              <w:autoSpaceDE w:val="0"/>
              <w:autoSpaceDN w:val="0"/>
              <w:adjustRightInd w:val="0"/>
              <w:jc w:val="center"/>
            </w:pPr>
            <w:r w:rsidRPr="002D4D50">
              <w:t>-0.0664</w:t>
            </w:r>
            <w:r w:rsidRPr="002D4D50">
              <w:rPr>
                <w:vertAlign w:val="superscript"/>
              </w:rPr>
              <w:t>***</w:t>
            </w:r>
            <w:r w:rsidRPr="002D4D50">
              <w:t xml:space="preserve"> (0.004)</w:t>
            </w:r>
          </w:p>
        </w:tc>
        <w:tc>
          <w:tcPr>
            <w:tcW w:w="1652" w:type="dxa"/>
            <w:tcMar>
              <w:top w:w="100" w:type="nil"/>
              <w:right w:w="100" w:type="nil"/>
            </w:tcMar>
            <w:vAlign w:val="center"/>
          </w:tcPr>
          <w:p w14:paraId="1C4BA91B" w14:textId="77777777" w:rsidR="00E76581" w:rsidRPr="002D4D50" w:rsidRDefault="00E76581" w:rsidP="00DA6098">
            <w:pPr>
              <w:autoSpaceDE w:val="0"/>
              <w:autoSpaceDN w:val="0"/>
              <w:adjustRightInd w:val="0"/>
              <w:jc w:val="center"/>
            </w:pPr>
            <w:r w:rsidRPr="002D4D50">
              <w:t xml:space="preserve"> </w:t>
            </w:r>
          </w:p>
        </w:tc>
        <w:tc>
          <w:tcPr>
            <w:tcW w:w="1652" w:type="dxa"/>
            <w:tcMar>
              <w:top w:w="100" w:type="nil"/>
              <w:right w:w="100" w:type="nil"/>
            </w:tcMar>
            <w:vAlign w:val="center"/>
          </w:tcPr>
          <w:p w14:paraId="1DA328A2" w14:textId="77777777" w:rsidR="00E76581" w:rsidRPr="002D4D50" w:rsidRDefault="00E76581" w:rsidP="00DA6098">
            <w:pPr>
              <w:autoSpaceDE w:val="0"/>
              <w:autoSpaceDN w:val="0"/>
              <w:adjustRightInd w:val="0"/>
              <w:jc w:val="center"/>
            </w:pPr>
            <w:r w:rsidRPr="002D4D50">
              <w:t xml:space="preserve"> </w:t>
            </w:r>
          </w:p>
        </w:tc>
        <w:tc>
          <w:tcPr>
            <w:tcW w:w="1652" w:type="dxa"/>
            <w:tcMar>
              <w:top w:w="100" w:type="nil"/>
              <w:right w:w="100" w:type="nil"/>
            </w:tcMar>
            <w:vAlign w:val="center"/>
          </w:tcPr>
          <w:p w14:paraId="175A8EB1" w14:textId="77777777" w:rsidR="00E76581" w:rsidRPr="002D4D50" w:rsidRDefault="00E76581" w:rsidP="00DA6098">
            <w:pPr>
              <w:autoSpaceDE w:val="0"/>
              <w:autoSpaceDN w:val="0"/>
              <w:adjustRightInd w:val="0"/>
              <w:jc w:val="center"/>
            </w:pPr>
            <w:r w:rsidRPr="002D4D50">
              <w:t>-0.0257</w:t>
            </w:r>
            <w:r w:rsidRPr="002D4D50">
              <w:rPr>
                <w:vertAlign w:val="superscript"/>
              </w:rPr>
              <w:t>***</w:t>
            </w:r>
            <w:r w:rsidRPr="002D4D50">
              <w:t xml:space="preserve"> (0.005)</w:t>
            </w:r>
          </w:p>
        </w:tc>
        <w:tc>
          <w:tcPr>
            <w:tcW w:w="1652" w:type="dxa"/>
            <w:tcMar>
              <w:top w:w="100" w:type="nil"/>
              <w:right w:w="100" w:type="nil"/>
            </w:tcMar>
            <w:vAlign w:val="center"/>
          </w:tcPr>
          <w:p w14:paraId="0820ECDA" w14:textId="77777777" w:rsidR="00E76581" w:rsidRPr="002D4D50" w:rsidRDefault="00E76581" w:rsidP="00DA6098">
            <w:pPr>
              <w:autoSpaceDE w:val="0"/>
              <w:autoSpaceDN w:val="0"/>
              <w:adjustRightInd w:val="0"/>
              <w:jc w:val="center"/>
            </w:pPr>
            <w:r w:rsidRPr="002D4D50">
              <w:t>-0.0326</w:t>
            </w:r>
            <w:r w:rsidRPr="002D4D50">
              <w:rPr>
                <w:vertAlign w:val="superscript"/>
              </w:rPr>
              <w:t>***</w:t>
            </w:r>
            <w:r w:rsidRPr="002D4D50">
              <w:t xml:space="preserve"> (0.005)</w:t>
            </w:r>
          </w:p>
        </w:tc>
      </w:tr>
      <w:tr w:rsidR="00E76581" w:rsidRPr="002D4D50" w14:paraId="2671BBEC" w14:textId="77777777" w:rsidTr="00DA6098">
        <w:trPr>
          <w:trHeight w:val="887"/>
        </w:trPr>
        <w:tc>
          <w:tcPr>
            <w:tcW w:w="1818" w:type="dxa"/>
            <w:tcMar>
              <w:top w:w="100" w:type="nil"/>
              <w:right w:w="100" w:type="nil"/>
            </w:tcMar>
            <w:vAlign w:val="center"/>
          </w:tcPr>
          <w:p w14:paraId="7C2F18B2" w14:textId="77777777" w:rsidR="00E76581" w:rsidRPr="002D4D50" w:rsidRDefault="00E76581" w:rsidP="00DA6098">
            <w:pPr>
              <w:autoSpaceDE w:val="0"/>
              <w:autoSpaceDN w:val="0"/>
              <w:adjustRightInd w:val="0"/>
            </w:pPr>
            <w:r w:rsidRPr="002D4D50">
              <w:rPr>
                <w:lang w:val="en-US"/>
              </w:rPr>
              <w:t>State of Education</w:t>
            </w:r>
          </w:p>
        </w:tc>
        <w:tc>
          <w:tcPr>
            <w:tcW w:w="1652" w:type="dxa"/>
            <w:tcMar>
              <w:top w:w="100" w:type="nil"/>
              <w:right w:w="100" w:type="nil"/>
            </w:tcMar>
            <w:vAlign w:val="center"/>
          </w:tcPr>
          <w:p w14:paraId="35D3513C" w14:textId="77777777" w:rsidR="00E76581" w:rsidRPr="002D4D50" w:rsidRDefault="00E76581" w:rsidP="00DA6098">
            <w:pPr>
              <w:autoSpaceDE w:val="0"/>
              <w:autoSpaceDN w:val="0"/>
              <w:adjustRightInd w:val="0"/>
              <w:jc w:val="center"/>
            </w:pPr>
            <w:r w:rsidRPr="002D4D50">
              <w:t xml:space="preserve"> </w:t>
            </w:r>
          </w:p>
        </w:tc>
        <w:tc>
          <w:tcPr>
            <w:tcW w:w="1652" w:type="dxa"/>
            <w:tcMar>
              <w:top w:w="100" w:type="nil"/>
              <w:right w:w="100" w:type="nil"/>
            </w:tcMar>
            <w:vAlign w:val="center"/>
          </w:tcPr>
          <w:p w14:paraId="06E04C48" w14:textId="77777777" w:rsidR="00E76581" w:rsidRPr="002D4D50" w:rsidRDefault="00E76581" w:rsidP="00DA6098">
            <w:pPr>
              <w:autoSpaceDE w:val="0"/>
              <w:autoSpaceDN w:val="0"/>
              <w:adjustRightInd w:val="0"/>
              <w:jc w:val="center"/>
            </w:pPr>
            <w:r w:rsidRPr="002D4D50">
              <w:t xml:space="preserve"> </w:t>
            </w:r>
          </w:p>
        </w:tc>
        <w:tc>
          <w:tcPr>
            <w:tcW w:w="1652" w:type="dxa"/>
            <w:tcMar>
              <w:top w:w="100" w:type="nil"/>
              <w:right w:w="100" w:type="nil"/>
            </w:tcMar>
            <w:vAlign w:val="center"/>
          </w:tcPr>
          <w:p w14:paraId="65DB25B2" w14:textId="77777777" w:rsidR="00E76581" w:rsidRPr="002D4D50" w:rsidRDefault="00E76581" w:rsidP="00DA6098">
            <w:pPr>
              <w:autoSpaceDE w:val="0"/>
              <w:autoSpaceDN w:val="0"/>
              <w:adjustRightInd w:val="0"/>
              <w:jc w:val="center"/>
            </w:pPr>
            <w:r w:rsidRPr="002D4D50">
              <w:t xml:space="preserve"> </w:t>
            </w:r>
          </w:p>
        </w:tc>
        <w:tc>
          <w:tcPr>
            <w:tcW w:w="1652" w:type="dxa"/>
            <w:tcMar>
              <w:top w:w="100" w:type="nil"/>
              <w:right w:w="100" w:type="nil"/>
            </w:tcMar>
            <w:vAlign w:val="center"/>
          </w:tcPr>
          <w:p w14:paraId="2341F8B4" w14:textId="77777777" w:rsidR="00E76581" w:rsidRPr="002D4D50" w:rsidRDefault="00E76581" w:rsidP="00DA6098">
            <w:pPr>
              <w:autoSpaceDE w:val="0"/>
              <w:autoSpaceDN w:val="0"/>
              <w:adjustRightInd w:val="0"/>
              <w:jc w:val="center"/>
            </w:pPr>
            <w:r w:rsidRPr="002D4D50">
              <w:t>-0.0368</w:t>
            </w:r>
            <w:r w:rsidRPr="002D4D50">
              <w:rPr>
                <w:vertAlign w:val="superscript"/>
              </w:rPr>
              <w:t>***</w:t>
            </w:r>
            <w:r w:rsidRPr="002D4D50">
              <w:t xml:space="preserve"> (0.005)</w:t>
            </w:r>
          </w:p>
        </w:tc>
        <w:tc>
          <w:tcPr>
            <w:tcW w:w="1652" w:type="dxa"/>
            <w:tcMar>
              <w:top w:w="100" w:type="nil"/>
              <w:right w:w="100" w:type="nil"/>
            </w:tcMar>
            <w:vAlign w:val="center"/>
          </w:tcPr>
          <w:p w14:paraId="34EEDF78" w14:textId="77777777" w:rsidR="00E76581" w:rsidRPr="002D4D50" w:rsidRDefault="00E76581" w:rsidP="00DA6098">
            <w:pPr>
              <w:autoSpaceDE w:val="0"/>
              <w:autoSpaceDN w:val="0"/>
              <w:adjustRightInd w:val="0"/>
              <w:jc w:val="center"/>
            </w:pPr>
            <w:r w:rsidRPr="002D4D50">
              <w:t xml:space="preserve"> </w:t>
            </w:r>
          </w:p>
        </w:tc>
        <w:tc>
          <w:tcPr>
            <w:tcW w:w="1652" w:type="dxa"/>
            <w:tcMar>
              <w:top w:w="100" w:type="nil"/>
              <w:right w:w="100" w:type="nil"/>
            </w:tcMar>
            <w:vAlign w:val="center"/>
          </w:tcPr>
          <w:p w14:paraId="4AFFBC69" w14:textId="77777777" w:rsidR="00E76581" w:rsidRPr="002D4D50" w:rsidRDefault="00E76581" w:rsidP="00DA6098">
            <w:pPr>
              <w:autoSpaceDE w:val="0"/>
              <w:autoSpaceDN w:val="0"/>
              <w:adjustRightInd w:val="0"/>
              <w:jc w:val="center"/>
            </w:pPr>
            <w:r w:rsidRPr="002D4D50">
              <w:t xml:space="preserve"> </w:t>
            </w:r>
          </w:p>
        </w:tc>
        <w:tc>
          <w:tcPr>
            <w:tcW w:w="1652" w:type="dxa"/>
            <w:tcMar>
              <w:top w:w="100" w:type="nil"/>
              <w:right w:w="100" w:type="nil"/>
            </w:tcMar>
            <w:vAlign w:val="center"/>
          </w:tcPr>
          <w:p w14:paraId="4FEBDC5D" w14:textId="77777777" w:rsidR="00E76581" w:rsidRPr="002D4D50" w:rsidRDefault="00E76581" w:rsidP="00DA6098">
            <w:pPr>
              <w:autoSpaceDE w:val="0"/>
              <w:autoSpaceDN w:val="0"/>
              <w:adjustRightInd w:val="0"/>
              <w:jc w:val="center"/>
            </w:pPr>
            <w:r w:rsidRPr="002D4D50">
              <w:t>0.0238</w:t>
            </w:r>
            <w:r w:rsidRPr="002D4D50">
              <w:rPr>
                <w:vertAlign w:val="superscript"/>
              </w:rPr>
              <w:t>***</w:t>
            </w:r>
            <w:r w:rsidRPr="002D4D50">
              <w:t xml:space="preserve"> (0.005)</w:t>
            </w:r>
          </w:p>
        </w:tc>
      </w:tr>
      <w:tr w:rsidR="00E76581" w:rsidRPr="002D4D50" w14:paraId="5FDB2C17" w14:textId="77777777" w:rsidTr="00DA6098">
        <w:trPr>
          <w:trHeight w:val="572"/>
        </w:trPr>
        <w:tc>
          <w:tcPr>
            <w:tcW w:w="1818" w:type="dxa"/>
            <w:tcMar>
              <w:top w:w="100" w:type="nil"/>
              <w:right w:w="100" w:type="nil"/>
            </w:tcMar>
            <w:vAlign w:val="center"/>
          </w:tcPr>
          <w:p w14:paraId="744301EE" w14:textId="77777777" w:rsidR="00E76581" w:rsidRPr="002D4D50" w:rsidRDefault="00E76581" w:rsidP="00DA6098">
            <w:pPr>
              <w:autoSpaceDE w:val="0"/>
              <w:autoSpaceDN w:val="0"/>
              <w:adjustRightInd w:val="0"/>
            </w:pPr>
            <w:r w:rsidRPr="002D4D50">
              <w:rPr>
                <w:lang w:val="en-US"/>
              </w:rPr>
              <w:t>Income: Coping</w:t>
            </w:r>
          </w:p>
        </w:tc>
        <w:tc>
          <w:tcPr>
            <w:tcW w:w="1652" w:type="dxa"/>
            <w:tcMar>
              <w:top w:w="100" w:type="nil"/>
              <w:right w:w="100" w:type="nil"/>
            </w:tcMar>
            <w:vAlign w:val="center"/>
          </w:tcPr>
          <w:p w14:paraId="49AE0650" w14:textId="77777777" w:rsidR="00E76581" w:rsidRPr="002D4D50" w:rsidRDefault="00E76581" w:rsidP="00DA6098">
            <w:pPr>
              <w:autoSpaceDE w:val="0"/>
              <w:autoSpaceDN w:val="0"/>
              <w:adjustRightInd w:val="0"/>
              <w:jc w:val="center"/>
            </w:pPr>
            <w:r w:rsidRPr="002D4D50">
              <w:t>0.151</w:t>
            </w:r>
            <w:r w:rsidRPr="002D4D50">
              <w:rPr>
                <w:vertAlign w:val="superscript"/>
              </w:rPr>
              <w:t>***</w:t>
            </w:r>
            <w:r w:rsidRPr="002D4D50">
              <w:t xml:space="preserve"> (0.024)</w:t>
            </w:r>
          </w:p>
        </w:tc>
        <w:tc>
          <w:tcPr>
            <w:tcW w:w="1652" w:type="dxa"/>
            <w:tcMar>
              <w:top w:w="100" w:type="nil"/>
              <w:right w:w="100" w:type="nil"/>
            </w:tcMar>
            <w:vAlign w:val="center"/>
          </w:tcPr>
          <w:p w14:paraId="343518D5" w14:textId="77777777" w:rsidR="00E76581" w:rsidRPr="002D4D50" w:rsidRDefault="00E76581" w:rsidP="00DA6098">
            <w:pPr>
              <w:autoSpaceDE w:val="0"/>
              <w:autoSpaceDN w:val="0"/>
              <w:adjustRightInd w:val="0"/>
              <w:jc w:val="center"/>
            </w:pPr>
            <w:r w:rsidRPr="002D4D50">
              <w:t>0.145</w:t>
            </w:r>
            <w:r w:rsidRPr="002D4D50">
              <w:rPr>
                <w:vertAlign w:val="superscript"/>
              </w:rPr>
              <w:t>***</w:t>
            </w:r>
            <w:r w:rsidRPr="002D4D50">
              <w:t xml:space="preserve"> (0.024)</w:t>
            </w:r>
          </w:p>
        </w:tc>
        <w:tc>
          <w:tcPr>
            <w:tcW w:w="1652" w:type="dxa"/>
            <w:tcMar>
              <w:top w:w="100" w:type="nil"/>
              <w:right w:w="100" w:type="nil"/>
            </w:tcMar>
            <w:vAlign w:val="center"/>
          </w:tcPr>
          <w:p w14:paraId="74068130" w14:textId="77777777" w:rsidR="00E76581" w:rsidRPr="002D4D50" w:rsidRDefault="00E76581" w:rsidP="00DA6098">
            <w:pPr>
              <w:autoSpaceDE w:val="0"/>
              <w:autoSpaceDN w:val="0"/>
              <w:adjustRightInd w:val="0"/>
              <w:jc w:val="center"/>
            </w:pPr>
            <w:r w:rsidRPr="002D4D50">
              <w:t>0.171</w:t>
            </w:r>
            <w:r w:rsidRPr="002D4D50">
              <w:rPr>
                <w:vertAlign w:val="superscript"/>
              </w:rPr>
              <w:t>***</w:t>
            </w:r>
            <w:r w:rsidRPr="002D4D50">
              <w:t xml:space="preserve"> (0.024)</w:t>
            </w:r>
          </w:p>
        </w:tc>
        <w:tc>
          <w:tcPr>
            <w:tcW w:w="1652" w:type="dxa"/>
            <w:tcMar>
              <w:top w:w="100" w:type="nil"/>
              <w:right w:w="100" w:type="nil"/>
            </w:tcMar>
            <w:vAlign w:val="center"/>
          </w:tcPr>
          <w:p w14:paraId="3896F829" w14:textId="77777777" w:rsidR="00E76581" w:rsidRPr="002D4D50" w:rsidRDefault="00E76581" w:rsidP="00DA6098">
            <w:pPr>
              <w:autoSpaceDE w:val="0"/>
              <w:autoSpaceDN w:val="0"/>
              <w:adjustRightInd w:val="0"/>
              <w:jc w:val="center"/>
            </w:pPr>
            <w:r w:rsidRPr="002D4D50">
              <w:t>0.192</w:t>
            </w:r>
            <w:r w:rsidRPr="002D4D50">
              <w:rPr>
                <w:vertAlign w:val="superscript"/>
              </w:rPr>
              <w:t>***</w:t>
            </w:r>
            <w:r w:rsidRPr="002D4D50">
              <w:t xml:space="preserve"> (0.024)</w:t>
            </w:r>
          </w:p>
        </w:tc>
        <w:tc>
          <w:tcPr>
            <w:tcW w:w="1652" w:type="dxa"/>
            <w:tcMar>
              <w:top w:w="100" w:type="nil"/>
              <w:right w:w="100" w:type="nil"/>
            </w:tcMar>
            <w:vAlign w:val="center"/>
          </w:tcPr>
          <w:p w14:paraId="12BB2220" w14:textId="77777777" w:rsidR="00E76581" w:rsidRPr="002D4D50" w:rsidRDefault="00E76581" w:rsidP="00DA6098">
            <w:pPr>
              <w:autoSpaceDE w:val="0"/>
              <w:autoSpaceDN w:val="0"/>
              <w:adjustRightInd w:val="0"/>
              <w:jc w:val="center"/>
            </w:pPr>
            <w:r w:rsidRPr="002D4D50">
              <w:t>0.136</w:t>
            </w:r>
            <w:r w:rsidRPr="002D4D50">
              <w:rPr>
                <w:vertAlign w:val="superscript"/>
              </w:rPr>
              <w:t>***</w:t>
            </w:r>
            <w:r w:rsidRPr="002D4D50">
              <w:t xml:space="preserve"> (0.024)</w:t>
            </w:r>
          </w:p>
        </w:tc>
        <w:tc>
          <w:tcPr>
            <w:tcW w:w="1652" w:type="dxa"/>
            <w:tcMar>
              <w:top w:w="100" w:type="nil"/>
              <w:right w:w="100" w:type="nil"/>
            </w:tcMar>
            <w:vAlign w:val="center"/>
          </w:tcPr>
          <w:p w14:paraId="3018E850" w14:textId="77777777" w:rsidR="00E76581" w:rsidRPr="002D4D50" w:rsidRDefault="00E76581" w:rsidP="00DA6098">
            <w:pPr>
              <w:autoSpaceDE w:val="0"/>
              <w:autoSpaceDN w:val="0"/>
              <w:adjustRightInd w:val="0"/>
              <w:jc w:val="center"/>
            </w:pPr>
            <w:r w:rsidRPr="002D4D50">
              <w:t>0.133</w:t>
            </w:r>
            <w:r w:rsidRPr="002D4D50">
              <w:rPr>
                <w:vertAlign w:val="superscript"/>
              </w:rPr>
              <w:t>***</w:t>
            </w:r>
            <w:r w:rsidRPr="002D4D50">
              <w:t xml:space="preserve"> (0.024)</w:t>
            </w:r>
          </w:p>
        </w:tc>
        <w:tc>
          <w:tcPr>
            <w:tcW w:w="1652" w:type="dxa"/>
            <w:tcMar>
              <w:top w:w="100" w:type="nil"/>
              <w:right w:w="100" w:type="nil"/>
            </w:tcMar>
            <w:vAlign w:val="center"/>
          </w:tcPr>
          <w:p w14:paraId="469511DD" w14:textId="77777777" w:rsidR="00E76581" w:rsidRPr="002D4D50" w:rsidRDefault="00E76581" w:rsidP="00DA6098">
            <w:pPr>
              <w:autoSpaceDE w:val="0"/>
              <w:autoSpaceDN w:val="0"/>
              <w:adjustRightInd w:val="0"/>
              <w:jc w:val="center"/>
            </w:pPr>
            <w:r w:rsidRPr="002D4D50">
              <w:t>0.137</w:t>
            </w:r>
            <w:r w:rsidRPr="002D4D50">
              <w:rPr>
                <w:vertAlign w:val="superscript"/>
              </w:rPr>
              <w:t>***</w:t>
            </w:r>
            <w:r w:rsidRPr="002D4D50">
              <w:t xml:space="preserve"> (0.024)</w:t>
            </w:r>
          </w:p>
        </w:tc>
      </w:tr>
      <w:tr w:rsidR="00E76581" w:rsidRPr="002D4D50" w14:paraId="278D3DD3" w14:textId="77777777" w:rsidTr="00DA6098">
        <w:trPr>
          <w:trHeight w:val="587"/>
        </w:trPr>
        <w:tc>
          <w:tcPr>
            <w:tcW w:w="1818" w:type="dxa"/>
            <w:tcMar>
              <w:top w:w="100" w:type="nil"/>
              <w:right w:w="100" w:type="nil"/>
            </w:tcMar>
            <w:vAlign w:val="center"/>
          </w:tcPr>
          <w:p w14:paraId="76376244" w14:textId="77777777" w:rsidR="00E76581" w:rsidRPr="002D4D50" w:rsidRDefault="00E76581" w:rsidP="00DA6098">
            <w:pPr>
              <w:autoSpaceDE w:val="0"/>
              <w:autoSpaceDN w:val="0"/>
              <w:adjustRightInd w:val="0"/>
            </w:pPr>
            <w:r w:rsidRPr="002D4D50">
              <w:rPr>
                <w:lang w:val="en-US"/>
              </w:rPr>
              <w:t xml:space="preserve">Income: Difficult </w:t>
            </w:r>
          </w:p>
        </w:tc>
        <w:tc>
          <w:tcPr>
            <w:tcW w:w="1652" w:type="dxa"/>
            <w:tcMar>
              <w:top w:w="100" w:type="nil"/>
              <w:right w:w="100" w:type="nil"/>
            </w:tcMar>
            <w:vAlign w:val="center"/>
          </w:tcPr>
          <w:p w14:paraId="45C1CAD5" w14:textId="77777777" w:rsidR="00E76581" w:rsidRPr="002D4D50" w:rsidRDefault="00E76581" w:rsidP="00DA6098">
            <w:pPr>
              <w:autoSpaceDE w:val="0"/>
              <w:autoSpaceDN w:val="0"/>
              <w:adjustRightInd w:val="0"/>
              <w:jc w:val="center"/>
            </w:pPr>
            <w:r w:rsidRPr="002D4D50">
              <w:t>0.135</w:t>
            </w:r>
            <w:r w:rsidRPr="002D4D50">
              <w:rPr>
                <w:vertAlign w:val="superscript"/>
              </w:rPr>
              <w:t>***</w:t>
            </w:r>
            <w:r w:rsidRPr="002D4D50">
              <w:t xml:space="preserve"> (0.033)</w:t>
            </w:r>
          </w:p>
        </w:tc>
        <w:tc>
          <w:tcPr>
            <w:tcW w:w="1652" w:type="dxa"/>
            <w:tcMar>
              <w:top w:w="100" w:type="nil"/>
              <w:right w:w="100" w:type="nil"/>
            </w:tcMar>
            <w:vAlign w:val="center"/>
          </w:tcPr>
          <w:p w14:paraId="368F183C" w14:textId="77777777" w:rsidR="00E76581" w:rsidRPr="002D4D50" w:rsidRDefault="00E76581" w:rsidP="00DA6098">
            <w:pPr>
              <w:autoSpaceDE w:val="0"/>
              <w:autoSpaceDN w:val="0"/>
              <w:adjustRightInd w:val="0"/>
              <w:jc w:val="center"/>
            </w:pPr>
            <w:r w:rsidRPr="002D4D50">
              <w:t>0.103</w:t>
            </w:r>
            <w:r w:rsidRPr="002D4D50">
              <w:rPr>
                <w:vertAlign w:val="superscript"/>
              </w:rPr>
              <w:t>***</w:t>
            </w:r>
            <w:r w:rsidRPr="002D4D50">
              <w:t xml:space="preserve"> (0.033)</w:t>
            </w:r>
          </w:p>
        </w:tc>
        <w:tc>
          <w:tcPr>
            <w:tcW w:w="1652" w:type="dxa"/>
            <w:tcMar>
              <w:top w:w="100" w:type="nil"/>
              <w:right w:w="100" w:type="nil"/>
            </w:tcMar>
            <w:vAlign w:val="center"/>
          </w:tcPr>
          <w:p w14:paraId="2AA17AE2" w14:textId="77777777" w:rsidR="00E76581" w:rsidRPr="002D4D50" w:rsidRDefault="00E76581" w:rsidP="00DA6098">
            <w:pPr>
              <w:autoSpaceDE w:val="0"/>
              <w:autoSpaceDN w:val="0"/>
              <w:adjustRightInd w:val="0"/>
              <w:jc w:val="center"/>
            </w:pPr>
            <w:r w:rsidRPr="002D4D50">
              <w:t>0.167</w:t>
            </w:r>
            <w:r w:rsidRPr="002D4D50">
              <w:rPr>
                <w:vertAlign w:val="superscript"/>
              </w:rPr>
              <w:t>***</w:t>
            </w:r>
            <w:r w:rsidRPr="002D4D50">
              <w:t xml:space="preserve"> (0.033)</w:t>
            </w:r>
          </w:p>
        </w:tc>
        <w:tc>
          <w:tcPr>
            <w:tcW w:w="1652" w:type="dxa"/>
            <w:tcMar>
              <w:top w:w="100" w:type="nil"/>
              <w:right w:w="100" w:type="nil"/>
            </w:tcMar>
            <w:vAlign w:val="center"/>
          </w:tcPr>
          <w:p w14:paraId="0FF3F5B7" w14:textId="77777777" w:rsidR="00E76581" w:rsidRPr="002D4D50" w:rsidRDefault="00E76581" w:rsidP="00DA6098">
            <w:pPr>
              <w:autoSpaceDE w:val="0"/>
              <w:autoSpaceDN w:val="0"/>
              <w:adjustRightInd w:val="0"/>
              <w:jc w:val="center"/>
            </w:pPr>
            <w:r w:rsidRPr="002D4D50">
              <w:t>0.208</w:t>
            </w:r>
            <w:r w:rsidRPr="002D4D50">
              <w:rPr>
                <w:vertAlign w:val="superscript"/>
              </w:rPr>
              <w:t>***</w:t>
            </w:r>
            <w:r w:rsidRPr="002D4D50">
              <w:t xml:space="preserve"> (0.033)</w:t>
            </w:r>
          </w:p>
        </w:tc>
        <w:tc>
          <w:tcPr>
            <w:tcW w:w="1652" w:type="dxa"/>
            <w:tcMar>
              <w:top w:w="100" w:type="nil"/>
              <w:right w:w="100" w:type="nil"/>
            </w:tcMar>
            <w:vAlign w:val="center"/>
          </w:tcPr>
          <w:p w14:paraId="1D261725" w14:textId="77777777" w:rsidR="00E76581" w:rsidRPr="002D4D50" w:rsidRDefault="00E76581" w:rsidP="00DA6098">
            <w:pPr>
              <w:autoSpaceDE w:val="0"/>
              <w:autoSpaceDN w:val="0"/>
              <w:adjustRightInd w:val="0"/>
              <w:jc w:val="center"/>
            </w:pPr>
            <w:r w:rsidRPr="002D4D50">
              <w:t>0.0941</w:t>
            </w:r>
            <w:r w:rsidRPr="002D4D50">
              <w:rPr>
                <w:vertAlign w:val="superscript"/>
              </w:rPr>
              <w:t>***</w:t>
            </w:r>
            <w:r w:rsidRPr="002D4D50">
              <w:t xml:space="preserve"> (0.033)</w:t>
            </w:r>
          </w:p>
        </w:tc>
        <w:tc>
          <w:tcPr>
            <w:tcW w:w="1652" w:type="dxa"/>
            <w:tcMar>
              <w:top w:w="100" w:type="nil"/>
              <w:right w:w="100" w:type="nil"/>
            </w:tcMar>
            <w:vAlign w:val="center"/>
          </w:tcPr>
          <w:p w14:paraId="5952999E" w14:textId="77777777" w:rsidR="00E76581" w:rsidRPr="002D4D50" w:rsidRDefault="00E76581" w:rsidP="00DA6098">
            <w:pPr>
              <w:autoSpaceDE w:val="0"/>
              <w:autoSpaceDN w:val="0"/>
              <w:adjustRightInd w:val="0"/>
              <w:jc w:val="center"/>
            </w:pPr>
            <w:r w:rsidRPr="002D4D50">
              <w:t>0.0869</w:t>
            </w:r>
            <w:r w:rsidRPr="002D4D50">
              <w:rPr>
                <w:vertAlign w:val="superscript"/>
              </w:rPr>
              <w:t>***</w:t>
            </w:r>
            <w:r w:rsidRPr="002D4D50">
              <w:t xml:space="preserve"> (0.033)</w:t>
            </w:r>
          </w:p>
        </w:tc>
        <w:tc>
          <w:tcPr>
            <w:tcW w:w="1652" w:type="dxa"/>
            <w:tcMar>
              <w:top w:w="100" w:type="nil"/>
              <w:right w:w="100" w:type="nil"/>
            </w:tcMar>
            <w:vAlign w:val="center"/>
          </w:tcPr>
          <w:p w14:paraId="50DC1E8F" w14:textId="77777777" w:rsidR="00E76581" w:rsidRPr="002D4D50" w:rsidRDefault="00E76581" w:rsidP="00DA6098">
            <w:pPr>
              <w:autoSpaceDE w:val="0"/>
              <w:autoSpaceDN w:val="0"/>
              <w:adjustRightInd w:val="0"/>
              <w:jc w:val="center"/>
            </w:pPr>
            <w:r w:rsidRPr="002D4D50">
              <w:t>0.0971</w:t>
            </w:r>
            <w:r w:rsidRPr="002D4D50">
              <w:rPr>
                <w:vertAlign w:val="superscript"/>
              </w:rPr>
              <w:t>***</w:t>
            </w:r>
            <w:r w:rsidRPr="002D4D50">
              <w:t xml:space="preserve"> (0.034)</w:t>
            </w:r>
          </w:p>
        </w:tc>
      </w:tr>
      <w:tr w:rsidR="00E76581" w:rsidRPr="002D4D50" w14:paraId="0F3D4E34" w14:textId="77777777" w:rsidTr="00DA6098">
        <w:trPr>
          <w:trHeight w:val="587"/>
        </w:trPr>
        <w:tc>
          <w:tcPr>
            <w:tcW w:w="1818" w:type="dxa"/>
            <w:tcMar>
              <w:top w:w="100" w:type="nil"/>
              <w:right w:w="100" w:type="nil"/>
            </w:tcMar>
            <w:vAlign w:val="center"/>
          </w:tcPr>
          <w:p w14:paraId="70899460" w14:textId="77777777" w:rsidR="00E76581" w:rsidRPr="002D4D50" w:rsidRDefault="00E76581" w:rsidP="00DA6098">
            <w:pPr>
              <w:autoSpaceDE w:val="0"/>
              <w:autoSpaceDN w:val="0"/>
              <w:adjustRightInd w:val="0"/>
            </w:pPr>
            <w:r w:rsidRPr="002D4D50">
              <w:rPr>
                <w:lang w:val="en-US"/>
              </w:rPr>
              <w:t xml:space="preserve">Income: Very difficult </w:t>
            </w:r>
          </w:p>
        </w:tc>
        <w:tc>
          <w:tcPr>
            <w:tcW w:w="1652" w:type="dxa"/>
            <w:tcMar>
              <w:top w:w="100" w:type="nil"/>
              <w:right w:w="100" w:type="nil"/>
            </w:tcMar>
            <w:vAlign w:val="center"/>
          </w:tcPr>
          <w:p w14:paraId="67CADF75" w14:textId="77777777" w:rsidR="004C63EF" w:rsidRPr="002D4D50" w:rsidRDefault="00E76581" w:rsidP="00DA6098">
            <w:pPr>
              <w:autoSpaceDE w:val="0"/>
              <w:autoSpaceDN w:val="0"/>
              <w:adjustRightInd w:val="0"/>
              <w:jc w:val="center"/>
            </w:pPr>
            <w:r w:rsidRPr="002D4D50">
              <w:t xml:space="preserve">0.0118 </w:t>
            </w:r>
          </w:p>
          <w:p w14:paraId="690E2713" w14:textId="36EE1C92" w:rsidR="00E76581" w:rsidRPr="002D4D50" w:rsidRDefault="00E76581" w:rsidP="00DA6098">
            <w:pPr>
              <w:autoSpaceDE w:val="0"/>
              <w:autoSpaceDN w:val="0"/>
              <w:adjustRightInd w:val="0"/>
              <w:jc w:val="center"/>
            </w:pPr>
            <w:r w:rsidRPr="002D4D50">
              <w:t>(0.056)</w:t>
            </w:r>
          </w:p>
        </w:tc>
        <w:tc>
          <w:tcPr>
            <w:tcW w:w="1652" w:type="dxa"/>
            <w:tcMar>
              <w:top w:w="100" w:type="nil"/>
              <w:right w:w="100" w:type="nil"/>
            </w:tcMar>
            <w:vAlign w:val="center"/>
          </w:tcPr>
          <w:p w14:paraId="5EFDFC03" w14:textId="77777777" w:rsidR="00E76581" w:rsidRPr="002D4D50" w:rsidRDefault="00E76581" w:rsidP="00DA6098">
            <w:pPr>
              <w:autoSpaceDE w:val="0"/>
              <w:autoSpaceDN w:val="0"/>
              <w:adjustRightInd w:val="0"/>
              <w:jc w:val="center"/>
            </w:pPr>
            <w:r w:rsidRPr="002D4D50">
              <w:t>-0.0393 (0.056)</w:t>
            </w:r>
          </w:p>
        </w:tc>
        <w:tc>
          <w:tcPr>
            <w:tcW w:w="1652" w:type="dxa"/>
            <w:tcMar>
              <w:top w:w="100" w:type="nil"/>
              <w:right w:w="100" w:type="nil"/>
            </w:tcMar>
            <w:vAlign w:val="center"/>
          </w:tcPr>
          <w:p w14:paraId="72738211" w14:textId="77777777" w:rsidR="004C63EF" w:rsidRPr="002D4D50" w:rsidRDefault="00E76581" w:rsidP="00DA6098">
            <w:pPr>
              <w:autoSpaceDE w:val="0"/>
              <w:autoSpaceDN w:val="0"/>
              <w:adjustRightInd w:val="0"/>
              <w:jc w:val="center"/>
            </w:pPr>
            <w:r w:rsidRPr="002D4D50">
              <w:t xml:space="preserve">0.0592 </w:t>
            </w:r>
          </w:p>
          <w:p w14:paraId="50B9DF72" w14:textId="223BFD5C" w:rsidR="00E76581" w:rsidRPr="002D4D50" w:rsidRDefault="00E76581" w:rsidP="00DA6098">
            <w:pPr>
              <w:autoSpaceDE w:val="0"/>
              <w:autoSpaceDN w:val="0"/>
              <w:adjustRightInd w:val="0"/>
              <w:jc w:val="center"/>
            </w:pPr>
            <w:r w:rsidRPr="002D4D50">
              <w:t>(0.056)</w:t>
            </w:r>
          </w:p>
        </w:tc>
        <w:tc>
          <w:tcPr>
            <w:tcW w:w="1652" w:type="dxa"/>
            <w:tcMar>
              <w:top w:w="100" w:type="nil"/>
              <w:right w:w="100" w:type="nil"/>
            </w:tcMar>
            <w:vAlign w:val="center"/>
          </w:tcPr>
          <w:p w14:paraId="05BE08E3" w14:textId="77777777" w:rsidR="00E76581" w:rsidRPr="002D4D50" w:rsidRDefault="00E76581" w:rsidP="00DA6098">
            <w:pPr>
              <w:autoSpaceDE w:val="0"/>
              <w:autoSpaceDN w:val="0"/>
              <w:adjustRightInd w:val="0"/>
              <w:jc w:val="center"/>
            </w:pPr>
            <w:r w:rsidRPr="002D4D50">
              <w:t>0.119</w:t>
            </w:r>
            <w:r w:rsidRPr="002D4D50">
              <w:rPr>
                <w:vertAlign w:val="superscript"/>
              </w:rPr>
              <w:t>**</w:t>
            </w:r>
            <w:r w:rsidRPr="002D4D50">
              <w:t xml:space="preserve"> (0.057)</w:t>
            </w:r>
          </w:p>
        </w:tc>
        <w:tc>
          <w:tcPr>
            <w:tcW w:w="1652" w:type="dxa"/>
            <w:tcMar>
              <w:top w:w="100" w:type="nil"/>
              <w:right w:w="100" w:type="nil"/>
            </w:tcMar>
            <w:vAlign w:val="center"/>
          </w:tcPr>
          <w:p w14:paraId="6667923A" w14:textId="77777777" w:rsidR="00E76581" w:rsidRPr="002D4D50" w:rsidRDefault="00E76581" w:rsidP="00DA6098">
            <w:pPr>
              <w:autoSpaceDE w:val="0"/>
              <w:autoSpaceDN w:val="0"/>
              <w:adjustRightInd w:val="0"/>
              <w:jc w:val="center"/>
            </w:pPr>
            <w:r w:rsidRPr="002D4D50">
              <w:t>-0.0511 (0.056)</w:t>
            </w:r>
          </w:p>
        </w:tc>
        <w:tc>
          <w:tcPr>
            <w:tcW w:w="1652" w:type="dxa"/>
            <w:tcMar>
              <w:top w:w="100" w:type="nil"/>
              <w:right w:w="100" w:type="nil"/>
            </w:tcMar>
            <w:vAlign w:val="center"/>
          </w:tcPr>
          <w:p w14:paraId="2E61A9E4" w14:textId="77777777" w:rsidR="00E76581" w:rsidRPr="002D4D50" w:rsidRDefault="00E76581" w:rsidP="00DA6098">
            <w:pPr>
              <w:autoSpaceDE w:val="0"/>
              <w:autoSpaceDN w:val="0"/>
              <w:adjustRightInd w:val="0"/>
              <w:jc w:val="center"/>
            </w:pPr>
            <w:r w:rsidRPr="002D4D50">
              <w:t>-0.0597 (0.056)</w:t>
            </w:r>
          </w:p>
        </w:tc>
        <w:tc>
          <w:tcPr>
            <w:tcW w:w="1652" w:type="dxa"/>
            <w:tcMar>
              <w:top w:w="100" w:type="nil"/>
              <w:right w:w="100" w:type="nil"/>
            </w:tcMar>
            <w:vAlign w:val="center"/>
          </w:tcPr>
          <w:p w14:paraId="73BF5C1A" w14:textId="77777777" w:rsidR="00E76581" w:rsidRPr="002D4D50" w:rsidRDefault="00E76581" w:rsidP="00DA6098">
            <w:pPr>
              <w:autoSpaceDE w:val="0"/>
              <w:autoSpaceDN w:val="0"/>
              <w:adjustRightInd w:val="0"/>
              <w:jc w:val="center"/>
            </w:pPr>
            <w:r w:rsidRPr="002D4D50">
              <w:t>-0.0409 (0.057)</w:t>
            </w:r>
          </w:p>
        </w:tc>
      </w:tr>
      <w:tr w:rsidR="00E76581" w:rsidRPr="002D4D50" w14:paraId="704B9965" w14:textId="77777777" w:rsidTr="00DA6098">
        <w:trPr>
          <w:trHeight w:val="587"/>
        </w:trPr>
        <w:tc>
          <w:tcPr>
            <w:tcW w:w="1818" w:type="dxa"/>
            <w:tcMar>
              <w:top w:w="100" w:type="nil"/>
              <w:right w:w="100" w:type="nil"/>
            </w:tcMar>
            <w:vAlign w:val="center"/>
          </w:tcPr>
          <w:p w14:paraId="3DEDE500" w14:textId="77777777" w:rsidR="00E76581" w:rsidRPr="002D4D50" w:rsidRDefault="00E76581" w:rsidP="00DA6098">
            <w:pPr>
              <w:autoSpaceDE w:val="0"/>
              <w:autoSpaceDN w:val="0"/>
              <w:adjustRightInd w:val="0"/>
            </w:pPr>
            <w:r w:rsidRPr="002D4D50">
              <w:rPr>
                <w:rFonts w:eastAsiaTheme="minorHAnsi"/>
                <w:lang w:val="en-US"/>
              </w:rPr>
              <w:t xml:space="preserve">Unemployed </w:t>
            </w:r>
          </w:p>
        </w:tc>
        <w:tc>
          <w:tcPr>
            <w:tcW w:w="1652" w:type="dxa"/>
            <w:tcMar>
              <w:top w:w="100" w:type="nil"/>
              <w:right w:w="100" w:type="nil"/>
            </w:tcMar>
            <w:vAlign w:val="center"/>
          </w:tcPr>
          <w:p w14:paraId="6A770F1C" w14:textId="77777777" w:rsidR="00E76581" w:rsidRPr="002D4D50" w:rsidRDefault="00E76581" w:rsidP="00DA6098">
            <w:pPr>
              <w:autoSpaceDE w:val="0"/>
              <w:autoSpaceDN w:val="0"/>
              <w:adjustRightInd w:val="0"/>
              <w:jc w:val="center"/>
            </w:pPr>
            <w:r w:rsidRPr="002D4D50">
              <w:t>-0.0681 (0.047)</w:t>
            </w:r>
          </w:p>
        </w:tc>
        <w:tc>
          <w:tcPr>
            <w:tcW w:w="1652" w:type="dxa"/>
            <w:tcMar>
              <w:top w:w="100" w:type="nil"/>
              <w:right w:w="100" w:type="nil"/>
            </w:tcMar>
            <w:vAlign w:val="center"/>
          </w:tcPr>
          <w:p w14:paraId="748B8467" w14:textId="77777777" w:rsidR="00E76581" w:rsidRPr="002D4D50" w:rsidRDefault="00E76581" w:rsidP="00DA6098">
            <w:pPr>
              <w:autoSpaceDE w:val="0"/>
              <w:autoSpaceDN w:val="0"/>
              <w:adjustRightInd w:val="0"/>
              <w:jc w:val="center"/>
            </w:pPr>
            <w:r w:rsidRPr="002D4D50">
              <w:t>-0.0743 (0.047)</w:t>
            </w:r>
          </w:p>
        </w:tc>
        <w:tc>
          <w:tcPr>
            <w:tcW w:w="1652" w:type="dxa"/>
            <w:tcMar>
              <w:top w:w="100" w:type="nil"/>
              <w:right w:w="100" w:type="nil"/>
            </w:tcMar>
            <w:vAlign w:val="center"/>
          </w:tcPr>
          <w:p w14:paraId="27635E74" w14:textId="77777777" w:rsidR="00E76581" w:rsidRPr="002D4D50" w:rsidRDefault="00E76581" w:rsidP="00DA6098">
            <w:pPr>
              <w:autoSpaceDE w:val="0"/>
              <w:autoSpaceDN w:val="0"/>
              <w:adjustRightInd w:val="0"/>
              <w:jc w:val="center"/>
            </w:pPr>
            <w:r w:rsidRPr="002D4D50">
              <w:t>-0.0397 (0.047)</w:t>
            </w:r>
          </w:p>
        </w:tc>
        <w:tc>
          <w:tcPr>
            <w:tcW w:w="1652" w:type="dxa"/>
            <w:tcMar>
              <w:top w:w="100" w:type="nil"/>
              <w:right w:w="100" w:type="nil"/>
            </w:tcMar>
            <w:vAlign w:val="center"/>
          </w:tcPr>
          <w:p w14:paraId="2A2B4582" w14:textId="77777777" w:rsidR="00E76581" w:rsidRPr="002D4D50" w:rsidRDefault="00E76581" w:rsidP="00DA6098">
            <w:pPr>
              <w:autoSpaceDE w:val="0"/>
              <w:autoSpaceDN w:val="0"/>
              <w:adjustRightInd w:val="0"/>
              <w:jc w:val="center"/>
            </w:pPr>
            <w:r w:rsidRPr="002D4D50">
              <w:t>-0.0548 (0.047)</w:t>
            </w:r>
          </w:p>
        </w:tc>
        <w:tc>
          <w:tcPr>
            <w:tcW w:w="1652" w:type="dxa"/>
            <w:tcMar>
              <w:top w:w="100" w:type="nil"/>
              <w:right w:w="100" w:type="nil"/>
            </w:tcMar>
            <w:vAlign w:val="center"/>
          </w:tcPr>
          <w:p w14:paraId="59165D00" w14:textId="77777777" w:rsidR="00E76581" w:rsidRPr="002D4D50" w:rsidRDefault="00E76581" w:rsidP="00DA6098">
            <w:pPr>
              <w:autoSpaceDE w:val="0"/>
              <w:autoSpaceDN w:val="0"/>
              <w:adjustRightInd w:val="0"/>
              <w:jc w:val="center"/>
            </w:pPr>
            <w:r w:rsidRPr="002D4D50">
              <w:t>-0.0765 (0.047)</w:t>
            </w:r>
          </w:p>
        </w:tc>
        <w:tc>
          <w:tcPr>
            <w:tcW w:w="1652" w:type="dxa"/>
            <w:tcMar>
              <w:top w:w="100" w:type="nil"/>
              <w:right w:w="100" w:type="nil"/>
            </w:tcMar>
            <w:vAlign w:val="center"/>
          </w:tcPr>
          <w:p w14:paraId="49FA9B7F" w14:textId="77777777" w:rsidR="00E76581" w:rsidRPr="002D4D50" w:rsidRDefault="00E76581" w:rsidP="00DA6098">
            <w:pPr>
              <w:autoSpaceDE w:val="0"/>
              <w:autoSpaceDN w:val="0"/>
              <w:adjustRightInd w:val="0"/>
              <w:jc w:val="center"/>
            </w:pPr>
            <w:r w:rsidRPr="002D4D50">
              <w:t>-0.0697 (0.047)</w:t>
            </w:r>
          </w:p>
        </w:tc>
        <w:tc>
          <w:tcPr>
            <w:tcW w:w="1652" w:type="dxa"/>
            <w:tcMar>
              <w:top w:w="100" w:type="nil"/>
              <w:right w:w="100" w:type="nil"/>
            </w:tcMar>
            <w:vAlign w:val="center"/>
          </w:tcPr>
          <w:p w14:paraId="2E2C3074" w14:textId="77777777" w:rsidR="00E76581" w:rsidRPr="002D4D50" w:rsidRDefault="00E76581" w:rsidP="00DA6098">
            <w:pPr>
              <w:autoSpaceDE w:val="0"/>
              <w:autoSpaceDN w:val="0"/>
              <w:adjustRightInd w:val="0"/>
              <w:jc w:val="center"/>
            </w:pPr>
            <w:r w:rsidRPr="002D4D50">
              <w:t>-0.0784 (0.048)</w:t>
            </w:r>
          </w:p>
        </w:tc>
      </w:tr>
      <w:tr w:rsidR="00E76581" w:rsidRPr="002D4D50" w14:paraId="1409718D" w14:textId="77777777" w:rsidTr="00DA6098">
        <w:trPr>
          <w:trHeight w:val="587"/>
        </w:trPr>
        <w:tc>
          <w:tcPr>
            <w:tcW w:w="1818" w:type="dxa"/>
            <w:tcMar>
              <w:top w:w="100" w:type="nil"/>
              <w:right w:w="100" w:type="nil"/>
            </w:tcMar>
            <w:vAlign w:val="center"/>
          </w:tcPr>
          <w:p w14:paraId="1F48ADEE" w14:textId="77777777" w:rsidR="00E76581" w:rsidRPr="002D4D50" w:rsidRDefault="00E76581" w:rsidP="00DA6098">
            <w:pPr>
              <w:autoSpaceDE w:val="0"/>
              <w:autoSpaceDN w:val="0"/>
              <w:adjustRightInd w:val="0"/>
            </w:pPr>
            <w:r w:rsidRPr="002D4D50">
              <w:rPr>
                <w:rFonts w:eastAsiaTheme="minorHAnsi"/>
                <w:lang w:val="en-US"/>
              </w:rPr>
              <w:t xml:space="preserve">Immigration </w:t>
            </w:r>
          </w:p>
        </w:tc>
        <w:tc>
          <w:tcPr>
            <w:tcW w:w="1652" w:type="dxa"/>
            <w:tcMar>
              <w:top w:w="100" w:type="nil"/>
              <w:right w:w="100" w:type="nil"/>
            </w:tcMar>
            <w:vAlign w:val="center"/>
          </w:tcPr>
          <w:p w14:paraId="42454F37" w14:textId="77777777" w:rsidR="00E76581" w:rsidRPr="002D4D50" w:rsidRDefault="00E76581" w:rsidP="00DA6098">
            <w:pPr>
              <w:autoSpaceDE w:val="0"/>
              <w:autoSpaceDN w:val="0"/>
              <w:adjustRightInd w:val="0"/>
              <w:jc w:val="center"/>
            </w:pPr>
            <w:r w:rsidRPr="002D4D50">
              <w:t>-0.258</w:t>
            </w:r>
            <w:r w:rsidRPr="002D4D50">
              <w:rPr>
                <w:vertAlign w:val="superscript"/>
              </w:rPr>
              <w:t>***</w:t>
            </w:r>
            <w:r w:rsidRPr="002D4D50">
              <w:t xml:space="preserve"> (0.005)</w:t>
            </w:r>
          </w:p>
        </w:tc>
        <w:tc>
          <w:tcPr>
            <w:tcW w:w="1652" w:type="dxa"/>
            <w:tcMar>
              <w:top w:w="100" w:type="nil"/>
              <w:right w:w="100" w:type="nil"/>
            </w:tcMar>
            <w:vAlign w:val="center"/>
          </w:tcPr>
          <w:p w14:paraId="77FCBCF4" w14:textId="77777777" w:rsidR="00E76581" w:rsidRPr="002D4D50" w:rsidRDefault="00E76581" w:rsidP="00DA6098">
            <w:pPr>
              <w:autoSpaceDE w:val="0"/>
              <w:autoSpaceDN w:val="0"/>
              <w:adjustRightInd w:val="0"/>
              <w:jc w:val="center"/>
            </w:pPr>
            <w:r w:rsidRPr="002D4D50">
              <w:t>-0.258</w:t>
            </w:r>
            <w:r w:rsidRPr="002D4D50">
              <w:rPr>
                <w:vertAlign w:val="superscript"/>
              </w:rPr>
              <w:t>***</w:t>
            </w:r>
            <w:r w:rsidRPr="002D4D50">
              <w:t xml:space="preserve"> (0.005)</w:t>
            </w:r>
          </w:p>
        </w:tc>
        <w:tc>
          <w:tcPr>
            <w:tcW w:w="1652" w:type="dxa"/>
            <w:tcMar>
              <w:top w:w="100" w:type="nil"/>
              <w:right w:w="100" w:type="nil"/>
            </w:tcMar>
            <w:vAlign w:val="center"/>
          </w:tcPr>
          <w:p w14:paraId="35E9E3E3" w14:textId="77777777" w:rsidR="00E76581" w:rsidRPr="002D4D50" w:rsidRDefault="00E76581" w:rsidP="00DA6098">
            <w:pPr>
              <w:autoSpaceDE w:val="0"/>
              <w:autoSpaceDN w:val="0"/>
              <w:adjustRightInd w:val="0"/>
              <w:jc w:val="center"/>
            </w:pPr>
            <w:r w:rsidRPr="002D4D50">
              <w:t>-0.280</w:t>
            </w:r>
            <w:r w:rsidRPr="002D4D50">
              <w:rPr>
                <w:vertAlign w:val="superscript"/>
              </w:rPr>
              <w:t>***</w:t>
            </w:r>
            <w:r w:rsidRPr="002D4D50">
              <w:t xml:space="preserve"> (0.005)</w:t>
            </w:r>
          </w:p>
        </w:tc>
        <w:tc>
          <w:tcPr>
            <w:tcW w:w="1652" w:type="dxa"/>
            <w:tcMar>
              <w:top w:w="100" w:type="nil"/>
              <w:right w:w="100" w:type="nil"/>
            </w:tcMar>
            <w:vAlign w:val="center"/>
          </w:tcPr>
          <w:p w14:paraId="68D8500F" w14:textId="77777777" w:rsidR="00E76581" w:rsidRPr="002D4D50" w:rsidRDefault="00E76581" w:rsidP="00DA6098">
            <w:pPr>
              <w:autoSpaceDE w:val="0"/>
              <w:autoSpaceDN w:val="0"/>
              <w:adjustRightInd w:val="0"/>
              <w:jc w:val="center"/>
            </w:pPr>
            <w:r w:rsidRPr="002D4D50">
              <w:t>-0.288</w:t>
            </w:r>
            <w:r w:rsidRPr="002D4D50">
              <w:rPr>
                <w:vertAlign w:val="superscript"/>
              </w:rPr>
              <w:t>***</w:t>
            </w:r>
            <w:r w:rsidRPr="002D4D50">
              <w:t xml:space="preserve"> (0.005)</w:t>
            </w:r>
          </w:p>
        </w:tc>
        <w:tc>
          <w:tcPr>
            <w:tcW w:w="1652" w:type="dxa"/>
            <w:tcMar>
              <w:top w:w="100" w:type="nil"/>
              <w:right w:w="100" w:type="nil"/>
            </w:tcMar>
            <w:vAlign w:val="center"/>
          </w:tcPr>
          <w:p w14:paraId="4D842C0F" w14:textId="77777777" w:rsidR="00E76581" w:rsidRPr="002D4D50" w:rsidRDefault="00E76581" w:rsidP="00DA6098">
            <w:pPr>
              <w:autoSpaceDE w:val="0"/>
              <w:autoSpaceDN w:val="0"/>
              <w:adjustRightInd w:val="0"/>
              <w:jc w:val="center"/>
            </w:pPr>
            <w:r w:rsidRPr="002D4D50">
              <w:t>-0.249</w:t>
            </w:r>
            <w:r w:rsidRPr="002D4D50">
              <w:rPr>
                <w:vertAlign w:val="superscript"/>
              </w:rPr>
              <w:t>***</w:t>
            </w:r>
            <w:r w:rsidRPr="002D4D50">
              <w:t xml:space="preserve"> (0.005)</w:t>
            </w:r>
          </w:p>
        </w:tc>
        <w:tc>
          <w:tcPr>
            <w:tcW w:w="1652" w:type="dxa"/>
            <w:tcMar>
              <w:top w:w="100" w:type="nil"/>
              <w:right w:w="100" w:type="nil"/>
            </w:tcMar>
            <w:vAlign w:val="center"/>
          </w:tcPr>
          <w:p w14:paraId="629B28C5" w14:textId="77777777" w:rsidR="00E76581" w:rsidRPr="002D4D50" w:rsidRDefault="00E76581" w:rsidP="00DA6098">
            <w:pPr>
              <w:autoSpaceDE w:val="0"/>
              <w:autoSpaceDN w:val="0"/>
              <w:adjustRightInd w:val="0"/>
              <w:jc w:val="center"/>
            </w:pPr>
            <w:r w:rsidRPr="002D4D50">
              <w:t>-0.248</w:t>
            </w:r>
            <w:r w:rsidRPr="002D4D50">
              <w:rPr>
                <w:vertAlign w:val="superscript"/>
              </w:rPr>
              <w:t>***</w:t>
            </w:r>
            <w:r w:rsidRPr="002D4D50">
              <w:t xml:space="preserve"> (0.005)</w:t>
            </w:r>
          </w:p>
        </w:tc>
        <w:tc>
          <w:tcPr>
            <w:tcW w:w="1652" w:type="dxa"/>
            <w:tcMar>
              <w:top w:w="100" w:type="nil"/>
              <w:right w:w="100" w:type="nil"/>
            </w:tcMar>
            <w:vAlign w:val="center"/>
          </w:tcPr>
          <w:p w14:paraId="7577E7ED" w14:textId="77777777" w:rsidR="00E76581" w:rsidRPr="002D4D50" w:rsidRDefault="00E76581" w:rsidP="00DA6098">
            <w:pPr>
              <w:autoSpaceDE w:val="0"/>
              <w:autoSpaceDN w:val="0"/>
              <w:adjustRightInd w:val="0"/>
              <w:jc w:val="center"/>
            </w:pPr>
            <w:r w:rsidRPr="002D4D50">
              <w:t>-0.250</w:t>
            </w:r>
            <w:r w:rsidRPr="002D4D50">
              <w:rPr>
                <w:vertAlign w:val="superscript"/>
              </w:rPr>
              <w:t>***</w:t>
            </w:r>
            <w:r w:rsidRPr="002D4D50">
              <w:t xml:space="preserve"> (0.005)</w:t>
            </w:r>
          </w:p>
        </w:tc>
      </w:tr>
      <w:tr w:rsidR="00E76581" w:rsidRPr="002D4D50" w14:paraId="3C9EC82E" w14:textId="77777777" w:rsidTr="00DA6098">
        <w:trPr>
          <w:trHeight w:val="887"/>
        </w:trPr>
        <w:tc>
          <w:tcPr>
            <w:tcW w:w="1818" w:type="dxa"/>
            <w:tcMar>
              <w:top w:w="100" w:type="nil"/>
              <w:right w:w="100" w:type="nil"/>
            </w:tcMar>
            <w:vAlign w:val="center"/>
          </w:tcPr>
          <w:p w14:paraId="4955EAD7" w14:textId="77777777" w:rsidR="00E76581" w:rsidRPr="002D4D50" w:rsidRDefault="00E76581" w:rsidP="00DA6098">
            <w:pPr>
              <w:autoSpaceDE w:val="0"/>
              <w:autoSpaceDN w:val="0"/>
              <w:adjustRightInd w:val="0"/>
            </w:pPr>
            <w:r w:rsidRPr="002D4D50">
              <w:rPr>
                <w:rFonts w:eastAsiaTheme="minorHAnsi"/>
                <w:lang w:val="en-US"/>
              </w:rPr>
              <w:t>Age</w:t>
            </w:r>
          </w:p>
        </w:tc>
        <w:tc>
          <w:tcPr>
            <w:tcW w:w="1652" w:type="dxa"/>
            <w:tcMar>
              <w:top w:w="100" w:type="nil"/>
              <w:right w:w="100" w:type="nil"/>
            </w:tcMar>
            <w:vAlign w:val="center"/>
          </w:tcPr>
          <w:p w14:paraId="001F11ED" w14:textId="77777777" w:rsidR="00E76581" w:rsidRPr="002D4D50" w:rsidRDefault="00E76581" w:rsidP="00DA6098">
            <w:pPr>
              <w:autoSpaceDE w:val="0"/>
              <w:autoSpaceDN w:val="0"/>
              <w:adjustRightInd w:val="0"/>
              <w:jc w:val="center"/>
            </w:pPr>
            <w:r w:rsidRPr="002D4D50">
              <w:t>0.00467</w:t>
            </w:r>
            <w:r w:rsidRPr="002D4D50">
              <w:rPr>
                <w:vertAlign w:val="superscript"/>
              </w:rPr>
              <w:t>***</w:t>
            </w:r>
            <w:r w:rsidRPr="002D4D50">
              <w:t xml:space="preserve"> (0.001)</w:t>
            </w:r>
          </w:p>
        </w:tc>
        <w:tc>
          <w:tcPr>
            <w:tcW w:w="1652" w:type="dxa"/>
            <w:tcMar>
              <w:top w:w="100" w:type="nil"/>
              <w:right w:w="100" w:type="nil"/>
            </w:tcMar>
            <w:vAlign w:val="center"/>
          </w:tcPr>
          <w:p w14:paraId="42FF6014" w14:textId="77777777" w:rsidR="00E76581" w:rsidRPr="002D4D50" w:rsidRDefault="00E76581" w:rsidP="00DA6098">
            <w:pPr>
              <w:autoSpaceDE w:val="0"/>
              <w:autoSpaceDN w:val="0"/>
              <w:adjustRightInd w:val="0"/>
              <w:jc w:val="center"/>
            </w:pPr>
            <w:r w:rsidRPr="002D4D50">
              <w:t>0.00481</w:t>
            </w:r>
            <w:r w:rsidRPr="002D4D50">
              <w:rPr>
                <w:vertAlign w:val="superscript"/>
              </w:rPr>
              <w:t>***</w:t>
            </w:r>
            <w:r w:rsidRPr="002D4D50">
              <w:t xml:space="preserve"> (0.001)</w:t>
            </w:r>
          </w:p>
        </w:tc>
        <w:tc>
          <w:tcPr>
            <w:tcW w:w="1652" w:type="dxa"/>
            <w:tcMar>
              <w:top w:w="100" w:type="nil"/>
              <w:right w:w="100" w:type="nil"/>
            </w:tcMar>
            <w:vAlign w:val="center"/>
          </w:tcPr>
          <w:p w14:paraId="5A15B4D5" w14:textId="77777777" w:rsidR="00E76581" w:rsidRPr="002D4D50" w:rsidRDefault="00E76581" w:rsidP="00DA6098">
            <w:pPr>
              <w:autoSpaceDE w:val="0"/>
              <w:autoSpaceDN w:val="0"/>
              <w:adjustRightInd w:val="0"/>
              <w:jc w:val="center"/>
            </w:pPr>
            <w:r w:rsidRPr="002D4D50">
              <w:t>0.00454</w:t>
            </w:r>
            <w:r w:rsidRPr="002D4D50">
              <w:rPr>
                <w:vertAlign w:val="superscript"/>
              </w:rPr>
              <w:t>***</w:t>
            </w:r>
            <w:r w:rsidRPr="002D4D50">
              <w:t xml:space="preserve"> (0.001)</w:t>
            </w:r>
          </w:p>
        </w:tc>
        <w:tc>
          <w:tcPr>
            <w:tcW w:w="1652" w:type="dxa"/>
            <w:tcMar>
              <w:top w:w="100" w:type="nil"/>
              <w:right w:w="100" w:type="nil"/>
            </w:tcMar>
            <w:vAlign w:val="center"/>
          </w:tcPr>
          <w:p w14:paraId="0DC7483E" w14:textId="77777777" w:rsidR="00E76581" w:rsidRPr="002D4D50" w:rsidRDefault="00E76581" w:rsidP="00DA6098">
            <w:pPr>
              <w:autoSpaceDE w:val="0"/>
              <w:autoSpaceDN w:val="0"/>
              <w:adjustRightInd w:val="0"/>
              <w:jc w:val="center"/>
            </w:pPr>
            <w:r w:rsidRPr="002D4D50">
              <w:t>0.00478</w:t>
            </w:r>
            <w:r w:rsidRPr="002D4D50">
              <w:rPr>
                <w:vertAlign w:val="superscript"/>
              </w:rPr>
              <w:t>***</w:t>
            </w:r>
            <w:r w:rsidRPr="002D4D50">
              <w:t xml:space="preserve"> (0.001)</w:t>
            </w:r>
          </w:p>
        </w:tc>
        <w:tc>
          <w:tcPr>
            <w:tcW w:w="1652" w:type="dxa"/>
            <w:tcMar>
              <w:top w:w="100" w:type="nil"/>
              <w:right w:w="100" w:type="nil"/>
            </w:tcMar>
            <w:vAlign w:val="center"/>
          </w:tcPr>
          <w:p w14:paraId="312B257A" w14:textId="77777777" w:rsidR="00E76581" w:rsidRPr="002D4D50" w:rsidRDefault="00E76581" w:rsidP="00DA6098">
            <w:pPr>
              <w:autoSpaceDE w:val="0"/>
              <w:autoSpaceDN w:val="0"/>
              <w:adjustRightInd w:val="0"/>
              <w:jc w:val="center"/>
            </w:pPr>
            <w:r w:rsidRPr="002D4D50">
              <w:t>0.00481</w:t>
            </w:r>
            <w:r w:rsidRPr="002D4D50">
              <w:rPr>
                <w:vertAlign w:val="superscript"/>
              </w:rPr>
              <w:t>***</w:t>
            </w:r>
            <w:r w:rsidRPr="002D4D50">
              <w:t xml:space="preserve"> (0.001)</w:t>
            </w:r>
          </w:p>
        </w:tc>
        <w:tc>
          <w:tcPr>
            <w:tcW w:w="1652" w:type="dxa"/>
            <w:tcMar>
              <w:top w:w="100" w:type="nil"/>
              <w:right w:w="100" w:type="nil"/>
            </w:tcMar>
            <w:vAlign w:val="center"/>
          </w:tcPr>
          <w:p w14:paraId="5F498093" w14:textId="77777777" w:rsidR="00E76581" w:rsidRPr="002D4D50" w:rsidRDefault="00E76581" w:rsidP="00DA6098">
            <w:pPr>
              <w:autoSpaceDE w:val="0"/>
              <w:autoSpaceDN w:val="0"/>
              <w:adjustRightInd w:val="0"/>
              <w:jc w:val="center"/>
            </w:pPr>
            <w:r w:rsidRPr="002D4D50">
              <w:t>0.00473</w:t>
            </w:r>
            <w:r w:rsidRPr="002D4D50">
              <w:rPr>
                <w:vertAlign w:val="superscript"/>
              </w:rPr>
              <w:t>***</w:t>
            </w:r>
            <w:r w:rsidRPr="002D4D50">
              <w:t xml:space="preserve"> (0.001)</w:t>
            </w:r>
          </w:p>
        </w:tc>
        <w:tc>
          <w:tcPr>
            <w:tcW w:w="1652" w:type="dxa"/>
            <w:tcMar>
              <w:top w:w="100" w:type="nil"/>
              <w:right w:w="100" w:type="nil"/>
            </w:tcMar>
            <w:vAlign w:val="center"/>
          </w:tcPr>
          <w:p w14:paraId="21D67DA4" w14:textId="77777777" w:rsidR="00E76581" w:rsidRPr="002D4D50" w:rsidRDefault="00E76581" w:rsidP="00DA6098">
            <w:pPr>
              <w:autoSpaceDE w:val="0"/>
              <w:autoSpaceDN w:val="0"/>
              <w:adjustRightInd w:val="0"/>
              <w:jc w:val="center"/>
            </w:pPr>
            <w:r w:rsidRPr="002D4D50">
              <w:t>0.00526</w:t>
            </w:r>
            <w:r w:rsidRPr="002D4D50">
              <w:rPr>
                <w:vertAlign w:val="superscript"/>
              </w:rPr>
              <w:t>***</w:t>
            </w:r>
            <w:r w:rsidRPr="002D4D50">
              <w:t xml:space="preserve"> (0.001)</w:t>
            </w:r>
          </w:p>
        </w:tc>
      </w:tr>
      <w:tr w:rsidR="00E76581" w:rsidRPr="002D4D50" w14:paraId="64805268" w14:textId="77777777" w:rsidTr="00DA6098">
        <w:trPr>
          <w:trHeight w:val="872"/>
        </w:trPr>
        <w:tc>
          <w:tcPr>
            <w:tcW w:w="1818" w:type="dxa"/>
            <w:tcMar>
              <w:top w:w="100" w:type="nil"/>
              <w:right w:w="100" w:type="nil"/>
            </w:tcMar>
            <w:vAlign w:val="center"/>
          </w:tcPr>
          <w:p w14:paraId="3272711E" w14:textId="77777777" w:rsidR="00E76581" w:rsidRPr="002D4D50" w:rsidRDefault="00E76581" w:rsidP="00DA6098">
            <w:pPr>
              <w:autoSpaceDE w:val="0"/>
              <w:autoSpaceDN w:val="0"/>
              <w:adjustRightInd w:val="0"/>
            </w:pPr>
            <w:r w:rsidRPr="002D4D50">
              <w:rPr>
                <w:rFonts w:eastAsiaTheme="minorHAnsi"/>
                <w:lang w:val="en-US"/>
              </w:rPr>
              <w:lastRenderedPageBreak/>
              <w:t xml:space="preserve">Years of education </w:t>
            </w:r>
          </w:p>
        </w:tc>
        <w:tc>
          <w:tcPr>
            <w:tcW w:w="1652" w:type="dxa"/>
            <w:tcMar>
              <w:top w:w="100" w:type="nil"/>
              <w:right w:w="100" w:type="nil"/>
            </w:tcMar>
            <w:vAlign w:val="center"/>
          </w:tcPr>
          <w:p w14:paraId="6B6A4EA8" w14:textId="77777777" w:rsidR="00E76581" w:rsidRPr="002D4D50" w:rsidRDefault="00E76581" w:rsidP="00DA6098">
            <w:pPr>
              <w:autoSpaceDE w:val="0"/>
              <w:autoSpaceDN w:val="0"/>
              <w:adjustRightInd w:val="0"/>
              <w:jc w:val="center"/>
            </w:pPr>
            <w:r w:rsidRPr="002D4D50">
              <w:t>-0.0165</w:t>
            </w:r>
            <w:r w:rsidRPr="002D4D50">
              <w:rPr>
                <w:vertAlign w:val="superscript"/>
              </w:rPr>
              <w:t>***</w:t>
            </w:r>
            <w:r w:rsidRPr="002D4D50">
              <w:t xml:space="preserve"> (0.003)</w:t>
            </w:r>
          </w:p>
        </w:tc>
        <w:tc>
          <w:tcPr>
            <w:tcW w:w="1652" w:type="dxa"/>
            <w:tcMar>
              <w:top w:w="100" w:type="nil"/>
              <w:right w:w="100" w:type="nil"/>
            </w:tcMar>
            <w:vAlign w:val="center"/>
          </w:tcPr>
          <w:p w14:paraId="68587D2A" w14:textId="77777777" w:rsidR="00E76581" w:rsidRPr="002D4D50" w:rsidRDefault="00E76581" w:rsidP="00DA6098">
            <w:pPr>
              <w:autoSpaceDE w:val="0"/>
              <w:autoSpaceDN w:val="0"/>
              <w:adjustRightInd w:val="0"/>
              <w:jc w:val="center"/>
            </w:pPr>
            <w:r w:rsidRPr="002D4D50">
              <w:t>-0.0184</w:t>
            </w:r>
            <w:r w:rsidRPr="002D4D50">
              <w:rPr>
                <w:vertAlign w:val="superscript"/>
              </w:rPr>
              <w:t>***</w:t>
            </w:r>
            <w:r w:rsidRPr="002D4D50">
              <w:t xml:space="preserve"> (0.003)</w:t>
            </w:r>
          </w:p>
        </w:tc>
        <w:tc>
          <w:tcPr>
            <w:tcW w:w="1652" w:type="dxa"/>
            <w:tcMar>
              <w:top w:w="100" w:type="nil"/>
              <w:right w:w="100" w:type="nil"/>
            </w:tcMar>
            <w:vAlign w:val="center"/>
          </w:tcPr>
          <w:p w14:paraId="25C69119" w14:textId="77777777" w:rsidR="00E76581" w:rsidRPr="002D4D50" w:rsidRDefault="00E76581" w:rsidP="00DA6098">
            <w:pPr>
              <w:autoSpaceDE w:val="0"/>
              <w:autoSpaceDN w:val="0"/>
              <w:adjustRightInd w:val="0"/>
              <w:jc w:val="center"/>
            </w:pPr>
            <w:r w:rsidRPr="002D4D50">
              <w:t>-0.0199</w:t>
            </w:r>
            <w:r w:rsidRPr="002D4D50">
              <w:rPr>
                <w:vertAlign w:val="superscript"/>
              </w:rPr>
              <w:t>***</w:t>
            </w:r>
            <w:r w:rsidRPr="002D4D50">
              <w:t xml:space="preserve"> (0.003)</w:t>
            </w:r>
          </w:p>
        </w:tc>
        <w:tc>
          <w:tcPr>
            <w:tcW w:w="1652" w:type="dxa"/>
            <w:tcMar>
              <w:top w:w="100" w:type="nil"/>
              <w:right w:w="100" w:type="nil"/>
            </w:tcMar>
            <w:vAlign w:val="center"/>
          </w:tcPr>
          <w:p w14:paraId="4DB92195" w14:textId="77777777" w:rsidR="00E76581" w:rsidRPr="002D4D50" w:rsidRDefault="00E76581" w:rsidP="00DA6098">
            <w:pPr>
              <w:autoSpaceDE w:val="0"/>
              <w:autoSpaceDN w:val="0"/>
              <w:adjustRightInd w:val="0"/>
              <w:jc w:val="center"/>
            </w:pPr>
            <w:r w:rsidRPr="002D4D50">
              <w:t>-0.0198</w:t>
            </w:r>
            <w:r w:rsidRPr="002D4D50">
              <w:rPr>
                <w:vertAlign w:val="superscript"/>
              </w:rPr>
              <w:t>***</w:t>
            </w:r>
            <w:r w:rsidRPr="002D4D50">
              <w:t xml:space="preserve"> (0.003)</w:t>
            </w:r>
          </w:p>
        </w:tc>
        <w:tc>
          <w:tcPr>
            <w:tcW w:w="1652" w:type="dxa"/>
            <w:tcMar>
              <w:top w:w="100" w:type="nil"/>
              <w:right w:w="100" w:type="nil"/>
            </w:tcMar>
            <w:vAlign w:val="center"/>
          </w:tcPr>
          <w:p w14:paraId="524A1F21" w14:textId="77777777" w:rsidR="00E76581" w:rsidRPr="002D4D50" w:rsidRDefault="00E76581" w:rsidP="00DA6098">
            <w:pPr>
              <w:autoSpaceDE w:val="0"/>
              <w:autoSpaceDN w:val="0"/>
              <w:adjustRightInd w:val="0"/>
              <w:jc w:val="center"/>
            </w:pPr>
            <w:r w:rsidRPr="002D4D50">
              <w:t>-0.0176</w:t>
            </w:r>
            <w:r w:rsidRPr="002D4D50">
              <w:rPr>
                <w:vertAlign w:val="superscript"/>
              </w:rPr>
              <w:t>***</w:t>
            </w:r>
            <w:r w:rsidRPr="002D4D50">
              <w:t xml:space="preserve"> (0.003)</w:t>
            </w:r>
          </w:p>
        </w:tc>
        <w:tc>
          <w:tcPr>
            <w:tcW w:w="1652" w:type="dxa"/>
            <w:tcMar>
              <w:top w:w="100" w:type="nil"/>
              <w:right w:w="100" w:type="nil"/>
            </w:tcMar>
            <w:vAlign w:val="center"/>
          </w:tcPr>
          <w:p w14:paraId="00991234" w14:textId="77777777" w:rsidR="00E76581" w:rsidRPr="002D4D50" w:rsidRDefault="00E76581" w:rsidP="00DA6098">
            <w:pPr>
              <w:autoSpaceDE w:val="0"/>
              <w:autoSpaceDN w:val="0"/>
              <w:adjustRightInd w:val="0"/>
              <w:jc w:val="center"/>
            </w:pPr>
            <w:r w:rsidRPr="002D4D50">
              <w:t>-0.0186</w:t>
            </w:r>
            <w:r w:rsidRPr="002D4D50">
              <w:rPr>
                <w:vertAlign w:val="superscript"/>
              </w:rPr>
              <w:t>***</w:t>
            </w:r>
            <w:r w:rsidRPr="002D4D50">
              <w:t xml:space="preserve"> (0.003)</w:t>
            </w:r>
          </w:p>
        </w:tc>
        <w:tc>
          <w:tcPr>
            <w:tcW w:w="1652" w:type="dxa"/>
            <w:tcMar>
              <w:top w:w="100" w:type="nil"/>
              <w:right w:w="100" w:type="nil"/>
            </w:tcMar>
            <w:vAlign w:val="center"/>
          </w:tcPr>
          <w:p w14:paraId="0B5C06DF" w14:textId="77777777" w:rsidR="00E76581" w:rsidRPr="002D4D50" w:rsidRDefault="00E76581" w:rsidP="00DA6098">
            <w:pPr>
              <w:autoSpaceDE w:val="0"/>
              <w:autoSpaceDN w:val="0"/>
              <w:adjustRightInd w:val="0"/>
              <w:jc w:val="center"/>
            </w:pPr>
            <w:r w:rsidRPr="002D4D50">
              <w:t>-0.0183</w:t>
            </w:r>
            <w:r w:rsidRPr="002D4D50">
              <w:rPr>
                <w:vertAlign w:val="superscript"/>
              </w:rPr>
              <w:t>***</w:t>
            </w:r>
            <w:r w:rsidRPr="002D4D50">
              <w:t xml:space="preserve"> (0.003)</w:t>
            </w:r>
          </w:p>
        </w:tc>
      </w:tr>
      <w:tr w:rsidR="00E76581" w:rsidRPr="002D4D50" w14:paraId="5D882FBD" w14:textId="77777777" w:rsidTr="00DA6098">
        <w:trPr>
          <w:trHeight w:val="587"/>
        </w:trPr>
        <w:tc>
          <w:tcPr>
            <w:tcW w:w="1818" w:type="dxa"/>
            <w:tcMar>
              <w:top w:w="100" w:type="nil"/>
              <w:right w:w="100" w:type="nil"/>
            </w:tcMar>
            <w:vAlign w:val="center"/>
          </w:tcPr>
          <w:p w14:paraId="29E64A5E" w14:textId="77777777" w:rsidR="00E76581" w:rsidRPr="002D4D50" w:rsidRDefault="00E76581" w:rsidP="00DA6098">
            <w:pPr>
              <w:autoSpaceDE w:val="0"/>
              <w:autoSpaceDN w:val="0"/>
              <w:adjustRightInd w:val="0"/>
            </w:pPr>
            <w:r w:rsidRPr="002D4D50">
              <w:rPr>
                <w:rFonts w:eastAsiaTheme="minorHAnsi"/>
                <w:lang w:val="en-US"/>
              </w:rPr>
              <w:t>Male</w:t>
            </w:r>
          </w:p>
        </w:tc>
        <w:tc>
          <w:tcPr>
            <w:tcW w:w="1652" w:type="dxa"/>
            <w:tcMar>
              <w:top w:w="100" w:type="nil"/>
              <w:right w:w="100" w:type="nil"/>
            </w:tcMar>
            <w:vAlign w:val="center"/>
          </w:tcPr>
          <w:p w14:paraId="02BFCD92" w14:textId="77777777" w:rsidR="00E76581" w:rsidRPr="002D4D50" w:rsidRDefault="00E76581" w:rsidP="00DA6098">
            <w:pPr>
              <w:autoSpaceDE w:val="0"/>
              <w:autoSpaceDN w:val="0"/>
              <w:adjustRightInd w:val="0"/>
              <w:jc w:val="center"/>
            </w:pPr>
            <w:r w:rsidRPr="002D4D50">
              <w:t>0.343</w:t>
            </w:r>
            <w:r w:rsidRPr="002D4D50">
              <w:rPr>
                <w:vertAlign w:val="superscript"/>
              </w:rPr>
              <w:t>***</w:t>
            </w:r>
            <w:r w:rsidRPr="002D4D50">
              <w:t xml:space="preserve"> (0.019)</w:t>
            </w:r>
          </w:p>
        </w:tc>
        <w:tc>
          <w:tcPr>
            <w:tcW w:w="1652" w:type="dxa"/>
            <w:tcMar>
              <w:top w:w="100" w:type="nil"/>
              <w:right w:w="100" w:type="nil"/>
            </w:tcMar>
            <w:vAlign w:val="center"/>
          </w:tcPr>
          <w:p w14:paraId="133E1037" w14:textId="77777777" w:rsidR="00E76581" w:rsidRPr="002D4D50" w:rsidRDefault="00E76581" w:rsidP="00DA6098">
            <w:pPr>
              <w:autoSpaceDE w:val="0"/>
              <w:autoSpaceDN w:val="0"/>
              <w:adjustRightInd w:val="0"/>
              <w:jc w:val="center"/>
            </w:pPr>
            <w:r w:rsidRPr="002D4D50">
              <w:t>0.360</w:t>
            </w:r>
            <w:r w:rsidRPr="002D4D50">
              <w:rPr>
                <w:vertAlign w:val="superscript"/>
              </w:rPr>
              <w:t>***</w:t>
            </w:r>
            <w:r w:rsidRPr="002D4D50">
              <w:t xml:space="preserve"> (0.019)</w:t>
            </w:r>
          </w:p>
        </w:tc>
        <w:tc>
          <w:tcPr>
            <w:tcW w:w="1652" w:type="dxa"/>
            <w:tcMar>
              <w:top w:w="100" w:type="nil"/>
              <w:right w:w="100" w:type="nil"/>
            </w:tcMar>
            <w:vAlign w:val="center"/>
          </w:tcPr>
          <w:p w14:paraId="4F00CDF9" w14:textId="77777777" w:rsidR="00E76581" w:rsidRPr="002D4D50" w:rsidRDefault="00E76581" w:rsidP="00DA6098">
            <w:pPr>
              <w:autoSpaceDE w:val="0"/>
              <w:autoSpaceDN w:val="0"/>
              <w:adjustRightInd w:val="0"/>
              <w:jc w:val="center"/>
            </w:pPr>
            <w:r w:rsidRPr="002D4D50">
              <w:t>0.367</w:t>
            </w:r>
            <w:r w:rsidRPr="002D4D50">
              <w:rPr>
                <w:vertAlign w:val="superscript"/>
              </w:rPr>
              <w:t>***</w:t>
            </w:r>
            <w:r w:rsidRPr="002D4D50">
              <w:t xml:space="preserve"> (0.019)</w:t>
            </w:r>
          </w:p>
        </w:tc>
        <w:tc>
          <w:tcPr>
            <w:tcW w:w="1652" w:type="dxa"/>
            <w:tcMar>
              <w:top w:w="100" w:type="nil"/>
              <w:right w:w="100" w:type="nil"/>
            </w:tcMar>
            <w:vAlign w:val="center"/>
          </w:tcPr>
          <w:p w14:paraId="6CEA9894" w14:textId="77777777" w:rsidR="00E76581" w:rsidRPr="002D4D50" w:rsidRDefault="00E76581" w:rsidP="00DA6098">
            <w:pPr>
              <w:autoSpaceDE w:val="0"/>
              <w:autoSpaceDN w:val="0"/>
              <w:adjustRightInd w:val="0"/>
              <w:jc w:val="center"/>
            </w:pPr>
            <w:r w:rsidRPr="002D4D50">
              <w:t>0.351</w:t>
            </w:r>
            <w:r w:rsidRPr="002D4D50">
              <w:rPr>
                <w:vertAlign w:val="superscript"/>
              </w:rPr>
              <w:t>***</w:t>
            </w:r>
            <w:r w:rsidRPr="002D4D50">
              <w:t xml:space="preserve"> (0.020)</w:t>
            </w:r>
          </w:p>
        </w:tc>
        <w:tc>
          <w:tcPr>
            <w:tcW w:w="1652" w:type="dxa"/>
            <w:tcMar>
              <w:top w:w="100" w:type="nil"/>
              <w:right w:w="100" w:type="nil"/>
            </w:tcMar>
            <w:vAlign w:val="center"/>
          </w:tcPr>
          <w:p w14:paraId="7EEC5EC5" w14:textId="77777777" w:rsidR="00E76581" w:rsidRPr="002D4D50" w:rsidRDefault="00E76581" w:rsidP="00DA6098">
            <w:pPr>
              <w:autoSpaceDE w:val="0"/>
              <w:autoSpaceDN w:val="0"/>
              <w:adjustRightInd w:val="0"/>
              <w:jc w:val="center"/>
            </w:pPr>
            <w:r w:rsidRPr="002D4D50">
              <w:t>0.353</w:t>
            </w:r>
            <w:r w:rsidRPr="002D4D50">
              <w:rPr>
                <w:vertAlign w:val="superscript"/>
              </w:rPr>
              <w:t>***</w:t>
            </w:r>
            <w:r w:rsidRPr="002D4D50">
              <w:t xml:space="preserve"> (0.019)</w:t>
            </w:r>
          </w:p>
        </w:tc>
        <w:tc>
          <w:tcPr>
            <w:tcW w:w="1652" w:type="dxa"/>
            <w:tcMar>
              <w:top w:w="100" w:type="nil"/>
              <w:right w:w="100" w:type="nil"/>
            </w:tcMar>
            <w:vAlign w:val="center"/>
          </w:tcPr>
          <w:p w14:paraId="4CFCB941" w14:textId="77777777" w:rsidR="00E76581" w:rsidRPr="002D4D50" w:rsidRDefault="00E76581" w:rsidP="00DA6098">
            <w:pPr>
              <w:autoSpaceDE w:val="0"/>
              <w:autoSpaceDN w:val="0"/>
              <w:adjustRightInd w:val="0"/>
              <w:jc w:val="center"/>
            </w:pPr>
            <w:r w:rsidRPr="002D4D50">
              <w:t>0.361</w:t>
            </w:r>
            <w:r w:rsidRPr="002D4D50">
              <w:rPr>
                <w:vertAlign w:val="superscript"/>
              </w:rPr>
              <w:t>***</w:t>
            </w:r>
            <w:r w:rsidRPr="002D4D50">
              <w:t xml:space="preserve"> (0.020)</w:t>
            </w:r>
          </w:p>
        </w:tc>
        <w:tc>
          <w:tcPr>
            <w:tcW w:w="1652" w:type="dxa"/>
            <w:tcMar>
              <w:top w:w="100" w:type="nil"/>
              <w:right w:w="100" w:type="nil"/>
            </w:tcMar>
            <w:vAlign w:val="center"/>
          </w:tcPr>
          <w:p w14:paraId="165BDF0A" w14:textId="77777777" w:rsidR="00E76581" w:rsidRPr="002D4D50" w:rsidRDefault="00E76581" w:rsidP="00DA6098">
            <w:pPr>
              <w:autoSpaceDE w:val="0"/>
              <w:autoSpaceDN w:val="0"/>
              <w:adjustRightInd w:val="0"/>
              <w:jc w:val="center"/>
            </w:pPr>
            <w:r w:rsidRPr="002D4D50">
              <w:t>0.366</w:t>
            </w:r>
            <w:r w:rsidRPr="002D4D50">
              <w:rPr>
                <w:vertAlign w:val="superscript"/>
              </w:rPr>
              <w:t>***</w:t>
            </w:r>
            <w:r w:rsidRPr="002D4D50">
              <w:t xml:space="preserve"> (0.020)</w:t>
            </w:r>
          </w:p>
        </w:tc>
      </w:tr>
      <w:tr w:rsidR="00E76581" w:rsidRPr="002D4D50" w14:paraId="75FA7BEF" w14:textId="77777777" w:rsidTr="00DA6098">
        <w:trPr>
          <w:trHeight w:val="887"/>
        </w:trPr>
        <w:tc>
          <w:tcPr>
            <w:tcW w:w="1818" w:type="dxa"/>
            <w:tcMar>
              <w:top w:w="100" w:type="nil"/>
              <w:right w:w="100" w:type="nil"/>
            </w:tcMar>
            <w:vAlign w:val="center"/>
          </w:tcPr>
          <w:p w14:paraId="4C9C4CD6" w14:textId="77777777" w:rsidR="00E76581" w:rsidRPr="002D4D50" w:rsidRDefault="00E76581" w:rsidP="00DA6098">
            <w:pPr>
              <w:autoSpaceDE w:val="0"/>
              <w:autoSpaceDN w:val="0"/>
              <w:adjustRightInd w:val="0"/>
            </w:pPr>
            <w:r w:rsidRPr="002D4D50">
              <w:rPr>
                <w:lang w:val="en-US"/>
              </w:rPr>
              <w:t xml:space="preserve">Urban </w:t>
            </w:r>
          </w:p>
        </w:tc>
        <w:tc>
          <w:tcPr>
            <w:tcW w:w="1652" w:type="dxa"/>
            <w:tcMar>
              <w:top w:w="100" w:type="nil"/>
              <w:right w:w="100" w:type="nil"/>
            </w:tcMar>
            <w:vAlign w:val="center"/>
          </w:tcPr>
          <w:p w14:paraId="233C8C27" w14:textId="77777777" w:rsidR="00E76581" w:rsidRPr="002D4D50" w:rsidRDefault="00E76581" w:rsidP="00DA6098">
            <w:pPr>
              <w:autoSpaceDE w:val="0"/>
              <w:autoSpaceDN w:val="0"/>
              <w:adjustRightInd w:val="0"/>
              <w:jc w:val="center"/>
            </w:pPr>
            <w:r w:rsidRPr="002D4D50">
              <w:t>-0.0802</w:t>
            </w:r>
            <w:r w:rsidRPr="002D4D50">
              <w:rPr>
                <w:vertAlign w:val="superscript"/>
              </w:rPr>
              <w:t>***</w:t>
            </w:r>
            <w:r w:rsidRPr="002D4D50">
              <w:t xml:space="preserve"> (0.022)</w:t>
            </w:r>
          </w:p>
        </w:tc>
        <w:tc>
          <w:tcPr>
            <w:tcW w:w="1652" w:type="dxa"/>
            <w:tcMar>
              <w:top w:w="100" w:type="nil"/>
              <w:right w:w="100" w:type="nil"/>
            </w:tcMar>
            <w:vAlign w:val="center"/>
          </w:tcPr>
          <w:p w14:paraId="64D988E9" w14:textId="77777777" w:rsidR="00E76581" w:rsidRPr="002D4D50" w:rsidRDefault="00E76581" w:rsidP="00DA6098">
            <w:pPr>
              <w:autoSpaceDE w:val="0"/>
              <w:autoSpaceDN w:val="0"/>
              <w:adjustRightInd w:val="0"/>
              <w:jc w:val="center"/>
            </w:pPr>
            <w:r w:rsidRPr="002D4D50">
              <w:t>-0.0808</w:t>
            </w:r>
            <w:r w:rsidRPr="002D4D50">
              <w:rPr>
                <w:vertAlign w:val="superscript"/>
              </w:rPr>
              <w:t>***</w:t>
            </w:r>
            <w:r w:rsidRPr="002D4D50">
              <w:t xml:space="preserve"> (0.022)</w:t>
            </w:r>
          </w:p>
        </w:tc>
        <w:tc>
          <w:tcPr>
            <w:tcW w:w="1652" w:type="dxa"/>
            <w:tcMar>
              <w:top w:w="100" w:type="nil"/>
              <w:right w:w="100" w:type="nil"/>
            </w:tcMar>
            <w:vAlign w:val="center"/>
          </w:tcPr>
          <w:p w14:paraId="08663D32" w14:textId="77777777" w:rsidR="00E76581" w:rsidRPr="002D4D50" w:rsidRDefault="00E76581" w:rsidP="00DA6098">
            <w:pPr>
              <w:autoSpaceDE w:val="0"/>
              <w:autoSpaceDN w:val="0"/>
              <w:adjustRightInd w:val="0"/>
              <w:jc w:val="center"/>
            </w:pPr>
            <w:r w:rsidRPr="002D4D50">
              <w:t>-0.0794</w:t>
            </w:r>
            <w:r w:rsidRPr="002D4D50">
              <w:rPr>
                <w:vertAlign w:val="superscript"/>
              </w:rPr>
              <w:t>***</w:t>
            </w:r>
            <w:r w:rsidRPr="002D4D50">
              <w:t xml:space="preserve"> (0.022)</w:t>
            </w:r>
          </w:p>
        </w:tc>
        <w:tc>
          <w:tcPr>
            <w:tcW w:w="1652" w:type="dxa"/>
            <w:tcMar>
              <w:top w:w="100" w:type="nil"/>
              <w:right w:w="100" w:type="nil"/>
            </w:tcMar>
            <w:vAlign w:val="center"/>
          </w:tcPr>
          <w:p w14:paraId="554665E1" w14:textId="77777777" w:rsidR="00E76581" w:rsidRPr="002D4D50" w:rsidRDefault="00E76581" w:rsidP="00DA6098">
            <w:pPr>
              <w:autoSpaceDE w:val="0"/>
              <w:autoSpaceDN w:val="0"/>
              <w:adjustRightInd w:val="0"/>
              <w:jc w:val="center"/>
            </w:pPr>
            <w:r w:rsidRPr="002D4D50">
              <w:t>-0.0868</w:t>
            </w:r>
            <w:r w:rsidRPr="002D4D50">
              <w:rPr>
                <w:vertAlign w:val="superscript"/>
              </w:rPr>
              <w:t>***</w:t>
            </w:r>
            <w:r w:rsidRPr="002D4D50">
              <w:t xml:space="preserve"> (0.023)</w:t>
            </w:r>
          </w:p>
        </w:tc>
        <w:tc>
          <w:tcPr>
            <w:tcW w:w="1652" w:type="dxa"/>
            <w:tcMar>
              <w:top w:w="100" w:type="nil"/>
              <w:right w:w="100" w:type="nil"/>
            </w:tcMar>
            <w:vAlign w:val="center"/>
          </w:tcPr>
          <w:p w14:paraId="08BF43DB" w14:textId="77777777" w:rsidR="00E76581" w:rsidRPr="002D4D50" w:rsidRDefault="00E76581" w:rsidP="00DA6098">
            <w:pPr>
              <w:autoSpaceDE w:val="0"/>
              <w:autoSpaceDN w:val="0"/>
              <w:adjustRightInd w:val="0"/>
              <w:jc w:val="center"/>
            </w:pPr>
            <w:r w:rsidRPr="002D4D50">
              <w:t>-0.0814</w:t>
            </w:r>
            <w:r w:rsidRPr="002D4D50">
              <w:rPr>
                <w:vertAlign w:val="superscript"/>
              </w:rPr>
              <w:t>***</w:t>
            </w:r>
            <w:r w:rsidRPr="002D4D50">
              <w:t xml:space="preserve"> (0.022)</w:t>
            </w:r>
          </w:p>
        </w:tc>
        <w:tc>
          <w:tcPr>
            <w:tcW w:w="1652" w:type="dxa"/>
            <w:tcMar>
              <w:top w:w="100" w:type="nil"/>
              <w:right w:w="100" w:type="nil"/>
            </w:tcMar>
            <w:vAlign w:val="center"/>
          </w:tcPr>
          <w:p w14:paraId="2C9AD73E" w14:textId="77777777" w:rsidR="00E76581" w:rsidRPr="002D4D50" w:rsidRDefault="00E76581" w:rsidP="00DA6098">
            <w:pPr>
              <w:autoSpaceDE w:val="0"/>
              <w:autoSpaceDN w:val="0"/>
              <w:adjustRightInd w:val="0"/>
              <w:jc w:val="center"/>
            </w:pPr>
            <w:r w:rsidRPr="002D4D50">
              <w:t>-0.0809</w:t>
            </w:r>
            <w:r w:rsidRPr="002D4D50">
              <w:rPr>
                <w:vertAlign w:val="superscript"/>
              </w:rPr>
              <w:t>***</w:t>
            </w:r>
            <w:r w:rsidRPr="002D4D50">
              <w:t xml:space="preserve"> (0.022)</w:t>
            </w:r>
          </w:p>
        </w:tc>
        <w:tc>
          <w:tcPr>
            <w:tcW w:w="1652" w:type="dxa"/>
            <w:tcMar>
              <w:top w:w="100" w:type="nil"/>
              <w:right w:w="100" w:type="nil"/>
            </w:tcMar>
            <w:vAlign w:val="center"/>
          </w:tcPr>
          <w:p w14:paraId="4B401F38" w14:textId="77777777" w:rsidR="00E76581" w:rsidRPr="002D4D50" w:rsidRDefault="00E76581" w:rsidP="00DA6098">
            <w:pPr>
              <w:autoSpaceDE w:val="0"/>
              <w:autoSpaceDN w:val="0"/>
              <w:adjustRightInd w:val="0"/>
              <w:jc w:val="center"/>
            </w:pPr>
            <w:r w:rsidRPr="002D4D50">
              <w:t>-0.0807</w:t>
            </w:r>
            <w:r w:rsidRPr="002D4D50">
              <w:rPr>
                <w:vertAlign w:val="superscript"/>
              </w:rPr>
              <w:t>***</w:t>
            </w:r>
            <w:r w:rsidRPr="002D4D50">
              <w:t xml:space="preserve"> (0.023)</w:t>
            </w:r>
          </w:p>
        </w:tc>
      </w:tr>
      <w:tr w:rsidR="00E76581" w:rsidRPr="002D4D50" w14:paraId="0D94D164" w14:textId="77777777" w:rsidTr="00DA6098">
        <w:trPr>
          <w:trHeight w:val="572"/>
        </w:trPr>
        <w:tc>
          <w:tcPr>
            <w:tcW w:w="1818" w:type="dxa"/>
            <w:tcMar>
              <w:top w:w="100" w:type="nil"/>
              <w:right w:w="100" w:type="nil"/>
            </w:tcMar>
            <w:vAlign w:val="center"/>
          </w:tcPr>
          <w:p w14:paraId="257182CD" w14:textId="77777777" w:rsidR="00E76581" w:rsidRPr="002D4D50" w:rsidRDefault="00E76581" w:rsidP="00DA6098">
            <w:pPr>
              <w:autoSpaceDE w:val="0"/>
              <w:autoSpaceDN w:val="0"/>
              <w:adjustRightInd w:val="0"/>
            </w:pPr>
            <w:r w:rsidRPr="002D4D50">
              <w:rPr>
                <w:lang w:val="en-US"/>
              </w:rPr>
              <w:t>Left-Right</w:t>
            </w:r>
          </w:p>
        </w:tc>
        <w:tc>
          <w:tcPr>
            <w:tcW w:w="1652" w:type="dxa"/>
            <w:tcMar>
              <w:top w:w="100" w:type="nil"/>
              <w:right w:w="100" w:type="nil"/>
            </w:tcMar>
            <w:vAlign w:val="center"/>
          </w:tcPr>
          <w:p w14:paraId="0EB3B96F" w14:textId="77777777" w:rsidR="00E76581" w:rsidRPr="002D4D50" w:rsidRDefault="00E76581" w:rsidP="00DA6098">
            <w:pPr>
              <w:autoSpaceDE w:val="0"/>
              <w:autoSpaceDN w:val="0"/>
              <w:adjustRightInd w:val="0"/>
              <w:jc w:val="center"/>
            </w:pPr>
            <w:r w:rsidRPr="002D4D50">
              <w:t>0.318</w:t>
            </w:r>
            <w:r w:rsidRPr="002D4D50">
              <w:rPr>
                <w:vertAlign w:val="superscript"/>
              </w:rPr>
              <w:t>***</w:t>
            </w:r>
            <w:r w:rsidRPr="002D4D50">
              <w:t xml:space="preserve"> (0.005)</w:t>
            </w:r>
          </w:p>
        </w:tc>
        <w:tc>
          <w:tcPr>
            <w:tcW w:w="1652" w:type="dxa"/>
            <w:tcMar>
              <w:top w:w="100" w:type="nil"/>
              <w:right w:w="100" w:type="nil"/>
            </w:tcMar>
            <w:vAlign w:val="center"/>
          </w:tcPr>
          <w:p w14:paraId="1FDD8B54" w14:textId="77777777" w:rsidR="00E76581" w:rsidRPr="002D4D50" w:rsidRDefault="00E76581" w:rsidP="00DA6098">
            <w:pPr>
              <w:autoSpaceDE w:val="0"/>
              <w:autoSpaceDN w:val="0"/>
              <w:adjustRightInd w:val="0"/>
              <w:jc w:val="center"/>
            </w:pPr>
            <w:r w:rsidRPr="002D4D50">
              <w:t>0.325</w:t>
            </w:r>
            <w:r w:rsidRPr="002D4D50">
              <w:rPr>
                <w:vertAlign w:val="superscript"/>
              </w:rPr>
              <w:t>***</w:t>
            </w:r>
            <w:r w:rsidRPr="002D4D50">
              <w:t xml:space="preserve"> (0.005)</w:t>
            </w:r>
          </w:p>
        </w:tc>
        <w:tc>
          <w:tcPr>
            <w:tcW w:w="1652" w:type="dxa"/>
            <w:tcMar>
              <w:top w:w="100" w:type="nil"/>
              <w:right w:w="100" w:type="nil"/>
            </w:tcMar>
            <w:vAlign w:val="center"/>
          </w:tcPr>
          <w:p w14:paraId="1136CB3E" w14:textId="77777777" w:rsidR="00E76581" w:rsidRPr="002D4D50" w:rsidRDefault="00E76581" w:rsidP="00DA6098">
            <w:pPr>
              <w:autoSpaceDE w:val="0"/>
              <w:autoSpaceDN w:val="0"/>
              <w:adjustRightInd w:val="0"/>
              <w:jc w:val="center"/>
            </w:pPr>
            <w:r w:rsidRPr="002D4D50">
              <w:t>0.312</w:t>
            </w:r>
            <w:r w:rsidRPr="002D4D50">
              <w:rPr>
                <w:vertAlign w:val="superscript"/>
              </w:rPr>
              <w:t>***</w:t>
            </w:r>
            <w:r w:rsidRPr="002D4D50">
              <w:t xml:space="preserve"> (0.005)</w:t>
            </w:r>
          </w:p>
        </w:tc>
        <w:tc>
          <w:tcPr>
            <w:tcW w:w="1652" w:type="dxa"/>
            <w:tcMar>
              <w:top w:w="100" w:type="nil"/>
              <w:right w:w="100" w:type="nil"/>
            </w:tcMar>
            <w:vAlign w:val="center"/>
          </w:tcPr>
          <w:p w14:paraId="7E1FC610" w14:textId="77777777" w:rsidR="00E76581" w:rsidRPr="002D4D50" w:rsidRDefault="00E76581" w:rsidP="00DA6098">
            <w:pPr>
              <w:autoSpaceDE w:val="0"/>
              <w:autoSpaceDN w:val="0"/>
              <w:adjustRightInd w:val="0"/>
              <w:jc w:val="center"/>
            </w:pPr>
            <w:r w:rsidRPr="002D4D50">
              <w:t>0.307</w:t>
            </w:r>
            <w:r w:rsidRPr="002D4D50">
              <w:rPr>
                <w:vertAlign w:val="superscript"/>
              </w:rPr>
              <w:t>***</w:t>
            </w:r>
            <w:r w:rsidRPr="002D4D50">
              <w:t xml:space="preserve"> (0.005)</w:t>
            </w:r>
          </w:p>
        </w:tc>
        <w:tc>
          <w:tcPr>
            <w:tcW w:w="1652" w:type="dxa"/>
            <w:tcMar>
              <w:top w:w="100" w:type="nil"/>
              <w:right w:w="100" w:type="nil"/>
            </w:tcMar>
            <w:vAlign w:val="center"/>
          </w:tcPr>
          <w:p w14:paraId="23FE4B07" w14:textId="77777777" w:rsidR="00E76581" w:rsidRPr="002D4D50" w:rsidRDefault="00E76581" w:rsidP="00DA6098">
            <w:pPr>
              <w:autoSpaceDE w:val="0"/>
              <w:autoSpaceDN w:val="0"/>
              <w:adjustRightInd w:val="0"/>
              <w:jc w:val="center"/>
            </w:pPr>
            <w:r w:rsidRPr="002D4D50">
              <w:t>0.326</w:t>
            </w:r>
            <w:r w:rsidRPr="002D4D50">
              <w:rPr>
                <w:vertAlign w:val="superscript"/>
              </w:rPr>
              <w:t>***</w:t>
            </w:r>
            <w:r w:rsidRPr="002D4D50">
              <w:t xml:space="preserve"> (0.005)</w:t>
            </w:r>
          </w:p>
        </w:tc>
        <w:tc>
          <w:tcPr>
            <w:tcW w:w="1652" w:type="dxa"/>
            <w:tcMar>
              <w:top w:w="100" w:type="nil"/>
              <w:right w:w="100" w:type="nil"/>
            </w:tcMar>
            <w:vAlign w:val="center"/>
          </w:tcPr>
          <w:p w14:paraId="6D90FEB7" w14:textId="77777777" w:rsidR="00E76581" w:rsidRPr="002D4D50" w:rsidRDefault="00E76581" w:rsidP="00DA6098">
            <w:pPr>
              <w:autoSpaceDE w:val="0"/>
              <w:autoSpaceDN w:val="0"/>
              <w:adjustRightInd w:val="0"/>
              <w:jc w:val="center"/>
            </w:pPr>
            <w:r w:rsidRPr="002D4D50">
              <w:t>0.326</w:t>
            </w:r>
            <w:r w:rsidRPr="002D4D50">
              <w:rPr>
                <w:vertAlign w:val="superscript"/>
              </w:rPr>
              <w:t>***</w:t>
            </w:r>
            <w:r w:rsidRPr="002D4D50">
              <w:t xml:space="preserve"> (0.005)</w:t>
            </w:r>
          </w:p>
        </w:tc>
        <w:tc>
          <w:tcPr>
            <w:tcW w:w="1652" w:type="dxa"/>
            <w:tcMar>
              <w:top w:w="100" w:type="nil"/>
              <w:right w:w="100" w:type="nil"/>
            </w:tcMar>
            <w:vAlign w:val="center"/>
          </w:tcPr>
          <w:p w14:paraId="6E88B501" w14:textId="77777777" w:rsidR="00E76581" w:rsidRPr="002D4D50" w:rsidRDefault="00E76581" w:rsidP="00DA6098">
            <w:pPr>
              <w:autoSpaceDE w:val="0"/>
              <w:autoSpaceDN w:val="0"/>
              <w:adjustRightInd w:val="0"/>
              <w:jc w:val="center"/>
            </w:pPr>
            <w:r w:rsidRPr="002D4D50">
              <w:t>0.323</w:t>
            </w:r>
            <w:r w:rsidRPr="002D4D50">
              <w:rPr>
                <w:vertAlign w:val="superscript"/>
              </w:rPr>
              <w:t>***</w:t>
            </w:r>
            <w:r w:rsidRPr="002D4D50">
              <w:t xml:space="preserve"> (0.005)</w:t>
            </w:r>
          </w:p>
        </w:tc>
      </w:tr>
      <w:tr w:rsidR="00E76581" w:rsidRPr="002D4D50" w14:paraId="4484F78E" w14:textId="77777777" w:rsidTr="00DA6098">
        <w:trPr>
          <w:trHeight w:val="587"/>
        </w:trPr>
        <w:tc>
          <w:tcPr>
            <w:tcW w:w="1818" w:type="dxa"/>
            <w:tcMar>
              <w:top w:w="100" w:type="nil"/>
              <w:right w:w="100" w:type="nil"/>
            </w:tcMar>
            <w:vAlign w:val="center"/>
          </w:tcPr>
          <w:p w14:paraId="21319DB5" w14:textId="77777777" w:rsidR="00E76581" w:rsidRPr="002D4D50" w:rsidRDefault="00E76581" w:rsidP="00DA6098">
            <w:pPr>
              <w:autoSpaceDE w:val="0"/>
              <w:autoSpaceDN w:val="0"/>
              <w:adjustRightInd w:val="0"/>
            </w:pPr>
            <w:r w:rsidRPr="002D4D50">
              <w:rPr>
                <w:lang w:val="en-US"/>
              </w:rPr>
              <w:t>Constant</w:t>
            </w:r>
          </w:p>
        </w:tc>
        <w:tc>
          <w:tcPr>
            <w:tcW w:w="1652" w:type="dxa"/>
            <w:tcMar>
              <w:top w:w="100" w:type="nil"/>
              <w:right w:w="100" w:type="nil"/>
            </w:tcMar>
            <w:vAlign w:val="center"/>
          </w:tcPr>
          <w:p w14:paraId="077BDAF6" w14:textId="77777777" w:rsidR="00E76581" w:rsidRPr="002D4D50" w:rsidRDefault="00E76581" w:rsidP="00DA6098">
            <w:pPr>
              <w:autoSpaceDE w:val="0"/>
              <w:autoSpaceDN w:val="0"/>
              <w:adjustRightInd w:val="0"/>
              <w:jc w:val="center"/>
            </w:pPr>
            <w:r w:rsidRPr="002D4D50">
              <w:t>-3.374</w:t>
            </w:r>
            <w:r w:rsidRPr="002D4D50">
              <w:rPr>
                <w:vertAlign w:val="superscript"/>
              </w:rPr>
              <w:t>***</w:t>
            </w:r>
            <w:r w:rsidRPr="002D4D50">
              <w:t xml:space="preserve"> (0.146)</w:t>
            </w:r>
          </w:p>
        </w:tc>
        <w:tc>
          <w:tcPr>
            <w:tcW w:w="1652" w:type="dxa"/>
            <w:tcMar>
              <w:top w:w="100" w:type="nil"/>
              <w:right w:w="100" w:type="nil"/>
            </w:tcMar>
            <w:vAlign w:val="center"/>
          </w:tcPr>
          <w:p w14:paraId="358BB74E" w14:textId="77777777" w:rsidR="00E76581" w:rsidRPr="002D4D50" w:rsidRDefault="00E76581" w:rsidP="00DA6098">
            <w:pPr>
              <w:autoSpaceDE w:val="0"/>
              <w:autoSpaceDN w:val="0"/>
              <w:adjustRightInd w:val="0"/>
              <w:jc w:val="center"/>
            </w:pPr>
            <w:r w:rsidRPr="002D4D50">
              <w:t>-3.397</w:t>
            </w:r>
            <w:r w:rsidRPr="002D4D50">
              <w:rPr>
                <w:vertAlign w:val="superscript"/>
              </w:rPr>
              <w:t>***</w:t>
            </w:r>
            <w:r w:rsidRPr="002D4D50">
              <w:t xml:space="preserve"> (0.146)</w:t>
            </w:r>
          </w:p>
        </w:tc>
        <w:tc>
          <w:tcPr>
            <w:tcW w:w="1652" w:type="dxa"/>
            <w:tcMar>
              <w:top w:w="100" w:type="nil"/>
              <w:right w:w="100" w:type="nil"/>
            </w:tcMar>
            <w:vAlign w:val="center"/>
          </w:tcPr>
          <w:p w14:paraId="4C03FE0E" w14:textId="77777777" w:rsidR="00E76581" w:rsidRPr="002D4D50" w:rsidRDefault="00E76581" w:rsidP="00DA6098">
            <w:pPr>
              <w:autoSpaceDE w:val="0"/>
              <w:autoSpaceDN w:val="0"/>
              <w:adjustRightInd w:val="0"/>
              <w:jc w:val="center"/>
            </w:pPr>
            <w:r w:rsidRPr="002D4D50">
              <w:t>-3.467</w:t>
            </w:r>
            <w:r w:rsidRPr="002D4D50">
              <w:rPr>
                <w:vertAlign w:val="superscript"/>
              </w:rPr>
              <w:t>***</w:t>
            </w:r>
            <w:r w:rsidRPr="002D4D50">
              <w:t xml:space="preserve"> (0.148)</w:t>
            </w:r>
          </w:p>
        </w:tc>
        <w:tc>
          <w:tcPr>
            <w:tcW w:w="1652" w:type="dxa"/>
            <w:tcMar>
              <w:top w:w="100" w:type="nil"/>
              <w:right w:w="100" w:type="nil"/>
            </w:tcMar>
            <w:vAlign w:val="center"/>
          </w:tcPr>
          <w:p w14:paraId="50364D4E" w14:textId="77777777" w:rsidR="00E76581" w:rsidRPr="002D4D50" w:rsidRDefault="00E76581" w:rsidP="00DA6098">
            <w:pPr>
              <w:autoSpaceDE w:val="0"/>
              <w:autoSpaceDN w:val="0"/>
              <w:adjustRightInd w:val="0"/>
              <w:jc w:val="center"/>
            </w:pPr>
            <w:r w:rsidRPr="002D4D50">
              <w:t>-3.593</w:t>
            </w:r>
            <w:r w:rsidRPr="002D4D50">
              <w:rPr>
                <w:vertAlign w:val="superscript"/>
              </w:rPr>
              <w:t>***</w:t>
            </w:r>
            <w:r w:rsidRPr="002D4D50">
              <w:t xml:space="preserve"> (0.150)</w:t>
            </w:r>
          </w:p>
        </w:tc>
        <w:tc>
          <w:tcPr>
            <w:tcW w:w="1652" w:type="dxa"/>
            <w:tcMar>
              <w:top w:w="100" w:type="nil"/>
              <w:right w:w="100" w:type="nil"/>
            </w:tcMar>
            <w:vAlign w:val="center"/>
          </w:tcPr>
          <w:p w14:paraId="4E408A98" w14:textId="77777777" w:rsidR="00E76581" w:rsidRPr="002D4D50" w:rsidRDefault="00E76581" w:rsidP="00DA6098">
            <w:pPr>
              <w:autoSpaceDE w:val="0"/>
              <w:autoSpaceDN w:val="0"/>
              <w:adjustRightInd w:val="0"/>
              <w:jc w:val="center"/>
            </w:pPr>
            <w:r w:rsidRPr="002D4D50">
              <w:t>-3.245</w:t>
            </w:r>
            <w:r w:rsidRPr="002D4D50">
              <w:rPr>
                <w:vertAlign w:val="superscript"/>
              </w:rPr>
              <w:t>***</w:t>
            </w:r>
            <w:r w:rsidRPr="002D4D50">
              <w:t xml:space="preserve"> (0.146)</w:t>
            </w:r>
          </w:p>
        </w:tc>
        <w:tc>
          <w:tcPr>
            <w:tcW w:w="1652" w:type="dxa"/>
            <w:tcMar>
              <w:top w:w="100" w:type="nil"/>
              <w:right w:w="100" w:type="nil"/>
            </w:tcMar>
            <w:vAlign w:val="center"/>
          </w:tcPr>
          <w:p w14:paraId="1D11BA38" w14:textId="77777777" w:rsidR="00E76581" w:rsidRPr="002D4D50" w:rsidRDefault="00E76581" w:rsidP="00DA6098">
            <w:pPr>
              <w:autoSpaceDE w:val="0"/>
              <w:autoSpaceDN w:val="0"/>
              <w:adjustRightInd w:val="0"/>
              <w:jc w:val="center"/>
            </w:pPr>
            <w:r w:rsidRPr="002D4D50">
              <w:t>-3.142</w:t>
            </w:r>
            <w:r w:rsidRPr="002D4D50">
              <w:rPr>
                <w:vertAlign w:val="superscript"/>
              </w:rPr>
              <w:t>***</w:t>
            </w:r>
            <w:r w:rsidRPr="002D4D50">
              <w:t xml:space="preserve"> (0.148)</w:t>
            </w:r>
          </w:p>
        </w:tc>
        <w:tc>
          <w:tcPr>
            <w:tcW w:w="1652" w:type="dxa"/>
            <w:tcMar>
              <w:top w:w="100" w:type="nil"/>
              <w:right w:w="100" w:type="nil"/>
            </w:tcMar>
            <w:vAlign w:val="center"/>
          </w:tcPr>
          <w:p w14:paraId="4C21B762" w14:textId="77777777" w:rsidR="00E76581" w:rsidRPr="002D4D50" w:rsidRDefault="00E76581" w:rsidP="00DA6098">
            <w:pPr>
              <w:autoSpaceDE w:val="0"/>
              <w:autoSpaceDN w:val="0"/>
              <w:adjustRightInd w:val="0"/>
              <w:jc w:val="center"/>
            </w:pPr>
            <w:r w:rsidRPr="002D4D50">
              <w:t>-3.168</w:t>
            </w:r>
            <w:r w:rsidRPr="002D4D50">
              <w:rPr>
                <w:vertAlign w:val="superscript"/>
              </w:rPr>
              <w:t>***</w:t>
            </w:r>
            <w:r w:rsidRPr="002D4D50">
              <w:t xml:space="preserve"> (0.151)</w:t>
            </w:r>
          </w:p>
        </w:tc>
      </w:tr>
      <w:tr w:rsidR="00E76581" w:rsidRPr="002D4D50" w14:paraId="5BA92FCC" w14:textId="77777777" w:rsidTr="00DA6098">
        <w:trPr>
          <w:trHeight w:val="601"/>
        </w:trPr>
        <w:tc>
          <w:tcPr>
            <w:tcW w:w="1818" w:type="dxa"/>
            <w:tcMar>
              <w:top w:w="100" w:type="nil"/>
              <w:right w:w="100" w:type="nil"/>
            </w:tcMar>
            <w:vAlign w:val="center"/>
          </w:tcPr>
          <w:p w14:paraId="3C19CAF8" w14:textId="77777777" w:rsidR="00E76581" w:rsidRPr="002D4D50" w:rsidRDefault="00E76581" w:rsidP="00DA6098">
            <w:pPr>
              <w:autoSpaceDE w:val="0"/>
              <w:autoSpaceDN w:val="0"/>
              <w:adjustRightInd w:val="0"/>
            </w:pPr>
            <w:r w:rsidRPr="002D4D50">
              <w:rPr>
                <w:lang w:val="en-US"/>
              </w:rPr>
              <w:t>Observations</w:t>
            </w:r>
          </w:p>
        </w:tc>
        <w:tc>
          <w:tcPr>
            <w:tcW w:w="1652" w:type="dxa"/>
            <w:tcMar>
              <w:top w:w="100" w:type="nil"/>
              <w:right w:w="100" w:type="nil"/>
            </w:tcMar>
            <w:vAlign w:val="center"/>
          </w:tcPr>
          <w:p w14:paraId="448C5167" w14:textId="77777777" w:rsidR="00E76581" w:rsidRPr="002D4D50" w:rsidRDefault="00E76581" w:rsidP="00DA6098">
            <w:pPr>
              <w:autoSpaceDE w:val="0"/>
              <w:autoSpaceDN w:val="0"/>
              <w:adjustRightInd w:val="0"/>
              <w:jc w:val="center"/>
            </w:pPr>
            <w:r w:rsidRPr="002D4D50">
              <w:t>173589</w:t>
            </w:r>
          </w:p>
        </w:tc>
        <w:tc>
          <w:tcPr>
            <w:tcW w:w="1652" w:type="dxa"/>
            <w:tcMar>
              <w:top w:w="100" w:type="nil"/>
              <w:right w:w="100" w:type="nil"/>
            </w:tcMar>
            <w:vAlign w:val="center"/>
          </w:tcPr>
          <w:p w14:paraId="561BB6EE" w14:textId="77777777" w:rsidR="00E76581" w:rsidRPr="002D4D50" w:rsidRDefault="00E76581" w:rsidP="00DA6098">
            <w:pPr>
              <w:autoSpaceDE w:val="0"/>
              <w:autoSpaceDN w:val="0"/>
              <w:adjustRightInd w:val="0"/>
              <w:jc w:val="center"/>
            </w:pPr>
            <w:r w:rsidRPr="002D4D50">
              <w:t>173538</w:t>
            </w:r>
          </w:p>
        </w:tc>
        <w:tc>
          <w:tcPr>
            <w:tcW w:w="1652" w:type="dxa"/>
            <w:tcMar>
              <w:top w:w="100" w:type="nil"/>
              <w:right w:w="100" w:type="nil"/>
            </w:tcMar>
            <w:vAlign w:val="center"/>
          </w:tcPr>
          <w:p w14:paraId="0045B27D" w14:textId="77777777" w:rsidR="00E76581" w:rsidRPr="002D4D50" w:rsidRDefault="00E76581" w:rsidP="00DA6098">
            <w:pPr>
              <w:autoSpaceDE w:val="0"/>
              <w:autoSpaceDN w:val="0"/>
              <w:adjustRightInd w:val="0"/>
              <w:jc w:val="center"/>
            </w:pPr>
            <w:r w:rsidRPr="002D4D50">
              <w:t>172968</w:t>
            </w:r>
          </w:p>
        </w:tc>
        <w:tc>
          <w:tcPr>
            <w:tcW w:w="1652" w:type="dxa"/>
            <w:tcMar>
              <w:top w:w="100" w:type="nil"/>
              <w:right w:w="100" w:type="nil"/>
            </w:tcMar>
            <w:vAlign w:val="center"/>
          </w:tcPr>
          <w:p w14:paraId="0CDD19B7" w14:textId="77777777" w:rsidR="00E76581" w:rsidRPr="002D4D50" w:rsidRDefault="00E76581" w:rsidP="00DA6098">
            <w:pPr>
              <w:autoSpaceDE w:val="0"/>
              <w:autoSpaceDN w:val="0"/>
              <w:adjustRightInd w:val="0"/>
              <w:jc w:val="center"/>
            </w:pPr>
            <w:r w:rsidRPr="002D4D50">
              <w:t>168215</w:t>
            </w:r>
          </w:p>
        </w:tc>
        <w:tc>
          <w:tcPr>
            <w:tcW w:w="1652" w:type="dxa"/>
            <w:tcMar>
              <w:top w:w="100" w:type="nil"/>
              <w:right w:w="100" w:type="nil"/>
            </w:tcMar>
            <w:vAlign w:val="center"/>
          </w:tcPr>
          <w:p w14:paraId="19302CB8" w14:textId="77777777" w:rsidR="00E76581" w:rsidRPr="002D4D50" w:rsidRDefault="00E76581" w:rsidP="00DA6098">
            <w:pPr>
              <w:autoSpaceDE w:val="0"/>
              <w:autoSpaceDN w:val="0"/>
              <w:adjustRightInd w:val="0"/>
              <w:jc w:val="center"/>
            </w:pPr>
            <w:r w:rsidRPr="002D4D50">
              <w:t>173397</w:t>
            </w:r>
          </w:p>
        </w:tc>
        <w:tc>
          <w:tcPr>
            <w:tcW w:w="1652" w:type="dxa"/>
            <w:tcMar>
              <w:top w:w="100" w:type="nil"/>
              <w:right w:w="100" w:type="nil"/>
            </w:tcMar>
            <w:vAlign w:val="center"/>
          </w:tcPr>
          <w:p w14:paraId="68304947" w14:textId="77777777" w:rsidR="00E76581" w:rsidRPr="002D4D50" w:rsidRDefault="00E76581" w:rsidP="00DA6098">
            <w:pPr>
              <w:autoSpaceDE w:val="0"/>
              <w:autoSpaceDN w:val="0"/>
              <w:adjustRightInd w:val="0"/>
              <w:jc w:val="center"/>
            </w:pPr>
            <w:r w:rsidRPr="002D4D50">
              <w:t>172662</w:t>
            </w:r>
          </w:p>
        </w:tc>
        <w:tc>
          <w:tcPr>
            <w:tcW w:w="1652" w:type="dxa"/>
            <w:tcMar>
              <w:top w:w="100" w:type="nil"/>
              <w:right w:w="100" w:type="nil"/>
            </w:tcMar>
            <w:vAlign w:val="center"/>
          </w:tcPr>
          <w:p w14:paraId="1F780D76" w14:textId="77777777" w:rsidR="00E76581" w:rsidRPr="002D4D50" w:rsidRDefault="00E76581" w:rsidP="00DA6098">
            <w:pPr>
              <w:autoSpaceDE w:val="0"/>
              <w:autoSpaceDN w:val="0"/>
              <w:adjustRightInd w:val="0"/>
              <w:jc w:val="center"/>
            </w:pPr>
            <w:r w:rsidRPr="002D4D50">
              <w:t>167432</w:t>
            </w:r>
          </w:p>
        </w:tc>
      </w:tr>
      <w:tr w:rsidR="00E76581" w:rsidRPr="002D4D50" w14:paraId="5C19FC6E" w14:textId="77777777" w:rsidTr="00DA6098">
        <w:trPr>
          <w:trHeight w:val="601"/>
        </w:trPr>
        <w:tc>
          <w:tcPr>
            <w:tcW w:w="1818" w:type="dxa"/>
            <w:tcMar>
              <w:top w:w="100" w:type="nil"/>
              <w:right w:w="100" w:type="nil"/>
            </w:tcMar>
            <w:vAlign w:val="center"/>
          </w:tcPr>
          <w:p w14:paraId="049B8D57" w14:textId="77777777" w:rsidR="00E76581" w:rsidRPr="002D4D50" w:rsidRDefault="00E76581" w:rsidP="00DA6098">
            <w:pPr>
              <w:autoSpaceDE w:val="0"/>
              <w:autoSpaceDN w:val="0"/>
              <w:adjustRightInd w:val="0"/>
              <w:rPr>
                <w:lang w:val="en-US"/>
              </w:rPr>
            </w:pPr>
            <w:r w:rsidRPr="002D4D50">
              <w:rPr>
                <w:rFonts w:eastAsiaTheme="minorHAnsi"/>
                <w:lang w:val="en-US"/>
              </w:rPr>
              <w:t>Country-Year fixed effects included</w:t>
            </w:r>
          </w:p>
        </w:tc>
        <w:tc>
          <w:tcPr>
            <w:tcW w:w="1652" w:type="dxa"/>
            <w:tcMar>
              <w:top w:w="100" w:type="nil"/>
              <w:right w:w="100" w:type="nil"/>
            </w:tcMar>
            <w:vAlign w:val="center"/>
          </w:tcPr>
          <w:p w14:paraId="5E89E91E" w14:textId="77777777" w:rsidR="00E76581" w:rsidRPr="002D4D50" w:rsidRDefault="00E76581" w:rsidP="00DA6098">
            <w:pPr>
              <w:autoSpaceDE w:val="0"/>
              <w:autoSpaceDN w:val="0"/>
              <w:adjustRightInd w:val="0"/>
              <w:jc w:val="center"/>
            </w:pPr>
            <w:r w:rsidRPr="002D4D50">
              <w:rPr>
                <w:lang w:val="en-US"/>
              </w:rPr>
              <w:t>Yes</w:t>
            </w:r>
          </w:p>
        </w:tc>
        <w:tc>
          <w:tcPr>
            <w:tcW w:w="1652" w:type="dxa"/>
            <w:tcMar>
              <w:top w:w="100" w:type="nil"/>
              <w:right w:w="100" w:type="nil"/>
            </w:tcMar>
            <w:vAlign w:val="center"/>
          </w:tcPr>
          <w:p w14:paraId="6BC10BAC" w14:textId="77777777" w:rsidR="00E76581" w:rsidRPr="002D4D50" w:rsidRDefault="00E76581" w:rsidP="00DA6098">
            <w:pPr>
              <w:autoSpaceDE w:val="0"/>
              <w:autoSpaceDN w:val="0"/>
              <w:adjustRightInd w:val="0"/>
              <w:jc w:val="center"/>
            </w:pPr>
            <w:r w:rsidRPr="002D4D50">
              <w:rPr>
                <w:lang w:val="en-US"/>
              </w:rPr>
              <w:t>Yes</w:t>
            </w:r>
          </w:p>
        </w:tc>
        <w:tc>
          <w:tcPr>
            <w:tcW w:w="1652" w:type="dxa"/>
            <w:tcMar>
              <w:top w:w="100" w:type="nil"/>
              <w:right w:w="100" w:type="nil"/>
            </w:tcMar>
            <w:vAlign w:val="center"/>
          </w:tcPr>
          <w:p w14:paraId="67E9B546" w14:textId="77777777" w:rsidR="00E76581" w:rsidRPr="002D4D50" w:rsidRDefault="00E76581" w:rsidP="00DA6098">
            <w:pPr>
              <w:autoSpaceDE w:val="0"/>
              <w:autoSpaceDN w:val="0"/>
              <w:adjustRightInd w:val="0"/>
              <w:jc w:val="center"/>
            </w:pPr>
            <w:r w:rsidRPr="002D4D50">
              <w:rPr>
                <w:lang w:val="en-US"/>
              </w:rPr>
              <w:t>Yes</w:t>
            </w:r>
          </w:p>
        </w:tc>
        <w:tc>
          <w:tcPr>
            <w:tcW w:w="1652" w:type="dxa"/>
            <w:tcMar>
              <w:top w:w="100" w:type="nil"/>
              <w:right w:w="100" w:type="nil"/>
            </w:tcMar>
            <w:vAlign w:val="center"/>
          </w:tcPr>
          <w:p w14:paraId="0BDC3EEF" w14:textId="77777777" w:rsidR="00E76581" w:rsidRPr="002D4D50" w:rsidRDefault="00E76581" w:rsidP="00DA6098">
            <w:pPr>
              <w:autoSpaceDE w:val="0"/>
              <w:autoSpaceDN w:val="0"/>
              <w:adjustRightInd w:val="0"/>
              <w:jc w:val="center"/>
            </w:pPr>
            <w:r w:rsidRPr="002D4D50">
              <w:rPr>
                <w:lang w:val="en-US"/>
              </w:rPr>
              <w:t>Yes</w:t>
            </w:r>
          </w:p>
        </w:tc>
        <w:tc>
          <w:tcPr>
            <w:tcW w:w="1652" w:type="dxa"/>
            <w:tcMar>
              <w:top w:w="100" w:type="nil"/>
              <w:right w:w="100" w:type="nil"/>
            </w:tcMar>
            <w:vAlign w:val="center"/>
          </w:tcPr>
          <w:p w14:paraId="1B671E02" w14:textId="77777777" w:rsidR="00E76581" w:rsidRPr="002D4D50" w:rsidRDefault="00E76581" w:rsidP="00DA6098">
            <w:pPr>
              <w:autoSpaceDE w:val="0"/>
              <w:autoSpaceDN w:val="0"/>
              <w:adjustRightInd w:val="0"/>
              <w:jc w:val="center"/>
            </w:pPr>
            <w:r w:rsidRPr="002D4D50">
              <w:rPr>
                <w:lang w:val="en-US"/>
              </w:rPr>
              <w:t>Yes</w:t>
            </w:r>
          </w:p>
        </w:tc>
        <w:tc>
          <w:tcPr>
            <w:tcW w:w="1652" w:type="dxa"/>
            <w:tcMar>
              <w:top w:w="100" w:type="nil"/>
              <w:right w:w="100" w:type="nil"/>
            </w:tcMar>
            <w:vAlign w:val="center"/>
          </w:tcPr>
          <w:p w14:paraId="5DF6FBA1" w14:textId="77777777" w:rsidR="00E76581" w:rsidRPr="002D4D50" w:rsidRDefault="00E76581" w:rsidP="00DA6098">
            <w:pPr>
              <w:autoSpaceDE w:val="0"/>
              <w:autoSpaceDN w:val="0"/>
              <w:adjustRightInd w:val="0"/>
              <w:jc w:val="center"/>
            </w:pPr>
            <w:r w:rsidRPr="002D4D50">
              <w:rPr>
                <w:lang w:val="en-US"/>
              </w:rPr>
              <w:t>Yes</w:t>
            </w:r>
          </w:p>
        </w:tc>
        <w:tc>
          <w:tcPr>
            <w:tcW w:w="1652" w:type="dxa"/>
            <w:tcMar>
              <w:top w:w="100" w:type="nil"/>
              <w:right w:w="100" w:type="nil"/>
            </w:tcMar>
            <w:vAlign w:val="center"/>
          </w:tcPr>
          <w:p w14:paraId="67204593" w14:textId="77777777" w:rsidR="00E76581" w:rsidRPr="002D4D50" w:rsidRDefault="00E76581" w:rsidP="00DA6098">
            <w:pPr>
              <w:autoSpaceDE w:val="0"/>
              <w:autoSpaceDN w:val="0"/>
              <w:adjustRightInd w:val="0"/>
              <w:jc w:val="center"/>
            </w:pPr>
            <w:r w:rsidRPr="002D4D50">
              <w:rPr>
                <w:lang w:val="en-US"/>
              </w:rPr>
              <w:t>Yes</w:t>
            </w:r>
          </w:p>
        </w:tc>
      </w:tr>
      <w:tr w:rsidR="00E76581" w:rsidRPr="002D4D50" w14:paraId="6D3487DA" w14:textId="77777777" w:rsidTr="00DA6098">
        <w:trPr>
          <w:trHeight w:val="271"/>
        </w:trPr>
        <w:tc>
          <w:tcPr>
            <w:tcW w:w="1818" w:type="dxa"/>
            <w:tcBorders>
              <w:bottom w:val="single" w:sz="8" w:space="0" w:color="auto"/>
            </w:tcBorders>
            <w:tcMar>
              <w:top w:w="100" w:type="nil"/>
              <w:right w:w="100" w:type="nil"/>
            </w:tcMar>
            <w:vAlign w:val="center"/>
          </w:tcPr>
          <w:p w14:paraId="6BF5F49B" w14:textId="77777777" w:rsidR="00E76581" w:rsidRPr="002D4D50" w:rsidRDefault="00E76581" w:rsidP="00DA6098">
            <w:pPr>
              <w:autoSpaceDE w:val="0"/>
              <w:autoSpaceDN w:val="0"/>
              <w:adjustRightInd w:val="0"/>
            </w:pPr>
            <w:r w:rsidRPr="002D4D50">
              <w:rPr>
                <w:i/>
                <w:iCs/>
              </w:rPr>
              <w:t>Pseudo R</w:t>
            </w:r>
            <w:r w:rsidRPr="002D4D50">
              <w:rPr>
                <w:vertAlign w:val="superscript"/>
              </w:rPr>
              <w:t>2</w:t>
            </w:r>
          </w:p>
        </w:tc>
        <w:tc>
          <w:tcPr>
            <w:tcW w:w="1652" w:type="dxa"/>
            <w:tcBorders>
              <w:bottom w:val="single" w:sz="8" w:space="0" w:color="auto"/>
            </w:tcBorders>
            <w:tcMar>
              <w:top w:w="100" w:type="nil"/>
              <w:right w:w="100" w:type="nil"/>
            </w:tcMar>
            <w:vAlign w:val="center"/>
          </w:tcPr>
          <w:p w14:paraId="55B5C6AF" w14:textId="77777777" w:rsidR="00E76581" w:rsidRPr="002D4D50" w:rsidRDefault="00E76581" w:rsidP="00DA6098">
            <w:pPr>
              <w:autoSpaceDE w:val="0"/>
              <w:autoSpaceDN w:val="0"/>
              <w:adjustRightInd w:val="0"/>
              <w:jc w:val="center"/>
            </w:pPr>
            <w:r w:rsidRPr="002D4D50">
              <w:rPr>
                <w:rFonts w:eastAsiaTheme="minorHAnsi"/>
                <w:lang w:val="en-US"/>
              </w:rPr>
              <w:t>0.1869</w:t>
            </w:r>
          </w:p>
        </w:tc>
        <w:tc>
          <w:tcPr>
            <w:tcW w:w="1652" w:type="dxa"/>
            <w:tcBorders>
              <w:bottom w:val="single" w:sz="8" w:space="0" w:color="auto"/>
            </w:tcBorders>
            <w:tcMar>
              <w:top w:w="100" w:type="nil"/>
              <w:right w:w="100" w:type="nil"/>
            </w:tcMar>
            <w:vAlign w:val="center"/>
          </w:tcPr>
          <w:p w14:paraId="39940277" w14:textId="77777777" w:rsidR="00E76581" w:rsidRPr="002D4D50" w:rsidRDefault="00E76581" w:rsidP="00DA6098">
            <w:pPr>
              <w:autoSpaceDE w:val="0"/>
              <w:autoSpaceDN w:val="0"/>
              <w:adjustRightInd w:val="0"/>
              <w:jc w:val="center"/>
            </w:pPr>
            <w:r w:rsidRPr="002D4D50">
              <w:rPr>
                <w:rFonts w:eastAsiaTheme="minorHAnsi"/>
                <w:lang w:val="en-US"/>
              </w:rPr>
              <w:t>0.1871</w:t>
            </w:r>
          </w:p>
        </w:tc>
        <w:tc>
          <w:tcPr>
            <w:tcW w:w="1652" w:type="dxa"/>
            <w:tcBorders>
              <w:bottom w:val="single" w:sz="8" w:space="0" w:color="auto"/>
            </w:tcBorders>
            <w:tcMar>
              <w:top w:w="100" w:type="nil"/>
              <w:right w:w="100" w:type="nil"/>
            </w:tcMar>
            <w:vAlign w:val="center"/>
          </w:tcPr>
          <w:p w14:paraId="7E2F4F5E" w14:textId="77777777" w:rsidR="00E76581" w:rsidRPr="002D4D50" w:rsidRDefault="00E76581" w:rsidP="00DA6098">
            <w:pPr>
              <w:autoSpaceDE w:val="0"/>
              <w:autoSpaceDN w:val="0"/>
              <w:adjustRightInd w:val="0"/>
              <w:jc w:val="center"/>
            </w:pPr>
            <w:r w:rsidRPr="002D4D50">
              <w:rPr>
                <w:rFonts w:eastAsiaTheme="minorHAnsi"/>
                <w:lang w:val="en-US"/>
              </w:rPr>
              <w:t>0.1837</w:t>
            </w:r>
          </w:p>
        </w:tc>
        <w:tc>
          <w:tcPr>
            <w:tcW w:w="1652" w:type="dxa"/>
            <w:tcBorders>
              <w:bottom w:val="single" w:sz="8" w:space="0" w:color="auto"/>
            </w:tcBorders>
            <w:tcMar>
              <w:top w:w="100" w:type="nil"/>
              <w:right w:w="100" w:type="nil"/>
            </w:tcMar>
            <w:vAlign w:val="center"/>
          </w:tcPr>
          <w:p w14:paraId="7804B591" w14:textId="77777777" w:rsidR="00E76581" w:rsidRPr="002D4D50" w:rsidRDefault="00E76581" w:rsidP="00DA6098">
            <w:pPr>
              <w:autoSpaceDE w:val="0"/>
              <w:autoSpaceDN w:val="0"/>
              <w:adjustRightInd w:val="0"/>
              <w:jc w:val="center"/>
            </w:pPr>
            <w:r w:rsidRPr="002D4D50">
              <w:rPr>
                <w:rFonts w:eastAsiaTheme="minorHAnsi"/>
                <w:lang w:val="en-US"/>
              </w:rPr>
              <w:t>0.1823</w:t>
            </w:r>
          </w:p>
        </w:tc>
        <w:tc>
          <w:tcPr>
            <w:tcW w:w="1652" w:type="dxa"/>
            <w:tcBorders>
              <w:bottom w:val="single" w:sz="8" w:space="0" w:color="auto"/>
            </w:tcBorders>
            <w:tcMar>
              <w:top w:w="100" w:type="nil"/>
              <w:right w:w="100" w:type="nil"/>
            </w:tcMar>
            <w:vAlign w:val="center"/>
          </w:tcPr>
          <w:p w14:paraId="67B67595" w14:textId="77777777" w:rsidR="00E76581" w:rsidRPr="002D4D50" w:rsidRDefault="00E76581" w:rsidP="00DA6098">
            <w:pPr>
              <w:autoSpaceDE w:val="0"/>
              <w:autoSpaceDN w:val="0"/>
              <w:adjustRightInd w:val="0"/>
              <w:jc w:val="center"/>
            </w:pPr>
            <w:r w:rsidRPr="002D4D50">
              <w:rPr>
                <w:rFonts w:eastAsiaTheme="minorHAnsi"/>
                <w:lang w:val="en-US"/>
              </w:rPr>
              <w:t>0.1884</w:t>
            </w:r>
          </w:p>
        </w:tc>
        <w:tc>
          <w:tcPr>
            <w:tcW w:w="1652" w:type="dxa"/>
            <w:tcBorders>
              <w:bottom w:val="single" w:sz="8" w:space="0" w:color="auto"/>
            </w:tcBorders>
            <w:tcMar>
              <w:top w:w="100" w:type="nil"/>
              <w:right w:w="100" w:type="nil"/>
            </w:tcMar>
            <w:vAlign w:val="center"/>
          </w:tcPr>
          <w:p w14:paraId="5DC9C359" w14:textId="77777777" w:rsidR="00E76581" w:rsidRPr="002D4D50" w:rsidRDefault="00E76581" w:rsidP="00DA6098">
            <w:pPr>
              <w:autoSpaceDE w:val="0"/>
              <w:autoSpaceDN w:val="0"/>
              <w:adjustRightInd w:val="0"/>
              <w:jc w:val="center"/>
            </w:pPr>
            <w:r w:rsidRPr="002D4D50">
              <w:rPr>
                <w:rFonts w:eastAsiaTheme="minorHAnsi"/>
                <w:lang w:val="en-US"/>
              </w:rPr>
              <w:t>0.1886</w:t>
            </w:r>
          </w:p>
        </w:tc>
        <w:tc>
          <w:tcPr>
            <w:tcW w:w="1652" w:type="dxa"/>
            <w:tcBorders>
              <w:bottom w:val="single" w:sz="8" w:space="0" w:color="auto"/>
            </w:tcBorders>
            <w:tcMar>
              <w:top w:w="100" w:type="nil"/>
              <w:right w:w="100" w:type="nil"/>
            </w:tcMar>
            <w:vAlign w:val="center"/>
          </w:tcPr>
          <w:p w14:paraId="20580E97" w14:textId="77777777" w:rsidR="00E76581" w:rsidRPr="002D4D50" w:rsidRDefault="00E76581" w:rsidP="00DA6098">
            <w:pPr>
              <w:autoSpaceDE w:val="0"/>
              <w:autoSpaceDN w:val="0"/>
              <w:adjustRightInd w:val="0"/>
              <w:jc w:val="center"/>
            </w:pPr>
            <w:r w:rsidRPr="002D4D50">
              <w:rPr>
                <w:rFonts w:eastAsiaTheme="minorHAnsi"/>
                <w:lang w:val="en-US"/>
              </w:rPr>
              <w:t>0.1891</w:t>
            </w:r>
          </w:p>
        </w:tc>
      </w:tr>
    </w:tbl>
    <w:p w14:paraId="71A3969A" w14:textId="2140D7B9" w:rsidR="00984DCC" w:rsidRPr="002D4D50" w:rsidRDefault="00984DCC" w:rsidP="000A1E0E">
      <w:pPr>
        <w:widowControl w:val="0"/>
        <w:autoSpaceDE w:val="0"/>
        <w:autoSpaceDN w:val="0"/>
        <w:adjustRightInd w:val="0"/>
        <w:rPr>
          <w:lang w:val="en-US"/>
        </w:rPr>
        <w:sectPr w:rsidR="00984DCC" w:rsidRPr="002D4D50" w:rsidSect="00F36515">
          <w:pgSz w:w="15840" w:h="12240" w:orient="landscape"/>
          <w:pgMar w:top="1800" w:right="1440" w:bottom="1800" w:left="1440" w:header="708" w:footer="708" w:gutter="0"/>
          <w:cols w:space="708"/>
          <w:docGrid w:linePitch="360"/>
        </w:sectPr>
      </w:pPr>
      <w:r w:rsidRPr="002D4D50">
        <w:rPr>
          <w:lang w:val="en-US"/>
        </w:rPr>
        <w:t xml:space="preserve">Notes: Standard errors in parentheses, </w:t>
      </w:r>
      <w:r w:rsidRPr="002D4D50">
        <w:rPr>
          <w:vertAlign w:val="superscript"/>
          <w:lang w:val="en-US"/>
        </w:rPr>
        <w:t>*</w:t>
      </w:r>
      <w:r w:rsidRPr="002D4D50">
        <w:rPr>
          <w:lang w:val="en-US"/>
        </w:rPr>
        <w:t xml:space="preserve"> </w:t>
      </w:r>
      <w:r w:rsidRPr="002D4D50">
        <w:rPr>
          <w:i/>
          <w:iCs/>
          <w:lang w:val="en-US"/>
        </w:rPr>
        <w:t>p</w:t>
      </w:r>
      <w:r w:rsidRPr="002D4D50">
        <w:rPr>
          <w:lang w:val="en-US"/>
        </w:rPr>
        <w:t xml:space="preserve"> &lt; 0.10, </w:t>
      </w:r>
      <w:r w:rsidRPr="002D4D50">
        <w:rPr>
          <w:vertAlign w:val="superscript"/>
          <w:lang w:val="en-US"/>
        </w:rPr>
        <w:t>**</w:t>
      </w:r>
      <w:r w:rsidRPr="002D4D50">
        <w:rPr>
          <w:lang w:val="en-US"/>
        </w:rPr>
        <w:t xml:space="preserve"> </w:t>
      </w:r>
      <w:r w:rsidRPr="002D4D50">
        <w:rPr>
          <w:i/>
          <w:iCs/>
          <w:lang w:val="en-US"/>
        </w:rPr>
        <w:t>p</w:t>
      </w:r>
      <w:r w:rsidRPr="002D4D50">
        <w:rPr>
          <w:lang w:val="en-US"/>
        </w:rPr>
        <w:t xml:space="preserve"> &lt; 0.05, </w:t>
      </w:r>
      <w:r w:rsidRPr="002D4D50">
        <w:rPr>
          <w:vertAlign w:val="superscript"/>
          <w:lang w:val="en-US"/>
        </w:rPr>
        <w:t>***</w:t>
      </w:r>
      <w:r w:rsidRPr="002D4D50">
        <w:rPr>
          <w:lang w:val="en-US"/>
        </w:rPr>
        <w:t xml:space="preserve"> </w:t>
      </w:r>
      <w:r w:rsidRPr="002D4D50">
        <w:rPr>
          <w:i/>
          <w:iCs/>
          <w:lang w:val="en-US"/>
        </w:rPr>
        <w:t>p</w:t>
      </w:r>
      <w:r w:rsidRPr="002D4D50">
        <w:rPr>
          <w:lang w:val="en-US"/>
        </w:rPr>
        <w:t xml:space="preserve"> &lt; 0.01. Income reference category: Living comfortably on present income. Source: ESS 2002-</w:t>
      </w:r>
      <w:r w:rsidR="009D7A23" w:rsidRPr="002D4D50">
        <w:rPr>
          <w:lang w:val="en-US"/>
        </w:rPr>
        <w:t>2018</w:t>
      </w:r>
      <w:r w:rsidRPr="002D4D50">
        <w:rPr>
          <w:lang w:val="en-US"/>
        </w:rPr>
        <w:t xml:space="preserve">. </w:t>
      </w:r>
      <w:r w:rsidR="000A1E0E" w:rsidRPr="002D4D50">
        <w:rPr>
          <w:lang w:val="en-US"/>
        </w:rPr>
        <w:t xml:space="preserve">See Appendix Table 8 also reporting p &lt; 0.001. </w:t>
      </w:r>
    </w:p>
    <w:p w14:paraId="786E18F5" w14:textId="31F633BE" w:rsidR="00F36515" w:rsidRPr="002D4D50" w:rsidRDefault="00F36515" w:rsidP="00ED02A7">
      <w:pPr>
        <w:spacing w:line="480" w:lineRule="auto"/>
        <w:jc w:val="both"/>
      </w:pPr>
      <w:r w:rsidRPr="002D4D50">
        <w:lastRenderedPageBreak/>
        <w:t>Turning to our control variables, our results indicate that employment status does not affect the probability to vote for the far right</w:t>
      </w:r>
      <w:r w:rsidR="003B2E6C" w:rsidRPr="002D4D50">
        <w:rPr>
          <w:rStyle w:val="FootnoteReference"/>
        </w:rPr>
        <w:footnoteReference w:id="4"/>
      </w:r>
      <w:r w:rsidRPr="002D4D50">
        <w:t xml:space="preserve">. Subjective economic grievance indicators on the other hand </w:t>
      </w:r>
      <w:r w:rsidR="009D2C77" w:rsidRPr="002D4D50">
        <w:t>yield</w:t>
      </w:r>
      <w:r w:rsidR="00A14B7F" w:rsidRPr="002D4D50">
        <w:t xml:space="preserve"> mixed results</w:t>
      </w:r>
      <w:r w:rsidRPr="002D4D50">
        <w:t>. Those in the middle categories, i.e.</w:t>
      </w:r>
      <w:r w:rsidR="008F0231">
        <w:t>,</w:t>
      </w:r>
      <w:r w:rsidRPr="002D4D50">
        <w:t xml:space="preserve"> those who are coping and those who find it difficult on </w:t>
      </w:r>
      <w:r w:rsidR="008F50F3" w:rsidRPr="002D4D50">
        <w:t xml:space="preserve">their </w:t>
      </w:r>
      <w:r w:rsidRPr="002D4D50">
        <w:t>present income</w:t>
      </w:r>
      <w:r w:rsidR="008F50F3" w:rsidRPr="002D4D50">
        <w:t>,</w:t>
      </w:r>
      <w:r w:rsidRPr="002D4D50">
        <w:t xml:space="preserve"> are more likely to opt for the far right compared to those living comfortably. However, there is no difference between those who live comfortably on their present income</w:t>
      </w:r>
      <w:r w:rsidR="008F50F3" w:rsidRPr="002D4D50">
        <w:t xml:space="preserve"> (reference category)</w:t>
      </w:r>
      <w:r w:rsidRPr="002D4D50">
        <w:t xml:space="preserve"> and those who find it very difficult. When the variable is standardised, the </w:t>
      </w:r>
      <w:r w:rsidR="009D2C77" w:rsidRPr="002D4D50">
        <w:t>coefficient</w:t>
      </w:r>
      <w:r w:rsidRPr="002D4D50">
        <w:t xml:space="preserve"> is close to zero. This suggests that the </w:t>
      </w:r>
      <w:proofErr w:type="gramStart"/>
      <w:r w:rsidRPr="002D4D50">
        <w:t>far right</w:t>
      </w:r>
      <w:proofErr w:type="gramEnd"/>
      <w:r w:rsidRPr="002D4D50">
        <w:t xml:space="preserve"> vote is mostly related to perceptions of relative rather than absolute deprivation. </w:t>
      </w:r>
      <w:r w:rsidR="00AB78D8" w:rsidRPr="002D4D50">
        <w:t>Self-identified right-wing individuals are more likely to vote for the far right. S</w:t>
      </w:r>
      <w:r w:rsidRPr="002D4D50">
        <w:t>ocio-demographics also play a role</w:t>
      </w:r>
      <w:r w:rsidR="008F50F3" w:rsidRPr="002D4D50">
        <w:t>,</w:t>
      </w:r>
      <w:r w:rsidRPr="002D4D50">
        <w:t xml:space="preserve"> with older, less educated, male individuals living in rural areas being more likely to vote for the far right. </w:t>
      </w:r>
    </w:p>
    <w:p w14:paraId="2BECD4EE" w14:textId="77777777" w:rsidR="00040D50" w:rsidRPr="002D4D50" w:rsidRDefault="00040D50" w:rsidP="00ED02A7">
      <w:pPr>
        <w:spacing w:line="480" w:lineRule="auto"/>
        <w:jc w:val="both"/>
      </w:pPr>
    </w:p>
    <w:p w14:paraId="2CE73C9A" w14:textId="6D23021F" w:rsidR="00A8078E" w:rsidRPr="002D4D50" w:rsidRDefault="00A8078E" w:rsidP="00ED02A7">
      <w:pPr>
        <w:spacing w:line="480" w:lineRule="auto"/>
        <w:jc w:val="both"/>
      </w:pPr>
      <w:r w:rsidRPr="002D4D50">
        <w:br w:type="column"/>
      </w:r>
      <w:r w:rsidR="0098397F" w:rsidRPr="002D4D50">
        <w:lastRenderedPageBreak/>
        <w:t>We now turn to Hypotheses 2a and 2b according to which we expect</w:t>
      </w:r>
      <w:r w:rsidR="00623E0B" w:rsidRPr="002D4D50">
        <w:t xml:space="preserve"> positive evaluations of the democratic process to be associated with </w:t>
      </w:r>
      <w:proofErr w:type="gramStart"/>
      <w:r w:rsidR="00623E0B" w:rsidRPr="002D4D50">
        <w:t>far right</w:t>
      </w:r>
      <w:proofErr w:type="gramEnd"/>
      <w:r w:rsidR="00623E0B" w:rsidRPr="002D4D50">
        <w:t xml:space="preserve"> party support among core far right voters. </w:t>
      </w:r>
      <w:r w:rsidR="00AB78D8" w:rsidRPr="002D4D50">
        <w:t xml:space="preserve">Indeed, our models show that anti-immigrant individuals are significantly more likely to vote for the far right. </w:t>
      </w:r>
      <w:r w:rsidRPr="002D4D50">
        <w:t xml:space="preserve">While there is no clear cut-off point for the core far right party supporter, the predicted probability to vote for the far right sharply drops around immigration scores 3-4 (see appendix Figure </w:t>
      </w:r>
      <w:r w:rsidR="00ED10ED" w:rsidRPr="002D4D50">
        <w:t>5</w:t>
      </w:r>
      <w:r w:rsidRPr="002D4D50">
        <w:t>). It is noteworthy that approximately 29.6</w:t>
      </w:r>
      <w:r w:rsidR="001420FD" w:rsidRPr="002D4D50">
        <w:t>2</w:t>
      </w:r>
      <w:r w:rsidRPr="002D4D50">
        <w:t xml:space="preserve"> per cent of </w:t>
      </w:r>
      <w:proofErr w:type="gramStart"/>
      <w:r w:rsidRPr="002D4D50">
        <w:t>far right</w:t>
      </w:r>
      <w:proofErr w:type="gramEnd"/>
      <w:r w:rsidRPr="002D4D50">
        <w:t xml:space="preserve"> voters have scored 0-3 on immigration (for the frequency distribution of immigration attitudes among far right voters see appendix Figure </w:t>
      </w:r>
      <w:r w:rsidR="00ED10ED" w:rsidRPr="002D4D50">
        <w:t>6</w:t>
      </w:r>
      <w:r w:rsidRPr="002D4D50">
        <w:t>).</w:t>
      </w:r>
    </w:p>
    <w:p w14:paraId="01A06800" w14:textId="77777777" w:rsidR="00A8078E" w:rsidRPr="002D4D50" w:rsidRDefault="00A8078E" w:rsidP="00ED02A7">
      <w:pPr>
        <w:spacing w:line="480" w:lineRule="auto"/>
        <w:jc w:val="both"/>
      </w:pPr>
    </w:p>
    <w:p w14:paraId="1B772B8E" w14:textId="7B0774B2" w:rsidR="00BD4C10" w:rsidRPr="002D4D50" w:rsidRDefault="00DE5EC7" w:rsidP="00ED02A7">
      <w:pPr>
        <w:spacing w:line="480" w:lineRule="auto"/>
        <w:jc w:val="both"/>
      </w:pPr>
      <w:r w:rsidRPr="002D4D50">
        <w:t xml:space="preserve">Next, we </w:t>
      </w:r>
      <w:r w:rsidR="0098397F" w:rsidRPr="002D4D50">
        <w:t xml:space="preserve">interact </w:t>
      </w:r>
      <w:r w:rsidR="005C2870" w:rsidRPr="002D4D50">
        <w:t xml:space="preserve">immigration attitudes with </w:t>
      </w:r>
      <w:r w:rsidR="0098397F" w:rsidRPr="002D4D50">
        <w:t>institutional trust</w:t>
      </w:r>
      <w:r w:rsidR="008F50F3" w:rsidRPr="002D4D50">
        <w:t xml:space="preserve"> (</w:t>
      </w:r>
      <w:r w:rsidRPr="002D4D50">
        <w:t>diffuse</w:t>
      </w:r>
      <w:r w:rsidR="008F50F3" w:rsidRPr="002D4D50">
        <w:t>)</w:t>
      </w:r>
      <w:r w:rsidRPr="002D4D50">
        <w:t>;</w:t>
      </w:r>
      <w:r w:rsidR="008F50F3" w:rsidRPr="002D4D50">
        <w:t xml:space="preserve"> and</w:t>
      </w:r>
      <w:r w:rsidR="0098397F" w:rsidRPr="002D4D50">
        <w:t xml:space="preserve"> </w:t>
      </w:r>
      <w:r w:rsidR="00623E0B" w:rsidRPr="002D4D50">
        <w:t xml:space="preserve">satisfaction with system </w:t>
      </w:r>
      <w:r w:rsidR="002B6FA8" w:rsidRPr="002D4D50">
        <w:t>performance</w:t>
      </w:r>
      <w:r w:rsidR="0098397F" w:rsidRPr="002D4D50">
        <w:t>,</w:t>
      </w:r>
      <w:r w:rsidR="00623E0B" w:rsidRPr="002D4D50">
        <w:t xml:space="preserve"> and</w:t>
      </w:r>
      <w:r w:rsidR="0098397F" w:rsidRPr="002D4D50">
        <w:t xml:space="preserve"> </w:t>
      </w:r>
      <w:r w:rsidR="00840AD3" w:rsidRPr="002D4D50">
        <w:t>evaluations of education and</w:t>
      </w:r>
      <w:r w:rsidR="005C2870" w:rsidRPr="002D4D50">
        <w:t xml:space="preserve"> </w:t>
      </w:r>
      <w:r w:rsidR="00840AD3" w:rsidRPr="002D4D50">
        <w:t>health services</w:t>
      </w:r>
      <w:r w:rsidR="008F50F3" w:rsidRPr="002D4D50">
        <w:t xml:space="preserve"> (</w:t>
      </w:r>
      <w:r w:rsidRPr="002D4D50">
        <w:t>specific</w:t>
      </w:r>
      <w:r w:rsidR="008F50F3" w:rsidRPr="002D4D50">
        <w:t>)</w:t>
      </w:r>
      <w:r w:rsidR="005C2870" w:rsidRPr="002D4D50">
        <w:t xml:space="preserve"> (</w:t>
      </w:r>
      <w:r w:rsidR="002725DE" w:rsidRPr="002D4D50">
        <w:t>Appendix Table 3</w:t>
      </w:r>
      <w:r w:rsidR="005C2870" w:rsidRPr="002D4D50">
        <w:t>). All interaction terms are negative and statistically significant</w:t>
      </w:r>
      <w:r w:rsidR="008B50BC" w:rsidRPr="002D4D50">
        <w:t xml:space="preserve">, suggesting that </w:t>
      </w:r>
      <w:r w:rsidRPr="002D4D50">
        <w:t xml:space="preserve">positive evaluations of the democratic process </w:t>
      </w:r>
      <w:r w:rsidR="008B50BC" w:rsidRPr="002D4D50">
        <w:t>continu</w:t>
      </w:r>
      <w:r w:rsidR="00A87346" w:rsidRPr="002D4D50">
        <w:t>e</w:t>
      </w:r>
      <w:r w:rsidR="008B50BC" w:rsidRPr="002D4D50">
        <w:t xml:space="preserve"> to </w:t>
      </w:r>
      <w:r w:rsidR="009D2C77" w:rsidRPr="002D4D50">
        <w:t>be negatively associated with</w:t>
      </w:r>
      <w:r w:rsidR="008B50BC" w:rsidRPr="002D4D50">
        <w:t xml:space="preserve"> </w:t>
      </w:r>
      <w:proofErr w:type="gramStart"/>
      <w:r w:rsidR="008B50BC" w:rsidRPr="002D4D50">
        <w:t>far right</w:t>
      </w:r>
      <w:proofErr w:type="gramEnd"/>
      <w:r w:rsidR="008B50BC" w:rsidRPr="002D4D50">
        <w:t xml:space="preserve"> party support. </w:t>
      </w:r>
      <w:r w:rsidR="006230C1" w:rsidRPr="002D4D50">
        <w:t xml:space="preserve">Appendix </w:t>
      </w:r>
      <w:r w:rsidR="00CC6FD7" w:rsidRPr="002D4D50">
        <w:t xml:space="preserve">Figures 1a-b </w:t>
      </w:r>
      <w:r w:rsidR="006230C1" w:rsidRPr="002D4D50">
        <w:t xml:space="preserve">present the mean values of the four measures at different levels of immigration attitudes, comparing far right to non-far right voters. </w:t>
      </w:r>
      <w:r w:rsidR="00633273" w:rsidRPr="002D4D50">
        <w:t xml:space="preserve">As </w:t>
      </w:r>
      <w:r w:rsidR="00BD4C10" w:rsidRPr="002D4D50">
        <w:t xml:space="preserve">immigration </w:t>
      </w:r>
      <w:r w:rsidR="00633273" w:rsidRPr="002D4D50">
        <w:t>attitudes</w:t>
      </w:r>
      <w:r w:rsidR="00BD4C10" w:rsidRPr="002D4D50">
        <w:t xml:space="preserve"> become more positive, </w:t>
      </w:r>
      <w:r w:rsidR="00633273" w:rsidRPr="002D4D50">
        <w:t>respondents tend to</w:t>
      </w:r>
      <w:r w:rsidR="00BD4C10" w:rsidRPr="002D4D50">
        <w:t xml:space="preserve"> </w:t>
      </w:r>
      <w:r w:rsidR="00633273" w:rsidRPr="002D4D50">
        <w:t xml:space="preserve">evaluate the democratic process more positively </w:t>
      </w:r>
      <w:r w:rsidR="00BD4C10" w:rsidRPr="002D4D50">
        <w:t>both</w:t>
      </w:r>
      <w:r w:rsidR="00633273" w:rsidRPr="002D4D50">
        <w:t xml:space="preserve"> among the far right and non-far right electorate. Yet, </w:t>
      </w:r>
      <w:r w:rsidR="00BD4C10" w:rsidRPr="002D4D50">
        <w:t xml:space="preserve">this trend </w:t>
      </w:r>
      <w:r w:rsidR="00633273" w:rsidRPr="002D4D50">
        <w:t xml:space="preserve">tends to be </w:t>
      </w:r>
      <w:r w:rsidR="00BD4C10" w:rsidRPr="002D4D50">
        <w:t xml:space="preserve">more </w:t>
      </w:r>
      <w:r w:rsidR="00633273" w:rsidRPr="002D4D50">
        <w:t>prominent</w:t>
      </w:r>
      <w:r w:rsidR="00BD4C10" w:rsidRPr="002D4D50">
        <w:t xml:space="preserve"> among non-</w:t>
      </w:r>
      <w:r w:rsidR="00633273" w:rsidRPr="002D4D50">
        <w:t>far right</w:t>
      </w:r>
      <w:r w:rsidR="00BD4C10" w:rsidRPr="002D4D50">
        <w:t xml:space="preserve"> voters</w:t>
      </w:r>
      <w:r w:rsidR="00633273" w:rsidRPr="002D4D50">
        <w:t xml:space="preserve">. </w:t>
      </w:r>
    </w:p>
    <w:p w14:paraId="23CDB468" w14:textId="77777777" w:rsidR="00BD4C10" w:rsidRPr="002D4D50" w:rsidRDefault="00BD4C10" w:rsidP="00ED02A7">
      <w:pPr>
        <w:spacing w:line="480" w:lineRule="auto"/>
        <w:jc w:val="both"/>
      </w:pPr>
    </w:p>
    <w:p w14:paraId="781C88F1" w14:textId="6987C67E" w:rsidR="005C2870" w:rsidRPr="002D4D50" w:rsidRDefault="00824885" w:rsidP="003C1181">
      <w:r w:rsidRPr="00824885">
        <w:rPr>
          <w:noProof/>
        </w:rPr>
        <w:lastRenderedPageBreak/>
        <w:drawing>
          <wp:inline distT="0" distB="0" distL="0" distR="0" wp14:anchorId="18D6AE8F" wp14:editId="7EF3752B">
            <wp:extent cx="5029200" cy="3657600"/>
            <wp:effectExtent l="0" t="0" r="0" b="0"/>
            <wp:docPr id="1263695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695141" name=""/>
                    <pic:cNvPicPr/>
                  </pic:nvPicPr>
                  <pic:blipFill>
                    <a:blip r:embed="rId13"/>
                    <a:stretch>
                      <a:fillRect/>
                    </a:stretch>
                  </pic:blipFill>
                  <pic:spPr>
                    <a:xfrm>
                      <a:off x="0" y="0"/>
                      <a:ext cx="5029200" cy="3657600"/>
                    </a:xfrm>
                    <a:prstGeom prst="rect">
                      <a:avLst/>
                    </a:prstGeom>
                  </pic:spPr>
                </pic:pic>
              </a:graphicData>
            </a:graphic>
          </wp:inline>
        </w:drawing>
      </w:r>
    </w:p>
    <w:p w14:paraId="2D8D8659" w14:textId="49F67962" w:rsidR="002575DC" w:rsidRPr="002D4D50" w:rsidRDefault="005C2870" w:rsidP="003C1181">
      <w:r w:rsidRPr="002D4D50">
        <w:rPr>
          <w:b/>
        </w:rPr>
        <w:t xml:space="preserve">Figure </w:t>
      </w:r>
      <w:r w:rsidR="002A091F" w:rsidRPr="002D4D50">
        <w:rPr>
          <w:b/>
        </w:rPr>
        <w:t>2</w:t>
      </w:r>
      <w:r w:rsidR="00276277" w:rsidRPr="002D4D50">
        <w:rPr>
          <w:b/>
        </w:rPr>
        <w:t>:</w:t>
      </w:r>
      <w:r w:rsidRPr="002D4D50">
        <w:t xml:space="preserve"> </w:t>
      </w:r>
      <w:r w:rsidR="002A119D" w:rsidRPr="002D4D50">
        <w:t xml:space="preserve">Average marginal effects of </w:t>
      </w:r>
      <w:r w:rsidR="00623E0B" w:rsidRPr="002D4D50">
        <w:t>evaluations of</w:t>
      </w:r>
      <w:r w:rsidR="00DE5EC7" w:rsidRPr="002D4D50">
        <w:t xml:space="preserve"> the democratic process </w:t>
      </w:r>
      <w:r w:rsidR="002575DC" w:rsidRPr="002D4D50">
        <w:t>conditional on immigration attitudes</w:t>
      </w:r>
      <w:r w:rsidR="007F703C" w:rsidRPr="002D4D50">
        <w:t xml:space="preserve">. Immigration: 0=anti-immigrant; 10=pro-immigrant. </w:t>
      </w:r>
    </w:p>
    <w:p w14:paraId="4DFD22A5" w14:textId="3DB180EA" w:rsidR="00AA6E1C" w:rsidRPr="002D4D50" w:rsidRDefault="005C2870" w:rsidP="003C1181">
      <w:r w:rsidRPr="002D4D50">
        <w:t>Note: Estimat</w:t>
      </w:r>
      <w:r w:rsidR="002A091F" w:rsidRPr="002D4D50">
        <w:t>es</w:t>
      </w:r>
      <w:r w:rsidRPr="002D4D50">
        <w:t xml:space="preserve"> from multilevel logistic random-intercept models (</w:t>
      </w:r>
      <w:r w:rsidR="00396B1F" w:rsidRPr="002D4D50">
        <w:t xml:space="preserve">Models in Appendix </w:t>
      </w:r>
      <w:r w:rsidR="002A091F" w:rsidRPr="002D4D50">
        <w:t>Table</w:t>
      </w:r>
      <w:r w:rsidR="00396B1F" w:rsidRPr="002D4D50">
        <w:t xml:space="preserve"> 3</w:t>
      </w:r>
      <w:r w:rsidRPr="002D4D50">
        <w:t>).</w:t>
      </w:r>
      <w:r w:rsidR="00AA6E1C" w:rsidRPr="002D4D50">
        <w:t xml:space="preserve"> </w:t>
      </w:r>
      <w:r w:rsidR="00D04DEC" w:rsidRPr="002D4D50">
        <w:t xml:space="preserve">Source: </w:t>
      </w:r>
      <w:r w:rsidR="00AA6E1C" w:rsidRPr="002D4D50">
        <w:t>ESS 2002 to 201</w:t>
      </w:r>
      <w:r w:rsidR="00582C08" w:rsidRPr="002D4D50">
        <w:t>8</w:t>
      </w:r>
      <w:r w:rsidR="00AA6E1C" w:rsidRPr="002D4D50">
        <w:t>.</w:t>
      </w:r>
    </w:p>
    <w:p w14:paraId="6DE90415" w14:textId="52ABA8F5" w:rsidR="005C2870" w:rsidRPr="002D4D50" w:rsidRDefault="005C2870" w:rsidP="003C1181">
      <w:pPr>
        <w:jc w:val="both"/>
      </w:pPr>
    </w:p>
    <w:p w14:paraId="4B5BF33F" w14:textId="10548715" w:rsidR="007E5E10" w:rsidRPr="002D4D50" w:rsidRDefault="002575DC" w:rsidP="00ED02A7">
      <w:pPr>
        <w:spacing w:line="480" w:lineRule="auto"/>
        <w:jc w:val="both"/>
      </w:pPr>
      <w:r w:rsidRPr="002D4D50">
        <w:t xml:space="preserve">However, plotting the average marginal effects of </w:t>
      </w:r>
      <w:r w:rsidR="007E5E10" w:rsidRPr="002D4D50">
        <w:t>each</w:t>
      </w:r>
      <w:r w:rsidRPr="002D4D50">
        <w:t xml:space="preserve"> measure o</w:t>
      </w:r>
      <w:r w:rsidR="007E5E10" w:rsidRPr="002D4D50">
        <w:t>n</w:t>
      </w:r>
      <w:r w:rsidR="00623E0B" w:rsidRPr="002D4D50">
        <w:t xml:space="preserve"> </w:t>
      </w:r>
      <w:proofErr w:type="gramStart"/>
      <w:r w:rsidR="00623E0B" w:rsidRPr="002D4D50">
        <w:t>far right</w:t>
      </w:r>
      <w:proofErr w:type="gramEnd"/>
      <w:r w:rsidR="00623E0B" w:rsidRPr="002D4D50">
        <w:t xml:space="preserve"> party</w:t>
      </w:r>
      <w:r w:rsidRPr="002D4D50">
        <w:t xml:space="preserve"> voting behaviour at different values of immigration gives us a more nuanced picture</w:t>
      </w:r>
      <w:r w:rsidR="00623E0B" w:rsidRPr="002D4D50">
        <w:t xml:space="preserve"> (Figure 2)</w:t>
      </w:r>
      <w:r w:rsidRPr="002D4D50">
        <w:t xml:space="preserve">. </w:t>
      </w:r>
      <w:r w:rsidR="007F703C" w:rsidRPr="002D4D50">
        <w:t xml:space="preserve">Recall that low scores on the immigration scale signify anti-immigration attitudes. </w:t>
      </w:r>
      <w:r w:rsidR="00113FC5">
        <w:t>T</w:t>
      </w:r>
      <w:r w:rsidR="007E5E10" w:rsidRPr="002D4D50">
        <w:t>rust in institutions</w:t>
      </w:r>
      <w:r w:rsidR="00DE5EC7" w:rsidRPr="002D4D50">
        <w:t xml:space="preserve"> </w:t>
      </w:r>
      <w:r w:rsidRPr="002D4D50">
        <w:t>remains negative</w:t>
      </w:r>
      <w:r w:rsidR="009D2C77" w:rsidRPr="002D4D50">
        <w:t>ly associated</w:t>
      </w:r>
      <w:r w:rsidRPr="002D4D50">
        <w:t xml:space="preserve"> </w:t>
      </w:r>
      <w:r w:rsidR="00F264A4">
        <w:t xml:space="preserve">with far right voting </w:t>
      </w:r>
      <w:r w:rsidR="00D818B2" w:rsidRPr="002D4D50">
        <w:t>at</w:t>
      </w:r>
      <w:r w:rsidRPr="002D4D50">
        <w:t xml:space="preserve"> immigration values 3-10</w:t>
      </w:r>
      <w:r w:rsidR="00113FC5">
        <w:t xml:space="preserve"> </w:t>
      </w:r>
      <w:r w:rsidR="00113FC5" w:rsidRPr="002D4D50">
        <w:t>(top left panel in Figure 2)</w:t>
      </w:r>
      <w:r w:rsidR="009201BA" w:rsidRPr="002D4D50">
        <w:t xml:space="preserve">. Within this value range, one unit change in trust is associated with lower probability to vote for the far right. </w:t>
      </w:r>
      <w:r w:rsidR="00623E0B" w:rsidRPr="002D4D50">
        <w:t>In line with H2a,</w:t>
      </w:r>
      <w:r w:rsidR="009201BA" w:rsidRPr="002D4D50">
        <w:t xml:space="preserve"> we observe a positive</w:t>
      </w:r>
      <w:r w:rsidR="00293831" w:rsidRPr="002D4D50">
        <w:t xml:space="preserve"> and statistically significant</w:t>
      </w:r>
      <w:r w:rsidR="009201BA" w:rsidRPr="002D4D50">
        <w:t xml:space="preserve"> </w:t>
      </w:r>
      <w:r w:rsidR="009D2C77" w:rsidRPr="002D4D50">
        <w:t>relationship</w:t>
      </w:r>
      <w:r w:rsidRPr="002D4D50">
        <w:t xml:space="preserve"> </w:t>
      </w:r>
      <w:r w:rsidR="009201BA" w:rsidRPr="002D4D50">
        <w:t>at</w:t>
      </w:r>
      <w:r w:rsidRPr="002D4D50">
        <w:t xml:space="preserve"> </w:t>
      </w:r>
      <w:r w:rsidR="009201BA" w:rsidRPr="002D4D50">
        <w:t>immigration</w:t>
      </w:r>
      <w:r w:rsidRPr="002D4D50">
        <w:t xml:space="preserve"> value</w:t>
      </w:r>
      <w:r w:rsidR="0052614D" w:rsidRPr="002D4D50">
        <w:t>s</w:t>
      </w:r>
      <w:r w:rsidRPr="002D4D50">
        <w:t xml:space="preserve"> 0</w:t>
      </w:r>
      <w:r w:rsidR="0052614D" w:rsidRPr="002D4D50">
        <w:t xml:space="preserve"> and 1</w:t>
      </w:r>
      <w:r w:rsidRPr="002D4D50">
        <w:t xml:space="preserve"> i.e.</w:t>
      </w:r>
      <w:r w:rsidR="00F264A4">
        <w:t>,</w:t>
      </w:r>
      <w:r w:rsidRPr="002D4D50">
        <w:t xml:space="preserve"> </w:t>
      </w:r>
      <w:r w:rsidR="008D41B7" w:rsidRPr="002D4D50">
        <w:t xml:space="preserve">a </w:t>
      </w:r>
      <w:r w:rsidR="009201BA" w:rsidRPr="002D4D50">
        <w:t>one</w:t>
      </w:r>
      <w:r w:rsidR="006A6B5A" w:rsidRPr="002D4D50">
        <w:t>-</w:t>
      </w:r>
      <w:r w:rsidR="009201BA" w:rsidRPr="002D4D50">
        <w:t xml:space="preserve">unit change in trust results in higher probability to opt for the far right. </w:t>
      </w:r>
      <w:r w:rsidR="00623E0B" w:rsidRPr="002D4D50">
        <w:t xml:space="preserve">Interestingly, </w:t>
      </w:r>
      <w:r w:rsidR="00E42676" w:rsidRPr="002D4D50">
        <w:t xml:space="preserve">there is no statistically significant relationship at immigration value 2. </w:t>
      </w:r>
    </w:p>
    <w:p w14:paraId="1E2F2337" w14:textId="77777777" w:rsidR="007E5E10" w:rsidRPr="002D4D50" w:rsidRDefault="007E5E10" w:rsidP="00ED02A7">
      <w:pPr>
        <w:spacing w:line="480" w:lineRule="auto"/>
        <w:jc w:val="both"/>
      </w:pPr>
    </w:p>
    <w:p w14:paraId="2D9E95ED" w14:textId="63E85307" w:rsidR="00D818B2" w:rsidRPr="002D4D50" w:rsidRDefault="00E42676" w:rsidP="00ED02A7">
      <w:pPr>
        <w:spacing w:line="480" w:lineRule="auto"/>
        <w:jc w:val="both"/>
      </w:pPr>
      <w:r w:rsidRPr="002D4D50">
        <w:lastRenderedPageBreak/>
        <w:t>With</w:t>
      </w:r>
      <w:r w:rsidR="007E5E10" w:rsidRPr="002D4D50">
        <w:t xml:space="preserve"> regards to </w:t>
      </w:r>
      <w:r w:rsidRPr="002D4D50">
        <w:t>system</w:t>
      </w:r>
      <w:r w:rsidR="009D2C77" w:rsidRPr="002D4D50">
        <w:t xml:space="preserve"> </w:t>
      </w:r>
      <w:r w:rsidR="002B6FA8" w:rsidRPr="002D4D50">
        <w:t>performance satisfaction</w:t>
      </w:r>
      <w:r w:rsidR="00EE0843" w:rsidRPr="002D4D50">
        <w:t xml:space="preserve"> (</w:t>
      </w:r>
      <w:r w:rsidRPr="002D4D50">
        <w:t>top right panel in Figure 2</w:t>
      </w:r>
      <w:r w:rsidR="007E5E10" w:rsidRPr="002D4D50">
        <w:t>)</w:t>
      </w:r>
      <w:r w:rsidRPr="002D4D50">
        <w:t>, w</w:t>
      </w:r>
      <w:r w:rsidR="007E5E10" w:rsidRPr="002D4D50">
        <w:t xml:space="preserve">hile </w:t>
      </w:r>
      <w:r w:rsidR="009D2C77" w:rsidRPr="002D4D50">
        <w:t>it</w:t>
      </w:r>
      <w:r w:rsidR="00F91994" w:rsidRPr="002D4D50">
        <w:t xml:space="preserve"> is negative</w:t>
      </w:r>
      <w:r w:rsidR="009D2C77" w:rsidRPr="002D4D50">
        <w:t>ly associated</w:t>
      </w:r>
      <w:r w:rsidR="00F91994" w:rsidRPr="002D4D50">
        <w:t xml:space="preserve"> </w:t>
      </w:r>
      <w:r w:rsidR="00F264A4">
        <w:t xml:space="preserve">with far right voting </w:t>
      </w:r>
      <w:r w:rsidR="00F91994" w:rsidRPr="002D4D50">
        <w:t xml:space="preserve">at immigration values </w:t>
      </w:r>
      <w:r w:rsidR="0052614D" w:rsidRPr="002D4D50">
        <w:t>2</w:t>
      </w:r>
      <w:r w:rsidR="00F91994" w:rsidRPr="002D4D50">
        <w:t xml:space="preserve">-10, it is not </w:t>
      </w:r>
      <w:r w:rsidR="007E5E10" w:rsidRPr="002D4D50">
        <w:t>statistically significant</w:t>
      </w:r>
      <w:r w:rsidR="00290522" w:rsidRPr="002D4D50">
        <w:t xml:space="preserve"> at immigration value</w:t>
      </w:r>
      <w:r w:rsidR="0052614D" w:rsidRPr="002D4D50">
        <w:t>s</w:t>
      </w:r>
      <w:r w:rsidR="00290522" w:rsidRPr="002D4D50">
        <w:t xml:space="preserve"> 0</w:t>
      </w:r>
      <w:r w:rsidR="0052614D" w:rsidRPr="002D4D50">
        <w:t xml:space="preserve"> and 1</w:t>
      </w:r>
      <w:r w:rsidRPr="002D4D50">
        <w:t>, thus not showing support for H2b for this specific measure</w:t>
      </w:r>
      <w:r w:rsidR="00290522" w:rsidRPr="002D4D50">
        <w:t>.</w:t>
      </w:r>
      <w:r w:rsidRPr="002D4D50">
        <w:t xml:space="preserve"> </w:t>
      </w:r>
      <w:r w:rsidR="00D818B2" w:rsidRPr="002D4D50">
        <w:t xml:space="preserve">With regards to </w:t>
      </w:r>
      <w:r w:rsidR="00385BDD" w:rsidRPr="002D4D50">
        <w:t>the</w:t>
      </w:r>
      <w:r w:rsidR="00D818B2" w:rsidRPr="002D4D50">
        <w:t xml:space="preserve"> two</w:t>
      </w:r>
      <w:r w:rsidR="00385BDD" w:rsidRPr="002D4D50">
        <w:t xml:space="preserve"> </w:t>
      </w:r>
      <w:r w:rsidR="00E35429" w:rsidRPr="002D4D50">
        <w:t>remaining</w:t>
      </w:r>
      <w:r w:rsidR="00385BDD" w:rsidRPr="002D4D50">
        <w:t xml:space="preserve"> measures of the </w:t>
      </w:r>
      <w:r w:rsidR="00EE0843" w:rsidRPr="002D4D50">
        <w:t>specific</w:t>
      </w:r>
      <w:r w:rsidR="00385BDD" w:rsidRPr="002D4D50">
        <w:t xml:space="preserve"> component</w:t>
      </w:r>
      <w:r w:rsidRPr="002D4D50">
        <w:t>, i.e.</w:t>
      </w:r>
      <w:r w:rsidR="00B640CB">
        <w:t>,</w:t>
      </w:r>
      <w:r w:rsidRPr="002D4D50">
        <w:t xml:space="preserve"> </w:t>
      </w:r>
      <w:r w:rsidR="00D62516" w:rsidRPr="002D4D50">
        <w:t>evaluations</w:t>
      </w:r>
      <w:r w:rsidR="00385BDD" w:rsidRPr="002D4D50">
        <w:t xml:space="preserve"> of the state of health and the state of education in their country, </w:t>
      </w:r>
      <w:r w:rsidRPr="002D4D50">
        <w:t xml:space="preserve">we find </w:t>
      </w:r>
      <w:r w:rsidR="00E706CD">
        <w:t xml:space="preserve">a </w:t>
      </w:r>
      <w:r w:rsidRPr="002D4D50">
        <w:t>similar pattern to that of trust in institutions. In line with H2b, we note a positive and statistically significant association among anti-immigrant respondents, i.e.</w:t>
      </w:r>
      <w:r w:rsidR="00B640CB">
        <w:t>,</w:t>
      </w:r>
      <w:r w:rsidRPr="002D4D50">
        <w:t xml:space="preserve"> at immigration values 0-2 regarding evaluations of the state of health and at immigration values 0-4 regarding evaluations of the state of education. Compared to institutional trust, the relationship here is more prominent among a broader range of immigration sceptics. T</w:t>
      </w:r>
      <w:r w:rsidR="00214FAC" w:rsidRPr="002D4D50">
        <w:t>here is</w:t>
      </w:r>
      <w:r w:rsidR="00D818B2" w:rsidRPr="002D4D50">
        <w:t xml:space="preserve"> </w:t>
      </w:r>
      <w:r w:rsidR="00214FAC" w:rsidRPr="002D4D50">
        <w:t xml:space="preserve">no statistically significant </w:t>
      </w:r>
      <w:r w:rsidR="00885BE9" w:rsidRPr="002D4D50">
        <w:t>relationship</w:t>
      </w:r>
      <w:r w:rsidR="00214FAC" w:rsidRPr="002D4D50">
        <w:t xml:space="preserve"> at immigration value 3 for health and 5-</w:t>
      </w:r>
      <w:r w:rsidR="00255276" w:rsidRPr="002D4D50">
        <w:t>7</w:t>
      </w:r>
      <w:r w:rsidR="00214FAC" w:rsidRPr="002D4D50">
        <w:t xml:space="preserve"> for education. We observe </w:t>
      </w:r>
      <w:r w:rsidR="00D818B2" w:rsidRPr="002D4D50">
        <w:t xml:space="preserve">a negative </w:t>
      </w:r>
      <w:r w:rsidR="00885BE9" w:rsidRPr="002D4D50">
        <w:t>association</w:t>
      </w:r>
      <w:r w:rsidR="00D818B2" w:rsidRPr="002D4D50">
        <w:t xml:space="preserve"> at immigration values 4-10 for health and </w:t>
      </w:r>
      <w:r w:rsidR="00254791" w:rsidRPr="002D4D50">
        <w:t>8</w:t>
      </w:r>
      <w:r w:rsidR="00D818B2" w:rsidRPr="002D4D50">
        <w:t xml:space="preserve">-10 for education. </w:t>
      </w:r>
      <w:r w:rsidR="00011AE7" w:rsidRPr="002D4D50">
        <w:t xml:space="preserve">We also plot the </w:t>
      </w:r>
      <w:r w:rsidR="00A56DA1" w:rsidRPr="002D4D50">
        <w:t>predicted probabilities</w:t>
      </w:r>
      <w:r w:rsidR="00011AE7" w:rsidRPr="002D4D50">
        <w:t xml:space="preserve"> for each of the values of immigration (Appendix, Figure </w:t>
      </w:r>
      <w:r w:rsidR="00CC6FD7" w:rsidRPr="002D4D50">
        <w:t>2</w:t>
      </w:r>
      <w:r w:rsidR="00011AE7" w:rsidRPr="002D4D50">
        <w:t>a-d). We similarly observe</w:t>
      </w:r>
      <w:r w:rsidR="00D818B2" w:rsidRPr="002D4D50">
        <w:t xml:space="preserve"> that</w:t>
      </w:r>
      <w:r w:rsidR="002D5B23" w:rsidRPr="002D4D50">
        <w:t xml:space="preserve"> the</w:t>
      </w:r>
      <w:r w:rsidR="00D818B2" w:rsidRPr="002D4D50">
        <w:t xml:space="preserve"> </w:t>
      </w:r>
      <w:r w:rsidR="00885BE9" w:rsidRPr="002D4D50">
        <w:t>association between</w:t>
      </w:r>
      <w:r w:rsidR="002D5B23" w:rsidRPr="002D4D50">
        <w:t xml:space="preserve"> the </w:t>
      </w:r>
      <w:r w:rsidR="00EE0843" w:rsidRPr="002D4D50">
        <w:t>diffuse</w:t>
      </w:r>
      <w:r w:rsidR="002D5B23" w:rsidRPr="002D4D50">
        <w:t xml:space="preserve"> and </w:t>
      </w:r>
      <w:r w:rsidR="00EE0843" w:rsidRPr="002D4D50">
        <w:t>specific</w:t>
      </w:r>
      <w:r w:rsidR="002D5B23" w:rsidRPr="002D4D50">
        <w:t xml:space="preserve"> components of the </w:t>
      </w:r>
      <w:r w:rsidR="00B95823" w:rsidRPr="002D4D50">
        <w:t xml:space="preserve">democratic evaluation process </w:t>
      </w:r>
      <w:r w:rsidR="00885BE9" w:rsidRPr="002D4D50">
        <w:t>and far right support varies</w:t>
      </w:r>
      <w:r w:rsidR="00D818B2" w:rsidRPr="002D4D50">
        <w:t xml:space="preserve"> at different values of immigration. </w:t>
      </w:r>
    </w:p>
    <w:p w14:paraId="1AEF3503" w14:textId="7F59D3B0" w:rsidR="00D818B2" w:rsidRPr="002D4D50" w:rsidRDefault="00D818B2" w:rsidP="00ED02A7">
      <w:pPr>
        <w:spacing w:line="480" w:lineRule="auto"/>
        <w:jc w:val="both"/>
      </w:pPr>
    </w:p>
    <w:p w14:paraId="71AF8AF9" w14:textId="36CA0A58" w:rsidR="00A24BB8" w:rsidRPr="002D4D50" w:rsidRDefault="00A24BB8" w:rsidP="00ED02A7">
      <w:pPr>
        <w:spacing w:line="480" w:lineRule="auto"/>
        <w:jc w:val="both"/>
      </w:pPr>
      <w:r w:rsidRPr="002D4D50">
        <w:t xml:space="preserve">Overall, </w:t>
      </w:r>
      <w:r w:rsidR="00714DB8" w:rsidRPr="002D4D50">
        <w:t>our findings confirm that while among the general population the ‘</w:t>
      </w:r>
      <w:r w:rsidR="00EE0843" w:rsidRPr="002D4D50">
        <w:t>discontent’</w:t>
      </w:r>
      <w:r w:rsidR="00714DB8" w:rsidRPr="002D4D50">
        <w:t xml:space="preserve"> mechanism is in place (H1a and H1b), among </w:t>
      </w:r>
      <w:r w:rsidR="00E33AF6" w:rsidRPr="002D4D50">
        <w:t>core anti-immigrant</w:t>
      </w:r>
      <w:r w:rsidR="00714DB8" w:rsidRPr="002D4D50">
        <w:t xml:space="preserve"> voters the</w:t>
      </w:r>
      <w:r w:rsidR="00E33AF6" w:rsidRPr="002D4D50">
        <w:t>re is a ‘nationalism’</w:t>
      </w:r>
      <w:r w:rsidR="00714DB8" w:rsidRPr="002D4D50">
        <w:t xml:space="preserve"> mechanism </w:t>
      </w:r>
      <w:r w:rsidR="00E33AF6" w:rsidRPr="002D4D50">
        <w:t>at play</w:t>
      </w:r>
      <w:r w:rsidR="00714DB8" w:rsidRPr="002D4D50">
        <w:t xml:space="preserve">, </w:t>
      </w:r>
      <w:r w:rsidR="00950B5E" w:rsidRPr="002D4D50">
        <w:t>supporting</w:t>
      </w:r>
      <w:r w:rsidR="00714DB8" w:rsidRPr="002D4D50">
        <w:t xml:space="preserve"> our theoretical premise that core voters behave differently in comparison to peripheral voters. Specifically, our findings confirm that, in line H2a and H2b, at specific values of immigration, </w:t>
      </w:r>
      <w:r w:rsidR="00EE0843" w:rsidRPr="002D4D50">
        <w:t xml:space="preserve">evaluations of the democratic process </w:t>
      </w:r>
      <w:r w:rsidR="00885BE9" w:rsidRPr="002D4D50">
        <w:t xml:space="preserve">are </w:t>
      </w:r>
      <w:r w:rsidR="00E42676" w:rsidRPr="002D4D50">
        <w:t>positively</w:t>
      </w:r>
      <w:r w:rsidR="00885BE9" w:rsidRPr="002D4D50">
        <w:t xml:space="preserve"> associated with</w:t>
      </w:r>
      <w:r w:rsidR="00950B5E" w:rsidRPr="002D4D50">
        <w:t xml:space="preserve"> voting for the far right</w:t>
      </w:r>
      <w:r w:rsidR="00714DB8" w:rsidRPr="002D4D50">
        <w:t xml:space="preserve">. </w:t>
      </w:r>
      <w:r w:rsidR="00950B5E" w:rsidRPr="002D4D50">
        <w:t xml:space="preserve">For </w:t>
      </w:r>
      <w:r w:rsidR="00EE0843" w:rsidRPr="002D4D50">
        <w:t>some nationalist voters</w:t>
      </w:r>
      <w:r w:rsidR="00950B5E" w:rsidRPr="002D4D50">
        <w:t xml:space="preserve">, </w:t>
      </w:r>
      <w:r w:rsidR="00950B5E" w:rsidRPr="002D4D50">
        <w:lastRenderedPageBreak/>
        <w:t xml:space="preserve">as </w:t>
      </w:r>
      <w:r w:rsidR="00EE0843" w:rsidRPr="002D4D50">
        <w:t xml:space="preserve">evaluations of the democratic process </w:t>
      </w:r>
      <w:r w:rsidR="00950B5E" w:rsidRPr="002D4D50">
        <w:t xml:space="preserve">improve, their likelihood to opt for the </w:t>
      </w:r>
      <w:proofErr w:type="gramStart"/>
      <w:r w:rsidR="00950B5E" w:rsidRPr="002D4D50">
        <w:t>far right</w:t>
      </w:r>
      <w:proofErr w:type="gramEnd"/>
      <w:r w:rsidR="00950B5E" w:rsidRPr="002D4D50">
        <w:t xml:space="preserve"> increases, revealing a potentially galvanising effect among some </w:t>
      </w:r>
      <w:r w:rsidR="00E33AF6" w:rsidRPr="002D4D50">
        <w:t>anti-immigrant voters</w:t>
      </w:r>
      <w:r w:rsidR="00950B5E" w:rsidRPr="002D4D50">
        <w:t xml:space="preserve">. </w:t>
      </w:r>
    </w:p>
    <w:p w14:paraId="5AC29DCE" w14:textId="77777777" w:rsidR="004F53E4" w:rsidRPr="002D4D50" w:rsidRDefault="004F53E4" w:rsidP="00ED02A7">
      <w:pPr>
        <w:spacing w:line="480" w:lineRule="auto"/>
        <w:jc w:val="both"/>
      </w:pPr>
    </w:p>
    <w:p w14:paraId="4979164E" w14:textId="77777777" w:rsidR="004F53E4" w:rsidRPr="002D4D50" w:rsidRDefault="004F53E4" w:rsidP="004F53E4">
      <w:pPr>
        <w:spacing w:line="480" w:lineRule="auto"/>
        <w:jc w:val="both"/>
        <w:rPr>
          <w:b/>
        </w:rPr>
      </w:pPr>
      <w:r w:rsidRPr="002D4D50">
        <w:rPr>
          <w:b/>
        </w:rPr>
        <w:t xml:space="preserve">Robustness checks </w:t>
      </w:r>
    </w:p>
    <w:p w14:paraId="563A7C09" w14:textId="77777777" w:rsidR="00CA5488" w:rsidRPr="002D4D50" w:rsidRDefault="00CA5488" w:rsidP="00ED02A7">
      <w:pPr>
        <w:spacing w:line="480" w:lineRule="auto"/>
        <w:jc w:val="both"/>
      </w:pPr>
    </w:p>
    <w:p w14:paraId="78EDAF7D" w14:textId="7EA3B65F" w:rsidR="00BB1AEA" w:rsidRPr="002D4D50" w:rsidRDefault="004F53E4" w:rsidP="00ED02A7">
      <w:pPr>
        <w:spacing w:line="480" w:lineRule="auto"/>
        <w:jc w:val="both"/>
      </w:pPr>
      <w:r w:rsidRPr="002D4D50">
        <w:t>We are confident about the strength and validity of our findings. The examination of multiple ESS waves allows us to discern broad over-time patterns less dependent on period effects, using comparable and high</w:t>
      </w:r>
      <w:r w:rsidR="00AC741D" w:rsidRPr="00E00428">
        <w:t>-</w:t>
      </w:r>
      <w:r w:rsidRPr="002D4D50">
        <w:t>quality data across time and across countries (Davidov et al.</w:t>
      </w:r>
      <w:r w:rsidR="00AC741D" w:rsidRPr="00AC741D">
        <w:t>,</w:t>
      </w:r>
      <w:r w:rsidRPr="002D4D50">
        <w:t xml:space="preserve"> 2015). The ESS provides ‘</w:t>
      </w:r>
      <w:r w:rsidRPr="002D4D50">
        <w:rPr>
          <w:lang w:val="en-US"/>
        </w:rPr>
        <w:t>an excellent source of data to analyze broad attitudinal patterns in Europe</w:t>
      </w:r>
      <w:r w:rsidRPr="002D4D50">
        <w:t>’ because of the consistency of questions across countries and survey rounds (Maxwell</w:t>
      </w:r>
      <w:r w:rsidR="00AC741D" w:rsidRPr="00AC741D">
        <w:t>,</w:t>
      </w:r>
      <w:r w:rsidRPr="002D4D50">
        <w:t xml:space="preserve"> 2019</w:t>
      </w:r>
      <w:r w:rsidR="00B640CB">
        <w:t>: 459</w:t>
      </w:r>
      <w:r w:rsidRPr="002D4D50">
        <w:t xml:space="preserve">). </w:t>
      </w:r>
    </w:p>
    <w:p w14:paraId="6EBC48A8" w14:textId="77777777" w:rsidR="00CA5488" w:rsidRPr="002D4D50" w:rsidRDefault="00CA5488" w:rsidP="00ED02A7">
      <w:pPr>
        <w:spacing w:line="480" w:lineRule="auto"/>
        <w:jc w:val="both"/>
      </w:pPr>
    </w:p>
    <w:p w14:paraId="2A352991" w14:textId="0FB52A6B" w:rsidR="002F4A60" w:rsidRPr="002D4D50" w:rsidRDefault="004F53E4" w:rsidP="00EC0956">
      <w:pPr>
        <w:spacing w:line="480" w:lineRule="auto"/>
        <w:jc w:val="both"/>
      </w:pPr>
      <w:r w:rsidRPr="002D4D50">
        <w:rPr>
          <w:lang w:val="en-US"/>
        </w:rPr>
        <w:t xml:space="preserve">To account for the possibility of response bias, </w:t>
      </w:r>
      <w:r w:rsidR="00EC0956" w:rsidRPr="002D4D50">
        <w:rPr>
          <w:lang w:val="en-US"/>
        </w:rPr>
        <w:t xml:space="preserve">and for potential problems arising from the fact that ESS fieldwork does not always coincide with national elections, </w:t>
      </w:r>
      <w:r w:rsidRPr="002D4D50">
        <w:rPr>
          <w:lang w:val="en-US"/>
        </w:rPr>
        <w:t xml:space="preserve">we have also run models with ‘feel close to a </w:t>
      </w:r>
      <w:proofErr w:type="gramStart"/>
      <w:r w:rsidRPr="002D4D50">
        <w:rPr>
          <w:lang w:val="en-US"/>
        </w:rPr>
        <w:t>far right</w:t>
      </w:r>
      <w:proofErr w:type="gramEnd"/>
      <w:r w:rsidRPr="002D4D50">
        <w:rPr>
          <w:lang w:val="en-US"/>
        </w:rPr>
        <w:t xml:space="preserve"> party’ as an alternative dependent variable. This captures potential time-lag issues. Results remain the same (see Appendix Table 5). </w:t>
      </w:r>
      <w:r w:rsidR="00B640CB">
        <w:rPr>
          <w:lang w:val="en-US"/>
        </w:rPr>
        <w:t>W</w:t>
      </w:r>
      <w:r w:rsidR="00792D57" w:rsidRPr="002D4D50">
        <w:rPr>
          <w:lang w:val="en-US"/>
        </w:rPr>
        <w:t>e are unable to capture vote switching as the</w:t>
      </w:r>
      <w:r w:rsidR="00BB1AEA" w:rsidRPr="002D4D50">
        <w:t xml:space="preserve"> ESS </w:t>
      </w:r>
      <w:r w:rsidR="00EC0956" w:rsidRPr="002D4D50">
        <w:t>only includes questions about voting in the last national election</w:t>
      </w:r>
      <w:r w:rsidR="002F4A60" w:rsidRPr="002D4D50">
        <w:t xml:space="preserve">. </w:t>
      </w:r>
    </w:p>
    <w:p w14:paraId="5DF0F636" w14:textId="77777777" w:rsidR="002F4A60" w:rsidRPr="002D4D50" w:rsidRDefault="002F4A60" w:rsidP="00EC0956">
      <w:pPr>
        <w:spacing w:line="480" w:lineRule="auto"/>
        <w:jc w:val="both"/>
      </w:pPr>
    </w:p>
    <w:p w14:paraId="041B7974" w14:textId="6B86B750" w:rsidR="00BB1AEA" w:rsidRPr="002D4D50" w:rsidRDefault="002F4A60" w:rsidP="00BB1AEA">
      <w:pPr>
        <w:spacing w:line="480" w:lineRule="auto"/>
        <w:jc w:val="both"/>
      </w:pPr>
      <w:r w:rsidRPr="002D4D50">
        <w:t>With regards to the independent variable</w:t>
      </w:r>
      <w:r w:rsidR="004E0516" w:rsidRPr="002D4D50">
        <w:t>s</w:t>
      </w:r>
      <w:r w:rsidRPr="002D4D50">
        <w:t>, we run models with different operationalisations of trust to account for the possibility that voters might not treat non-majoritarian institutions</w:t>
      </w:r>
      <w:r w:rsidR="00B640CB">
        <w:t>,</w:t>
      </w:r>
      <w:r w:rsidRPr="002D4D50">
        <w:t xml:space="preserve"> such as the police and the legal system similarly to other political actors. Specifically, </w:t>
      </w:r>
      <w:r w:rsidR="00EC0956" w:rsidRPr="002D4D50">
        <w:t>as an additional robustness check</w:t>
      </w:r>
      <w:r w:rsidR="00B640CB">
        <w:t>,</w:t>
      </w:r>
      <w:r w:rsidR="00EC0956" w:rsidRPr="002D4D50">
        <w:t xml:space="preserve"> we have operationalised trust excluding the </w:t>
      </w:r>
      <w:r w:rsidR="00EC0956" w:rsidRPr="002D4D50">
        <w:lastRenderedPageBreak/>
        <w:t xml:space="preserve">legal system and the police (α=0.9). Rerunning the models with this modified operationalisation of trust yields similar results (see Appendix Table 10). </w:t>
      </w:r>
      <w:r w:rsidR="00BD4C10" w:rsidRPr="002D4D50">
        <w:t xml:space="preserve">We also run our </w:t>
      </w:r>
      <w:proofErr w:type="gramStart"/>
      <w:r w:rsidR="00BD4C10" w:rsidRPr="002D4D50">
        <w:t>models</w:t>
      </w:r>
      <w:proofErr w:type="gramEnd"/>
      <w:r w:rsidR="00BD4C10" w:rsidRPr="002D4D50">
        <w:t xml:space="preserve"> using satisfaction with democracy only instead of the composite measure of </w:t>
      </w:r>
      <w:r w:rsidR="002B6FA8" w:rsidRPr="002D4D50">
        <w:t>performance satisfaction</w:t>
      </w:r>
      <w:r w:rsidR="00BD4C10" w:rsidRPr="002D4D50">
        <w:t xml:space="preserve">. Our analyses yield similar results </w:t>
      </w:r>
      <w:r w:rsidR="00C96658" w:rsidRPr="002D4D50">
        <w:t>(see Appendix Table 11).</w:t>
      </w:r>
      <w:r w:rsidR="00BD4C10" w:rsidRPr="002D4D50">
        <w:t xml:space="preserve"> </w:t>
      </w:r>
      <w:r w:rsidR="004E0516" w:rsidRPr="002D4D50">
        <w:t>Finally, we estimate a solution with three factors (trust, performance, and policy) and run the models accordingly.  The results remain the same (</w:t>
      </w:r>
      <w:r w:rsidR="00160F98" w:rsidRPr="002D4D50">
        <w:t>see Appendix</w:t>
      </w:r>
      <w:r w:rsidR="004E0516" w:rsidRPr="002D4D50">
        <w:t xml:space="preserve"> Table 13). </w:t>
      </w:r>
      <w:r w:rsidR="00CA5488" w:rsidRPr="002D4D50">
        <w:rPr>
          <w:lang w:val="en-US"/>
        </w:rPr>
        <w:t>T</w:t>
      </w:r>
      <w:r w:rsidR="004F53E4" w:rsidRPr="002D4D50">
        <w:t xml:space="preserve">o account for the possibility that individuals’ responses within surveys are not independent, we also employ an alternative modelling method. We have estimated multilevel random-intercept models (see Appendix Table 6), yielding similar results. </w:t>
      </w:r>
    </w:p>
    <w:p w14:paraId="69D1F43B" w14:textId="77777777" w:rsidR="00EF31B9" w:rsidRPr="002D4D50" w:rsidRDefault="00EF31B9" w:rsidP="00ED02A7">
      <w:pPr>
        <w:spacing w:line="480" w:lineRule="auto"/>
        <w:jc w:val="both"/>
      </w:pPr>
    </w:p>
    <w:p w14:paraId="4314AE6E" w14:textId="5AF10B4E" w:rsidR="00EF31B9" w:rsidRPr="002D4D50" w:rsidRDefault="00EF31B9" w:rsidP="00EF31B9">
      <w:pPr>
        <w:spacing w:line="480" w:lineRule="auto"/>
        <w:jc w:val="both"/>
      </w:pPr>
      <w:r w:rsidRPr="002D4D50">
        <w:t xml:space="preserve">This article is primarily interested in individual level variation and so </w:t>
      </w:r>
      <w:proofErr w:type="gramStart"/>
      <w:r w:rsidRPr="002D4D50">
        <w:t>far</w:t>
      </w:r>
      <w:proofErr w:type="gramEnd"/>
      <w:r w:rsidRPr="002D4D50">
        <w:t xml:space="preserve"> we have provided evidence for the stability of our findings over time and across countries.</w:t>
      </w:r>
      <w:r w:rsidR="00EB2E57" w:rsidRPr="002D4D50">
        <w:t xml:space="preserve"> </w:t>
      </w:r>
      <w:r w:rsidR="00EE0843" w:rsidRPr="002D4D50">
        <w:t>However</w:t>
      </w:r>
      <w:r w:rsidR="00AC741D" w:rsidRPr="00AC741D">
        <w:t>,</w:t>
      </w:r>
      <w:r w:rsidR="00EE0843" w:rsidRPr="002D4D50">
        <w:t xml:space="preserve"> we acknowledge that our sample includes a broad range of parties of different sizes and experience in government. To increase confidence about the strength and validity of our findings therefore, it is also important to consider the role of </w:t>
      </w:r>
      <w:r w:rsidR="00BD5B08" w:rsidRPr="002D4D50">
        <w:t xml:space="preserve">evaluations of the democratic process </w:t>
      </w:r>
      <w:r w:rsidR="00EE0843" w:rsidRPr="002D4D50">
        <w:t>in relation to the position of the far right in the respective political landscape. This is particularly relevant given that in some of the countries in our sample the far right has had some degree of government responsibility. To address this issue</w:t>
      </w:r>
      <w:r w:rsidR="00AC741D" w:rsidRPr="00AC741D">
        <w:t>,</w:t>
      </w:r>
      <w:r w:rsidR="00EE0843" w:rsidRPr="002D4D50">
        <w:t xml:space="preserve"> we have run robustness checks selecting countries </w:t>
      </w:r>
      <w:proofErr w:type="gramStart"/>
      <w:r w:rsidR="00EE0843" w:rsidRPr="002D4D50">
        <w:t>on the basis of</w:t>
      </w:r>
      <w:proofErr w:type="gramEnd"/>
      <w:r w:rsidR="00EE0843" w:rsidRPr="002D4D50">
        <w:t xml:space="preserve"> three criteria: </w:t>
      </w:r>
      <w:r w:rsidR="00B640CB">
        <w:t>s</w:t>
      </w:r>
      <w:r w:rsidR="00EE0843" w:rsidRPr="002D4D50">
        <w:t xml:space="preserve">ize of party; </w:t>
      </w:r>
      <w:r w:rsidR="00B640CB">
        <w:t>g</w:t>
      </w:r>
      <w:r w:rsidR="00EE0843" w:rsidRPr="002D4D50">
        <w:t xml:space="preserve">overnment experience; and </w:t>
      </w:r>
      <w:r w:rsidR="00B640CB">
        <w:t>a</w:t>
      </w:r>
      <w:r w:rsidR="00EE0843" w:rsidRPr="002D4D50">
        <w:t>vailability across ESS rounds. Robustness checks in Norway, Austria, Switzerland, France and Belgium yield broadly similar results (See Appendix Tables 7a-e).</w:t>
      </w:r>
      <w:r w:rsidRPr="002D4D50">
        <w:t xml:space="preserve"> </w:t>
      </w:r>
      <w:r w:rsidR="00B31B44" w:rsidRPr="002D4D50">
        <w:t>Robustness checks in Poland (Appendix Table 7f) yield different results</w:t>
      </w:r>
      <w:r w:rsidR="00743598" w:rsidRPr="002D4D50">
        <w:t xml:space="preserve">, which may be explained by country-specific dynamics and interaction between </w:t>
      </w:r>
      <w:r w:rsidR="00743598" w:rsidRPr="002D4D50">
        <w:lastRenderedPageBreak/>
        <w:t>government status and other domestic factors</w:t>
      </w:r>
      <w:r w:rsidR="00B31B44" w:rsidRPr="002D4D50">
        <w:t xml:space="preserve">. </w:t>
      </w:r>
      <w:r w:rsidR="00925357" w:rsidRPr="002D4D50">
        <w:t xml:space="preserve">We run additional models </w:t>
      </w:r>
      <w:r w:rsidR="00743598" w:rsidRPr="002D4D50">
        <w:t xml:space="preserve">in Hungary (ESS-Round 9) with voting for </w:t>
      </w:r>
      <w:proofErr w:type="spellStart"/>
      <w:r w:rsidR="00743598" w:rsidRPr="002D4D50">
        <w:t>Fidesz</w:t>
      </w:r>
      <w:proofErr w:type="spellEnd"/>
      <w:r w:rsidR="00743598" w:rsidRPr="002D4D50">
        <w:t xml:space="preserve"> as the dependent variable to capture potential differences in voting for a formerly mainstream party that has radicalised in government (Appendix Table 7g).  Results here also differ. </w:t>
      </w:r>
      <w:r w:rsidR="00A34628" w:rsidRPr="002D4D50">
        <w:t xml:space="preserve">Next, we run additional robustness checks for countries with a </w:t>
      </w:r>
      <w:proofErr w:type="gramStart"/>
      <w:r w:rsidR="00A34628" w:rsidRPr="002D4D50">
        <w:t>far right</w:t>
      </w:r>
      <w:proofErr w:type="gramEnd"/>
      <w:r w:rsidR="00A34628" w:rsidRPr="002D4D50">
        <w:t xml:space="preserve"> party in government during the ESS fieldwork (Appendix Table 12). Results here are also mixed, indicating that there is no clear positive or negative relationship between our four indicators of the democratic evaluation process and support for the far right in government. </w:t>
      </w:r>
      <w:r w:rsidRPr="002D4D50">
        <w:t xml:space="preserve">To account for potential regional differences and historical experiences, we have re-run our models including only countries from Western Europe. Results remain the same (see Appendix Table 4). </w:t>
      </w:r>
    </w:p>
    <w:p w14:paraId="6C388D3C" w14:textId="77777777" w:rsidR="009062FF" w:rsidRPr="002D4D50" w:rsidRDefault="009062FF" w:rsidP="00ED02A7">
      <w:pPr>
        <w:spacing w:line="480" w:lineRule="auto"/>
        <w:jc w:val="both"/>
        <w:rPr>
          <w:b/>
        </w:rPr>
      </w:pPr>
    </w:p>
    <w:p w14:paraId="787EBE93" w14:textId="40ED573D" w:rsidR="00FC21D6" w:rsidRPr="002D4D50" w:rsidRDefault="00950B5E" w:rsidP="00ED02A7">
      <w:pPr>
        <w:spacing w:line="480" w:lineRule="auto"/>
        <w:jc w:val="both"/>
        <w:rPr>
          <w:b/>
        </w:rPr>
      </w:pPr>
      <w:r w:rsidRPr="002D4D50">
        <w:rPr>
          <w:b/>
        </w:rPr>
        <w:t>Discussion and c</w:t>
      </w:r>
      <w:r w:rsidR="00FC21D6" w:rsidRPr="002D4D50">
        <w:rPr>
          <w:b/>
        </w:rPr>
        <w:t>onclusion</w:t>
      </w:r>
    </w:p>
    <w:p w14:paraId="749BEE18" w14:textId="4FCCFEE0" w:rsidR="000978EF" w:rsidRPr="002D4D50" w:rsidRDefault="000978EF" w:rsidP="00ED02A7">
      <w:pPr>
        <w:spacing w:line="480" w:lineRule="auto"/>
        <w:jc w:val="both"/>
      </w:pPr>
    </w:p>
    <w:p w14:paraId="7BDB7CFD" w14:textId="26AD6FA0" w:rsidR="005B1227" w:rsidRPr="002D4D50" w:rsidRDefault="003809D1" w:rsidP="000D5D04">
      <w:pPr>
        <w:spacing w:line="480" w:lineRule="auto"/>
        <w:jc w:val="both"/>
      </w:pPr>
      <w:r w:rsidRPr="002D4D50">
        <w:t>In this article, w</w:t>
      </w:r>
      <w:r w:rsidR="00783E0F" w:rsidRPr="002D4D50">
        <w:t xml:space="preserve">e have developed and tested a series of hypotheses </w:t>
      </w:r>
      <w:r w:rsidR="003E2560" w:rsidRPr="002D4D50">
        <w:t xml:space="preserve">about </w:t>
      </w:r>
      <w:r w:rsidR="00783E0F" w:rsidRPr="002D4D50">
        <w:t xml:space="preserve">the extent to which </w:t>
      </w:r>
      <w:r w:rsidR="00E33AF6" w:rsidRPr="002D4D50">
        <w:t>citizens’ evaluations of the democratic process</w:t>
      </w:r>
      <w:r w:rsidR="00740357" w:rsidRPr="002D4D50">
        <w:t xml:space="preserve"> </w:t>
      </w:r>
      <w:r w:rsidR="003E2560" w:rsidRPr="002D4D50">
        <w:t xml:space="preserve">influence support </w:t>
      </w:r>
      <w:r w:rsidR="00BD3F2A" w:rsidRPr="002D4D50">
        <w:t xml:space="preserve">for </w:t>
      </w:r>
      <w:r w:rsidR="003E2560" w:rsidRPr="002D4D50">
        <w:t xml:space="preserve">the far right </w:t>
      </w:r>
      <w:r w:rsidR="00740357" w:rsidRPr="002D4D50">
        <w:t xml:space="preserve">and how this may vary </w:t>
      </w:r>
      <w:r w:rsidR="003E2560" w:rsidRPr="002D4D50">
        <w:t xml:space="preserve">among different </w:t>
      </w:r>
      <w:r w:rsidR="00E33AF6" w:rsidRPr="002D4D50">
        <w:t>individuals</w:t>
      </w:r>
      <w:r w:rsidR="003E2560" w:rsidRPr="002D4D50">
        <w:t xml:space="preserve">. </w:t>
      </w:r>
      <w:r w:rsidR="00783E0F" w:rsidRPr="002D4D50">
        <w:t xml:space="preserve">In particular, using </w:t>
      </w:r>
      <w:r w:rsidR="005B1227" w:rsidRPr="002D4D50">
        <w:t>nine</w:t>
      </w:r>
      <w:r w:rsidR="003E2560" w:rsidRPr="002D4D50">
        <w:t xml:space="preserve"> waves of </w:t>
      </w:r>
      <w:r w:rsidR="00783E0F" w:rsidRPr="002D4D50">
        <w:t>ESS data</w:t>
      </w:r>
      <w:r w:rsidR="008D6AD3" w:rsidRPr="002D4D50">
        <w:t>,</w:t>
      </w:r>
      <w:r w:rsidR="00783E0F" w:rsidRPr="002D4D50">
        <w:t xml:space="preserve"> we have shown</w:t>
      </w:r>
      <w:r w:rsidR="009B7C08" w:rsidRPr="002D4D50">
        <w:t>, first,</w:t>
      </w:r>
      <w:r w:rsidR="00783E0F" w:rsidRPr="002D4D50">
        <w:t xml:space="preserve"> that </w:t>
      </w:r>
      <w:r w:rsidR="00486C6A" w:rsidRPr="002D4D50">
        <w:t xml:space="preserve">those individuals </w:t>
      </w:r>
      <w:r w:rsidR="003E2560" w:rsidRPr="002D4D50">
        <w:t>who trust the domestic political institutions in their country, and</w:t>
      </w:r>
      <w:r w:rsidR="00E33AF6" w:rsidRPr="002D4D50">
        <w:t xml:space="preserve"> positively evaluate </w:t>
      </w:r>
      <w:r w:rsidR="00031B19" w:rsidRPr="002D4D50">
        <w:t>system performance and policy outputs</w:t>
      </w:r>
      <w:r w:rsidR="003E2560" w:rsidRPr="002D4D50">
        <w:t xml:space="preserve">, are less likely to </w:t>
      </w:r>
      <w:r w:rsidR="00BD3F2A" w:rsidRPr="002D4D50">
        <w:t xml:space="preserve">opt for a </w:t>
      </w:r>
      <w:proofErr w:type="gramStart"/>
      <w:r w:rsidR="00BD3F2A" w:rsidRPr="002D4D50">
        <w:t>far right</w:t>
      </w:r>
      <w:proofErr w:type="gramEnd"/>
      <w:r w:rsidR="00BD3F2A" w:rsidRPr="002D4D50">
        <w:t xml:space="preserve"> party in a</w:t>
      </w:r>
      <w:r w:rsidR="003E2560" w:rsidRPr="002D4D50">
        <w:t xml:space="preserve"> national election. </w:t>
      </w:r>
      <w:r w:rsidR="00740357" w:rsidRPr="002D4D50">
        <w:t xml:space="preserve">As their approval of institutions </w:t>
      </w:r>
      <w:r w:rsidR="00E11421" w:rsidRPr="002D4D50">
        <w:t>improves</w:t>
      </w:r>
      <w:r w:rsidR="00740357" w:rsidRPr="002D4D50">
        <w:t xml:space="preserve">, these </w:t>
      </w:r>
      <w:proofErr w:type="gramStart"/>
      <w:r w:rsidR="00E33AF6" w:rsidRPr="002D4D50">
        <w:t>individuals</w:t>
      </w:r>
      <w:proofErr w:type="gramEnd"/>
      <w:r w:rsidR="00740357" w:rsidRPr="002D4D50">
        <w:t xml:space="preserve"> distance themselves from the far right. </w:t>
      </w:r>
      <w:r w:rsidR="00C0464E" w:rsidRPr="002D4D50">
        <w:t xml:space="preserve">Second, </w:t>
      </w:r>
      <w:r w:rsidR="009B7C08" w:rsidRPr="002D4D50">
        <w:t xml:space="preserve">we have found that </w:t>
      </w:r>
      <w:r w:rsidR="00E33AF6" w:rsidRPr="002D4D50">
        <w:t xml:space="preserve">evaluations of the democratic process </w:t>
      </w:r>
      <w:r w:rsidR="00885BE9" w:rsidRPr="002D4D50">
        <w:t xml:space="preserve">are </w:t>
      </w:r>
      <w:r w:rsidR="00C0464E" w:rsidRPr="002D4D50">
        <w:t>positive</w:t>
      </w:r>
      <w:r w:rsidR="00885BE9" w:rsidRPr="002D4D50">
        <w:t>ly associated with</w:t>
      </w:r>
      <w:r w:rsidR="00031B19" w:rsidRPr="002D4D50">
        <w:t xml:space="preserve"> </w:t>
      </w:r>
      <w:proofErr w:type="gramStart"/>
      <w:r w:rsidR="00740357" w:rsidRPr="002D4D50">
        <w:t>far right</w:t>
      </w:r>
      <w:proofErr w:type="gramEnd"/>
      <w:r w:rsidR="00885BE9" w:rsidRPr="002D4D50">
        <w:t xml:space="preserve"> party support</w:t>
      </w:r>
      <w:r w:rsidR="00740357" w:rsidRPr="002D4D50">
        <w:t xml:space="preserve"> among </w:t>
      </w:r>
      <w:r w:rsidR="00031B19" w:rsidRPr="002D4D50">
        <w:t xml:space="preserve">some </w:t>
      </w:r>
      <w:r w:rsidR="00740357" w:rsidRPr="002D4D50">
        <w:t xml:space="preserve">core anti-immigrant voters. </w:t>
      </w:r>
      <w:r w:rsidR="00534F49" w:rsidRPr="002D4D50">
        <w:rPr>
          <w:lang w:val="en-US"/>
        </w:rPr>
        <w:t xml:space="preserve">In short, </w:t>
      </w:r>
      <w:r w:rsidR="0089349D" w:rsidRPr="002D4D50">
        <w:rPr>
          <w:lang w:val="en-US"/>
        </w:rPr>
        <w:t xml:space="preserve">political trust and </w:t>
      </w:r>
      <w:r w:rsidR="00031B19" w:rsidRPr="002D4D50">
        <w:rPr>
          <w:lang w:val="en-US"/>
        </w:rPr>
        <w:t>system performance</w:t>
      </w:r>
      <w:r w:rsidR="0089349D" w:rsidRPr="002D4D50">
        <w:rPr>
          <w:lang w:val="en-US"/>
        </w:rPr>
        <w:t xml:space="preserve"> </w:t>
      </w:r>
      <w:r w:rsidR="00534F49" w:rsidRPr="002D4D50">
        <w:t xml:space="preserve">matter: when the broad framework of collective </w:t>
      </w:r>
      <w:r w:rsidR="00BD3F2A" w:rsidRPr="002D4D50">
        <w:t xml:space="preserve">cooperation </w:t>
      </w:r>
      <w:r w:rsidR="00534F49" w:rsidRPr="002D4D50">
        <w:t xml:space="preserve">is </w:t>
      </w:r>
      <w:r w:rsidR="00534F49" w:rsidRPr="002D4D50">
        <w:lastRenderedPageBreak/>
        <w:t>perceived to</w:t>
      </w:r>
      <w:r w:rsidR="00C0464E" w:rsidRPr="002D4D50">
        <w:t xml:space="preserve"> be</w:t>
      </w:r>
      <w:r w:rsidR="00534F49" w:rsidRPr="002D4D50">
        <w:t xml:space="preserve"> work</w:t>
      </w:r>
      <w:r w:rsidR="00C0464E" w:rsidRPr="002D4D50">
        <w:t>ing</w:t>
      </w:r>
      <w:r w:rsidR="00534F49" w:rsidRPr="002D4D50">
        <w:t xml:space="preserve"> well, then citizens are less likely to resort to the far right. But for those </w:t>
      </w:r>
      <w:r w:rsidR="0089349D" w:rsidRPr="002D4D50">
        <w:t xml:space="preserve">core far right supporters with extreme views on immigration the mechanism is different. </w:t>
      </w:r>
    </w:p>
    <w:p w14:paraId="4352E435" w14:textId="327E276C" w:rsidR="00BA0C96" w:rsidRPr="002D4D50" w:rsidRDefault="00BA0C96" w:rsidP="00ED02A7">
      <w:pPr>
        <w:spacing w:line="480" w:lineRule="auto"/>
        <w:jc w:val="both"/>
        <w:rPr>
          <w:color w:val="FF0000"/>
        </w:rPr>
      </w:pPr>
    </w:p>
    <w:p w14:paraId="3AD3CFB9" w14:textId="00AA57FF" w:rsidR="00312C24" w:rsidRPr="002D4D50" w:rsidRDefault="00FC4DDA" w:rsidP="00312C24">
      <w:pPr>
        <w:spacing w:line="480" w:lineRule="auto"/>
        <w:jc w:val="both"/>
      </w:pPr>
      <w:r w:rsidRPr="002D4D50">
        <w:t xml:space="preserve">Our findings </w:t>
      </w:r>
      <w:r w:rsidR="00031B19" w:rsidRPr="002D4D50">
        <w:t xml:space="preserve">contribute to the emerging literature on </w:t>
      </w:r>
      <w:proofErr w:type="gramStart"/>
      <w:r w:rsidR="00031B19" w:rsidRPr="002D4D50">
        <w:t>far right</w:t>
      </w:r>
      <w:proofErr w:type="gramEnd"/>
      <w:r w:rsidR="00031B19" w:rsidRPr="002D4D50">
        <w:t xml:space="preserve"> intra-partisan heterogeneity (</w:t>
      </w:r>
      <w:proofErr w:type="spellStart"/>
      <w:r w:rsidR="00031B19" w:rsidRPr="002D4D50">
        <w:rPr>
          <w:bCs/>
        </w:rPr>
        <w:t>Damhuis</w:t>
      </w:r>
      <w:proofErr w:type="spellEnd"/>
      <w:r w:rsidR="00AC741D" w:rsidRPr="00AC741D">
        <w:rPr>
          <w:bCs/>
        </w:rPr>
        <w:t>,</w:t>
      </w:r>
      <w:r w:rsidR="00031B19" w:rsidRPr="002D4D50">
        <w:rPr>
          <w:bCs/>
        </w:rPr>
        <w:t xml:space="preserve"> 2020; </w:t>
      </w:r>
      <w:proofErr w:type="spellStart"/>
      <w:r w:rsidR="00031B19" w:rsidRPr="002D4D50">
        <w:rPr>
          <w:bCs/>
        </w:rPr>
        <w:t>Halikiopoulou</w:t>
      </w:r>
      <w:proofErr w:type="spellEnd"/>
      <w:r w:rsidR="00031B19" w:rsidRPr="002D4D50">
        <w:rPr>
          <w:bCs/>
        </w:rPr>
        <w:t xml:space="preserve"> and </w:t>
      </w:r>
      <w:proofErr w:type="spellStart"/>
      <w:r w:rsidR="00031B19" w:rsidRPr="002D4D50">
        <w:rPr>
          <w:bCs/>
        </w:rPr>
        <w:t>Vlandas</w:t>
      </w:r>
      <w:proofErr w:type="spellEnd"/>
      <w:r w:rsidR="00AC741D" w:rsidRPr="00AC741D">
        <w:rPr>
          <w:bCs/>
        </w:rPr>
        <w:t>,</w:t>
      </w:r>
      <w:r w:rsidR="00031B19" w:rsidRPr="002D4D50">
        <w:rPr>
          <w:bCs/>
        </w:rPr>
        <w:t xml:space="preserve"> 2020; Steiner et al</w:t>
      </w:r>
      <w:r w:rsidR="00AC741D" w:rsidRPr="00AC741D">
        <w:rPr>
          <w:bCs/>
        </w:rPr>
        <w:t>.,</w:t>
      </w:r>
      <w:r w:rsidR="00031B19" w:rsidRPr="002D4D50">
        <w:rPr>
          <w:bCs/>
        </w:rPr>
        <w:t xml:space="preserve"> 2022</w:t>
      </w:r>
      <w:r w:rsidR="00031B19" w:rsidRPr="002D4D50">
        <w:t>), and h</w:t>
      </w:r>
      <w:r w:rsidRPr="002D4D50">
        <w:t>elp explain</w:t>
      </w:r>
      <w:r w:rsidR="004C0938" w:rsidRPr="002D4D50">
        <w:t xml:space="preserve"> the</w:t>
      </w:r>
      <w:r w:rsidRPr="002D4D50">
        <w:t xml:space="preserve"> </w:t>
      </w:r>
      <w:r w:rsidR="00C40FA3" w:rsidRPr="002D4D50">
        <w:t xml:space="preserve">counter-intuitive appeal of far right parties to voters who increasingly approve the status quo. </w:t>
      </w:r>
      <w:r w:rsidR="00E873D8" w:rsidRPr="002D4D50">
        <w:t xml:space="preserve">In sum, </w:t>
      </w:r>
      <w:r w:rsidR="00031B19" w:rsidRPr="002D4D50">
        <w:t xml:space="preserve">we identify </w:t>
      </w:r>
      <w:r w:rsidR="00E873D8" w:rsidRPr="002D4D50">
        <w:t xml:space="preserve">two routes to </w:t>
      </w:r>
      <w:proofErr w:type="gramStart"/>
      <w:r w:rsidR="00E873D8" w:rsidRPr="002D4D50">
        <w:t>far right</w:t>
      </w:r>
      <w:proofErr w:type="gramEnd"/>
      <w:r w:rsidR="00E873D8" w:rsidRPr="002D4D50">
        <w:t xml:space="preserve"> voting: discontent and ideology. On the one hand, </w:t>
      </w:r>
      <w:r w:rsidR="00031B19" w:rsidRPr="002D4D50">
        <w:t xml:space="preserve">discontent </w:t>
      </w:r>
      <w:r w:rsidR="00981DB6" w:rsidRPr="002D4D50">
        <w:t xml:space="preserve">voters who </w:t>
      </w:r>
      <w:r w:rsidR="00E201D7" w:rsidRPr="002D4D50">
        <w:t xml:space="preserve">negatively evaluate the democratic </w:t>
      </w:r>
      <w:r w:rsidR="001D2853" w:rsidRPr="002D4D50">
        <w:t>process</w:t>
      </w:r>
      <w:r w:rsidR="00E201D7" w:rsidRPr="002D4D50">
        <w:t xml:space="preserve"> </w:t>
      </w:r>
      <w:r w:rsidR="00031B19" w:rsidRPr="002D4D50">
        <w:t>are more likely</w:t>
      </w:r>
      <w:r w:rsidR="00312C24" w:rsidRPr="002D4D50">
        <w:t xml:space="preserve"> to be</w:t>
      </w:r>
      <w:r w:rsidR="00E201D7" w:rsidRPr="002D4D50">
        <w:t xml:space="preserve"> </w:t>
      </w:r>
      <w:r w:rsidR="00981DB6" w:rsidRPr="002D4D50">
        <w:t xml:space="preserve">motivated by the desire to express their </w:t>
      </w:r>
      <w:r w:rsidR="001D2853" w:rsidRPr="002D4D50">
        <w:t>dissatisfaction</w:t>
      </w:r>
      <w:r w:rsidR="00981DB6" w:rsidRPr="002D4D50">
        <w:t xml:space="preserve"> and vote primarily </w:t>
      </w:r>
      <w:r w:rsidR="00981DB6" w:rsidRPr="002D4D50">
        <w:rPr>
          <w:i/>
        </w:rPr>
        <w:t xml:space="preserve">against </w:t>
      </w:r>
      <w:r w:rsidR="00981DB6" w:rsidRPr="002D4D50">
        <w:t xml:space="preserve">the system as opposed to </w:t>
      </w:r>
      <w:r w:rsidR="00981DB6" w:rsidRPr="002D4D50">
        <w:rPr>
          <w:i/>
        </w:rPr>
        <w:t xml:space="preserve">in favour </w:t>
      </w:r>
      <w:r w:rsidR="00981DB6" w:rsidRPr="002D4D50">
        <w:t xml:space="preserve">of the far right. </w:t>
      </w:r>
      <w:r w:rsidR="000D0F2E" w:rsidRPr="002D4D50">
        <w:t>This mechanism is in line with the empirical literature that finds a strong association between levels of</w:t>
      </w:r>
      <w:r w:rsidR="00E96469" w:rsidRPr="002D4D50">
        <w:t xml:space="preserve"> distrust and far right voting </w:t>
      </w:r>
      <w:r w:rsidR="00F654F2" w:rsidRPr="002D4D50">
        <w:t>(</w:t>
      </w:r>
      <w:proofErr w:type="spellStart"/>
      <w:r w:rsidR="00F654F2" w:rsidRPr="002D4D50">
        <w:t>Akkerman</w:t>
      </w:r>
      <w:proofErr w:type="spellEnd"/>
      <w:r w:rsidR="00F654F2" w:rsidRPr="002D4D50">
        <w:t xml:space="preserve"> et al</w:t>
      </w:r>
      <w:r w:rsidR="00AC741D" w:rsidRPr="00AC741D">
        <w:t>.,</w:t>
      </w:r>
      <w:r w:rsidR="00F654F2" w:rsidRPr="002D4D50">
        <w:t xml:space="preserve"> 2017; </w:t>
      </w:r>
      <w:proofErr w:type="spellStart"/>
      <w:r w:rsidR="00F654F2" w:rsidRPr="002D4D50">
        <w:t>Denemark</w:t>
      </w:r>
      <w:proofErr w:type="spellEnd"/>
      <w:r w:rsidR="00F654F2" w:rsidRPr="002D4D50">
        <w:t xml:space="preserve"> and Bowler</w:t>
      </w:r>
      <w:r w:rsidR="00AC741D" w:rsidRPr="00AC741D">
        <w:t>,</w:t>
      </w:r>
      <w:r w:rsidR="00F654F2" w:rsidRPr="002D4D50">
        <w:t xml:space="preserve"> 2002; </w:t>
      </w:r>
      <w:proofErr w:type="spellStart"/>
      <w:r w:rsidR="00AC741D" w:rsidRPr="002D4D50">
        <w:t>Hooghe</w:t>
      </w:r>
      <w:proofErr w:type="spellEnd"/>
      <w:r w:rsidR="00AC741D" w:rsidRPr="002D4D50">
        <w:t xml:space="preserve"> et al.</w:t>
      </w:r>
      <w:r w:rsidR="00AC741D" w:rsidRPr="00AC741D">
        <w:t>,</w:t>
      </w:r>
      <w:r w:rsidR="00AC741D" w:rsidRPr="002D4D50">
        <w:t xml:space="preserve"> 2011</w:t>
      </w:r>
      <w:r w:rsidR="00AC741D">
        <w:t xml:space="preserve">; </w:t>
      </w:r>
      <w:proofErr w:type="spellStart"/>
      <w:r w:rsidR="00F654F2" w:rsidRPr="002D4D50">
        <w:t>Fieschi</w:t>
      </w:r>
      <w:proofErr w:type="spellEnd"/>
      <w:r w:rsidR="00F654F2" w:rsidRPr="002D4D50">
        <w:t xml:space="preserve"> and Heywood</w:t>
      </w:r>
      <w:r w:rsidR="00AC741D" w:rsidRPr="00AC741D">
        <w:t>,</w:t>
      </w:r>
      <w:r w:rsidR="00F654F2" w:rsidRPr="002D4D50">
        <w:t xml:space="preserve"> 2004</w:t>
      </w:r>
      <w:r w:rsidR="008B7D7F" w:rsidRPr="002D4D50">
        <w:t>; Lubbers et al</w:t>
      </w:r>
      <w:r w:rsidR="00AC741D">
        <w:t>.,</w:t>
      </w:r>
      <w:r w:rsidR="008B7D7F" w:rsidRPr="002D4D50">
        <w:t xml:space="preserve"> 2002</w:t>
      </w:r>
      <w:r w:rsidR="00F654F2" w:rsidRPr="002D4D50">
        <w:t xml:space="preserve">). </w:t>
      </w:r>
      <w:r w:rsidR="00E873D8" w:rsidRPr="002D4D50">
        <w:t>On the other hand, voting for the far right is not exclusive to discontent voters (Norris</w:t>
      </w:r>
      <w:r w:rsidR="00AC741D">
        <w:t xml:space="preserve">, </w:t>
      </w:r>
      <w:r w:rsidR="00E873D8" w:rsidRPr="002D4D50">
        <w:t xml:space="preserve">2005; </w:t>
      </w:r>
      <w:proofErr w:type="spellStart"/>
      <w:r w:rsidR="008B7D7F" w:rsidRPr="002D4D50">
        <w:t>Roodjuin</w:t>
      </w:r>
      <w:proofErr w:type="spellEnd"/>
      <w:r w:rsidR="00AC741D">
        <w:t>,</w:t>
      </w:r>
      <w:r w:rsidR="008B7D7F" w:rsidRPr="002D4D50">
        <w:t xml:space="preserve"> 2018; v</w:t>
      </w:r>
      <w:r w:rsidR="00E873D8" w:rsidRPr="002D4D50">
        <w:t xml:space="preserve">an </w:t>
      </w:r>
      <w:proofErr w:type="spellStart"/>
      <w:r w:rsidR="00E873D8" w:rsidRPr="002D4D50">
        <w:t>Hauwaert</w:t>
      </w:r>
      <w:proofErr w:type="spellEnd"/>
      <w:r w:rsidR="00E873D8" w:rsidRPr="002D4D50">
        <w:t xml:space="preserve"> and </w:t>
      </w:r>
      <w:r w:rsidR="008B7D7F" w:rsidRPr="002D4D50">
        <w:t xml:space="preserve">van </w:t>
      </w:r>
      <w:r w:rsidR="00E873D8" w:rsidRPr="002D4D50">
        <w:t>Kessel</w:t>
      </w:r>
      <w:r w:rsidR="00AC741D">
        <w:t>,</w:t>
      </w:r>
      <w:r w:rsidR="00E873D8" w:rsidRPr="002D4D50">
        <w:t xml:space="preserve"> 2018). </w:t>
      </w:r>
      <w:r w:rsidR="00312C24" w:rsidRPr="002D4D50">
        <w:t>T</w:t>
      </w:r>
      <w:r w:rsidR="00E873D8" w:rsidRPr="002D4D50">
        <w:t>he mechanism</w:t>
      </w:r>
      <w:r w:rsidR="00312C24" w:rsidRPr="002D4D50">
        <w:t xml:space="preserve"> we propose</w:t>
      </w:r>
      <w:r w:rsidR="00E873D8" w:rsidRPr="002D4D50">
        <w:t xml:space="preserve"> in this case is ideology: ‘nationalist’</w:t>
      </w:r>
      <w:r w:rsidR="00312C24" w:rsidRPr="002D4D50">
        <w:t xml:space="preserve"> core</w:t>
      </w:r>
      <w:r w:rsidR="00E873D8" w:rsidRPr="002D4D50">
        <w:t xml:space="preserve"> voters are principled and support the far right </w:t>
      </w:r>
      <w:r w:rsidR="003063D8" w:rsidRPr="002D4D50">
        <w:t>because they identify with the entirety of its platform which centres on prioritising in-groups over out-groups in every policy domain</w:t>
      </w:r>
      <w:r w:rsidR="00C40FA3" w:rsidRPr="002D4D50">
        <w:t xml:space="preserve"> (</w:t>
      </w:r>
      <w:proofErr w:type="spellStart"/>
      <w:r w:rsidR="00031B19" w:rsidRPr="002D4D50">
        <w:t>Halikiopoulou</w:t>
      </w:r>
      <w:proofErr w:type="spellEnd"/>
      <w:r w:rsidR="00031B19" w:rsidRPr="002D4D50">
        <w:t xml:space="preserve"> and </w:t>
      </w:r>
      <w:proofErr w:type="spellStart"/>
      <w:r w:rsidR="00031B19" w:rsidRPr="002D4D50">
        <w:t>Vlandas</w:t>
      </w:r>
      <w:proofErr w:type="spellEnd"/>
      <w:r w:rsidR="00AC741D">
        <w:t>,</w:t>
      </w:r>
      <w:r w:rsidR="00031B19" w:rsidRPr="002D4D50">
        <w:t xml:space="preserve"> 2020;</w:t>
      </w:r>
      <w:r w:rsidR="00AC741D" w:rsidRPr="002D4D50">
        <w:t xml:space="preserve"> Lubbers</w:t>
      </w:r>
      <w:r w:rsidR="00AC741D">
        <w:t>,</w:t>
      </w:r>
      <w:r w:rsidR="00AC741D" w:rsidRPr="002D4D50">
        <w:t xml:space="preserve"> 2019</w:t>
      </w:r>
      <w:r w:rsidR="00AC741D">
        <w:t xml:space="preserve">; </w:t>
      </w:r>
      <w:proofErr w:type="spellStart"/>
      <w:r w:rsidR="00AC741D" w:rsidRPr="002D4D50">
        <w:t>Rydgren</w:t>
      </w:r>
      <w:proofErr w:type="spellEnd"/>
      <w:r w:rsidR="00AC741D">
        <w:t>,</w:t>
      </w:r>
      <w:r w:rsidR="00AC741D" w:rsidRPr="002D4D50">
        <w:t xml:space="preserve"> 2008</w:t>
      </w:r>
      <w:r w:rsidR="00AC741D">
        <w:t xml:space="preserve">; </w:t>
      </w:r>
      <w:proofErr w:type="spellStart"/>
      <w:r w:rsidR="00031B19" w:rsidRPr="002D4D50">
        <w:t>Stockemer</w:t>
      </w:r>
      <w:proofErr w:type="spellEnd"/>
      <w:r w:rsidR="00031B19" w:rsidRPr="002D4D50">
        <w:t xml:space="preserve"> et al</w:t>
      </w:r>
      <w:r w:rsidR="00AC741D">
        <w:t>.,</w:t>
      </w:r>
      <w:r w:rsidR="00031B19" w:rsidRPr="002D4D50">
        <w:t xml:space="preserve"> 2021</w:t>
      </w:r>
      <w:r w:rsidR="00C40FA3" w:rsidRPr="002D4D50">
        <w:t>)</w:t>
      </w:r>
      <w:r w:rsidR="003063D8" w:rsidRPr="002D4D50">
        <w:t xml:space="preserve">. </w:t>
      </w:r>
      <w:r w:rsidR="00312C24" w:rsidRPr="002D4D50">
        <w:t>W</w:t>
      </w:r>
      <w:proofErr w:type="spellStart"/>
      <w:r w:rsidR="00312C24" w:rsidRPr="002D4D50">
        <w:rPr>
          <w:lang w:val="en-US"/>
        </w:rPr>
        <w:t>hereas</w:t>
      </w:r>
      <w:proofErr w:type="spellEnd"/>
      <w:r w:rsidR="00312C24" w:rsidRPr="002D4D50">
        <w:rPr>
          <w:lang w:val="en-US"/>
        </w:rPr>
        <w:t xml:space="preserve"> positive evaluations of the democratic process make it unlikely for the far right to expand its appeal, they may intensify support among some segments of its core electorate.</w:t>
      </w:r>
      <w:r w:rsidR="00E11421" w:rsidRPr="002D4D50">
        <w:rPr>
          <w:lang w:val="en-US"/>
        </w:rPr>
        <w:t xml:space="preserve"> </w:t>
      </w:r>
      <w:r w:rsidR="00D61054" w:rsidRPr="002D4D50">
        <w:t xml:space="preserve">Interestingly we have shown that among voters with extreme negative views on immigration, positive evaluations of the democratic process are associated with </w:t>
      </w:r>
      <w:proofErr w:type="gramStart"/>
      <w:r w:rsidR="00D61054" w:rsidRPr="002D4D50">
        <w:t>far right</w:t>
      </w:r>
      <w:proofErr w:type="gramEnd"/>
      <w:r w:rsidR="00D61054" w:rsidRPr="002D4D50">
        <w:t xml:space="preserve"> </w:t>
      </w:r>
      <w:r w:rsidR="00D61054" w:rsidRPr="002D4D50">
        <w:lastRenderedPageBreak/>
        <w:t xml:space="preserve">voting. In the case of evaluations of the state of health and education, this association is prominent among a broader range of immigration sceptics. This hints to the possibility that perceptions of policy output components that relate to the provision of public services are directly linked to the question of deservingness and selective solidarity. It is possible therefore to see how positive evaluations of the democratic process </w:t>
      </w:r>
      <w:proofErr w:type="gramStart"/>
      <w:r w:rsidR="00D61054" w:rsidRPr="002D4D50">
        <w:t>can both</w:t>
      </w:r>
      <w:proofErr w:type="gramEnd"/>
      <w:r w:rsidR="00D61054" w:rsidRPr="002D4D50">
        <w:t xml:space="preserve"> </w:t>
      </w:r>
      <w:r w:rsidR="00D61054" w:rsidRPr="002D4D50">
        <w:rPr>
          <w:i/>
        </w:rPr>
        <w:t>limit the</w:t>
      </w:r>
      <w:r w:rsidR="00D61054" w:rsidRPr="002D4D50">
        <w:t xml:space="preserve"> </w:t>
      </w:r>
      <w:proofErr w:type="spellStart"/>
      <w:r w:rsidR="00D61054" w:rsidRPr="002D4D50">
        <w:rPr>
          <w:i/>
        </w:rPr>
        <w:t>mobilisational</w:t>
      </w:r>
      <w:proofErr w:type="spellEnd"/>
      <w:r w:rsidR="00D61054" w:rsidRPr="002D4D50">
        <w:t xml:space="preserve"> capacity of the far right by deterring discontent voters, and simultaneously have an unintended </w:t>
      </w:r>
      <w:r w:rsidR="00D61054" w:rsidRPr="002D4D50">
        <w:rPr>
          <w:i/>
        </w:rPr>
        <w:t>galvanising</w:t>
      </w:r>
      <w:r w:rsidR="00D61054" w:rsidRPr="002D4D50">
        <w:t xml:space="preserve"> effect among some nationalist voters.</w:t>
      </w:r>
    </w:p>
    <w:p w14:paraId="6B3FAD69" w14:textId="77777777" w:rsidR="00D61054" w:rsidRPr="002D4D50" w:rsidRDefault="00D61054" w:rsidP="00312C24">
      <w:pPr>
        <w:spacing w:line="480" w:lineRule="auto"/>
        <w:jc w:val="both"/>
        <w:rPr>
          <w:color w:val="FF0000"/>
        </w:rPr>
      </w:pPr>
    </w:p>
    <w:p w14:paraId="27F21F93" w14:textId="594C632D" w:rsidR="00C73A92" w:rsidRPr="002D4D50" w:rsidRDefault="00EC3A90" w:rsidP="00363E10">
      <w:pPr>
        <w:spacing w:line="480" w:lineRule="auto"/>
        <w:jc w:val="both"/>
      </w:pPr>
      <w:r w:rsidRPr="002D4D50">
        <w:t>In summary, o</w:t>
      </w:r>
      <w:r w:rsidR="00C73A92" w:rsidRPr="002D4D50">
        <w:t xml:space="preserve">ur article </w:t>
      </w:r>
      <w:r w:rsidR="00E11421" w:rsidRPr="002D4D50">
        <w:t xml:space="preserve">has </w:t>
      </w:r>
      <w:r w:rsidR="00C73A92" w:rsidRPr="002D4D50">
        <w:t>examine</w:t>
      </w:r>
      <w:r w:rsidR="00E11421" w:rsidRPr="002D4D50">
        <w:t>d</w:t>
      </w:r>
      <w:r w:rsidR="00C73A92" w:rsidRPr="002D4D50">
        <w:t xml:space="preserve"> the relationship </w:t>
      </w:r>
      <w:r w:rsidRPr="002D4D50">
        <w:t xml:space="preserve">between </w:t>
      </w:r>
      <w:r w:rsidR="00C73A92" w:rsidRPr="002D4D50">
        <w:t>evaluations of the democratic process and far right voting</w:t>
      </w:r>
      <w:r w:rsidRPr="002D4D50">
        <w:t>,</w:t>
      </w:r>
      <w:r w:rsidR="00C73A92" w:rsidRPr="002D4D50">
        <w:t xml:space="preserve"> focusing on i</w:t>
      </w:r>
      <w:r w:rsidR="008F3CE5" w:rsidRPr="002D4D50">
        <w:t>ndividual</w:t>
      </w:r>
      <w:r w:rsidRPr="002D4D50">
        <w:t>-</w:t>
      </w:r>
      <w:r w:rsidR="008F3CE5" w:rsidRPr="002D4D50">
        <w:t xml:space="preserve">level variation across country and </w:t>
      </w:r>
      <w:r w:rsidR="00C73A92" w:rsidRPr="002D4D50">
        <w:t xml:space="preserve">across </w:t>
      </w:r>
      <w:r w:rsidR="008F3CE5" w:rsidRPr="002D4D50">
        <w:t>time</w:t>
      </w:r>
      <w:r w:rsidR="00C73A92" w:rsidRPr="002D4D50">
        <w:t xml:space="preserve">. Future research can extend our framework by examining </w:t>
      </w:r>
      <w:r w:rsidRPr="002D4D50">
        <w:t xml:space="preserve">various additional dimensions that we have not covered due to space, scope and/or data limitations. First, our </w:t>
      </w:r>
      <w:r w:rsidR="00C73A92" w:rsidRPr="002D4D50">
        <w:t>correlational analysis</w:t>
      </w:r>
      <w:r w:rsidRPr="002D4D50">
        <w:t xml:space="preserve"> of individual-level voting patterns has</w:t>
      </w:r>
      <w:r w:rsidR="00C73A92" w:rsidRPr="002D4D50">
        <w:t xml:space="preserve"> strong external validity</w:t>
      </w:r>
      <w:r w:rsidR="00363E10" w:rsidRPr="002D4D50">
        <w:t xml:space="preserve">. However, our design is not tailored </w:t>
      </w:r>
      <w:r w:rsidR="004B1E99" w:rsidRPr="002D4D50">
        <w:t>towards</w:t>
      </w:r>
      <w:r w:rsidR="00363E10" w:rsidRPr="002D4D50">
        <w:t xml:space="preserve"> causal </w:t>
      </w:r>
      <w:r w:rsidR="004B1E99" w:rsidRPr="002D4D50">
        <w:t>inference</w:t>
      </w:r>
      <w:r w:rsidR="00363E10" w:rsidRPr="002D4D50">
        <w:t xml:space="preserve"> or</w:t>
      </w:r>
      <w:r w:rsidR="004B1E99" w:rsidRPr="002D4D50">
        <w:t xml:space="preserve"> the identification of</w:t>
      </w:r>
      <w:r w:rsidR="00363E10" w:rsidRPr="002D4D50">
        <w:t xml:space="preserve"> </w:t>
      </w:r>
      <w:r w:rsidRPr="002D4D50">
        <w:t>country-specific dynamics.</w:t>
      </w:r>
      <w:r w:rsidR="00E11421" w:rsidRPr="002D4D50">
        <w:t xml:space="preserve"> F</w:t>
      </w:r>
      <w:r w:rsidR="004B1E99" w:rsidRPr="002D4D50">
        <w:t>uture research employing</w:t>
      </w:r>
      <w:r w:rsidRPr="002D4D50">
        <w:t xml:space="preserve"> experimental </w:t>
      </w:r>
      <w:r w:rsidR="004B1E99" w:rsidRPr="002D4D50">
        <w:t>methods</w:t>
      </w:r>
      <w:r w:rsidRPr="002D4D50">
        <w:t xml:space="preserve"> could strengthen the internal validity of the mechanisms that we suggest. Additionally, new research could focus on explaining </w:t>
      </w:r>
      <w:r w:rsidR="004B1E99" w:rsidRPr="002D4D50">
        <w:t xml:space="preserve">patterns within </w:t>
      </w:r>
      <w:r w:rsidRPr="002D4D50">
        <w:t xml:space="preserve">individual countries and/or parties in greater depth. For example, </w:t>
      </w:r>
      <w:r w:rsidR="00363E10" w:rsidRPr="002D4D50">
        <w:t xml:space="preserve">our analysis </w:t>
      </w:r>
      <w:r w:rsidR="004B1E99" w:rsidRPr="002D4D50">
        <w:t xml:space="preserve">has </w:t>
      </w:r>
      <w:r w:rsidR="00363E10" w:rsidRPr="002D4D50">
        <w:t>revealed</w:t>
      </w:r>
      <w:r w:rsidR="004B1E99" w:rsidRPr="002D4D50">
        <w:t xml:space="preserve"> an important</w:t>
      </w:r>
      <w:r w:rsidR="00363E10" w:rsidRPr="002D4D50">
        <w:t xml:space="preserve"> variation between </w:t>
      </w:r>
      <w:r w:rsidR="004B1E99" w:rsidRPr="002D4D50">
        <w:t>large far right</w:t>
      </w:r>
      <w:r w:rsidR="00363E10" w:rsidRPr="002D4D50">
        <w:t xml:space="preserve"> parties</w:t>
      </w:r>
      <w:r w:rsidR="004B1E99" w:rsidRPr="002D4D50">
        <w:t xml:space="preserve"> in government. W</w:t>
      </w:r>
      <w:r w:rsidR="00363E10" w:rsidRPr="002D4D50">
        <w:t xml:space="preserve">hile our </w:t>
      </w:r>
      <w:r w:rsidR="00857D06" w:rsidRPr="002D4D50">
        <w:t>findings</w:t>
      </w:r>
      <w:r w:rsidR="00363E10" w:rsidRPr="002D4D50">
        <w:t xml:space="preserve"> hold for</w:t>
      </w:r>
      <w:r w:rsidR="004B1E99" w:rsidRPr="002D4D50">
        <w:t xml:space="preserve"> </w:t>
      </w:r>
      <w:r w:rsidR="00363E10" w:rsidRPr="002D4D50">
        <w:t>Western European governing parties, they differ for some Central European</w:t>
      </w:r>
      <w:r w:rsidR="004B1E99" w:rsidRPr="002D4D50">
        <w:t xml:space="preserve"> governing parties. Interestingly, however, there is also variation </w:t>
      </w:r>
      <w:r w:rsidR="004B1E99" w:rsidRPr="002D4D50">
        <w:rPr>
          <w:i/>
          <w:iCs/>
        </w:rPr>
        <w:t>between</w:t>
      </w:r>
      <w:r w:rsidR="004B1E99" w:rsidRPr="002D4D50">
        <w:t xml:space="preserve"> Central European governing parties, for example the Hungarian </w:t>
      </w:r>
      <w:proofErr w:type="spellStart"/>
      <w:r w:rsidR="004B1E99" w:rsidRPr="002D4D50">
        <w:t>Fidesz</w:t>
      </w:r>
      <w:proofErr w:type="spellEnd"/>
      <w:r w:rsidR="004B1E99" w:rsidRPr="002D4D50">
        <w:t xml:space="preserve"> and the Polish PiS, suggesting no clear-cut pattern. This could</w:t>
      </w:r>
      <w:r w:rsidR="00363E10" w:rsidRPr="002D4D50">
        <w:t xml:space="preserve"> be the result of country-specific dynamics and interaction between government status and other </w:t>
      </w:r>
      <w:r w:rsidR="00857D06" w:rsidRPr="002D4D50">
        <w:lastRenderedPageBreak/>
        <w:t xml:space="preserve">party-specific or </w:t>
      </w:r>
      <w:r w:rsidR="00363E10" w:rsidRPr="002D4D50">
        <w:t>domestic factors</w:t>
      </w:r>
      <w:r w:rsidR="004B1E99" w:rsidRPr="002D4D50">
        <w:t xml:space="preserve">, which future research could examine more systematically. </w:t>
      </w:r>
    </w:p>
    <w:p w14:paraId="19D1131A" w14:textId="04D67A88" w:rsidR="004B1E99" w:rsidRPr="002D4D50" w:rsidRDefault="004B1E99" w:rsidP="00363E10">
      <w:pPr>
        <w:spacing w:line="480" w:lineRule="auto"/>
        <w:jc w:val="both"/>
      </w:pPr>
    </w:p>
    <w:p w14:paraId="67FA35A7" w14:textId="2622A34F" w:rsidR="00571F60" w:rsidRPr="002D4D50" w:rsidRDefault="004B1E99" w:rsidP="00ED02A7">
      <w:pPr>
        <w:spacing w:line="480" w:lineRule="auto"/>
        <w:jc w:val="both"/>
        <w:rPr>
          <w:color w:val="FF0000"/>
        </w:rPr>
      </w:pPr>
      <w:r w:rsidRPr="002D4D50">
        <w:t xml:space="preserve">Second, the focus of this article has been specifically on the </w:t>
      </w:r>
      <w:proofErr w:type="gramStart"/>
      <w:r w:rsidRPr="002D4D50">
        <w:t>far right</w:t>
      </w:r>
      <w:proofErr w:type="gramEnd"/>
      <w:r w:rsidRPr="002D4D50">
        <w:t xml:space="preserve"> electorate</w:t>
      </w:r>
      <w:r w:rsidR="00F86658" w:rsidRPr="002D4D50">
        <w:t xml:space="preserve"> in Europe</w:t>
      </w:r>
      <w:r w:rsidRPr="002D4D50">
        <w:t xml:space="preserve">. However, </w:t>
      </w:r>
      <w:r w:rsidR="00F86658" w:rsidRPr="002D4D50">
        <w:t>the rise</w:t>
      </w:r>
      <w:r w:rsidR="00914FED">
        <w:t xml:space="preserve"> of</w:t>
      </w:r>
      <w:r w:rsidR="00F86658" w:rsidRPr="002D4D50">
        <w:t xml:space="preserve"> </w:t>
      </w:r>
      <w:r w:rsidRPr="002D4D50">
        <w:t>anti-system</w:t>
      </w:r>
      <w:r w:rsidR="00F86658" w:rsidRPr="002D4D50">
        <w:t xml:space="preserve"> politics is</w:t>
      </w:r>
      <w:r w:rsidR="00857D06" w:rsidRPr="002D4D50">
        <w:t xml:space="preserve"> a</w:t>
      </w:r>
      <w:r w:rsidR="00F86658" w:rsidRPr="002D4D50">
        <w:t xml:space="preserve"> much broader</w:t>
      </w:r>
      <w:r w:rsidR="00857D06" w:rsidRPr="002D4D50">
        <w:t xml:space="preserve"> phenomenon</w:t>
      </w:r>
      <w:r w:rsidR="00F86658" w:rsidRPr="002D4D50">
        <w:t xml:space="preserve">. </w:t>
      </w:r>
      <w:r w:rsidR="000B6DF1" w:rsidRPr="002D4D50">
        <w:t xml:space="preserve">Electorally successful </w:t>
      </w:r>
      <w:r w:rsidR="00857D06" w:rsidRPr="002D4D50">
        <w:t xml:space="preserve">political parties and actors which challenge liberal democracy range from populist </w:t>
      </w:r>
      <w:r w:rsidR="009B69D2" w:rsidRPr="002D4D50">
        <w:t xml:space="preserve">to extremists </w:t>
      </w:r>
      <w:r w:rsidR="00857D06" w:rsidRPr="002D4D50">
        <w:t xml:space="preserve">and authoritarians, whose positions vary on the left-right dimension and attract different types of voters, across Europe, the US, Latin America, </w:t>
      </w:r>
      <w:proofErr w:type="gramStart"/>
      <w:r w:rsidR="00113FC5">
        <w:t>India</w:t>
      </w:r>
      <w:proofErr w:type="gramEnd"/>
      <w:r w:rsidR="00113FC5">
        <w:t xml:space="preserve"> </w:t>
      </w:r>
      <w:r w:rsidR="00857D06" w:rsidRPr="002D4D50">
        <w:t xml:space="preserve">and Australia. </w:t>
      </w:r>
      <w:r w:rsidR="00F86658" w:rsidRPr="002D4D50">
        <w:t>A</w:t>
      </w:r>
      <w:r w:rsidR="00857D06" w:rsidRPr="002D4D50">
        <w:t>lready a</w:t>
      </w:r>
      <w:r w:rsidR="00F86658" w:rsidRPr="002D4D50">
        <w:t xml:space="preserve"> </w:t>
      </w:r>
      <w:r w:rsidR="00857D06" w:rsidRPr="002D4D50">
        <w:t>growing</w:t>
      </w:r>
      <w:r w:rsidR="00F86658" w:rsidRPr="002D4D50">
        <w:t xml:space="preserve"> body of literature </w:t>
      </w:r>
      <w:r w:rsidR="00857D06" w:rsidRPr="002D4D50">
        <w:t>examines</w:t>
      </w:r>
      <w:r w:rsidR="00F86658" w:rsidRPr="002D4D50">
        <w:t xml:space="preserve"> </w:t>
      </w:r>
      <w:r w:rsidR="00857D06" w:rsidRPr="002D4D50">
        <w:t xml:space="preserve">this </w:t>
      </w:r>
      <w:r w:rsidR="00F86658" w:rsidRPr="002D4D50">
        <w:t xml:space="preserve">democratic backsliding </w:t>
      </w:r>
      <w:r w:rsidR="00857D06" w:rsidRPr="002D4D50">
        <w:t>across the globe</w:t>
      </w:r>
      <w:r w:rsidR="00F86658" w:rsidRPr="002D4D50">
        <w:t xml:space="preserve">. </w:t>
      </w:r>
      <w:r w:rsidRPr="002D4D50">
        <w:t>Indeed</w:t>
      </w:r>
      <w:r w:rsidR="00F86658" w:rsidRPr="002D4D50">
        <w:t>,</w:t>
      </w:r>
      <w:r w:rsidRPr="002D4D50">
        <w:t xml:space="preserve"> </w:t>
      </w:r>
      <w:r w:rsidR="00857D06" w:rsidRPr="002D4D50">
        <w:t>a</w:t>
      </w:r>
      <w:r w:rsidRPr="002D4D50">
        <w:t xml:space="preserve"> focus</w:t>
      </w:r>
      <w:r w:rsidR="00857D06" w:rsidRPr="002D4D50">
        <w:t xml:space="preserve"> on the relationship between evaluations of the democratic process and</w:t>
      </w:r>
      <w:r w:rsidRPr="002D4D50">
        <w:t xml:space="preserve"> </w:t>
      </w:r>
      <w:r w:rsidR="00857D06" w:rsidRPr="002D4D50">
        <w:t>support for</w:t>
      </w:r>
      <w:r w:rsidR="003E743A" w:rsidRPr="002D4D50">
        <w:t xml:space="preserve"> </w:t>
      </w:r>
      <w:r w:rsidRPr="002D4D50">
        <w:t xml:space="preserve">populism </w:t>
      </w:r>
      <w:r w:rsidR="00857D06" w:rsidRPr="002D4D50">
        <w:t xml:space="preserve">broadly defined across </w:t>
      </w:r>
      <w:r w:rsidR="007A22B6" w:rsidRPr="002D4D50">
        <w:t>different world regions</w:t>
      </w:r>
      <w:r w:rsidR="00857D06" w:rsidRPr="002D4D50">
        <w:t xml:space="preserve"> </w:t>
      </w:r>
      <w:r w:rsidRPr="002D4D50">
        <w:t>could provide an interesting avenue for future research</w:t>
      </w:r>
      <w:r w:rsidR="003E743A" w:rsidRPr="002D4D50">
        <w:t xml:space="preserve">. </w:t>
      </w:r>
      <w:r w:rsidRPr="002D4D50">
        <w:t>Third</w:t>
      </w:r>
      <w:r w:rsidR="00571F60" w:rsidRPr="002D4D50">
        <w:t>, our argument focuses on subjective evaluations of the</w:t>
      </w:r>
      <w:r w:rsidR="00D1728E" w:rsidRPr="002D4D50">
        <w:t xml:space="preserve"> democratic process</w:t>
      </w:r>
      <w:r w:rsidR="00571F60" w:rsidRPr="002D4D50">
        <w:t xml:space="preserve">, as we have suggested that voters’ decisions are impacted by perceptions (see also </w:t>
      </w:r>
      <w:proofErr w:type="spellStart"/>
      <w:r w:rsidR="00571F60" w:rsidRPr="002D4D50">
        <w:t>Stockemer</w:t>
      </w:r>
      <w:proofErr w:type="spellEnd"/>
      <w:r w:rsidR="00AC741D">
        <w:t>,</w:t>
      </w:r>
      <w:r w:rsidR="00571F60" w:rsidRPr="002D4D50">
        <w:t xml:space="preserve"> 2016). </w:t>
      </w:r>
      <w:r w:rsidR="00F30AC7" w:rsidRPr="002D4D50">
        <w:t>Scholars</w:t>
      </w:r>
      <w:r w:rsidR="00571F60" w:rsidRPr="002D4D50">
        <w:t xml:space="preserve"> could match perceptions with structural data to examine the extent to which the latter are also influential in determining </w:t>
      </w:r>
      <w:r w:rsidR="00B14317" w:rsidRPr="002D4D50">
        <w:t>voting behaviour</w:t>
      </w:r>
      <w:r w:rsidR="00571F60" w:rsidRPr="002D4D50">
        <w:t xml:space="preserve">. </w:t>
      </w:r>
      <w:r w:rsidR="001A4831" w:rsidRPr="002D4D50">
        <w:t xml:space="preserve">Finally, </w:t>
      </w:r>
      <w:r w:rsidR="007B6FB4" w:rsidRPr="002D4D50">
        <w:t>our article has focused on voters. Future s</w:t>
      </w:r>
      <w:r w:rsidR="005A2E03" w:rsidRPr="002D4D50">
        <w:t xml:space="preserve">tudies focusing on the programmatic agendas of </w:t>
      </w:r>
      <w:proofErr w:type="gramStart"/>
      <w:r w:rsidR="005A2E03" w:rsidRPr="002D4D50">
        <w:t>far right</w:t>
      </w:r>
      <w:proofErr w:type="gramEnd"/>
      <w:r w:rsidR="005A2E03" w:rsidRPr="002D4D50">
        <w:t xml:space="preserve"> parties could research the extent to which grievances are used as mobilising tools, taking into account the differentiated appeal such a rhetoric would have on </w:t>
      </w:r>
      <w:r w:rsidR="00D1728E" w:rsidRPr="002D4D50">
        <w:t xml:space="preserve">different individuals. </w:t>
      </w:r>
    </w:p>
    <w:p w14:paraId="0C72623C" w14:textId="1B2F5AA3" w:rsidR="00F94D8D" w:rsidRPr="002D4D50" w:rsidRDefault="00F94D8D" w:rsidP="00ED02A7">
      <w:pPr>
        <w:spacing w:line="480" w:lineRule="auto"/>
        <w:jc w:val="both"/>
      </w:pPr>
    </w:p>
    <w:p w14:paraId="1B73A206" w14:textId="5F12EE11" w:rsidR="00202AB6" w:rsidRPr="002D4D50" w:rsidRDefault="003E743A" w:rsidP="00202AB6">
      <w:pPr>
        <w:spacing w:line="480" w:lineRule="auto"/>
        <w:jc w:val="both"/>
      </w:pPr>
      <w:r w:rsidRPr="002D4D50">
        <w:t xml:space="preserve">Our study aspires to set a novel research agenda of interest to scholars of electoral behaviour, political trust and immigration. </w:t>
      </w:r>
      <w:r w:rsidR="005E5AC4" w:rsidRPr="002D4D50">
        <w:t>One of its main implications is that r</w:t>
      </w:r>
      <w:r w:rsidRPr="002D4D50">
        <w:t>esearch focusing on these various dimensions of democratic politics (e.g.</w:t>
      </w:r>
      <w:r w:rsidR="00AC741D">
        <w:t>,</w:t>
      </w:r>
      <w:r w:rsidRPr="002D4D50">
        <w:t xml:space="preserve"> </w:t>
      </w:r>
      <w:proofErr w:type="spellStart"/>
      <w:r w:rsidRPr="002D4D50">
        <w:t>Bojar</w:t>
      </w:r>
      <w:proofErr w:type="spellEnd"/>
      <w:r w:rsidRPr="002D4D50">
        <w:t xml:space="preserve"> et al.</w:t>
      </w:r>
      <w:r w:rsidR="00AC741D">
        <w:t>,</w:t>
      </w:r>
      <w:r w:rsidRPr="002D4D50">
        <w:t xml:space="preserve"> 2021</w:t>
      </w:r>
      <w:r w:rsidR="00AC741D">
        <w:t xml:space="preserve">; </w:t>
      </w:r>
      <w:proofErr w:type="spellStart"/>
      <w:r w:rsidR="00AC741D" w:rsidRPr="002D4D50">
        <w:lastRenderedPageBreak/>
        <w:t>Wuttke</w:t>
      </w:r>
      <w:proofErr w:type="spellEnd"/>
      <w:r w:rsidR="00AC741D" w:rsidRPr="002D4D50">
        <w:t xml:space="preserve"> et al.</w:t>
      </w:r>
      <w:r w:rsidR="00AC741D">
        <w:t>,</w:t>
      </w:r>
      <w:r w:rsidR="00AC741D" w:rsidRPr="002D4D50">
        <w:t xml:space="preserve"> 2022</w:t>
      </w:r>
      <w:r w:rsidRPr="002D4D50">
        <w:t xml:space="preserve">) -especially in an era of sustained levels of distrust and the simultaneous rise of </w:t>
      </w:r>
      <w:r w:rsidR="00D61054" w:rsidRPr="002D4D50">
        <w:t>anti-system</w:t>
      </w:r>
      <w:r w:rsidRPr="002D4D50">
        <w:t xml:space="preserve"> politics in Europe </w:t>
      </w:r>
      <w:r w:rsidR="00D61054" w:rsidRPr="002D4D50">
        <w:t>and beyond</w:t>
      </w:r>
      <w:r w:rsidRPr="002D4D50">
        <w:t xml:space="preserve">- should pay more attention </w:t>
      </w:r>
      <w:r w:rsidR="00202AB6" w:rsidRPr="002D4D50">
        <w:t xml:space="preserve">intra-partisan voter heterogeneity. This </w:t>
      </w:r>
      <w:r w:rsidR="00CA1FF5" w:rsidRPr="002D4D50">
        <w:t xml:space="preserve">is </w:t>
      </w:r>
      <w:r w:rsidR="00202AB6" w:rsidRPr="002D4D50">
        <w:t>significant for our understanding of patterns of</w:t>
      </w:r>
      <w:r w:rsidR="002506D5" w:rsidRPr="002D4D50">
        <w:t xml:space="preserve"> </w:t>
      </w:r>
      <w:proofErr w:type="gramStart"/>
      <w:r w:rsidR="002506D5" w:rsidRPr="002D4D50">
        <w:t>far right</w:t>
      </w:r>
      <w:proofErr w:type="gramEnd"/>
      <w:r w:rsidR="002506D5" w:rsidRPr="002D4D50">
        <w:t xml:space="preserve"> party success</w:t>
      </w:r>
      <w:r w:rsidR="00202AB6" w:rsidRPr="002D4D50">
        <w:t xml:space="preserve">, as it highlights the multifaceted nature of </w:t>
      </w:r>
      <w:r w:rsidR="00081123" w:rsidRPr="002D4D50">
        <w:t xml:space="preserve">the </w:t>
      </w:r>
      <w:r w:rsidR="00202AB6" w:rsidRPr="002D4D50">
        <w:t xml:space="preserve">far right appeal to voters with different preferences and incentives. </w:t>
      </w:r>
    </w:p>
    <w:p w14:paraId="216DEE8F" w14:textId="6048EA75" w:rsidR="00D61054" w:rsidRPr="002D4D50" w:rsidRDefault="00D61054" w:rsidP="00312C24">
      <w:pPr>
        <w:spacing w:line="480" w:lineRule="auto"/>
        <w:jc w:val="both"/>
      </w:pPr>
    </w:p>
    <w:p w14:paraId="5985731A" w14:textId="77777777" w:rsidR="004C4013" w:rsidRPr="002D4D50" w:rsidRDefault="004C4013" w:rsidP="00ED02A7">
      <w:pPr>
        <w:spacing w:line="480" w:lineRule="auto"/>
        <w:jc w:val="both"/>
        <w:rPr>
          <w:b/>
        </w:rPr>
      </w:pPr>
      <w:r w:rsidRPr="002D4D50">
        <w:rPr>
          <w:b/>
        </w:rPr>
        <w:t>References</w:t>
      </w:r>
    </w:p>
    <w:p w14:paraId="6FA87F8B" w14:textId="7372EB5F" w:rsidR="00F40FBF" w:rsidRPr="002D4D50" w:rsidRDefault="00F40FBF" w:rsidP="00ED02A7">
      <w:pPr>
        <w:spacing w:line="480" w:lineRule="auto"/>
        <w:ind w:left="284" w:hanging="284"/>
        <w:jc w:val="both"/>
      </w:pPr>
      <w:r w:rsidRPr="00693A09">
        <w:t>Afonso, A.</w:t>
      </w:r>
      <w:r w:rsidR="00012D06" w:rsidRPr="00693A09">
        <w:t>, &amp;</w:t>
      </w:r>
      <w:r w:rsidRPr="00693A09">
        <w:t xml:space="preserve"> </w:t>
      </w:r>
      <w:proofErr w:type="spellStart"/>
      <w:r w:rsidRPr="00693A09">
        <w:t>Rennwald</w:t>
      </w:r>
      <w:proofErr w:type="spellEnd"/>
      <w:r w:rsidRPr="00693A09">
        <w:t xml:space="preserve">, L. </w:t>
      </w:r>
      <w:r w:rsidR="00AA07B2" w:rsidRPr="00693A09">
        <w:t>(</w:t>
      </w:r>
      <w:r w:rsidRPr="00693A09">
        <w:t>201</w:t>
      </w:r>
      <w:r w:rsidR="00B46046" w:rsidRPr="00113FC5">
        <w:t>8</w:t>
      </w:r>
      <w:r w:rsidR="00AA07B2" w:rsidRPr="00693A09">
        <w:t>)</w:t>
      </w:r>
      <w:r w:rsidRPr="00693A09">
        <w:t xml:space="preserve">. </w:t>
      </w:r>
      <w:r w:rsidR="00413001" w:rsidRPr="00693A09">
        <w:t xml:space="preserve"> </w:t>
      </w:r>
      <w:r w:rsidRPr="00693A09">
        <w:t>Social class and the changing welfare state agenda of Populist Radical Right Parties in Europe</w:t>
      </w:r>
      <w:r w:rsidR="00693A09" w:rsidRPr="00693A09">
        <w:t>.</w:t>
      </w:r>
      <w:r w:rsidRPr="00693A09">
        <w:t xml:space="preserve"> </w:t>
      </w:r>
      <w:r w:rsidR="00693A09" w:rsidRPr="00693A09">
        <w:t>I</w:t>
      </w:r>
      <w:r w:rsidRPr="00693A09">
        <w:t xml:space="preserve">n P. </w:t>
      </w:r>
      <w:proofErr w:type="spellStart"/>
      <w:r w:rsidRPr="00693A09">
        <w:t>Manow</w:t>
      </w:r>
      <w:proofErr w:type="spellEnd"/>
      <w:r w:rsidRPr="00693A09">
        <w:t xml:space="preserve">, </w:t>
      </w:r>
      <w:r w:rsidR="00693A09" w:rsidRPr="00693A09">
        <w:t xml:space="preserve">&amp; </w:t>
      </w:r>
      <w:r w:rsidRPr="00693A09">
        <w:t xml:space="preserve">B. </w:t>
      </w:r>
      <w:proofErr w:type="spellStart"/>
      <w:r w:rsidRPr="00693A09">
        <w:t>Palier</w:t>
      </w:r>
      <w:proofErr w:type="spellEnd"/>
      <w:r w:rsidRPr="00693A09">
        <w:t xml:space="preserve"> (</w:t>
      </w:r>
      <w:r w:rsidR="00693A09" w:rsidRPr="00693A09">
        <w:t>E</w:t>
      </w:r>
      <w:r w:rsidRPr="00693A09">
        <w:t>ds.)</w:t>
      </w:r>
      <w:r w:rsidR="00693A09" w:rsidRPr="00693A09">
        <w:t>,</w:t>
      </w:r>
      <w:r w:rsidRPr="00693A09">
        <w:t xml:space="preserve"> </w:t>
      </w:r>
      <w:r w:rsidRPr="00693A09">
        <w:rPr>
          <w:i/>
        </w:rPr>
        <w:t>Electoral Realignments and Welfare State Transformations in Europe</w:t>
      </w:r>
      <w:r w:rsidR="00693A09" w:rsidRPr="00693A09">
        <w:rPr>
          <w:i/>
        </w:rPr>
        <w:t xml:space="preserve"> </w:t>
      </w:r>
      <w:r w:rsidR="00693A09" w:rsidRPr="00113FC5">
        <w:rPr>
          <w:iCs/>
        </w:rPr>
        <w:t>(pp</w:t>
      </w:r>
      <w:r w:rsidR="00B46046" w:rsidRPr="00113FC5">
        <w:rPr>
          <w:iCs/>
        </w:rPr>
        <w:t>. 171-194</w:t>
      </w:r>
      <w:r w:rsidR="00693A09" w:rsidRPr="00113FC5">
        <w:rPr>
          <w:iCs/>
        </w:rPr>
        <w:t>)</w:t>
      </w:r>
      <w:r w:rsidRPr="00113FC5">
        <w:t>.</w:t>
      </w:r>
      <w:r w:rsidRPr="00693A09">
        <w:t xml:space="preserve"> Oxford: Oxford University Press.</w:t>
      </w:r>
    </w:p>
    <w:p w14:paraId="654401C3" w14:textId="35BBA83A" w:rsidR="00FB3153" w:rsidRPr="002D4D50" w:rsidRDefault="00FB3153" w:rsidP="00ED02A7">
      <w:pPr>
        <w:spacing w:line="480" w:lineRule="auto"/>
        <w:ind w:left="284" w:hanging="284"/>
        <w:jc w:val="both"/>
      </w:pPr>
      <w:proofErr w:type="spellStart"/>
      <w:r w:rsidRPr="002D4D50">
        <w:t>Akkerman</w:t>
      </w:r>
      <w:proofErr w:type="spellEnd"/>
      <w:r w:rsidRPr="002D4D50">
        <w:t xml:space="preserve"> A</w:t>
      </w:r>
      <w:r w:rsidR="0013747E" w:rsidRPr="002D4D50">
        <w:t>.</w:t>
      </w:r>
      <w:r w:rsidRPr="002D4D50">
        <w:t xml:space="preserve">, </w:t>
      </w:r>
      <w:proofErr w:type="spellStart"/>
      <w:r w:rsidRPr="002D4D50">
        <w:t>Mudde</w:t>
      </w:r>
      <w:proofErr w:type="spellEnd"/>
      <w:r w:rsidR="0013747E" w:rsidRPr="002D4D50">
        <w:t>,</w:t>
      </w:r>
      <w:r w:rsidRPr="002D4D50">
        <w:t xml:space="preserve"> C</w:t>
      </w:r>
      <w:r w:rsidR="0013747E" w:rsidRPr="002D4D50">
        <w:t>.</w:t>
      </w:r>
      <w:r w:rsidR="00AA07B2">
        <w:t>,</w:t>
      </w:r>
      <w:r w:rsidRPr="002D4D50">
        <w:t xml:space="preserve"> </w:t>
      </w:r>
      <w:r w:rsidR="00AA07B2">
        <w:t xml:space="preserve">&amp; </w:t>
      </w:r>
      <w:proofErr w:type="spellStart"/>
      <w:r w:rsidRPr="002D4D50">
        <w:t>Zaslove</w:t>
      </w:r>
      <w:proofErr w:type="spellEnd"/>
      <w:r w:rsidR="00331032" w:rsidRPr="002D4D50">
        <w:t>,</w:t>
      </w:r>
      <w:r w:rsidRPr="002D4D50">
        <w:t xml:space="preserve"> A</w:t>
      </w:r>
      <w:r w:rsidR="0013747E" w:rsidRPr="002D4D50">
        <w:t>.</w:t>
      </w:r>
      <w:r w:rsidRPr="002D4D50">
        <w:t xml:space="preserve"> </w:t>
      </w:r>
      <w:r w:rsidR="00AA07B2">
        <w:t>(</w:t>
      </w:r>
      <w:r w:rsidRPr="002D4D50">
        <w:t>2014</w:t>
      </w:r>
      <w:r w:rsidR="00AA07B2">
        <w:t>)</w:t>
      </w:r>
      <w:r w:rsidR="0013747E" w:rsidRPr="002D4D50">
        <w:t>.</w:t>
      </w:r>
      <w:r w:rsidRPr="002D4D50">
        <w:t xml:space="preserve"> How Populist Are the People? Measuring Populist Attitudes in Voters. </w:t>
      </w:r>
      <w:r w:rsidRPr="002D4D50">
        <w:rPr>
          <w:i/>
        </w:rPr>
        <w:t>Comparative Political Studies</w:t>
      </w:r>
      <w:r w:rsidR="009F6FFD">
        <w:rPr>
          <w:i/>
        </w:rPr>
        <w:t>,</w:t>
      </w:r>
      <w:r w:rsidRPr="002D4D50">
        <w:t xml:space="preserve"> 47(9)</w:t>
      </w:r>
      <w:r w:rsidR="009F6FFD">
        <w:t>,</w:t>
      </w:r>
      <w:r w:rsidRPr="002D4D50">
        <w:t xml:space="preserve"> 1324–1353.</w:t>
      </w:r>
    </w:p>
    <w:p w14:paraId="4BAA7028" w14:textId="00897E13" w:rsidR="00FB3153" w:rsidRPr="002D4D50" w:rsidRDefault="00FB3153" w:rsidP="00ED02A7">
      <w:pPr>
        <w:spacing w:line="480" w:lineRule="auto"/>
        <w:ind w:left="284" w:hanging="284"/>
        <w:jc w:val="both"/>
      </w:pPr>
      <w:proofErr w:type="spellStart"/>
      <w:r w:rsidRPr="002D4D50">
        <w:t>Akkerman</w:t>
      </w:r>
      <w:proofErr w:type="spellEnd"/>
      <w:r w:rsidRPr="002D4D50">
        <w:t xml:space="preserve"> A</w:t>
      </w:r>
      <w:r w:rsidR="0013747E" w:rsidRPr="002D4D50">
        <w:t>.</w:t>
      </w:r>
      <w:r w:rsidRPr="002D4D50">
        <w:t xml:space="preserve">, </w:t>
      </w:r>
      <w:proofErr w:type="spellStart"/>
      <w:r w:rsidRPr="002D4D50">
        <w:t>Zaslove</w:t>
      </w:r>
      <w:proofErr w:type="spellEnd"/>
      <w:r w:rsidR="0013747E" w:rsidRPr="002D4D50">
        <w:t>,</w:t>
      </w:r>
      <w:r w:rsidRPr="002D4D50">
        <w:t xml:space="preserve"> A</w:t>
      </w:r>
      <w:r w:rsidR="00331032" w:rsidRPr="002D4D50">
        <w:t>.</w:t>
      </w:r>
      <w:r w:rsidR="00AA07B2">
        <w:t>, &amp;</w:t>
      </w:r>
      <w:r w:rsidRPr="002D4D50">
        <w:t xml:space="preserve"> </w:t>
      </w:r>
      <w:proofErr w:type="spellStart"/>
      <w:r w:rsidRPr="002D4D50">
        <w:t>Spruyt</w:t>
      </w:r>
      <w:proofErr w:type="spellEnd"/>
      <w:r w:rsidR="00331032" w:rsidRPr="002D4D50">
        <w:t>,</w:t>
      </w:r>
      <w:r w:rsidRPr="002D4D50">
        <w:t xml:space="preserve"> B</w:t>
      </w:r>
      <w:r w:rsidR="00331032" w:rsidRPr="002D4D50">
        <w:t xml:space="preserve">. </w:t>
      </w:r>
      <w:r w:rsidR="00AA07B2">
        <w:t>(</w:t>
      </w:r>
      <w:r w:rsidRPr="002D4D50">
        <w:t>2017</w:t>
      </w:r>
      <w:r w:rsidR="00AA07B2">
        <w:t>)</w:t>
      </w:r>
      <w:r w:rsidR="00331032" w:rsidRPr="002D4D50">
        <w:t>.</w:t>
      </w:r>
      <w:r w:rsidRPr="002D4D50">
        <w:t xml:space="preserve"> “We the People” or “We the Peoples”? A Comparison of Support for the Populist Radical Right and Populist Radical Left in the Netherlands. </w:t>
      </w:r>
      <w:r w:rsidRPr="002D4D50">
        <w:rPr>
          <w:i/>
        </w:rPr>
        <w:t>Swiss Political Science Review</w:t>
      </w:r>
      <w:r w:rsidR="009F6FFD">
        <w:rPr>
          <w:i/>
        </w:rPr>
        <w:t>,</w:t>
      </w:r>
      <w:r w:rsidRPr="002D4D50">
        <w:t xml:space="preserve"> 23(4)</w:t>
      </w:r>
      <w:r w:rsidR="009F6FFD">
        <w:t>,</w:t>
      </w:r>
      <w:r w:rsidRPr="002D4D50">
        <w:t xml:space="preserve"> 377–403.</w:t>
      </w:r>
    </w:p>
    <w:p w14:paraId="7C92CF50" w14:textId="684FC4C3" w:rsidR="001774FC" w:rsidRPr="002D4D50" w:rsidRDefault="001774FC" w:rsidP="00ED02A7">
      <w:pPr>
        <w:spacing w:line="480" w:lineRule="auto"/>
        <w:ind w:left="284" w:hanging="284"/>
        <w:jc w:val="both"/>
      </w:pPr>
      <w:r w:rsidRPr="002D4D50">
        <w:t>Allison, P. (2009)</w:t>
      </w:r>
      <w:r w:rsidR="00AA07B2">
        <w:t>.</w:t>
      </w:r>
      <w:r w:rsidRPr="002D4D50">
        <w:t xml:space="preserve"> </w:t>
      </w:r>
      <w:r w:rsidRPr="002D4D50">
        <w:rPr>
          <w:i/>
        </w:rPr>
        <w:t>Fixed Effects Regression Models</w:t>
      </w:r>
      <w:r w:rsidRPr="002D4D50">
        <w:t>, Sage Quantitative Applications in the Social Sciences, vol. 160.</w:t>
      </w:r>
    </w:p>
    <w:p w14:paraId="31F7EF5A" w14:textId="6E702A68" w:rsidR="00AA6E1C" w:rsidRPr="002D4D50" w:rsidRDefault="004C4013" w:rsidP="00ED02A7">
      <w:pPr>
        <w:spacing w:line="480" w:lineRule="auto"/>
        <w:ind w:left="284" w:hanging="284"/>
        <w:jc w:val="both"/>
      </w:pPr>
      <w:proofErr w:type="spellStart"/>
      <w:r w:rsidRPr="002D4D50">
        <w:t>Agerberg</w:t>
      </w:r>
      <w:proofErr w:type="spellEnd"/>
      <w:r w:rsidRPr="002D4D50">
        <w:t xml:space="preserve">, M. </w:t>
      </w:r>
      <w:r w:rsidR="00AA07B2">
        <w:t>(</w:t>
      </w:r>
      <w:r w:rsidRPr="002D4D50">
        <w:t>2017</w:t>
      </w:r>
      <w:r w:rsidR="00AA07B2">
        <w:t>)</w:t>
      </w:r>
      <w:r w:rsidR="002C30AE" w:rsidRPr="002D4D50">
        <w:t xml:space="preserve">. </w:t>
      </w:r>
      <w:r w:rsidRPr="002D4D50">
        <w:t>Failed expectations: Quality of government and support for populist parties in Europe</w:t>
      </w:r>
      <w:r w:rsidR="00894856" w:rsidRPr="002D4D50">
        <w:t>.</w:t>
      </w:r>
      <w:r w:rsidRPr="002D4D50">
        <w:t xml:space="preserve"> </w:t>
      </w:r>
      <w:r w:rsidRPr="002D4D50">
        <w:rPr>
          <w:i/>
        </w:rPr>
        <w:t>European Journal of Political Research</w:t>
      </w:r>
      <w:r w:rsidR="009F6FFD">
        <w:rPr>
          <w:i/>
        </w:rPr>
        <w:t>,</w:t>
      </w:r>
      <w:r w:rsidRPr="002D4D50">
        <w:t xml:space="preserve"> 56</w:t>
      </w:r>
      <w:r w:rsidR="00693A09">
        <w:t>(3),</w:t>
      </w:r>
      <w:r w:rsidRPr="002D4D50">
        <w:t xml:space="preserve"> 578-600. </w:t>
      </w:r>
    </w:p>
    <w:p w14:paraId="07DB05DE" w14:textId="37CE760B" w:rsidR="00AA6E1C" w:rsidRPr="002D4D50" w:rsidRDefault="004C4013" w:rsidP="00ED02A7">
      <w:pPr>
        <w:spacing w:line="480" w:lineRule="auto"/>
        <w:ind w:left="284" w:hanging="284"/>
        <w:jc w:val="both"/>
      </w:pPr>
      <w:r w:rsidRPr="002D4D50">
        <w:t>Arndt, C.</w:t>
      </w:r>
      <w:r w:rsidR="00AA07B2">
        <w:t xml:space="preserve">, &amp; </w:t>
      </w:r>
      <w:r w:rsidRPr="002D4D50">
        <w:t xml:space="preserve">Thomsen, P. F. </w:t>
      </w:r>
      <w:r w:rsidR="00AA07B2">
        <w:t>(</w:t>
      </w:r>
      <w:r w:rsidRPr="002D4D50">
        <w:t>2019</w:t>
      </w:r>
      <w:r w:rsidR="00AA07B2">
        <w:t>)</w:t>
      </w:r>
      <w:r w:rsidRPr="002D4D50">
        <w:t xml:space="preserve"> </w:t>
      </w:r>
      <w:r w:rsidRPr="002D4D50">
        <w:rPr>
          <w:lang w:val="en-US"/>
        </w:rPr>
        <w:t>Ethnicity Coding Revisited: Right-Wing Parties as Catalysts for Mobilization Against Immigrant Welfare Rights</w:t>
      </w:r>
      <w:r w:rsidR="009F6FFD">
        <w:rPr>
          <w:lang w:val="en-US"/>
        </w:rPr>
        <w:t>.</w:t>
      </w:r>
      <w:r w:rsidRPr="002D4D50">
        <w:rPr>
          <w:lang w:val="en-US"/>
        </w:rPr>
        <w:t xml:space="preserve"> </w:t>
      </w:r>
      <w:r w:rsidRPr="002D4D50">
        <w:rPr>
          <w:i/>
          <w:lang w:val="en-US"/>
        </w:rPr>
        <w:t>Scandinavian Political Studies</w:t>
      </w:r>
      <w:r w:rsidR="009F6FFD">
        <w:rPr>
          <w:i/>
          <w:lang w:val="en-US"/>
        </w:rPr>
        <w:t>,</w:t>
      </w:r>
      <w:r w:rsidRPr="002D4D50">
        <w:rPr>
          <w:lang w:val="en-US"/>
        </w:rPr>
        <w:t xml:space="preserve"> 42(2)</w:t>
      </w:r>
      <w:r w:rsidR="009F6FFD">
        <w:rPr>
          <w:lang w:val="en-US"/>
        </w:rPr>
        <w:t>,</w:t>
      </w:r>
      <w:r w:rsidRPr="002D4D50">
        <w:rPr>
          <w:lang w:val="en-US"/>
        </w:rPr>
        <w:t xml:space="preserve"> 93-117. </w:t>
      </w:r>
    </w:p>
    <w:p w14:paraId="3B7C6C0E" w14:textId="1B8A6E39" w:rsidR="00AA6E1C" w:rsidRPr="002D4D50" w:rsidRDefault="004C4013" w:rsidP="00ED02A7">
      <w:pPr>
        <w:spacing w:line="480" w:lineRule="auto"/>
        <w:ind w:left="284" w:hanging="284"/>
        <w:jc w:val="both"/>
        <w:rPr>
          <w:lang w:val="en-US"/>
        </w:rPr>
      </w:pPr>
      <w:r w:rsidRPr="002D4D50">
        <w:rPr>
          <w:lang w:val="en-US"/>
        </w:rPr>
        <w:lastRenderedPageBreak/>
        <w:t xml:space="preserve">Bay, A-H., </w:t>
      </w:r>
      <w:proofErr w:type="spellStart"/>
      <w:r w:rsidRPr="002D4D50">
        <w:rPr>
          <w:lang w:val="en-US"/>
        </w:rPr>
        <w:t>Finseraas</w:t>
      </w:r>
      <w:proofErr w:type="spellEnd"/>
      <w:r w:rsidRPr="002D4D50">
        <w:rPr>
          <w:lang w:val="en-US"/>
        </w:rPr>
        <w:t>, H.</w:t>
      </w:r>
      <w:r w:rsidR="00AA07B2">
        <w:rPr>
          <w:lang w:val="en-US"/>
        </w:rPr>
        <w:t>, &amp;</w:t>
      </w:r>
      <w:r w:rsidRPr="002D4D50">
        <w:rPr>
          <w:lang w:val="en-US"/>
        </w:rPr>
        <w:t xml:space="preserve"> Pedersen, A.W. </w:t>
      </w:r>
      <w:r w:rsidR="00AA07B2">
        <w:rPr>
          <w:lang w:val="en-US"/>
        </w:rPr>
        <w:t>(</w:t>
      </w:r>
      <w:r w:rsidRPr="002D4D50">
        <w:rPr>
          <w:lang w:val="en-US"/>
        </w:rPr>
        <w:t>2013</w:t>
      </w:r>
      <w:r w:rsidR="00AA07B2">
        <w:rPr>
          <w:lang w:val="en-US"/>
        </w:rPr>
        <w:t>)</w:t>
      </w:r>
      <w:r w:rsidR="00395A49" w:rsidRPr="002D4D50">
        <w:rPr>
          <w:lang w:val="en-US"/>
        </w:rPr>
        <w:t>.</w:t>
      </w:r>
      <w:r w:rsidR="002C30AE" w:rsidRPr="002D4D50">
        <w:rPr>
          <w:lang w:val="en-US"/>
        </w:rPr>
        <w:t xml:space="preserve"> </w:t>
      </w:r>
      <w:r w:rsidRPr="002D4D50">
        <w:rPr>
          <w:lang w:val="en-US"/>
        </w:rPr>
        <w:t>Welfare Dualism in Two Scandinavian Welfare States: Public Opinion and Party Politics</w:t>
      </w:r>
      <w:r w:rsidR="00894856" w:rsidRPr="002D4D50">
        <w:rPr>
          <w:lang w:val="en-US"/>
        </w:rPr>
        <w:t>.</w:t>
      </w:r>
      <w:r w:rsidRPr="002D4D50">
        <w:rPr>
          <w:lang w:val="en-US"/>
        </w:rPr>
        <w:t xml:space="preserve"> </w:t>
      </w:r>
      <w:r w:rsidRPr="002D4D50">
        <w:rPr>
          <w:i/>
          <w:iCs/>
          <w:lang w:val="en-US"/>
        </w:rPr>
        <w:t>West European Politics</w:t>
      </w:r>
      <w:r w:rsidR="009F6FFD">
        <w:rPr>
          <w:i/>
          <w:iCs/>
          <w:lang w:val="en-US"/>
        </w:rPr>
        <w:t>,</w:t>
      </w:r>
      <w:r w:rsidRPr="002D4D50">
        <w:rPr>
          <w:lang w:val="en-US"/>
        </w:rPr>
        <w:t xml:space="preserve"> 36</w:t>
      </w:r>
      <w:r w:rsidR="00395A49" w:rsidRPr="002D4D50">
        <w:rPr>
          <w:lang w:val="en-US"/>
        </w:rPr>
        <w:t>(</w:t>
      </w:r>
      <w:r w:rsidRPr="002D4D50">
        <w:rPr>
          <w:lang w:val="en-US"/>
        </w:rPr>
        <w:t>1</w:t>
      </w:r>
      <w:r w:rsidR="00395A49" w:rsidRPr="002D4D50">
        <w:rPr>
          <w:lang w:val="en-US"/>
        </w:rPr>
        <w:t>)</w:t>
      </w:r>
      <w:r w:rsidR="009F6FFD">
        <w:rPr>
          <w:lang w:val="en-US"/>
        </w:rPr>
        <w:t>,</w:t>
      </w:r>
      <w:r w:rsidRPr="002D4D50">
        <w:rPr>
          <w:lang w:val="en-US"/>
        </w:rPr>
        <w:t xml:space="preserve"> 199–220. </w:t>
      </w:r>
    </w:p>
    <w:p w14:paraId="04F49A8D" w14:textId="39E981C5" w:rsidR="00844229" w:rsidRPr="002D4D50" w:rsidRDefault="00844229" w:rsidP="00ED02A7">
      <w:pPr>
        <w:spacing w:line="480" w:lineRule="auto"/>
        <w:ind w:left="284" w:hanging="284"/>
        <w:jc w:val="both"/>
        <w:rPr>
          <w:lang w:val="en-US"/>
        </w:rPr>
      </w:pPr>
      <w:r w:rsidRPr="002D4D50">
        <w:rPr>
          <w:lang w:val="en-US"/>
        </w:rPr>
        <w:t>Bened</w:t>
      </w:r>
      <w:r w:rsidR="009F6ABC" w:rsidRPr="002D4D50">
        <w:rPr>
          <w:lang w:val="en-US"/>
        </w:rPr>
        <w:t>etto, G., Hix, S.</w:t>
      </w:r>
      <w:r w:rsidR="00AA07B2">
        <w:rPr>
          <w:lang w:val="en-US"/>
        </w:rPr>
        <w:t>,</w:t>
      </w:r>
      <w:r w:rsidR="009F6ABC" w:rsidRPr="002D4D50">
        <w:rPr>
          <w:lang w:val="en-US"/>
        </w:rPr>
        <w:t xml:space="preserve"> </w:t>
      </w:r>
      <w:r w:rsidR="00AA07B2">
        <w:rPr>
          <w:lang w:val="en-US"/>
        </w:rPr>
        <w:t>&amp;</w:t>
      </w:r>
      <w:r w:rsidR="009F6ABC" w:rsidRPr="002D4D50">
        <w:rPr>
          <w:lang w:val="en-US"/>
        </w:rPr>
        <w:t xml:space="preserve"> </w:t>
      </w:r>
      <w:proofErr w:type="spellStart"/>
      <w:r w:rsidR="009F6ABC" w:rsidRPr="002D4D50">
        <w:rPr>
          <w:lang w:val="en-US"/>
        </w:rPr>
        <w:t>Mastrorocco</w:t>
      </w:r>
      <w:proofErr w:type="spellEnd"/>
      <w:r w:rsidR="009F6ABC" w:rsidRPr="002D4D50">
        <w:rPr>
          <w:lang w:val="en-US"/>
        </w:rPr>
        <w:t xml:space="preserve">, N. </w:t>
      </w:r>
      <w:r w:rsidR="00AA07B2">
        <w:rPr>
          <w:lang w:val="en-US"/>
        </w:rPr>
        <w:t>(</w:t>
      </w:r>
      <w:r w:rsidR="009F6ABC" w:rsidRPr="002D4D50">
        <w:rPr>
          <w:lang w:val="en-US"/>
        </w:rPr>
        <w:t>2020</w:t>
      </w:r>
      <w:r w:rsidR="00AA07B2">
        <w:rPr>
          <w:lang w:val="en-US"/>
        </w:rPr>
        <w:t>)</w:t>
      </w:r>
      <w:r w:rsidR="009F6ABC" w:rsidRPr="002D4D50">
        <w:rPr>
          <w:lang w:val="en-US"/>
        </w:rPr>
        <w:t xml:space="preserve">. The Rise and Fall of Social Democracy, 1918–2017. </w:t>
      </w:r>
      <w:r w:rsidR="009F6ABC" w:rsidRPr="002D4D50">
        <w:rPr>
          <w:i/>
          <w:lang w:val="en-US"/>
        </w:rPr>
        <w:t>American Political Science Review</w:t>
      </w:r>
      <w:r w:rsidR="009F6FFD">
        <w:rPr>
          <w:i/>
          <w:lang w:val="en-US"/>
        </w:rPr>
        <w:t>.</w:t>
      </w:r>
      <w:r w:rsidR="009F6ABC" w:rsidRPr="002D4D50">
        <w:rPr>
          <w:lang w:val="en-US"/>
        </w:rPr>
        <w:t xml:space="preserve"> 114(3)</w:t>
      </w:r>
      <w:r w:rsidR="009F6FFD">
        <w:rPr>
          <w:lang w:val="en-US"/>
        </w:rPr>
        <w:t>,</w:t>
      </w:r>
      <w:r w:rsidR="009F6ABC" w:rsidRPr="002D4D50">
        <w:rPr>
          <w:lang w:val="en-US"/>
        </w:rPr>
        <w:t xml:space="preserve"> 928–939. </w:t>
      </w:r>
    </w:p>
    <w:p w14:paraId="54C0B8D0" w14:textId="11282358" w:rsidR="00DC7DE2" w:rsidRPr="002D4D50" w:rsidRDefault="00DC7DE2" w:rsidP="00ED02A7">
      <w:pPr>
        <w:spacing w:line="480" w:lineRule="auto"/>
        <w:ind w:left="284" w:hanging="284"/>
        <w:jc w:val="both"/>
        <w:rPr>
          <w:lang w:val="en-US"/>
        </w:rPr>
      </w:pPr>
      <w:r w:rsidRPr="002D4D50">
        <w:rPr>
          <w:lang w:val="en-US"/>
        </w:rPr>
        <w:t xml:space="preserve">Bergh, J. </w:t>
      </w:r>
      <w:r w:rsidR="008775D7">
        <w:rPr>
          <w:lang w:val="en-US"/>
        </w:rPr>
        <w:t>(</w:t>
      </w:r>
      <w:r w:rsidRPr="002D4D50">
        <w:rPr>
          <w:lang w:val="en-US"/>
        </w:rPr>
        <w:t>2004</w:t>
      </w:r>
      <w:r w:rsidR="008775D7">
        <w:rPr>
          <w:lang w:val="en-US"/>
        </w:rPr>
        <w:t>)</w:t>
      </w:r>
      <w:r w:rsidR="00331032" w:rsidRPr="002D4D50">
        <w:rPr>
          <w:lang w:val="en-US"/>
        </w:rPr>
        <w:t>.</w:t>
      </w:r>
      <w:r w:rsidRPr="002D4D50">
        <w:rPr>
          <w:lang w:val="en-US"/>
        </w:rPr>
        <w:t xml:space="preserve"> Protest voting in Austria, Denmark, and Norway</w:t>
      </w:r>
      <w:r w:rsidR="00331032" w:rsidRPr="002D4D50">
        <w:rPr>
          <w:lang w:val="en-US"/>
        </w:rPr>
        <w:t>.</w:t>
      </w:r>
      <w:r w:rsidRPr="002D4D50">
        <w:rPr>
          <w:lang w:val="en-US"/>
        </w:rPr>
        <w:t xml:space="preserve"> </w:t>
      </w:r>
      <w:r w:rsidRPr="002D4D50">
        <w:rPr>
          <w:i/>
          <w:lang w:val="en-US"/>
        </w:rPr>
        <w:t>Scandinavian Political Studies</w:t>
      </w:r>
      <w:r w:rsidR="009F6FFD">
        <w:rPr>
          <w:i/>
          <w:lang w:val="en-US"/>
        </w:rPr>
        <w:t>.</w:t>
      </w:r>
      <w:r w:rsidRPr="002D4D50">
        <w:rPr>
          <w:lang w:val="en-US"/>
        </w:rPr>
        <w:t xml:space="preserve"> 27(4)</w:t>
      </w:r>
      <w:r w:rsidR="009F6FFD">
        <w:rPr>
          <w:lang w:val="en-US"/>
        </w:rPr>
        <w:t>,</w:t>
      </w:r>
      <w:r w:rsidRPr="002D4D50">
        <w:rPr>
          <w:lang w:val="en-US"/>
        </w:rPr>
        <w:t xml:space="preserve"> 367–389.</w:t>
      </w:r>
    </w:p>
    <w:p w14:paraId="3824B729" w14:textId="1B6DEBC3" w:rsidR="0089382E" w:rsidRPr="002D4D50" w:rsidRDefault="0089382E" w:rsidP="00ED02A7">
      <w:pPr>
        <w:spacing w:line="480" w:lineRule="auto"/>
        <w:ind w:left="284" w:hanging="284"/>
        <w:jc w:val="both"/>
        <w:rPr>
          <w:lang w:val="en-US"/>
        </w:rPr>
      </w:pPr>
      <w:r w:rsidRPr="002D4D50">
        <w:rPr>
          <w:lang w:val="en-US"/>
        </w:rPr>
        <w:t xml:space="preserve">Betz </w:t>
      </w:r>
      <w:r w:rsidR="00331032" w:rsidRPr="002D4D50">
        <w:rPr>
          <w:lang w:val="en-US"/>
        </w:rPr>
        <w:t>H-G</w:t>
      </w:r>
      <w:r w:rsidRPr="002D4D50">
        <w:rPr>
          <w:lang w:val="en-US"/>
        </w:rPr>
        <w:t xml:space="preserve">. </w:t>
      </w:r>
      <w:r w:rsidR="008775D7">
        <w:rPr>
          <w:lang w:val="en-US"/>
        </w:rPr>
        <w:t>(</w:t>
      </w:r>
      <w:r w:rsidRPr="002D4D50">
        <w:rPr>
          <w:lang w:val="en-US"/>
        </w:rPr>
        <w:t>1994</w:t>
      </w:r>
      <w:r w:rsidR="008775D7">
        <w:rPr>
          <w:lang w:val="en-US"/>
        </w:rPr>
        <w:t>)</w:t>
      </w:r>
      <w:r w:rsidRPr="002D4D50">
        <w:rPr>
          <w:lang w:val="en-US"/>
        </w:rPr>
        <w:t xml:space="preserve">. </w:t>
      </w:r>
      <w:r w:rsidRPr="002D4D50">
        <w:rPr>
          <w:i/>
          <w:lang w:val="en-US"/>
        </w:rPr>
        <w:t>Radical Rightwing Populism in Western Europe</w:t>
      </w:r>
      <w:r w:rsidRPr="002D4D50">
        <w:rPr>
          <w:lang w:val="en-US"/>
        </w:rPr>
        <w:t>. New York: St. Martin’s Press.</w:t>
      </w:r>
    </w:p>
    <w:p w14:paraId="0B103CF5" w14:textId="4D7907EE" w:rsidR="006D0765" w:rsidRPr="002D4D50" w:rsidRDefault="006D0765" w:rsidP="008B4A1F">
      <w:pPr>
        <w:spacing w:line="480" w:lineRule="auto"/>
        <w:ind w:left="284" w:hanging="284"/>
        <w:jc w:val="both"/>
      </w:pPr>
      <w:proofErr w:type="spellStart"/>
      <w:r w:rsidRPr="002D4D50">
        <w:t>Bojar</w:t>
      </w:r>
      <w:proofErr w:type="spellEnd"/>
      <w:r w:rsidRPr="002D4D50">
        <w:t xml:space="preserve">, A., Bremer, B., </w:t>
      </w:r>
      <w:proofErr w:type="spellStart"/>
      <w:r w:rsidRPr="002D4D50">
        <w:t>Kriesi</w:t>
      </w:r>
      <w:proofErr w:type="spellEnd"/>
      <w:r w:rsidRPr="002D4D50">
        <w:t xml:space="preserve">, H., &amp; Wang, C. </w:t>
      </w:r>
      <w:r w:rsidR="008775D7">
        <w:t>(</w:t>
      </w:r>
      <w:r w:rsidRPr="002D4D50">
        <w:t>2022</w:t>
      </w:r>
      <w:r w:rsidR="008775D7">
        <w:t>)</w:t>
      </w:r>
      <w:r w:rsidRPr="002D4D50">
        <w:t>. The Effect of Austerity Packages on Government Popularity During the Great Recession. </w:t>
      </w:r>
      <w:r w:rsidRPr="002D4D50">
        <w:rPr>
          <w:i/>
          <w:iCs/>
        </w:rPr>
        <w:t>British Journal of Political Science,</w:t>
      </w:r>
      <w:r w:rsidRPr="002D4D50">
        <w:t> </w:t>
      </w:r>
      <w:r w:rsidRPr="002D4D50">
        <w:rPr>
          <w:i/>
          <w:iCs/>
        </w:rPr>
        <w:t>52</w:t>
      </w:r>
      <w:r w:rsidRPr="002D4D50">
        <w:t xml:space="preserve">(1), 181-199.  </w:t>
      </w:r>
    </w:p>
    <w:p w14:paraId="1035D36C" w14:textId="5DDAC8E0" w:rsidR="00EC78B6" w:rsidRPr="002D4D50" w:rsidRDefault="00EC78B6" w:rsidP="008B4A1F">
      <w:pPr>
        <w:spacing w:line="480" w:lineRule="auto"/>
        <w:ind w:left="284" w:hanging="284"/>
        <w:jc w:val="both"/>
      </w:pPr>
      <w:proofErr w:type="spellStart"/>
      <w:r w:rsidRPr="002D4D50">
        <w:t>Bonikowski</w:t>
      </w:r>
      <w:proofErr w:type="spellEnd"/>
      <w:r w:rsidRPr="002D4D50">
        <w:t xml:space="preserve">, B. </w:t>
      </w:r>
      <w:r w:rsidR="008775D7">
        <w:t>(</w:t>
      </w:r>
      <w:r w:rsidRPr="002D4D50">
        <w:t>2017</w:t>
      </w:r>
      <w:r w:rsidR="008775D7">
        <w:t>)</w:t>
      </w:r>
      <w:r w:rsidRPr="002D4D50">
        <w:t xml:space="preserve">. Ethno-nationalist populism and the mobilization of collective resentment. </w:t>
      </w:r>
      <w:r w:rsidRPr="002D4D50">
        <w:rPr>
          <w:i/>
          <w:iCs/>
        </w:rPr>
        <w:t>The British Journal of Sociology</w:t>
      </w:r>
      <w:r w:rsidRPr="002D4D50">
        <w:t>, 68</w:t>
      </w:r>
      <w:r w:rsidR="009F6FFD">
        <w:t>,</w:t>
      </w:r>
      <w:r w:rsidRPr="002D4D50">
        <w:t xml:space="preserve"> S181-S213. </w:t>
      </w:r>
    </w:p>
    <w:p w14:paraId="1442D49A" w14:textId="34DEB6D4" w:rsidR="007C7EF9" w:rsidRPr="002D4D50" w:rsidRDefault="005F310D" w:rsidP="00ED02A7">
      <w:pPr>
        <w:spacing w:line="480" w:lineRule="auto"/>
        <w:ind w:left="284" w:hanging="284"/>
        <w:jc w:val="both"/>
        <w:rPr>
          <w:lang w:val="en-US"/>
        </w:rPr>
      </w:pPr>
      <w:bookmarkStart w:id="0" w:name="OLE_LINK1"/>
      <w:bookmarkStart w:id="1" w:name="OLE_LINK2"/>
      <w:proofErr w:type="spellStart"/>
      <w:r w:rsidRPr="002D4D50">
        <w:rPr>
          <w:lang w:val="en-US"/>
        </w:rPr>
        <w:t>Busemeyer</w:t>
      </w:r>
      <w:proofErr w:type="spellEnd"/>
      <w:r w:rsidRPr="002D4D50">
        <w:t>, M.</w:t>
      </w:r>
      <w:r w:rsidR="008775D7">
        <w:t>, &amp;</w:t>
      </w:r>
      <w:r w:rsidR="007C7EF9" w:rsidRPr="002D4D50">
        <w:t xml:space="preserve"> </w:t>
      </w:r>
      <w:proofErr w:type="spellStart"/>
      <w:r w:rsidRPr="002D4D50">
        <w:rPr>
          <w:lang w:val="en-US"/>
        </w:rPr>
        <w:t>Neimanns</w:t>
      </w:r>
      <w:proofErr w:type="spellEnd"/>
      <w:r w:rsidRPr="002D4D50">
        <w:t xml:space="preserve">, E. </w:t>
      </w:r>
      <w:r w:rsidR="008775D7">
        <w:t>(</w:t>
      </w:r>
      <w:r w:rsidR="007C7EF9" w:rsidRPr="002D4D50">
        <w:t>2017</w:t>
      </w:r>
      <w:r w:rsidR="008775D7">
        <w:t>)</w:t>
      </w:r>
      <w:r w:rsidR="00776548" w:rsidRPr="002D4D50">
        <w:t>.</w:t>
      </w:r>
      <w:r w:rsidRPr="002D4D50">
        <w:t xml:space="preserve"> </w:t>
      </w:r>
      <w:r w:rsidRPr="002D4D50">
        <w:rPr>
          <w:lang w:val="en-US"/>
        </w:rPr>
        <w:t xml:space="preserve">Conflictive preferences towards social investments and transfers in mature welfare states: The cases of unemployment benefits and childcare provision. </w:t>
      </w:r>
      <w:r w:rsidRPr="002D4D50">
        <w:rPr>
          <w:i/>
          <w:lang w:val="en-US"/>
        </w:rPr>
        <w:t>Journal of European Social Policy</w:t>
      </w:r>
      <w:r w:rsidR="009F6FFD">
        <w:rPr>
          <w:i/>
          <w:lang w:val="en-US"/>
        </w:rPr>
        <w:t>,</w:t>
      </w:r>
      <w:r w:rsidR="00331032" w:rsidRPr="002D4D50">
        <w:rPr>
          <w:lang w:val="en-US"/>
        </w:rPr>
        <w:t xml:space="preserve"> </w:t>
      </w:r>
      <w:r w:rsidRPr="002D4D50">
        <w:rPr>
          <w:lang w:val="en-US"/>
        </w:rPr>
        <w:t>27(3)</w:t>
      </w:r>
      <w:r w:rsidR="009F6FFD">
        <w:rPr>
          <w:lang w:val="en-US"/>
        </w:rPr>
        <w:t>,</w:t>
      </w:r>
      <w:r w:rsidRPr="002D4D50">
        <w:rPr>
          <w:lang w:val="en-US"/>
        </w:rPr>
        <w:t xml:space="preserve"> 229–246</w:t>
      </w:r>
      <w:r w:rsidR="00331032" w:rsidRPr="002D4D50">
        <w:rPr>
          <w:lang w:val="en-US"/>
        </w:rPr>
        <w:t>.</w:t>
      </w:r>
    </w:p>
    <w:bookmarkEnd w:id="0"/>
    <w:bookmarkEnd w:id="1"/>
    <w:p w14:paraId="71A2F78F" w14:textId="3A6BABB3" w:rsidR="00776548" w:rsidRPr="0040533B" w:rsidRDefault="00776548" w:rsidP="0040533B">
      <w:pPr>
        <w:spacing w:line="480" w:lineRule="auto"/>
        <w:ind w:left="284" w:hanging="284"/>
        <w:jc w:val="both"/>
        <w:rPr>
          <w:highlight w:val="yellow"/>
        </w:rPr>
      </w:pPr>
      <w:proofErr w:type="spellStart"/>
      <w:r w:rsidRPr="00224592">
        <w:t>Buštíková</w:t>
      </w:r>
      <w:proofErr w:type="spellEnd"/>
      <w:r w:rsidRPr="00224592">
        <w:t xml:space="preserve">, L. </w:t>
      </w:r>
      <w:r w:rsidR="008775D7" w:rsidRPr="00224592">
        <w:t>(</w:t>
      </w:r>
      <w:r w:rsidRPr="00224592">
        <w:t>2018</w:t>
      </w:r>
      <w:r w:rsidR="008775D7" w:rsidRPr="00224592">
        <w:t>)</w:t>
      </w:r>
      <w:r w:rsidRPr="00224592">
        <w:t>. The Radical Right in Eastern Europ</w:t>
      </w:r>
      <w:r w:rsidR="009F6FFD" w:rsidRPr="00224592">
        <w:t>e</w:t>
      </w:r>
      <w:r w:rsidRPr="00224592">
        <w:t>.  </w:t>
      </w:r>
      <w:r w:rsidR="00693A09" w:rsidRPr="00224592">
        <w:t>I</w:t>
      </w:r>
      <w:r w:rsidRPr="00224592">
        <w:t>n J</w:t>
      </w:r>
      <w:r w:rsidR="00693A09" w:rsidRPr="00224592">
        <w:t>.</w:t>
      </w:r>
      <w:r w:rsidRPr="00224592">
        <w:t xml:space="preserve"> </w:t>
      </w:r>
      <w:proofErr w:type="spellStart"/>
      <w:r w:rsidRPr="00224592">
        <w:t>Rydgren</w:t>
      </w:r>
      <w:proofErr w:type="spellEnd"/>
      <w:r w:rsidRPr="00224592">
        <w:t xml:space="preserve"> (</w:t>
      </w:r>
      <w:r w:rsidR="00693A09" w:rsidRPr="00224592">
        <w:t>E</w:t>
      </w:r>
      <w:r w:rsidRPr="00224592">
        <w:t>d.), </w:t>
      </w:r>
      <w:r w:rsidRPr="00224592">
        <w:rPr>
          <w:i/>
          <w:iCs/>
        </w:rPr>
        <w:t xml:space="preserve">The Oxford Handbook of the Radical </w:t>
      </w:r>
      <w:r w:rsidRPr="00113FC5">
        <w:rPr>
          <w:i/>
          <w:iCs/>
        </w:rPr>
        <w:t>Right</w:t>
      </w:r>
      <w:r w:rsidR="00224592" w:rsidRPr="00113FC5">
        <w:rPr>
          <w:i/>
          <w:iCs/>
        </w:rPr>
        <w:t xml:space="preserve"> </w:t>
      </w:r>
      <w:r w:rsidR="00224592" w:rsidRPr="00113FC5">
        <w:t>(</w:t>
      </w:r>
      <w:r w:rsidR="0040533B" w:rsidRPr="00113FC5">
        <w:t>pp. 565–581</w:t>
      </w:r>
      <w:r w:rsidR="00224592" w:rsidRPr="00113FC5">
        <w:t>)</w:t>
      </w:r>
      <w:r w:rsidRPr="00113FC5">
        <w:t> Oxford</w:t>
      </w:r>
      <w:r w:rsidRPr="00224592">
        <w:t>: Oxford University Press.</w:t>
      </w:r>
      <w:r w:rsidRPr="002D4D50">
        <w:t xml:space="preserve"> </w:t>
      </w:r>
    </w:p>
    <w:p w14:paraId="7F3D5767" w14:textId="3FD5E25B" w:rsidR="00DC5F28" w:rsidRPr="002D4D50" w:rsidRDefault="00DC5F28" w:rsidP="00DC5F28">
      <w:pPr>
        <w:spacing w:line="480" w:lineRule="auto"/>
        <w:ind w:left="284" w:hanging="284"/>
        <w:jc w:val="both"/>
      </w:pPr>
      <w:proofErr w:type="spellStart"/>
      <w:r w:rsidRPr="002D4D50">
        <w:t>Canache</w:t>
      </w:r>
      <w:proofErr w:type="spellEnd"/>
      <w:r w:rsidRPr="002D4D50">
        <w:t xml:space="preserve">, D., </w:t>
      </w:r>
      <w:proofErr w:type="spellStart"/>
      <w:r w:rsidRPr="002D4D50">
        <w:t>Mondak</w:t>
      </w:r>
      <w:proofErr w:type="spellEnd"/>
      <w:r w:rsidRPr="002D4D50">
        <w:t xml:space="preserve">, J. J., &amp; </w:t>
      </w:r>
      <w:proofErr w:type="spellStart"/>
      <w:r w:rsidRPr="002D4D50">
        <w:t>Seligson</w:t>
      </w:r>
      <w:proofErr w:type="spellEnd"/>
      <w:r w:rsidRPr="002D4D50">
        <w:t xml:space="preserve">, M. A. </w:t>
      </w:r>
      <w:r w:rsidR="008775D7">
        <w:t>(</w:t>
      </w:r>
      <w:r w:rsidRPr="002D4D50">
        <w:t>2001</w:t>
      </w:r>
      <w:r w:rsidR="008775D7">
        <w:t>)</w:t>
      </w:r>
      <w:r w:rsidRPr="002D4D50">
        <w:t>. Meaning and measurement in</w:t>
      </w:r>
      <w:r w:rsidR="00CE193E" w:rsidRPr="002D4D50">
        <w:t xml:space="preserve"> </w:t>
      </w:r>
      <w:r w:rsidRPr="002D4D50">
        <w:t xml:space="preserve">cross-national research on satisfaction with democracy. </w:t>
      </w:r>
      <w:r w:rsidRPr="002D4D50">
        <w:rPr>
          <w:i/>
          <w:iCs/>
        </w:rPr>
        <w:t>Public Opinion Quarterly</w:t>
      </w:r>
      <w:r w:rsidRPr="002D4D50">
        <w:t>,</w:t>
      </w:r>
      <w:r w:rsidR="00CE193E" w:rsidRPr="002D4D50">
        <w:t xml:space="preserve"> </w:t>
      </w:r>
      <w:r w:rsidRPr="002D4D50">
        <w:t>65(4), 506-528.</w:t>
      </w:r>
    </w:p>
    <w:p w14:paraId="38EE0F3F" w14:textId="5678CEB3" w:rsidR="009F6ABC" w:rsidRPr="002D4D50" w:rsidRDefault="009F6ABC" w:rsidP="00ED02A7">
      <w:pPr>
        <w:spacing w:line="480" w:lineRule="auto"/>
        <w:ind w:left="284" w:hanging="284"/>
        <w:jc w:val="both"/>
        <w:rPr>
          <w:lang w:val="en-US"/>
        </w:rPr>
      </w:pPr>
      <w:proofErr w:type="spellStart"/>
      <w:r w:rsidRPr="002D4D50">
        <w:lastRenderedPageBreak/>
        <w:t>Caughey</w:t>
      </w:r>
      <w:proofErr w:type="spellEnd"/>
      <w:r w:rsidRPr="002D4D50">
        <w:t>, D., O’Grady, T.</w:t>
      </w:r>
      <w:r w:rsidR="008775D7">
        <w:t xml:space="preserve">, &amp; </w:t>
      </w:r>
      <w:proofErr w:type="spellStart"/>
      <w:r w:rsidRPr="002D4D50">
        <w:t>Warshaw</w:t>
      </w:r>
      <w:proofErr w:type="spellEnd"/>
      <w:r w:rsidRPr="002D4D50">
        <w:t xml:space="preserve">, C. </w:t>
      </w:r>
      <w:r w:rsidR="008775D7">
        <w:t>(</w:t>
      </w:r>
      <w:r w:rsidRPr="002D4D50">
        <w:t>2019</w:t>
      </w:r>
      <w:r w:rsidR="008775D7">
        <w:t>)</w:t>
      </w:r>
      <w:r w:rsidRPr="002D4D50">
        <w:t xml:space="preserve">. </w:t>
      </w:r>
      <w:r w:rsidRPr="002D4D50">
        <w:rPr>
          <w:lang w:val="en-US"/>
        </w:rPr>
        <w:t>Policy Ideology in European Mass Publics, 1981–2016.</w:t>
      </w:r>
      <w:r w:rsidRPr="002D4D50">
        <w:t xml:space="preserve"> </w:t>
      </w:r>
      <w:r w:rsidRPr="002D4D50">
        <w:rPr>
          <w:i/>
          <w:lang w:val="en-US"/>
        </w:rPr>
        <w:t>American Political Science Review</w:t>
      </w:r>
      <w:r w:rsidR="009F6FFD">
        <w:rPr>
          <w:i/>
          <w:lang w:val="en-US"/>
        </w:rPr>
        <w:t>,</w:t>
      </w:r>
      <w:r w:rsidRPr="002D4D50">
        <w:rPr>
          <w:lang w:val="en-US"/>
        </w:rPr>
        <w:t xml:space="preserve"> 113(3)</w:t>
      </w:r>
      <w:r w:rsidR="009F6FFD">
        <w:rPr>
          <w:lang w:val="en-US"/>
        </w:rPr>
        <w:t>,</w:t>
      </w:r>
      <w:r w:rsidRPr="002D4D50">
        <w:rPr>
          <w:lang w:val="en-US"/>
        </w:rPr>
        <w:t xml:space="preserve"> 674–693. </w:t>
      </w:r>
    </w:p>
    <w:p w14:paraId="0470814C" w14:textId="30BA4C67" w:rsidR="00DF681E" w:rsidRPr="002D4D50" w:rsidRDefault="00DF681E" w:rsidP="00ED02A7">
      <w:pPr>
        <w:spacing w:line="480" w:lineRule="auto"/>
        <w:ind w:left="284" w:hanging="284"/>
        <w:jc w:val="both"/>
      </w:pPr>
      <w:r w:rsidRPr="002D4D50">
        <w:t xml:space="preserve">Claassen, C., &amp; </w:t>
      </w:r>
      <w:proofErr w:type="spellStart"/>
      <w:r w:rsidRPr="002D4D50">
        <w:t>Magalhães</w:t>
      </w:r>
      <w:proofErr w:type="spellEnd"/>
      <w:r w:rsidRPr="002D4D50">
        <w:t xml:space="preserve">, P.C. </w:t>
      </w:r>
      <w:r w:rsidR="008775D7">
        <w:t>(</w:t>
      </w:r>
      <w:r w:rsidRPr="002D4D50">
        <w:t>2022</w:t>
      </w:r>
      <w:r w:rsidR="008775D7">
        <w:t>)</w:t>
      </w:r>
      <w:r w:rsidRPr="002D4D50">
        <w:t xml:space="preserve">. Effective Government and Evaluations of Democracy. </w:t>
      </w:r>
      <w:r w:rsidRPr="002D4D50">
        <w:rPr>
          <w:i/>
          <w:iCs/>
        </w:rPr>
        <w:t>Comparative Political Studies</w:t>
      </w:r>
      <w:r w:rsidRPr="002D4D50">
        <w:t>, 55(5), 869–894.</w:t>
      </w:r>
    </w:p>
    <w:p w14:paraId="37756A14" w14:textId="77D2D4D6" w:rsidR="005F310D" w:rsidRPr="002D4D50" w:rsidRDefault="005F310D" w:rsidP="00ED02A7">
      <w:pPr>
        <w:spacing w:line="480" w:lineRule="auto"/>
        <w:ind w:left="284" w:hanging="284"/>
        <w:jc w:val="both"/>
      </w:pPr>
      <w:r w:rsidRPr="002D4D50">
        <w:t>Craig</w:t>
      </w:r>
      <w:r w:rsidR="00331032" w:rsidRPr="002D4D50">
        <w:t>,</w:t>
      </w:r>
      <w:r w:rsidRPr="002D4D50">
        <w:t xml:space="preserve"> S</w:t>
      </w:r>
      <w:r w:rsidR="00331032" w:rsidRPr="002D4D50">
        <w:t>.</w:t>
      </w:r>
      <w:r w:rsidRPr="002D4D50">
        <w:t>C</w:t>
      </w:r>
      <w:r w:rsidR="00331032" w:rsidRPr="002D4D50">
        <w:t>.</w:t>
      </w:r>
      <w:r w:rsidRPr="002D4D50">
        <w:t>, Niemi</w:t>
      </w:r>
      <w:r w:rsidR="00331032" w:rsidRPr="002D4D50">
        <w:t>,</w:t>
      </w:r>
      <w:r w:rsidRPr="002D4D50">
        <w:t xml:space="preserve"> R</w:t>
      </w:r>
      <w:r w:rsidR="00331032" w:rsidRPr="002D4D50">
        <w:t>.</w:t>
      </w:r>
      <w:r w:rsidRPr="002D4D50">
        <w:t>G</w:t>
      </w:r>
      <w:r w:rsidR="00331032" w:rsidRPr="002D4D50">
        <w:t>.</w:t>
      </w:r>
      <w:r w:rsidR="008775D7">
        <w:t>, &amp;</w:t>
      </w:r>
      <w:r w:rsidRPr="002D4D50">
        <w:t xml:space="preserve"> Silver</w:t>
      </w:r>
      <w:r w:rsidR="00331032" w:rsidRPr="002D4D50">
        <w:t>,</w:t>
      </w:r>
      <w:r w:rsidRPr="002D4D50">
        <w:t xml:space="preserve"> G</w:t>
      </w:r>
      <w:r w:rsidR="00331032" w:rsidRPr="002D4D50">
        <w:t>.</w:t>
      </w:r>
      <w:r w:rsidRPr="002D4D50">
        <w:t>E</w:t>
      </w:r>
      <w:r w:rsidR="00331032" w:rsidRPr="002D4D50">
        <w:t>.</w:t>
      </w:r>
      <w:r w:rsidRPr="002D4D50">
        <w:t xml:space="preserve"> </w:t>
      </w:r>
      <w:r w:rsidR="008775D7">
        <w:t>(</w:t>
      </w:r>
      <w:r w:rsidRPr="002D4D50">
        <w:t>1990</w:t>
      </w:r>
      <w:r w:rsidR="008775D7">
        <w:t>)</w:t>
      </w:r>
      <w:r w:rsidR="00331032" w:rsidRPr="002D4D50">
        <w:t>.</w:t>
      </w:r>
      <w:r w:rsidRPr="002D4D50">
        <w:t xml:space="preserve"> Political Efficacy and Trust: A Report on the NES Pilot Study Items. </w:t>
      </w:r>
      <w:r w:rsidRPr="002D4D50">
        <w:rPr>
          <w:i/>
        </w:rPr>
        <w:t xml:space="preserve">Political </w:t>
      </w:r>
      <w:proofErr w:type="spellStart"/>
      <w:r w:rsidRPr="002D4D50">
        <w:rPr>
          <w:i/>
        </w:rPr>
        <w:t>Behavior</w:t>
      </w:r>
      <w:proofErr w:type="spellEnd"/>
      <w:r w:rsidR="009F6FFD">
        <w:rPr>
          <w:i/>
        </w:rPr>
        <w:t>,</w:t>
      </w:r>
      <w:r w:rsidRPr="002D4D50">
        <w:t xml:space="preserve"> 12(3)</w:t>
      </w:r>
      <w:r w:rsidR="009F6FFD">
        <w:t>,</w:t>
      </w:r>
      <w:r w:rsidRPr="002D4D50">
        <w:t xml:space="preserve"> 289–314. </w:t>
      </w:r>
    </w:p>
    <w:p w14:paraId="69684CFC" w14:textId="4DF70070" w:rsidR="00AA6E1C" w:rsidRPr="002D4D50" w:rsidRDefault="004C4013" w:rsidP="00ED02A7">
      <w:pPr>
        <w:spacing w:line="480" w:lineRule="auto"/>
        <w:ind w:left="284" w:hanging="284"/>
        <w:jc w:val="both"/>
      </w:pPr>
      <w:r w:rsidRPr="002D4D50">
        <w:t>Dahl, R</w:t>
      </w:r>
      <w:r w:rsidR="00BF0847" w:rsidRPr="002D4D50">
        <w:t>.</w:t>
      </w:r>
      <w:r w:rsidRPr="002D4D50">
        <w:t xml:space="preserve"> </w:t>
      </w:r>
      <w:r w:rsidR="008775D7">
        <w:t>(</w:t>
      </w:r>
      <w:r w:rsidRPr="002D4D50">
        <w:t>1998</w:t>
      </w:r>
      <w:r w:rsidR="008775D7">
        <w:t>)</w:t>
      </w:r>
      <w:r w:rsidR="00BF0847" w:rsidRPr="002D4D50">
        <w:t>.</w:t>
      </w:r>
      <w:r w:rsidRPr="002D4D50">
        <w:t xml:space="preserve"> </w:t>
      </w:r>
      <w:r w:rsidRPr="002D4D50">
        <w:rPr>
          <w:i/>
        </w:rPr>
        <w:t>On Democracy</w:t>
      </w:r>
      <w:r w:rsidRPr="002D4D50">
        <w:t xml:space="preserve"> New Haven: Yale University Press.</w:t>
      </w:r>
    </w:p>
    <w:p w14:paraId="2FC69DBD" w14:textId="01D51888" w:rsidR="00486EAF" w:rsidRPr="002D4D50" w:rsidRDefault="00486EAF" w:rsidP="00ED02A7">
      <w:pPr>
        <w:spacing w:line="480" w:lineRule="auto"/>
        <w:ind w:left="284" w:hanging="284"/>
        <w:jc w:val="both"/>
      </w:pPr>
      <w:proofErr w:type="spellStart"/>
      <w:r w:rsidRPr="002D4D50">
        <w:t>Damhuis</w:t>
      </w:r>
      <w:proofErr w:type="spellEnd"/>
      <w:r w:rsidRPr="002D4D50">
        <w:t xml:space="preserve">, K. </w:t>
      </w:r>
      <w:r w:rsidR="008775D7">
        <w:t>(</w:t>
      </w:r>
      <w:r w:rsidRPr="002D4D50">
        <w:t>2020</w:t>
      </w:r>
      <w:r w:rsidR="008775D7">
        <w:t>)</w:t>
      </w:r>
      <w:r w:rsidRPr="002D4D50">
        <w:t xml:space="preserve">. </w:t>
      </w:r>
      <w:r w:rsidRPr="009F6FFD">
        <w:rPr>
          <w:i/>
          <w:iCs/>
        </w:rPr>
        <w:t>Roads to the Radical Right: Understanding Different Forms of Electoral Support for Radical Right-Wing Parties in France and the Netherlands</w:t>
      </w:r>
      <w:r w:rsidR="009F6FFD">
        <w:rPr>
          <w:i/>
          <w:iCs/>
        </w:rPr>
        <w:t>.</w:t>
      </w:r>
      <w:r w:rsidRPr="002D4D50">
        <w:t xml:space="preserve"> Oxford: Oxford University Press</w:t>
      </w:r>
    </w:p>
    <w:p w14:paraId="184D7DF5" w14:textId="078D9D7A" w:rsidR="00B07C20" w:rsidRPr="002D4D50" w:rsidRDefault="00B07C20" w:rsidP="00ED02A7">
      <w:pPr>
        <w:spacing w:line="480" w:lineRule="auto"/>
        <w:ind w:left="284" w:hanging="284"/>
        <w:jc w:val="both"/>
      </w:pPr>
      <w:r w:rsidRPr="002D4D50">
        <w:t xml:space="preserve">Davidov, E., </w:t>
      </w:r>
      <w:proofErr w:type="spellStart"/>
      <w:r w:rsidRPr="002D4D50">
        <w:t>Cieciuch</w:t>
      </w:r>
      <w:proofErr w:type="spellEnd"/>
      <w:r w:rsidRPr="002D4D50">
        <w:t>, J., Schmidt, P., Meuleman, B., </w:t>
      </w:r>
      <w:proofErr w:type="spellStart"/>
      <w:r w:rsidRPr="002D4D50">
        <w:t>Algesheimer</w:t>
      </w:r>
      <w:proofErr w:type="spellEnd"/>
      <w:r w:rsidRPr="002D4D50">
        <w:t xml:space="preserve">, R., </w:t>
      </w:r>
      <w:r w:rsidR="008775D7">
        <w:t>&amp;</w:t>
      </w:r>
      <w:r w:rsidRPr="002D4D50">
        <w:t xml:space="preserve"> Landlord, M. </w:t>
      </w:r>
      <w:r w:rsidR="008775D7">
        <w:t>(</w:t>
      </w:r>
      <w:r w:rsidR="00332C92" w:rsidRPr="002D4D50">
        <w:t>2015</w:t>
      </w:r>
      <w:r w:rsidR="008775D7">
        <w:t>)</w:t>
      </w:r>
      <w:r w:rsidR="00332C92" w:rsidRPr="002D4D50">
        <w:t xml:space="preserve">. </w:t>
      </w:r>
      <w:r w:rsidRPr="002D4D50">
        <w:t>The comparability of attitudes toward immigration in the European Social Survey: Exact versus approximate equivalence. </w:t>
      </w:r>
      <w:r w:rsidRPr="002D4D50">
        <w:rPr>
          <w:i/>
        </w:rPr>
        <w:t> Public Opinion Quarterly</w:t>
      </w:r>
      <w:r w:rsidR="002D06DD">
        <w:rPr>
          <w:i/>
        </w:rPr>
        <w:t>,</w:t>
      </w:r>
      <w:r w:rsidRPr="002D4D50">
        <w:t xml:space="preserve"> 79</w:t>
      </w:r>
      <w:r w:rsidR="002D06DD">
        <w:t>(S1),</w:t>
      </w:r>
      <w:r w:rsidRPr="002D4D50">
        <w:t xml:space="preserve"> 244-266.</w:t>
      </w:r>
    </w:p>
    <w:p w14:paraId="57D4B2F3" w14:textId="5FDF2F7E" w:rsidR="00AA6E1C" w:rsidRPr="002D4D50" w:rsidRDefault="004C4013" w:rsidP="00ED02A7">
      <w:pPr>
        <w:spacing w:line="480" w:lineRule="auto"/>
        <w:ind w:left="284" w:hanging="284"/>
        <w:jc w:val="both"/>
      </w:pPr>
      <w:proofErr w:type="spellStart"/>
      <w:r w:rsidRPr="002D4D50">
        <w:t>Denemark</w:t>
      </w:r>
      <w:proofErr w:type="spellEnd"/>
      <w:r w:rsidRPr="002D4D50">
        <w:t xml:space="preserve">, </w:t>
      </w:r>
      <w:r w:rsidR="00BF0847" w:rsidRPr="002D4D50">
        <w:t>D.</w:t>
      </w:r>
      <w:r w:rsidR="008775D7">
        <w:t xml:space="preserve">, &amp; </w:t>
      </w:r>
      <w:r w:rsidRPr="002D4D50">
        <w:t>Bowler</w:t>
      </w:r>
      <w:r w:rsidR="00BF0847" w:rsidRPr="002D4D50">
        <w:t>, S.</w:t>
      </w:r>
      <w:r w:rsidRPr="002D4D50">
        <w:t xml:space="preserve"> </w:t>
      </w:r>
      <w:r w:rsidR="008775D7">
        <w:t>(</w:t>
      </w:r>
      <w:r w:rsidRPr="002D4D50">
        <w:t>2002</w:t>
      </w:r>
      <w:r w:rsidR="008775D7">
        <w:t>)</w:t>
      </w:r>
      <w:r w:rsidRPr="002D4D50">
        <w:t>. Minor parties and protest votes in Australia and New Zealand: locating populist politics</w:t>
      </w:r>
      <w:r w:rsidR="00894856" w:rsidRPr="002D4D50">
        <w:t>.</w:t>
      </w:r>
      <w:r w:rsidRPr="002D4D50">
        <w:t xml:space="preserve"> </w:t>
      </w:r>
      <w:r w:rsidRPr="002D4D50">
        <w:rPr>
          <w:i/>
        </w:rPr>
        <w:t>Electoral Studies</w:t>
      </w:r>
      <w:r w:rsidR="002D06DD">
        <w:rPr>
          <w:i/>
        </w:rPr>
        <w:t>,</w:t>
      </w:r>
      <w:r w:rsidRPr="002D4D50">
        <w:t xml:space="preserve"> 21</w:t>
      </w:r>
      <w:r w:rsidR="00BF0847" w:rsidRPr="002D4D50">
        <w:t>(</w:t>
      </w:r>
      <w:r w:rsidRPr="002D4D50">
        <w:t>1</w:t>
      </w:r>
      <w:r w:rsidR="00BF0847" w:rsidRPr="002D4D50">
        <w:t>)</w:t>
      </w:r>
      <w:r w:rsidR="002D06DD">
        <w:t>,</w:t>
      </w:r>
      <w:r w:rsidRPr="002D4D50">
        <w:t xml:space="preserve"> 47-67</w:t>
      </w:r>
      <w:r w:rsidR="00BF0847" w:rsidRPr="002D4D50">
        <w:t>.</w:t>
      </w:r>
    </w:p>
    <w:p w14:paraId="250D23C6" w14:textId="404046E0" w:rsidR="00AA6E1C" w:rsidRPr="002D4D50" w:rsidRDefault="004C4013" w:rsidP="00ED02A7">
      <w:pPr>
        <w:spacing w:line="480" w:lineRule="auto"/>
        <w:ind w:left="284" w:hanging="284"/>
        <w:jc w:val="both"/>
      </w:pPr>
      <w:r w:rsidRPr="002D4D50">
        <w:t xml:space="preserve">De Vries, C. </w:t>
      </w:r>
      <w:r w:rsidR="008775D7">
        <w:t>(</w:t>
      </w:r>
      <w:r w:rsidRPr="002D4D50">
        <w:t>2018</w:t>
      </w:r>
      <w:r w:rsidR="008775D7">
        <w:t>)</w:t>
      </w:r>
      <w:r w:rsidR="00BF0847" w:rsidRPr="002D4D50">
        <w:t>.</w:t>
      </w:r>
      <w:r w:rsidRPr="002D4D50">
        <w:t xml:space="preserve"> </w:t>
      </w:r>
      <w:r w:rsidRPr="002D4D50">
        <w:rPr>
          <w:i/>
        </w:rPr>
        <w:t>Euroscepticism and the future of European integration</w:t>
      </w:r>
      <w:r w:rsidRPr="002D4D50">
        <w:t xml:space="preserve">. Oxford: Oxford University Press. </w:t>
      </w:r>
    </w:p>
    <w:p w14:paraId="79BCA94C" w14:textId="19440B75" w:rsidR="00CE193E" w:rsidRPr="002D4D50" w:rsidRDefault="004C4013" w:rsidP="00CE193E">
      <w:pPr>
        <w:spacing w:line="480" w:lineRule="auto"/>
        <w:ind w:left="284" w:hanging="284"/>
        <w:jc w:val="both"/>
        <w:rPr>
          <w:lang w:val="en-US"/>
        </w:rPr>
      </w:pPr>
      <w:r w:rsidRPr="002D4D50">
        <w:rPr>
          <w:lang w:val="en-US"/>
        </w:rPr>
        <w:t xml:space="preserve">Easton, D. </w:t>
      </w:r>
      <w:r w:rsidR="008775D7">
        <w:rPr>
          <w:lang w:val="en-US"/>
        </w:rPr>
        <w:t>(</w:t>
      </w:r>
      <w:r w:rsidRPr="002D4D50">
        <w:rPr>
          <w:lang w:val="en-US"/>
        </w:rPr>
        <w:t>1965</w:t>
      </w:r>
      <w:r w:rsidR="008775D7">
        <w:rPr>
          <w:lang w:val="en-US"/>
        </w:rPr>
        <w:t>)</w:t>
      </w:r>
      <w:r w:rsidR="00667CC3" w:rsidRPr="002D4D50">
        <w:rPr>
          <w:lang w:val="en-US"/>
        </w:rPr>
        <w:t>.</w:t>
      </w:r>
      <w:r w:rsidRPr="002D4D50">
        <w:rPr>
          <w:lang w:val="en-US"/>
        </w:rPr>
        <w:t xml:space="preserve"> </w:t>
      </w:r>
      <w:r w:rsidRPr="002D4D50">
        <w:rPr>
          <w:i/>
          <w:lang w:val="en-US"/>
        </w:rPr>
        <w:t>A Framework for Political Analysis</w:t>
      </w:r>
      <w:r w:rsidRPr="002D4D50">
        <w:rPr>
          <w:lang w:val="en-US"/>
        </w:rPr>
        <w:t>, Englewood Cliffs, Prentice Hall.</w:t>
      </w:r>
    </w:p>
    <w:p w14:paraId="0CFD5841" w14:textId="61F64536" w:rsidR="00737AD9" w:rsidRPr="002D4D50" w:rsidRDefault="00737AD9" w:rsidP="00CE193E">
      <w:pPr>
        <w:spacing w:line="480" w:lineRule="auto"/>
        <w:ind w:left="284" w:hanging="284"/>
        <w:jc w:val="both"/>
        <w:rPr>
          <w:lang w:val="en-US"/>
        </w:rPr>
      </w:pPr>
      <w:r w:rsidRPr="002D4D50">
        <w:t xml:space="preserve">Easton, D. </w:t>
      </w:r>
      <w:r w:rsidR="008775D7">
        <w:t>(</w:t>
      </w:r>
      <w:r w:rsidRPr="002D4D50">
        <w:t>1975</w:t>
      </w:r>
      <w:r w:rsidR="008775D7">
        <w:t>)</w:t>
      </w:r>
      <w:r w:rsidRPr="002D4D50">
        <w:t xml:space="preserve">. A re-assessment of the concept of political support. </w:t>
      </w:r>
      <w:r w:rsidRPr="002D4D50">
        <w:rPr>
          <w:i/>
          <w:iCs/>
        </w:rPr>
        <w:t>British Journal</w:t>
      </w:r>
      <w:r w:rsidR="00CE193E" w:rsidRPr="002D4D50">
        <w:rPr>
          <w:lang w:val="en-US"/>
        </w:rPr>
        <w:t xml:space="preserve"> </w:t>
      </w:r>
      <w:r w:rsidRPr="002D4D50">
        <w:rPr>
          <w:i/>
          <w:iCs/>
        </w:rPr>
        <w:t>of Political Science</w:t>
      </w:r>
      <w:r w:rsidRPr="002D4D50">
        <w:t>, 5(4), 435-457.</w:t>
      </w:r>
    </w:p>
    <w:p w14:paraId="022F4ABE" w14:textId="60296FFE" w:rsidR="00905D66" w:rsidRPr="002D4D50" w:rsidRDefault="00905D66" w:rsidP="00905D66">
      <w:pPr>
        <w:spacing w:line="480" w:lineRule="auto"/>
        <w:ind w:left="284" w:hanging="284"/>
        <w:jc w:val="both"/>
      </w:pPr>
      <w:r w:rsidRPr="002D4D50">
        <w:lastRenderedPageBreak/>
        <w:t xml:space="preserve">European Social Survey Cumulative File, ESS 1-9 </w:t>
      </w:r>
      <w:r w:rsidR="008775D7">
        <w:t>(</w:t>
      </w:r>
      <w:r w:rsidRPr="002D4D50">
        <w:t>2020</w:t>
      </w:r>
      <w:r w:rsidR="008775D7">
        <w:t>)</w:t>
      </w:r>
      <w:r w:rsidRPr="002D4D50">
        <w:t>. Data file edition 1.1. NSD - Norwegian Centre for Research Data, Norway - Data Archive and distributor of ESS data for ESS ERIC.</w:t>
      </w:r>
    </w:p>
    <w:p w14:paraId="4CAB1E26" w14:textId="569BE7DD" w:rsidR="00AA6E1C" w:rsidRPr="002D4D50" w:rsidRDefault="004C4013" w:rsidP="00ED02A7">
      <w:pPr>
        <w:spacing w:line="480" w:lineRule="auto"/>
        <w:ind w:left="284" w:hanging="284"/>
        <w:jc w:val="both"/>
      </w:pPr>
      <w:proofErr w:type="spellStart"/>
      <w:r w:rsidRPr="002D4D50">
        <w:t>Fieschi</w:t>
      </w:r>
      <w:proofErr w:type="spellEnd"/>
      <w:r w:rsidR="00667CC3" w:rsidRPr="002D4D50">
        <w:t>, C.</w:t>
      </w:r>
      <w:r w:rsidR="008775D7">
        <w:t xml:space="preserve">, &amp; </w:t>
      </w:r>
      <w:r w:rsidRPr="002D4D50">
        <w:t>Heywood</w:t>
      </w:r>
      <w:r w:rsidR="00667CC3" w:rsidRPr="002D4D50">
        <w:t xml:space="preserve">, P. </w:t>
      </w:r>
      <w:r w:rsidR="008775D7">
        <w:t>(</w:t>
      </w:r>
      <w:r w:rsidRPr="002D4D50">
        <w:t>2004</w:t>
      </w:r>
      <w:r w:rsidR="008775D7">
        <w:t>)</w:t>
      </w:r>
      <w:r w:rsidR="00667CC3" w:rsidRPr="002D4D50">
        <w:t xml:space="preserve">. </w:t>
      </w:r>
      <w:r w:rsidRPr="002D4D50">
        <w:t>Trust, cynicism and populist anti</w:t>
      </w:r>
      <w:r w:rsidRPr="002D4D50">
        <w:rPr>
          <w:rFonts w:ascii="Cambria Math" w:hAnsi="Cambria Math" w:cs="Cambria Math"/>
        </w:rPr>
        <w:t>‐</w:t>
      </w:r>
      <w:r w:rsidRPr="002D4D50">
        <w:t>politics</w:t>
      </w:r>
      <w:r w:rsidR="00894856" w:rsidRPr="002D4D50">
        <w:t>.</w:t>
      </w:r>
      <w:r w:rsidRPr="002D4D50">
        <w:t xml:space="preserve"> </w:t>
      </w:r>
      <w:r w:rsidRPr="002D4D50">
        <w:rPr>
          <w:i/>
        </w:rPr>
        <w:t>Journal of Political Ideologies</w:t>
      </w:r>
      <w:r w:rsidR="002D06DD">
        <w:rPr>
          <w:i/>
        </w:rPr>
        <w:t>,</w:t>
      </w:r>
      <w:r w:rsidRPr="002D4D50">
        <w:t xml:space="preserve"> 9</w:t>
      </w:r>
      <w:r w:rsidR="00894856" w:rsidRPr="002D4D50">
        <w:t>(</w:t>
      </w:r>
      <w:r w:rsidRPr="002D4D50">
        <w:t>3</w:t>
      </w:r>
      <w:r w:rsidR="00894856" w:rsidRPr="002D4D50">
        <w:t>)</w:t>
      </w:r>
      <w:r w:rsidR="002D06DD">
        <w:t>,</w:t>
      </w:r>
      <w:r w:rsidRPr="002D4D50">
        <w:t xml:space="preserve"> 289-309. </w:t>
      </w:r>
    </w:p>
    <w:p w14:paraId="2E9FB22A" w14:textId="10B778C5" w:rsidR="00AA6E1C" w:rsidRPr="002D4D50" w:rsidRDefault="004C4013" w:rsidP="00ED02A7">
      <w:pPr>
        <w:spacing w:line="480" w:lineRule="auto"/>
        <w:ind w:left="284" w:hanging="284"/>
        <w:jc w:val="both"/>
        <w:rPr>
          <w:bCs/>
        </w:rPr>
      </w:pPr>
      <w:r w:rsidRPr="002D4D50">
        <w:rPr>
          <w:bCs/>
        </w:rPr>
        <w:t xml:space="preserve">Golder, </w:t>
      </w:r>
      <w:r w:rsidR="00667CC3" w:rsidRPr="002D4D50">
        <w:rPr>
          <w:bCs/>
        </w:rPr>
        <w:t>M.</w:t>
      </w:r>
      <w:r w:rsidRPr="002D4D50">
        <w:rPr>
          <w:bCs/>
        </w:rPr>
        <w:t xml:space="preserve"> </w:t>
      </w:r>
      <w:r w:rsidR="00EA5975" w:rsidRPr="002D4D50">
        <w:rPr>
          <w:bCs/>
        </w:rPr>
        <w:t>(</w:t>
      </w:r>
      <w:r w:rsidRPr="002D4D50">
        <w:rPr>
          <w:bCs/>
        </w:rPr>
        <w:t>2016</w:t>
      </w:r>
      <w:r w:rsidR="00EA5975" w:rsidRPr="002D4D50">
        <w:rPr>
          <w:bCs/>
        </w:rPr>
        <w:t>).</w:t>
      </w:r>
      <w:r w:rsidRPr="002D4D50">
        <w:rPr>
          <w:bCs/>
        </w:rPr>
        <w:t xml:space="preserve"> Far right parties in Europe. </w:t>
      </w:r>
      <w:r w:rsidRPr="002D4D50">
        <w:rPr>
          <w:bCs/>
          <w:i/>
        </w:rPr>
        <w:t>Annual Review of Political Science</w:t>
      </w:r>
      <w:r w:rsidR="002D06DD">
        <w:rPr>
          <w:bCs/>
          <w:i/>
        </w:rPr>
        <w:t>,</w:t>
      </w:r>
      <w:r w:rsidRPr="002D4D50">
        <w:rPr>
          <w:bCs/>
        </w:rPr>
        <w:t xml:space="preserve"> 19</w:t>
      </w:r>
      <w:r w:rsidR="002D06DD">
        <w:rPr>
          <w:bCs/>
        </w:rPr>
        <w:t>,</w:t>
      </w:r>
      <w:r w:rsidRPr="002D4D50">
        <w:rPr>
          <w:bCs/>
        </w:rPr>
        <w:t xml:space="preserve"> 477–97.</w:t>
      </w:r>
    </w:p>
    <w:p w14:paraId="2A867ABD" w14:textId="1A6D500C" w:rsidR="00783D61" w:rsidRPr="002D4D50" w:rsidRDefault="00783D61" w:rsidP="00783D61">
      <w:pPr>
        <w:spacing w:line="480" w:lineRule="auto"/>
        <w:ind w:left="284" w:hanging="284"/>
        <w:jc w:val="both"/>
      </w:pPr>
      <w:proofErr w:type="spellStart"/>
      <w:r w:rsidRPr="002D4D50">
        <w:t>Halikiopoulou</w:t>
      </w:r>
      <w:proofErr w:type="spellEnd"/>
      <w:r w:rsidRPr="002D4D50">
        <w:t>, D., Mock, S.</w:t>
      </w:r>
      <w:r w:rsidR="008775D7">
        <w:t>,</w:t>
      </w:r>
      <w:r w:rsidRPr="002D4D50">
        <w:t xml:space="preserve"> </w:t>
      </w:r>
      <w:r w:rsidR="008775D7">
        <w:t>&amp;</w:t>
      </w:r>
      <w:r w:rsidRPr="002D4D50">
        <w:t xml:space="preserve"> </w:t>
      </w:r>
      <w:proofErr w:type="spellStart"/>
      <w:r w:rsidRPr="002D4D50">
        <w:t>Vasilopoulou</w:t>
      </w:r>
      <w:proofErr w:type="spellEnd"/>
      <w:r w:rsidRPr="002D4D50">
        <w:t xml:space="preserve">, S. </w:t>
      </w:r>
      <w:r w:rsidR="008775D7">
        <w:t>(</w:t>
      </w:r>
      <w:r w:rsidRPr="002D4D50">
        <w:t>2013</w:t>
      </w:r>
      <w:r w:rsidR="008775D7">
        <w:t>)</w:t>
      </w:r>
      <w:r w:rsidR="003A3339" w:rsidRPr="002D4D50">
        <w:t>.</w:t>
      </w:r>
      <w:r w:rsidRPr="002D4D50">
        <w:t xml:space="preserve"> The Civic Zeitgeist: Nationalism and Liberal Values in the European Radical Right. Nations and Nationalism, </w:t>
      </w:r>
      <w:r w:rsidR="002D06DD">
        <w:t>1</w:t>
      </w:r>
      <w:r w:rsidRPr="002D4D50">
        <w:t>9</w:t>
      </w:r>
      <w:r w:rsidR="002D06DD">
        <w:t>(</w:t>
      </w:r>
      <w:r w:rsidRPr="002D4D50">
        <w:t>1</w:t>
      </w:r>
      <w:r w:rsidR="002D06DD">
        <w:t>)</w:t>
      </w:r>
      <w:r w:rsidRPr="002D4D50">
        <w:t xml:space="preserve">, 107–27. </w:t>
      </w:r>
    </w:p>
    <w:p w14:paraId="15A03A1F" w14:textId="03CF1F95" w:rsidR="00AA6E1C" w:rsidRPr="002D4D50" w:rsidRDefault="004C4013" w:rsidP="00ED02A7">
      <w:pPr>
        <w:spacing w:line="480" w:lineRule="auto"/>
        <w:ind w:left="284" w:hanging="284"/>
        <w:jc w:val="both"/>
      </w:pPr>
      <w:r w:rsidRPr="002D4D50">
        <w:t>Halikiopoulou, D.</w:t>
      </w:r>
      <w:r w:rsidR="008775D7">
        <w:t>, &amp;</w:t>
      </w:r>
      <w:r w:rsidRPr="002D4D50">
        <w:t xml:space="preserve"> </w:t>
      </w:r>
      <w:proofErr w:type="spellStart"/>
      <w:r w:rsidRPr="002D4D50">
        <w:t>Vasilopoulou</w:t>
      </w:r>
      <w:proofErr w:type="spellEnd"/>
      <w:r w:rsidRPr="002D4D50">
        <w:t xml:space="preserve">, S. </w:t>
      </w:r>
      <w:r w:rsidR="008775D7">
        <w:t>(</w:t>
      </w:r>
      <w:r w:rsidRPr="002D4D50">
        <w:t>2018</w:t>
      </w:r>
      <w:r w:rsidR="008775D7">
        <w:t>)</w:t>
      </w:r>
      <w:r w:rsidRPr="002D4D50">
        <w:t>. Breaching the social contract: crises of democratic representation and patterns of extreme right party support</w:t>
      </w:r>
      <w:r w:rsidR="002D06DD">
        <w:t xml:space="preserve">. </w:t>
      </w:r>
      <w:r w:rsidRPr="002D4D50">
        <w:rPr>
          <w:i/>
        </w:rPr>
        <w:t>Government and Opposition</w:t>
      </w:r>
      <w:r w:rsidR="002D06DD">
        <w:rPr>
          <w:i/>
        </w:rPr>
        <w:t>,</w:t>
      </w:r>
      <w:r w:rsidRPr="002D4D50">
        <w:t xml:space="preserve"> 53</w:t>
      </w:r>
      <w:r w:rsidR="00894856" w:rsidRPr="002D4D50">
        <w:t>(</w:t>
      </w:r>
      <w:r w:rsidRPr="002D4D50">
        <w:t>1</w:t>
      </w:r>
      <w:r w:rsidR="00894856" w:rsidRPr="002D4D50">
        <w:t>)</w:t>
      </w:r>
      <w:r w:rsidR="002D06DD">
        <w:t>,</w:t>
      </w:r>
      <w:r w:rsidRPr="002D4D50">
        <w:t xml:space="preserve"> 26-50.</w:t>
      </w:r>
    </w:p>
    <w:p w14:paraId="00821D12" w14:textId="05580629" w:rsidR="00A14667" w:rsidRPr="002D4D50" w:rsidRDefault="00A14667" w:rsidP="00ED02A7">
      <w:pPr>
        <w:spacing w:line="480" w:lineRule="auto"/>
        <w:ind w:left="284" w:hanging="284"/>
        <w:jc w:val="both"/>
      </w:pPr>
      <w:r w:rsidRPr="002D4D50">
        <w:t xml:space="preserve">Halikiopoulou, D., &amp; </w:t>
      </w:r>
      <w:proofErr w:type="spellStart"/>
      <w:r w:rsidRPr="002D4D50">
        <w:t>Vlandas</w:t>
      </w:r>
      <w:proofErr w:type="spellEnd"/>
      <w:r w:rsidRPr="002D4D50">
        <w:t xml:space="preserve">, T. </w:t>
      </w:r>
      <w:r w:rsidR="008775D7">
        <w:t>(</w:t>
      </w:r>
      <w:r w:rsidRPr="002D4D50">
        <w:t>2020</w:t>
      </w:r>
      <w:r w:rsidR="008775D7">
        <w:t>)</w:t>
      </w:r>
      <w:r w:rsidRPr="002D4D50">
        <w:t>. When economic and cultural interests align: The anti-immigration voter coalitions driving far right party success in Europe. </w:t>
      </w:r>
      <w:r w:rsidRPr="002D4D50">
        <w:rPr>
          <w:i/>
          <w:iCs/>
        </w:rPr>
        <w:t>European Political Science Review,</w:t>
      </w:r>
      <w:r w:rsidRPr="002D4D50">
        <w:t> </w:t>
      </w:r>
      <w:r w:rsidRPr="002D4D50">
        <w:rPr>
          <w:i/>
          <w:iCs/>
        </w:rPr>
        <w:t>12</w:t>
      </w:r>
      <w:r w:rsidRPr="002D4D50">
        <w:t xml:space="preserve">(4), 427-448. </w:t>
      </w:r>
    </w:p>
    <w:p w14:paraId="6F61A7F4" w14:textId="18F0F4CF" w:rsidR="00A14667" w:rsidRPr="002D4D50" w:rsidRDefault="00A14667" w:rsidP="00ED02A7">
      <w:pPr>
        <w:spacing w:line="480" w:lineRule="auto"/>
        <w:ind w:left="284" w:hanging="284"/>
        <w:jc w:val="both"/>
      </w:pPr>
      <w:r w:rsidRPr="002D4D50">
        <w:t>Heinisch, R.</w:t>
      </w:r>
      <w:r w:rsidR="008775D7">
        <w:t>, &amp;</w:t>
      </w:r>
      <w:r w:rsidRPr="002D4D50">
        <w:t xml:space="preserve"> </w:t>
      </w:r>
      <w:proofErr w:type="spellStart"/>
      <w:r w:rsidRPr="002D4D50">
        <w:t>Wegscheider</w:t>
      </w:r>
      <w:proofErr w:type="spellEnd"/>
      <w:r w:rsidRPr="002D4D50">
        <w:t xml:space="preserve">, C. </w:t>
      </w:r>
      <w:r w:rsidR="008775D7">
        <w:t>(</w:t>
      </w:r>
      <w:r w:rsidRPr="002D4D50">
        <w:t>2020</w:t>
      </w:r>
      <w:r w:rsidR="008775D7">
        <w:t>)</w:t>
      </w:r>
      <w:r w:rsidR="008E5CB1" w:rsidRPr="002D4D50">
        <w:t>.</w:t>
      </w:r>
      <w:r w:rsidRPr="002D4D50">
        <w:t xml:space="preserve"> Disentangling How Populism and Radical Host Ideologies Shape Citizens’ Conceptions of Democratic Decision-Making. </w:t>
      </w:r>
      <w:r w:rsidR="005F4EB3" w:rsidRPr="005F4EB3">
        <w:rPr>
          <w:i/>
          <w:iCs/>
        </w:rPr>
        <w:t>Politics and Governance</w:t>
      </w:r>
      <w:r w:rsidR="005F4EB3">
        <w:t xml:space="preserve">, </w:t>
      </w:r>
      <w:r w:rsidRPr="002D4D50">
        <w:t>8(3)</w:t>
      </w:r>
      <w:r w:rsidR="005F4EB3">
        <w:t>,</w:t>
      </w:r>
      <w:r w:rsidRPr="002D4D50">
        <w:t xml:space="preserve"> 32–44.</w:t>
      </w:r>
    </w:p>
    <w:p w14:paraId="479AE57E" w14:textId="2026387D" w:rsidR="008352F7" w:rsidRPr="002D4D50" w:rsidRDefault="008352F7" w:rsidP="00ED02A7">
      <w:pPr>
        <w:spacing w:line="480" w:lineRule="auto"/>
        <w:ind w:left="284" w:hanging="284"/>
        <w:jc w:val="both"/>
        <w:rPr>
          <w:lang w:val="en-US"/>
        </w:rPr>
      </w:pPr>
      <w:r w:rsidRPr="002D4D50">
        <w:rPr>
          <w:lang w:val="en-US"/>
        </w:rPr>
        <w:t xml:space="preserve">Hetherington, M. </w:t>
      </w:r>
      <w:r w:rsidR="008775D7">
        <w:rPr>
          <w:lang w:val="en-US"/>
        </w:rPr>
        <w:t>(</w:t>
      </w:r>
      <w:r w:rsidRPr="002D4D50">
        <w:rPr>
          <w:lang w:val="en-US"/>
        </w:rPr>
        <w:t>1998</w:t>
      </w:r>
      <w:r w:rsidR="008775D7">
        <w:rPr>
          <w:lang w:val="en-US"/>
        </w:rPr>
        <w:t>)</w:t>
      </w:r>
      <w:r w:rsidR="00331032" w:rsidRPr="002D4D50">
        <w:rPr>
          <w:lang w:val="en-US"/>
        </w:rPr>
        <w:t>.</w:t>
      </w:r>
      <w:r w:rsidRPr="002D4D50">
        <w:rPr>
          <w:lang w:val="en-US"/>
        </w:rPr>
        <w:t xml:space="preserve"> The Political Relevance of Political Trust</w:t>
      </w:r>
      <w:r w:rsidR="00331032" w:rsidRPr="002D4D50">
        <w:rPr>
          <w:lang w:val="en-US"/>
        </w:rPr>
        <w:t>.</w:t>
      </w:r>
      <w:r w:rsidRPr="002D4D50">
        <w:rPr>
          <w:lang w:val="en-US"/>
        </w:rPr>
        <w:t xml:space="preserve"> </w:t>
      </w:r>
      <w:r w:rsidRPr="002D4D50">
        <w:rPr>
          <w:i/>
          <w:lang w:val="en-US"/>
        </w:rPr>
        <w:t>American Political Science Review</w:t>
      </w:r>
      <w:r w:rsidR="005F4EB3">
        <w:rPr>
          <w:i/>
          <w:lang w:val="en-US"/>
        </w:rPr>
        <w:t>,</w:t>
      </w:r>
      <w:r w:rsidRPr="002D4D50">
        <w:rPr>
          <w:lang w:val="en-US"/>
        </w:rPr>
        <w:t xml:space="preserve"> 92</w:t>
      </w:r>
      <w:r w:rsidR="00331032" w:rsidRPr="002D4D50">
        <w:rPr>
          <w:lang w:val="en-US"/>
        </w:rPr>
        <w:t>(</w:t>
      </w:r>
      <w:r w:rsidRPr="002D4D50">
        <w:rPr>
          <w:lang w:val="en-US"/>
        </w:rPr>
        <w:t>4</w:t>
      </w:r>
      <w:r w:rsidR="00331032" w:rsidRPr="002D4D50">
        <w:rPr>
          <w:lang w:val="en-US"/>
        </w:rPr>
        <w:t>)</w:t>
      </w:r>
      <w:r w:rsidR="005F4EB3">
        <w:rPr>
          <w:lang w:val="en-US"/>
        </w:rPr>
        <w:t>,</w:t>
      </w:r>
      <w:r w:rsidR="00331032" w:rsidRPr="002D4D50">
        <w:rPr>
          <w:lang w:val="en-US"/>
        </w:rPr>
        <w:t xml:space="preserve"> </w:t>
      </w:r>
      <w:r w:rsidRPr="002D4D50">
        <w:rPr>
          <w:lang w:val="en-US"/>
        </w:rPr>
        <w:t xml:space="preserve">791-808.  </w:t>
      </w:r>
    </w:p>
    <w:p w14:paraId="1826EAE1" w14:textId="61AEAB34" w:rsidR="00AA6E1C" w:rsidRPr="002D4D50" w:rsidRDefault="004C4013" w:rsidP="00ED02A7">
      <w:pPr>
        <w:spacing w:line="480" w:lineRule="auto"/>
        <w:ind w:left="284" w:hanging="284"/>
        <w:jc w:val="both"/>
        <w:rPr>
          <w:lang w:val="en-US"/>
        </w:rPr>
      </w:pPr>
      <w:proofErr w:type="spellStart"/>
      <w:r w:rsidRPr="002D4D50">
        <w:rPr>
          <w:lang w:val="en-US"/>
        </w:rPr>
        <w:t>Hooghe</w:t>
      </w:r>
      <w:proofErr w:type="spellEnd"/>
      <w:r w:rsidRPr="002D4D50">
        <w:rPr>
          <w:lang w:val="en-US"/>
        </w:rPr>
        <w:t xml:space="preserve"> </w:t>
      </w:r>
      <w:r w:rsidR="00667CC3" w:rsidRPr="002D4D50">
        <w:rPr>
          <w:lang w:val="en-US"/>
        </w:rPr>
        <w:t>M.</w:t>
      </w:r>
      <w:r w:rsidRPr="002D4D50">
        <w:rPr>
          <w:lang w:val="en-US"/>
        </w:rPr>
        <w:t xml:space="preserve">, </w:t>
      </w:r>
      <w:proofErr w:type="spellStart"/>
      <w:r w:rsidRPr="002D4D50">
        <w:rPr>
          <w:lang w:val="en-US"/>
        </w:rPr>
        <w:t>Marien</w:t>
      </w:r>
      <w:proofErr w:type="spellEnd"/>
      <w:r w:rsidR="00667CC3" w:rsidRPr="002D4D50">
        <w:rPr>
          <w:lang w:val="en-US"/>
        </w:rPr>
        <w:t>, S.</w:t>
      </w:r>
      <w:r w:rsidR="008775D7">
        <w:rPr>
          <w:lang w:val="en-US"/>
        </w:rPr>
        <w:t>, &amp;</w:t>
      </w:r>
      <w:r w:rsidRPr="002D4D50">
        <w:rPr>
          <w:lang w:val="en-US"/>
        </w:rPr>
        <w:t xml:space="preserve"> Pauwels</w:t>
      </w:r>
      <w:r w:rsidR="00667CC3" w:rsidRPr="002D4D50">
        <w:rPr>
          <w:lang w:val="en-US"/>
        </w:rPr>
        <w:t>, T.</w:t>
      </w:r>
      <w:r w:rsidRPr="002D4D50">
        <w:rPr>
          <w:lang w:val="en-US"/>
        </w:rPr>
        <w:t xml:space="preserve"> </w:t>
      </w:r>
      <w:r w:rsidR="008775D7">
        <w:rPr>
          <w:lang w:val="en-US"/>
        </w:rPr>
        <w:t>(</w:t>
      </w:r>
      <w:r w:rsidRPr="002D4D50">
        <w:rPr>
          <w:lang w:val="en-US"/>
        </w:rPr>
        <w:t>2011</w:t>
      </w:r>
      <w:r w:rsidR="008775D7">
        <w:rPr>
          <w:lang w:val="en-US"/>
        </w:rPr>
        <w:t>)</w:t>
      </w:r>
      <w:r w:rsidR="00667CC3" w:rsidRPr="002D4D50">
        <w:rPr>
          <w:lang w:val="en-US"/>
        </w:rPr>
        <w:t>.</w:t>
      </w:r>
      <w:r w:rsidRPr="002D4D50">
        <w:rPr>
          <w:lang w:val="en-US"/>
        </w:rPr>
        <w:t xml:space="preserve"> Where Do Distrusting Voters Turn if There is No Viable Exit or Voice Option? The Impact of Political Trust on Electoral </w:t>
      </w:r>
      <w:proofErr w:type="spellStart"/>
      <w:r w:rsidRPr="002D4D50">
        <w:rPr>
          <w:lang w:val="en-US"/>
        </w:rPr>
        <w:t>Behaviour</w:t>
      </w:r>
      <w:proofErr w:type="spellEnd"/>
      <w:r w:rsidRPr="002D4D50">
        <w:rPr>
          <w:lang w:val="en-US"/>
        </w:rPr>
        <w:t xml:space="preserve"> </w:t>
      </w:r>
      <w:r w:rsidRPr="002D4D50">
        <w:rPr>
          <w:lang w:val="en-US"/>
        </w:rPr>
        <w:lastRenderedPageBreak/>
        <w:t>in the Belgian Regional Elections of June 2009</w:t>
      </w:r>
      <w:r w:rsidR="002B3671">
        <w:rPr>
          <w:lang w:val="en-US"/>
        </w:rPr>
        <w:t>.</w:t>
      </w:r>
      <w:r w:rsidRPr="002D4D50">
        <w:rPr>
          <w:lang w:val="en-US"/>
        </w:rPr>
        <w:t xml:space="preserve"> </w:t>
      </w:r>
      <w:r w:rsidRPr="002D4D50">
        <w:rPr>
          <w:i/>
          <w:lang w:val="en-US"/>
        </w:rPr>
        <w:t>Government and Opposition</w:t>
      </w:r>
      <w:r w:rsidR="002B3671">
        <w:rPr>
          <w:i/>
          <w:lang w:val="en-US"/>
        </w:rPr>
        <w:t>,</w:t>
      </w:r>
      <w:r w:rsidRPr="002D4D50">
        <w:rPr>
          <w:lang w:val="en-US"/>
        </w:rPr>
        <w:t xml:space="preserve"> 46</w:t>
      </w:r>
      <w:r w:rsidR="00894856" w:rsidRPr="002D4D50">
        <w:rPr>
          <w:lang w:val="en-US"/>
        </w:rPr>
        <w:t>(</w:t>
      </w:r>
      <w:r w:rsidRPr="002D4D50">
        <w:rPr>
          <w:lang w:val="en-US"/>
        </w:rPr>
        <w:t>2</w:t>
      </w:r>
      <w:r w:rsidR="00894856" w:rsidRPr="002D4D50">
        <w:rPr>
          <w:lang w:val="en-US"/>
        </w:rPr>
        <w:t>)</w:t>
      </w:r>
      <w:r w:rsidR="002B3671">
        <w:rPr>
          <w:lang w:val="en-US"/>
        </w:rPr>
        <w:t>,</w:t>
      </w:r>
      <w:r w:rsidRPr="002D4D50">
        <w:rPr>
          <w:lang w:val="en-US"/>
        </w:rPr>
        <w:t xml:space="preserve"> 245-273. </w:t>
      </w:r>
    </w:p>
    <w:p w14:paraId="6186CC68" w14:textId="48229F28" w:rsidR="00364E2D" w:rsidRPr="002D4D50" w:rsidRDefault="00364E2D" w:rsidP="00ED02A7">
      <w:pPr>
        <w:spacing w:line="480" w:lineRule="auto"/>
        <w:ind w:left="284" w:hanging="284"/>
        <w:jc w:val="both"/>
        <w:rPr>
          <w:lang w:val="en-US"/>
        </w:rPr>
      </w:pPr>
      <w:proofErr w:type="spellStart"/>
      <w:r w:rsidRPr="002D4D50">
        <w:rPr>
          <w:lang w:val="en-US"/>
        </w:rPr>
        <w:t>Immerzeel</w:t>
      </w:r>
      <w:proofErr w:type="spellEnd"/>
      <w:r w:rsidRPr="002D4D50">
        <w:rPr>
          <w:lang w:val="en-US"/>
        </w:rPr>
        <w:t xml:space="preserve">, T., Lubbers, M., &amp; </w:t>
      </w:r>
      <w:proofErr w:type="spellStart"/>
      <w:r w:rsidRPr="002D4D50">
        <w:rPr>
          <w:lang w:val="en-US"/>
        </w:rPr>
        <w:t>Coffé</w:t>
      </w:r>
      <w:proofErr w:type="spellEnd"/>
      <w:r w:rsidRPr="002D4D50">
        <w:rPr>
          <w:lang w:val="en-US"/>
        </w:rPr>
        <w:t xml:space="preserve">, H. </w:t>
      </w:r>
      <w:r w:rsidR="008775D7">
        <w:rPr>
          <w:lang w:val="en-US"/>
        </w:rPr>
        <w:t>(</w:t>
      </w:r>
      <w:r w:rsidRPr="002D4D50">
        <w:rPr>
          <w:lang w:val="en-US"/>
        </w:rPr>
        <w:t>2016</w:t>
      </w:r>
      <w:r w:rsidR="008775D7">
        <w:rPr>
          <w:lang w:val="en-US"/>
        </w:rPr>
        <w:t>)</w:t>
      </w:r>
      <w:r w:rsidRPr="002D4D50">
        <w:rPr>
          <w:lang w:val="en-US"/>
        </w:rPr>
        <w:t xml:space="preserve">. Competing with the radical right: Distances between the European radical right and other parties on typical radical right issues. </w:t>
      </w:r>
      <w:r w:rsidRPr="002B3671">
        <w:rPr>
          <w:i/>
          <w:iCs/>
          <w:lang w:val="en-US"/>
        </w:rPr>
        <w:t>Party Politics</w:t>
      </w:r>
      <w:r w:rsidRPr="002D4D50">
        <w:rPr>
          <w:lang w:val="en-US"/>
        </w:rPr>
        <w:t xml:space="preserve">, 22(6), 823–834. </w:t>
      </w:r>
    </w:p>
    <w:p w14:paraId="646C3E16" w14:textId="08B4DB8C" w:rsidR="00413001" w:rsidRPr="002D4D50" w:rsidRDefault="00413001" w:rsidP="00ED02A7">
      <w:pPr>
        <w:spacing w:line="480" w:lineRule="auto"/>
        <w:ind w:left="284" w:hanging="284"/>
        <w:jc w:val="both"/>
        <w:rPr>
          <w:lang w:val="en-US"/>
        </w:rPr>
      </w:pPr>
      <w:r w:rsidRPr="00224592">
        <w:rPr>
          <w:lang w:val="en-US"/>
        </w:rPr>
        <w:t xml:space="preserve">Inglehart, R. </w:t>
      </w:r>
      <w:r w:rsidR="008775D7" w:rsidRPr="00224592">
        <w:rPr>
          <w:lang w:val="en-US"/>
        </w:rPr>
        <w:t>(</w:t>
      </w:r>
      <w:r w:rsidRPr="00224592">
        <w:rPr>
          <w:lang w:val="en-US"/>
        </w:rPr>
        <w:t>1999</w:t>
      </w:r>
      <w:r w:rsidR="008775D7" w:rsidRPr="00224592">
        <w:rPr>
          <w:lang w:val="en-US"/>
        </w:rPr>
        <w:t>)</w:t>
      </w:r>
      <w:r w:rsidRPr="00224592">
        <w:rPr>
          <w:lang w:val="en-US"/>
        </w:rPr>
        <w:t>. Institutional Explanations for Political Support</w:t>
      </w:r>
      <w:r w:rsidR="00224592" w:rsidRPr="00224592">
        <w:rPr>
          <w:lang w:val="en-US"/>
        </w:rPr>
        <w:t>. I</w:t>
      </w:r>
      <w:r w:rsidRPr="00224592">
        <w:rPr>
          <w:lang w:val="en-US"/>
        </w:rPr>
        <w:t>n</w:t>
      </w:r>
      <w:r w:rsidR="00224592" w:rsidRPr="00224592">
        <w:rPr>
          <w:lang w:val="en-US"/>
        </w:rPr>
        <w:t xml:space="preserve"> P.</w:t>
      </w:r>
      <w:r w:rsidRPr="00224592">
        <w:rPr>
          <w:lang w:val="en-US"/>
        </w:rPr>
        <w:t xml:space="preserve"> Norris (</w:t>
      </w:r>
      <w:r w:rsidR="00224592" w:rsidRPr="00224592">
        <w:rPr>
          <w:lang w:val="en-US"/>
        </w:rPr>
        <w:t>E</w:t>
      </w:r>
      <w:r w:rsidRPr="00224592">
        <w:rPr>
          <w:lang w:val="en-US"/>
        </w:rPr>
        <w:t xml:space="preserve">d.) </w:t>
      </w:r>
      <w:r w:rsidRPr="00224592">
        <w:rPr>
          <w:i/>
          <w:lang w:val="en-US"/>
        </w:rPr>
        <w:t>Critical Citizens – Global Support for Democratic Governance</w:t>
      </w:r>
      <w:r w:rsidR="00224592" w:rsidRPr="00224592">
        <w:rPr>
          <w:i/>
          <w:lang w:val="en-US"/>
        </w:rPr>
        <w:t xml:space="preserve"> </w:t>
      </w:r>
      <w:r w:rsidR="00224592" w:rsidRPr="00224592">
        <w:rPr>
          <w:iCs/>
          <w:lang w:val="en-US"/>
        </w:rPr>
        <w:t>(pp. 217–235)</w:t>
      </w:r>
      <w:r w:rsidRPr="00224592">
        <w:rPr>
          <w:lang w:val="en-US"/>
        </w:rPr>
        <w:t>. New York: Oxford University Press.</w:t>
      </w:r>
      <w:r w:rsidRPr="002D4D50">
        <w:rPr>
          <w:bCs/>
        </w:rPr>
        <w:t xml:space="preserve"> </w:t>
      </w:r>
    </w:p>
    <w:p w14:paraId="56F95222" w14:textId="356130EE" w:rsidR="00AA6E1C" w:rsidRPr="002D4D50" w:rsidRDefault="004C4013" w:rsidP="00ED02A7">
      <w:pPr>
        <w:spacing w:line="480" w:lineRule="auto"/>
        <w:ind w:left="284" w:hanging="284"/>
        <w:jc w:val="both"/>
        <w:rPr>
          <w:lang w:val="en-US"/>
        </w:rPr>
      </w:pPr>
      <w:proofErr w:type="spellStart"/>
      <w:r w:rsidRPr="002D4D50">
        <w:rPr>
          <w:bCs/>
        </w:rPr>
        <w:t>Ivarsflaten</w:t>
      </w:r>
      <w:proofErr w:type="spellEnd"/>
      <w:r w:rsidRPr="002D4D50">
        <w:rPr>
          <w:bCs/>
        </w:rPr>
        <w:t xml:space="preserve">, </w:t>
      </w:r>
      <w:r w:rsidR="00312D25" w:rsidRPr="002D4D50">
        <w:rPr>
          <w:bCs/>
        </w:rPr>
        <w:t>E</w:t>
      </w:r>
      <w:r w:rsidRPr="002D4D50">
        <w:rPr>
          <w:bCs/>
        </w:rPr>
        <w:t xml:space="preserve">. </w:t>
      </w:r>
      <w:r w:rsidR="008775D7">
        <w:rPr>
          <w:bCs/>
        </w:rPr>
        <w:t>(</w:t>
      </w:r>
      <w:r w:rsidRPr="002D4D50">
        <w:rPr>
          <w:bCs/>
        </w:rPr>
        <w:t>2008</w:t>
      </w:r>
      <w:r w:rsidR="008775D7">
        <w:rPr>
          <w:bCs/>
        </w:rPr>
        <w:t>)</w:t>
      </w:r>
      <w:r w:rsidRPr="002D4D50">
        <w:rPr>
          <w:bCs/>
        </w:rPr>
        <w:t xml:space="preserve">. What unites right-wing populists in Western Europe? Re- examining grievance mobilization models in seven successful cases. </w:t>
      </w:r>
      <w:r w:rsidRPr="002D4D50">
        <w:rPr>
          <w:bCs/>
          <w:i/>
        </w:rPr>
        <w:t>Comparative Political Studies</w:t>
      </w:r>
      <w:r w:rsidR="002B3671">
        <w:rPr>
          <w:bCs/>
          <w:i/>
        </w:rPr>
        <w:t>,</w:t>
      </w:r>
      <w:r w:rsidRPr="002D4D50">
        <w:rPr>
          <w:bCs/>
        </w:rPr>
        <w:t xml:space="preserve"> 41</w:t>
      </w:r>
      <w:r w:rsidR="002B3671">
        <w:rPr>
          <w:bCs/>
        </w:rPr>
        <w:t>(1),</w:t>
      </w:r>
      <w:r w:rsidRPr="002D4D50">
        <w:rPr>
          <w:bCs/>
        </w:rPr>
        <w:t xml:space="preserve"> 3- 23.</w:t>
      </w:r>
    </w:p>
    <w:p w14:paraId="79C3114E" w14:textId="7A38CA2B" w:rsidR="0054378A" w:rsidRPr="002D4D50" w:rsidRDefault="0054378A" w:rsidP="0054378A">
      <w:pPr>
        <w:spacing w:line="480" w:lineRule="auto"/>
        <w:ind w:left="284" w:hanging="284"/>
        <w:jc w:val="both"/>
        <w:rPr>
          <w:lang w:val="en-US"/>
        </w:rPr>
      </w:pPr>
      <w:r w:rsidRPr="002D4D50">
        <w:rPr>
          <w:lang w:val="en-US"/>
        </w:rPr>
        <w:t xml:space="preserve">Linde, J., &amp; Ekman, J. </w:t>
      </w:r>
      <w:r w:rsidR="00707BC6">
        <w:rPr>
          <w:lang w:val="en-US"/>
        </w:rPr>
        <w:t>(</w:t>
      </w:r>
      <w:r w:rsidRPr="002D4D50">
        <w:rPr>
          <w:lang w:val="en-US"/>
        </w:rPr>
        <w:t>2003</w:t>
      </w:r>
      <w:r w:rsidR="00707BC6">
        <w:rPr>
          <w:lang w:val="en-US"/>
        </w:rPr>
        <w:t>)</w:t>
      </w:r>
      <w:r w:rsidRPr="002D4D50">
        <w:rPr>
          <w:lang w:val="en-US"/>
        </w:rPr>
        <w:t>. Satisfaction with democracy: A note on a frequently</w:t>
      </w:r>
      <w:r w:rsidR="00CE193E" w:rsidRPr="002D4D50">
        <w:rPr>
          <w:lang w:val="en-US"/>
        </w:rPr>
        <w:t xml:space="preserve"> </w:t>
      </w:r>
      <w:r w:rsidRPr="002D4D50">
        <w:rPr>
          <w:lang w:val="en-US"/>
        </w:rPr>
        <w:t xml:space="preserve">used indicator in comparative politics. </w:t>
      </w:r>
      <w:r w:rsidRPr="002D4D50">
        <w:rPr>
          <w:i/>
          <w:iCs/>
          <w:lang w:val="en-US"/>
        </w:rPr>
        <w:t>European Journal of Political Research</w:t>
      </w:r>
      <w:r w:rsidRPr="002D4D50">
        <w:rPr>
          <w:lang w:val="en-US"/>
        </w:rPr>
        <w:t>,</w:t>
      </w:r>
      <w:r w:rsidR="00CE193E" w:rsidRPr="002D4D50">
        <w:rPr>
          <w:lang w:val="en-US"/>
        </w:rPr>
        <w:t xml:space="preserve"> </w:t>
      </w:r>
      <w:r w:rsidRPr="002D4D50">
        <w:rPr>
          <w:lang w:val="en-US"/>
        </w:rPr>
        <w:t>42(3), 391-408.</w:t>
      </w:r>
    </w:p>
    <w:p w14:paraId="217BD64A" w14:textId="06F28156" w:rsidR="00AA6E1C" w:rsidRPr="002D4D50" w:rsidRDefault="00764A4B" w:rsidP="00ED02A7">
      <w:pPr>
        <w:spacing w:line="480" w:lineRule="auto"/>
        <w:ind w:left="284" w:hanging="284"/>
        <w:jc w:val="both"/>
        <w:rPr>
          <w:lang w:val="en-US"/>
        </w:rPr>
      </w:pPr>
      <w:r w:rsidRPr="002D4D50">
        <w:t xml:space="preserve">Lubbers, M., </w:t>
      </w:r>
      <w:proofErr w:type="spellStart"/>
      <w:r w:rsidRPr="002D4D50">
        <w:t>Gijsberts</w:t>
      </w:r>
      <w:proofErr w:type="spellEnd"/>
      <w:r w:rsidRPr="002D4D50">
        <w:t xml:space="preserve">, M., </w:t>
      </w:r>
      <w:r w:rsidR="00707BC6">
        <w:t>&amp;</w:t>
      </w:r>
      <w:r w:rsidRPr="002D4D50">
        <w:t xml:space="preserve"> Scheepers, P. </w:t>
      </w:r>
      <w:r w:rsidR="00707BC6">
        <w:t>(</w:t>
      </w:r>
      <w:r w:rsidRPr="002D4D50">
        <w:t>2002</w:t>
      </w:r>
      <w:r w:rsidR="00707BC6">
        <w:t>)</w:t>
      </w:r>
      <w:r w:rsidR="00D60909" w:rsidRPr="002D4D50">
        <w:t>.</w:t>
      </w:r>
      <w:r w:rsidRPr="002D4D50">
        <w:t xml:space="preserve"> Extreme right-wing voting in Western Europe</w:t>
      </w:r>
      <w:r w:rsidR="002B3671">
        <w:t>.</w:t>
      </w:r>
      <w:r w:rsidRPr="002D4D50">
        <w:t xml:space="preserve"> </w:t>
      </w:r>
      <w:r w:rsidRPr="002D4D50">
        <w:rPr>
          <w:i/>
        </w:rPr>
        <w:t>European Journal of Political Research</w:t>
      </w:r>
      <w:r w:rsidR="002B3671">
        <w:rPr>
          <w:i/>
        </w:rPr>
        <w:t>,</w:t>
      </w:r>
      <w:r w:rsidRPr="002D4D50">
        <w:t xml:space="preserve"> 41</w:t>
      </w:r>
      <w:r w:rsidR="002B3671">
        <w:t>(</w:t>
      </w:r>
      <w:r w:rsidRPr="002D4D50">
        <w:t>3</w:t>
      </w:r>
      <w:r w:rsidR="002B3671">
        <w:t>),</w:t>
      </w:r>
      <w:r w:rsidRPr="002D4D50">
        <w:t xml:space="preserve"> 345-78.</w:t>
      </w:r>
    </w:p>
    <w:p w14:paraId="7DC3A4FD" w14:textId="6B0649DE" w:rsidR="00AA6E1C" w:rsidRPr="002D4D50" w:rsidRDefault="004C4013" w:rsidP="00ED02A7">
      <w:pPr>
        <w:spacing w:line="480" w:lineRule="auto"/>
        <w:ind w:left="284" w:hanging="284"/>
        <w:jc w:val="both"/>
        <w:rPr>
          <w:lang w:val="en-US"/>
        </w:rPr>
      </w:pPr>
      <w:r w:rsidRPr="002D4D50">
        <w:rPr>
          <w:bCs/>
        </w:rPr>
        <w:t>Lubbers, M.</w:t>
      </w:r>
      <w:r w:rsidR="00707BC6">
        <w:rPr>
          <w:bCs/>
        </w:rPr>
        <w:t>, &amp;</w:t>
      </w:r>
      <w:r w:rsidRPr="002D4D50">
        <w:rPr>
          <w:bCs/>
        </w:rPr>
        <w:t xml:space="preserve"> </w:t>
      </w:r>
      <w:proofErr w:type="spellStart"/>
      <w:r w:rsidRPr="002D4D50">
        <w:rPr>
          <w:bCs/>
        </w:rPr>
        <w:t>Güveli</w:t>
      </w:r>
      <w:proofErr w:type="spellEnd"/>
      <w:r w:rsidR="00707BC6">
        <w:rPr>
          <w:bCs/>
        </w:rPr>
        <w:t>, A</w:t>
      </w:r>
      <w:r w:rsidRPr="002D4D50">
        <w:rPr>
          <w:bCs/>
        </w:rPr>
        <w:t xml:space="preserve">. </w:t>
      </w:r>
      <w:r w:rsidR="00707BC6">
        <w:rPr>
          <w:bCs/>
        </w:rPr>
        <w:t>(</w:t>
      </w:r>
      <w:r w:rsidRPr="002D4D50">
        <w:rPr>
          <w:bCs/>
        </w:rPr>
        <w:t>2007</w:t>
      </w:r>
      <w:r w:rsidR="00707BC6">
        <w:rPr>
          <w:bCs/>
        </w:rPr>
        <w:t>)</w:t>
      </w:r>
      <w:r w:rsidRPr="002D4D50">
        <w:rPr>
          <w:bCs/>
        </w:rPr>
        <w:t>. Voting LPF: Stratification and the varying importance of attitudes</w:t>
      </w:r>
      <w:r w:rsidR="002B3671">
        <w:rPr>
          <w:bCs/>
        </w:rPr>
        <w:t>.</w:t>
      </w:r>
      <w:r w:rsidRPr="002D4D50">
        <w:rPr>
          <w:bCs/>
        </w:rPr>
        <w:t xml:space="preserve"> </w:t>
      </w:r>
      <w:r w:rsidRPr="002D4D50">
        <w:rPr>
          <w:bCs/>
          <w:i/>
        </w:rPr>
        <w:t>Journal of Elections, Public Opinion and Parties</w:t>
      </w:r>
      <w:r w:rsidR="002B3671">
        <w:rPr>
          <w:bCs/>
          <w:i/>
        </w:rPr>
        <w:t>,</w:t>
      </w:r>
      <w:r w:rsidRPr="002D4D50">
        <w:rPr>
          <w:bCs/>
        </w:rPr>
        <w:t xml:space="preserve"> 17</w:t>
      </w:r>
      <w:r w:rsidR="002B3671">
        <w:rPr>
          <w:bCs/>
        </w:rPr>
        <w:t>(1),</w:t>
      </w:r>
      <w:r w:rsidRPr="002D4D50">
        <w:rPr>
          <w:bCs/>
        </w:rPr>
        <w:t xml:space="preserve"> 21-48.</w:t>
      </w:r>
    </w:p>
    <w:p w14:paraId="054D2F72" w14:textId="132563D9" w:rsidR="008E5CB1" w:rsidRPr="002D4D50" w:rsidRDefault="008E5CB1" w:rsidP="008E5CB1">
      <w:pPr>
        <w:spacing w:line="480" w:lineRule="auto"/>
        <w:ind w:left="284" w:hanging="284"/>
        <w:jc w:val="both"/>
        <w:rPr>
          <w:bCs/>
        </w:rPr>
      </w:pPr>
      <w:r w:rsidRPr="002D4D50">
        <w:rPr>
          <w:bCs/>
        </w:rPr>
        <w:t>Lubbers, M.</w:t>
      </w:r>
      <w:r w:rsidR="00707BC6">
        <w:rPr>
          <w:bCs/>
        </w:rPr>
        <w:t xml:space="preserve">, &amp; </w:t>
      </w:r>
      <w:proofErr w:type="spellStart"/>
      <w:r w:rsidRPr="002D4D50">
        <w:rPr>
          <w:bCs/>
        </w:rPr>
        <w:t>Coenders</w:t>
      </w:r>
      <w:proofErr w:type="spellEnd"/>
      <w:r w:rsidRPr="002D4D50">
        <w:rPr>
          <w:bCs/>
        </w:rPr>
        <w:t xml:space="preserve">, M. </w:t>
      </w:r>
      <w:r w:rsidR="00707BC6">
        <w:rPr>
          <w:bCs/>
        </w:rPr>
        <w:t>(</w:t>
      </w:r>
      <w:r w:rsidRPr="002D4D50">
        <w:rPr>
          <w:bCs/>
        </w:rPr>
        <w:t>2017</w:t>
      </w:r>
      <w:r w:rsidR="00707BC6">
        <w:rPr>
          <w:bCs/>
        </w:rPr>
        <w:t>)</w:t>
      </w:r>
      <w:r w:rsidRPr="002D4D50">
        <w:rPr>
          <w:bCs/>
        </w:rPr>
        <w:t xml:space="preserve">. Nationalistic attitudes and voting for the radical right in Europe. </w:t>
      </w:r>
      <w:r w:rsidRPr="002D4D50">
        <w:rPr>
          <w:bCs/>
          <w:i/>
        </w:rPr>
        <w:t>European Union</w:t>
      </w:r>
      <w:r w:rsidRPr="002D4D50">
        <w:rPr>
          <w:rFonts w:ascii="MS Mincho" w:eastAsia="MS Mincho" w:hAnsi="MS Mincho" w:cs="MS Mincho" w:hint="eastAsia"/>
          <w:bCs/>
          <w:i/>
        </w:rPr>
        <w:t> </w:t>
      </w:r>
      <w:r w:rsidRPr="002D4D50">
        <w:rPr>
          <w:bCs/>
          <w:i/>
        </w:rPr>
        <w:t>Politics</w:t>
      </w:r>
      <w:r w:rsidR="002B3671">
        <w:rPr>
          <w:bCs/>
          <w:i/>
        </w:rPr>
        <w:t>,</w:t>
      </w:r>
      <w:r w:rsidRPr="002D4D50">
        <w:rPr>
          <w:bCs/>
        </w:rPr>
        <w:t xml:space="preserve"> 18(1)</w:t>
      </w:r>
      <w:r w:rsidR="002B3671">
        <w:rPr>
          <w:bCs/>
        </w:rPr>
        <w:t>,</w:t>
      </w:r>
      <w:r w:rsidRPr="002D4D50">
        <w:rPr>
          <w:bCs/>
        </w:rPr>
        <w:t xml:space="preserve"> 98–118. </w:t>
      </w:r>
    </w:p>
    <w:p w14:paraId="7D21EC12" w14:textId="3CA0A4E8" w:rsidR="008E5CB1" w:rsidRPr="002D4D50" w:rsidRDefault="008E5CB1" w:rsidP="008E5CB1">
      <w:pPr>
        <w:spacing w:line="480" w:lineRule="auto"/>
        <w:ind w:left="284" w:hanging="284"/>
        <w:jc w:val="both"/>
        <w:rPr>
          <w:bCs/>
        </w:rPr>
      </w:pPr>
      <w:r w:rsidRPr="002D4D50">
        <w:rPr>
          <w:bCs/>
        </w:rPr>
        <w:t xml:space="preserve">Lubbers, M. </w:t>
      </w:r>
      <w:r w:rsidR="00707BC6">
        <w:rPr>
          <w:bCs/>
        </w:rPr>
        <w:t>(</w:t>
      </w:r>
      <w:r w:rsidRPr="002D4D50">
        <w:rPr>
          <w:bCs/>
        </w:rPr>
        <w:t>2019</w:t>
      </w:r>
      <w:r w:rsidR="00707BC6">
        <w:rPr>
          <w:bCs/>
        </w:rPr>
        <w:t>)</w:t>
      </w:r>
      <w:r w:rsidRPr="002D4D50">
        <w:rPr>
          <w:bCs/>
        </w:rPr>
        <w:t xml:space="preserve">. What kind of nationalism sets the radical right and its electorate apart from the rest? Pride in the nation's history as part of nationalist nostalgia. </w:t>
      </w:r>
      <w:r w:rsidRPr="002D4D50">
        <w:rPr>
          <w:bCs/>
          <w:i/>
        </w:rPr>
        <w:t>Nations and Nationalism</w:t>
      </w:r>
      <w:r w:rsidR="002B3671">
        <w:rPr>
          <w:bCs/>
          <w:i/>
        </w:rPr>
        <w:t>,</w:t>
      </w:r>
      <w:r w:rsidRPr="002D4D50">
        <w:rPr>
          <w:bCs/>
        </w:rPr>
        <w:t xml:space="preserve"> 25(2)</w:t>
      </w:r>
      <w:r w:rsidR="002B3671">
        <w:rPr>
          <w:bCs/>
        </w:rPr>
        <w:t>,</w:t>
      </w:r>
      <w:r w:rsidRPr="002D4D50">
        <w:rPr>
          <w:bCs/>
        </w:rPr>
        <w:t xml:space="preserve"> 449– 466.</w:t>
      </w:r>
    </w:p>
    <w:p w14:paraId="549C4CD0" w14:textId="4C8647D3" w:rsidR="003740EB" w:rsidRPr="002D4D50" w:rsidRDefault="004C4013" w:rsidP="00ED02A7">
      <w:pPr>
        <w:spacing w:line="480" w:lineRule="auto"/>
        <w:ind w:left="284" w:hanging="284"/>
        <w:jc w:val="both"/>
        <w:rPr>
          <w:bCs/>
        </w:rPr>
      </w:pPr>
      <w:r w:rsidRPr="002D4D50">
        <w:rPr>
          <w:bCs/>
        </w:rPr>
        <w:lastRenderedPageBreak/>
        <w:t>Lucassen, G</w:t>
      </w:r>
      <w:r w:rsidR="00D60909" w:rsidRPr="002D4D50">
        <w:rPr>
          <w:bCs/>
        </w:rPr>
        <w:t>.</w:t>
      </w:r>
      <w:r w:rsidR="00707BC6">
        <w:rPr>
          <w:bCs/>
        </w:rPr>
        <w:t>, &amp;</w:t>
      </w:r>
      <w:r w:rsidRPr="002D4D50">
        <w:rPr>
          <w:bCs/>
        </w:rPr>
        <w:t xml:space="preserve"> Lubbers</w:t>
      </w:r>
      <w:r w:rsidR="00D60909" w:rsidRPr="002D4D50">
        <w:rPr>
          <w:bCs/>
        </w:rPr>
        <w:t>, M</w:t>
      </w:r>
      <w:r w:rsidRPr="002D4D50">
        <w:rPr>
          <w:bCs/>
        </w:rPr>
        <w:t xml:space="preserve">. </w:t>
      </w:r>
      <w:r w:rsidR="00707BC6">
        <w:rPr>
          <w:bCs/>
        </w:rPr>
        <w:t>(</w:t>
      </w:r>
      <w:r w:rsidRPr="002D4D50">
        <w:rPr>
          <w:bCs/>
        </w:rPr>
        <w:t>2012</w:t>
      </w:r>
      <w:r w:rsidR="00707BC6">
        <w:rPr>
          <w:bCs/>
        </w:rPr>
        <w:t>)</w:t>
      </w:r>
      <w:r w:rsidRPr="002D4D50">
        <w:rPr>
          <w:bCs/>
        </w:rPr>
        <w:t xml:space="preserve">. Who Fears What? Explaining Far-Right-Wing Preference in Europe by Distinguishing Perceived Cultural and Economic Ethnic Threats. </w:t>
      </w:r>
      <w:r w:rsidRPr="002D4D50">
        <w:rPr>
          <w:bCs/>
          <w:i/>
        </w:rPr>
        <w:t>Comparative Political Studies</w:t>
      </w:r>
      <w:r w:rsidR="002B3671">
        <w:rPr>
          <w:bCs/>
          <w:i/>
        </w:rPr>
        <w:t>,</w:t>
      </w:r>
      <w:r w:rsidR="00894856" w:rsidRPr="002D4D50">
        <w:rPr>
          <w:bCs/>
        </w:rPr>
        <w:t xml:space="preserve"> </w:t>
      </w:r>
      <w:r w:rsidRPr="002D4D50">
        <w:rPr>
          <w:bCs/>
        </w:rPr>
        <w:t>45</w:t>
      </w:r>
      <w:r w:rsidR="00894856" w:rsidRPr="002D4D50">
        <w:rPr>
          <w:bCs/>
        </w:rPr>
        <w:t>(</w:t>
      </w:r>
      <w:r w:rsidRPr="002D4D50">
        <w:rPr>
          <w:bCs/>
        </w:rPr>
        <w:t>5</w:t>
      </w:r>
      <w:r w:rsidR="00894856" w:rsidRPr="002D4D50">
        <w:rPr>
          <w:bCs/>
        </w:rPr>
        <w:t>)</w:t>
      </w:r>
      <w:r w:rsidR="002B3671">
        <w:rPr>
          <w:bCs/>
        </w:rPr>
        <w:t>,</w:t>
      </w:r>
      <w:r w:rsidRPr="002D4D50">
        <w:rPr>
          <w:bCs/>
        </w:rPr>
        <w:t xml:space="preserve"> 547–574.</w:t>
      </w:r>
    </w:p>
    <w:p w14:paraId="0BD3B234" w14:textId="2742DE41" w:rsidR="00F152BC" w:rsidRPr="002D4D50" w:rsidRDefault="00F152BC" w:rsidP="009F6ABC">
      <w:pPr>
        <w:spacing w:line="480" w:lineRule="auto"/>
        <w:ind w:left="284" w:hanging="284"/>
        <w:jc w:val="both"/>
        <w:rPr>
          <w:bCs/>
        </w:rPr>
      </w:pPr>
      <w:proofErr w:type="spellStart"/>
      <w:r w:rsidRPr="002D4D50">
        <w:rPr>
          <w:bCs/>
        </w:rPr>
        <w:t>Magni</w:t>
      </w:r>
      <w:proofErr w:type="spellEnd"/>
      <w:r w:rsidRPr="002D4D50">
        <w:rPr>
          <w:bCs/>
        </w:rPr>
        <w:t xml:space="preserve">, G. </w:t>
      </w:r>
      <w:r w:rsidR="00707BC6">
        <w:rPr>
          <w:bCs/>
        </w:rPr>
        <w:t>(</w:t>
      </w:r>
      <w:r w:rsidRPr="002D4D50">
        <w:rPr>
          <w:bCs/>
        </w:rPr>
        <w:t>2021</w:t>
      </w:r>
      <w:r w:rsidR="00707BC6">
        <w:rPr>
          <w:bCs/>
        </w:rPr>
        <w:t>)</w:t>
      </w:r>
      <w:r w:rsidRPr="002D4D50">
        <w:rPr>
          <w:bCs/>
        </w:rPr>
        <w:t xml:space="preserve">. Economic Inequality, Immigrants and Selective Solidarity: From Perceived Lack of Opportunity to In-group </w:t>
      </w:r>
      <w:proofErr w:type="spellStart"/>
      <w:r w:rsidRPr="002D4D50">
        <w:rPr>
          <w:bCs/>
        </w:rPr>
        <w:t>Favoritism</w:t>
      </w:r>
      <w:proofErr w:type="spellEnd"/>
      <w:r w:rsidRPr="002D4D50">
        <w:rPr>
          <w:bCs/>
        </w:rPr>
        <w:t>. </w:t>
      </w:r>
      <w:r w:rsidRPr="002D4D50">
        <w:rPr>
          <w:bCs/>
          <w:i/>
          <w:iCs/>
        </w:rPr>
        <w:t>British Journal of Political Science,</w:t>
      </w:r>
      <w:r w:rsidRPr="002D4D50">
        <w:rPr>
          <w:bCs/>
        </w:rPr>
        <w:t> </w:t>
      </w:r>
      <w:r w:rsidRPr="002B3671">
        <w:rPr>
          <w:bCs/>
        </w:rPr>
        <w:t>51</w:t>
      </w:r>
      <w:r w:rsidRPr="002D4D50">
        <w:rPr>
          <w:bCs/>
        </w:rPr>
        <w:t xml:space="preserve">(4), 1357-1380.  </w:t>
      </w:r>
    </w:p>
    <w:p w14:paraId="4E2CD036" w14:textId="184EA6FA" w:rsidR="00A805E8" w:rsidRPr="002D4D50" w:rsidRDefault="00A805E8" w:rsidP="00BD4DBD">
      <w:pPr>
        <w:spacing w:line="480" w:lineRule="auto"/>
        <w:ind w:left="284" w:hanging="284"/>
        <w:jc w:val="both"/>
        <w:rPr>
          <w:bCs/>
        </w:rPr>
      </w:pPr>
      <w:r w:rsidRPr="002D4D50">
        <w:rPr>
          <w:bCs/>
        </w:rPr>
        <w:t>Mann, M. (1984). The autonomous power of the state: its origins, mechanisms and results. </w:t>
      </w:r>
      <w:r w:rsidRPr="002D4D50">
        <w:rPr>
          <w:bCs/>
          <w:i/>
          <w:iCs/>
        </w:rPr>
        <w:t xml:space="preserve">European Journal of Sociology, </w:t>
      </w:r>
      <w:r w:rsidR="002B3671">
        <w:rPr>
          <w:bCs/>
        </w:rPr>
        <w:t xml:space="preserve">25(2), </w:t>
      </w:r>
      <w:r w:rsidRPr="002D4D50">
        <w:rPr>
          <w:bCs/>
        </w:rPr>
        <w:t>185–21</w:t>
      </w:r>
      <w:r w:rsidR="002B3671">
        <w:rPr>
          <w:bCs/>
        </w:rPr>
        <w:t>.</w:t>
      </w:r>
    </w:p>
    <w:p w14:paraId="5C9B483A" w14:textId="61B9B874" w:rsidR="009F6ABC" w:rsidRPr="002D4D50" w:rsidRDefault="009F6ABC" w:rsidP="009F6ABC">
      <w:pPr>
        <w:spacing w:line="480" w:lineRule="auto"/>
        <w:ind w:left="284" w:hanging="284"/>
        <w:jc w:val="both"/>
        <w:rPr>
          <w:lang w:val="en-US"/>
        </w:rPr>
      </w:pPr>
      <w:r w:rsidRPr="002D4D50">
        <w:t xml:space="preserve">Maxwell, R. </w:t>
      </w:r>
      <w:r w:rsidR="00707BC6">
        <w:t>(</w:t>
      </w:r>
      <w:r w:rsidRPr="002D4D50">
        <w:t>2019</w:t>
      </w:r>
      <w:r w:rsidR="00707BC6">
        <w:t>)</w:t>
      </w:r>
      <w:r w:rsidRPr="002D4D50">
        <w:t xml:space="preserve">. </w:t>
      </w:r>
      <w:r w:rsidRPr="002D4D50">
        <w:rPr>
          <w:lang w:val="en-US"/>
        </w:rPr>
        <w:t>Cosmopolitan Immigration Attitudes in Large European Cities:</w:t>
      </w:r>
    </w:p>
    <w:p w14:paraId="6EFC9FEA" w14:textId="79E62AB6" w:rsidR="009F6ABC" w:rsidRPr="002D4D50" w:rsidRDefault="009F6ABC" w:rsidP="009F6ABC">
      <w:pPr>
        <w:spacing w:line="480" w:lineRule="auto"/>
        <w:ind w:left="284" w:hanging="284"/>
        <w:jc w:val="both"/>
      </w:pPr>
      <w:r w:rsidRPr="002D4D50">
        <w:rPr>
          <w:lang w:val="en-US"/>
        </w:rPr>
        <w:t>Contextual or Compositional Effects?</w:t>
      </w:r>
      <w:r w:rsidRPr="002D4D50">
        <w:t xml:space="preserve"> </w:t>
      </w:r>
      <w:r w:rsidRPr="002D4D50">
        <w:rPr>
          <w:i/>
          <w:lang w:val="en-US"/>
        </w:rPr>
        <w:t>American Political Science Review</w:t>
      </w:r>
      <w:r w:rsidR="002B3671">
        <w:rPr>
          <w:i/>
          <w:lang w:val="en-US"/>
        </w:rPr>
        <w:t>,</w:t>
      </w:r>
      <w:r w:rsidRPr="002D4D50">
        <w:rPr>
          <w:lang w:val="en-US"/>
        </w:rPr>
        <w:t xml:space="preserve"> 113(2)</w:t>
      </w:r>
      <w:r w:rsidR="002B3671">
        <w:rPr>
          <w:lang w:val="en-US"/>
        </w:rPr>
        <w:t>,</w:t>
      </w:r>
      <w:r w:rsidRPr="002D4D50">
        <w:rPr>
          <w:lang w:val="en-US"/>
        </w:rPr>
        <w:t xml:space="preserve"> 456–474. </w:t>
      </w:r>
    </w:p>
    <w:p w14:paraId="43213E30" w14:textId="07CA5B4A" w:rsidR="003740EB" w:rsidRPr="002D4D50" w:rsidRDefault="003740EB" w:rsidP="00ED02A7">
      <w:pPr>
        <w:spacing w:line="480" w:lineRule="auto"/>
        <w:ind w:left="284" w:hanging="284"/>
        <w:jc w:val="both"/>
      </w:pPr>
      <w:r w:rsidRPr="002D4D50">
        <w:t xml:space="preserve">Miller, </w:t>
      </w:r>
      <w:r w:rsidR="003F423A" w:rsidRPr="002D4D50">
        <w:t>A.</w:t>
      </w:r>
      <w:r w:rsidRPr="002D4D50">
        <w:t xml:space="preserve">H. </w:t>
      </w:r>
      <w:r w:rsidR="00707BC6">
        <w:t>(</w:t>
      </w:r>
      <w:r w:rsidRPr="002D4D50">
        <w:t>1974</w:t>
      </w:r>
      <w:r w:rsidR="00707BC6">
        <w:t>)</w:t>
      </w:r>
      <w:r w:rsidRPr="002D4D50">
        <w:t>. Political issues and trust in government: 1964-1970.</w:t>
      </w:r>
      <w:r w:rsidR="003F423A" w:rsidRPr="002D4D50">
        <w:t xml:space="preserve"> </w:t>
      </w:r>
      <w:r w:rsidRPr="002D4D50">
        <w:rPr>
          <w:i/>
        </w:rPr>
        <w:t>American Political Science Review</w:t>
      </w:r>
      <w:r w:rsidR="002B3671">
        <w:rPr>
          <w:i/>
        </w:rPr>
        <w:t>,</w:t>
      </w:r>
      <w:r w:rsidRPr="002D4D50">
        <w:t xml:space="preserve"> 68</w:t>
      </w:r>
      <w:r w:rsidR="002B3671">
        <w:t>(3),</w:t>
      </w:r>
      <w:r w:rsidRPr="002D4D50">
        <w:t xml:space="preserve"> 951-972.</w:t>
      </w:r>
    </w:p>
    <w:p w14:paraId="3FB6D5E7" w14:textId="61CE0711" w:rsidR="00AA6E1C" w:rsidRPr="002D4D50" w:rsidRDefault="004C4013" w:rsidP="00ED02A7">
      <w:pPr>
        <w:spacing w:line="480" w:lineRule="auto"/>
        <w:ind w:left="284" w:hanging="284"/>
        <w:jc w:val="both"/>
      </w:pPr>
      <w:proofErr w:type="spellStart"/>
      <w:r w:rsidRPr="002D4D50">
        <w:t>Mudde</w:t>
      </w:r>
      <w:proofErr w:type="spellEnd"/>
      <w:r w:rsidRPr="002D4D50">
        <w:t xml:space="preserve">, C. </w:t>
      </w:r>
      <w:r w:rsidR="00707BC6">
        <w:t>(</w:t>
      </w:r>
      <w:r w:rsidRPr="002D4D50">
        <w:t>2007</w:t>
      </w:r>
      <w:r w:rsidR="00707BC6">
        <w:t>).</w:t>
      </w:r>
      <w:r w:rsidRPr="002D4D50">
        <w:t xml:space="preserve"> </w:t>
      </w:r>
      <w:r w:rsidRPr="002D4D50">
        <w:rPr>
          <w:i/>
        </w:rPr>
        <w:t>Populist Radical Right Parties in Europe</w:t>
      </w:r>
      <w:r w:rsidRPr="002D4D50">
        <w:t>. Cambridge: Cambridge University Press.</w:t>
      </w:r>
      <w:r w:rsidR="00AA6E1C" w:rsidRPr="002D4D50">
        <w:t xml:space="preserve"> </w:t>
      </w:r>
    </w:p>
    <w:p w14:paraId="0C213103" w14:textId="64F97D62" w:rsidR="00624E5D" w:rsidRPr="002D4D50" w:rsidRDefault="00624E5D" w:rsidP="00ED02A7">
      <w:pPr>
        <w:spacing w:line="480" w:lineRule="auto"/>
        <w:ind w:left="284" w:hanging="284"/>
        <w:jc w:val="both"/>
      </w:pPr>
      <w:proofErr w:type="spellStart"/>
      <w:r w:rsidRPr="002D4D50">
        <w:t>Mudde</w:t>
      </w:r>
      <w:proofErr w:type="spellEnd"/>
      <w:r w:rsidRPr="002D4D50">
        <w:t xml:space="preserve">, C. </w:t>
      </w:r>
      <w:r w:rsidR="0081190D">
        <w:t>(</w:t>
      </w:r>
      <w:r w:rsidRPr="002D4D50">
        <w:t>2010</w:t>
      </w:r>
      <w:r w:rsidR="0081190D">
        <w:t>)</w:t>
      </w:r>
      <w:r w:rsidRPr="002D4D50">
        <w:t>. The Populist Radical Right: A Pathological Normalcy</w:t>
      </w:r>
      <w:r w:rsidR="002B3671">
        <w:t>.</w:t>
      </w:r>
      <w:r w:rsidRPr="002D4D50">
        <w:t xml:space="preserve"> </w:t>
      </w:r>
      <w:r w:rsidRPr="002B3671">
        <w:rPr>
          <w:i/>
          <w:iCs/>
        </w:rPr>
        <w:t>West European Politics</w:t>
      </w:r>
      <w:r w:rsidRPr="002D4D50">
        <w:t>, 33(6)</w:t>
      </w:r>
      <w:r w:rsidR="002B3671">
        <w:t>,</w:t>
      </w:r>
      <w:r w:rsidRPr="002D4D50">
        <w:t xml:space="preserve"> 1167-1186.</w:t>
      </w:r>
    </w:p>
    <w:p w14:paraId="3716446D" w14:textId="3199621F" w:rsidR="00291128" w:rsidRPr="002D4D50" w:rsidRDefault="00291128" w:rsidP="00ED02A7">
      <w:pPr>
        <w:spacing w:line="480" w:lineRule="auto"/>
        <w:ind w:left="284" w:hanging="284"/>
        <w:jc w:val="both"/>
      </w:pPr>
      <w:proofErr w:type="spellStart"/>
      <w:r w:rsidRPr="002D4D50">
        <w:t>Mudde</w:t>
      </w:r>
      <w:proofErr w:type="spellEnd"/>
      <w:r w:rsidRPr="002D4D50">
        <w:t xml:space="preserve">, C. </w:t>
      </w:r>
      <w:r w:rsidR="0081190D">
        <w:t>(</w:t>
      </w:r>
      <w:r w:rsidRPr="002D4D50">
        <w:t>2019</w:t>
      </w:r>
      <w:r w:rsidR="0081190D">
        <w:t>)</w:t>
      </w:r>
      <w:r w:rsidRPr="002D4D50">
        <w:t xml:space="preserve">. </w:t>
      </w:r>
      <w:r w:rsidRPr="002D4D50">
        <w:rPr>
          <w:i/>
          <w:iCs/>
        </w:rPr>
        <w:t>The Far Right Today</w:t>
      </w:r>
      <w:r w:rsidRPr="002D4D50">
        <w:t>. Cambridge: Polity.</w:t>
      </w:r>
    </w:p>
    <w:p w14:paraId="35EF490D" w14:textId="68FEDF87" w:rsidR="00364E2D" w:rsidRPr="002D4D50" w:rsidRDefault="004C4013" w:rsidP="00ED02A7">
      <w:pPr>
        <w:spacing w:line="480" w:lineRule="auto"/>
        <w:ind w:left="284" w:hanging="284"/>
        <w:jc w:val="both"/>
        <w:rPr>
          <w:bCs/>
        </w:rPr>
      </w:pPr>
      <w:r w:rsidRPr="002D4D50">
        <w:rPr>
          <w:bCs/>
        </w:rPr>
        <w:t xml:space="preserve">Norris, P. </w:t>
      </w:r>
      <w:r w:rsidR="0081190D">
        <w:rPr>
          <w:bCs/>
        </w:rPr>
        <w:t>(</w:t>
      </w:r>
      <w:r w:rsidRPr="002D4D50">
        <w:rPr>
          <w:bCs/>
        </w:rPr>
        <w:t>2005</w:t>
      </w:r>
      <w:r w:rsidR="0081190D">
        <w:rPr>
          <w:bCs/>
        </w:rPr>
        <w:t>)</w:t>
      </w:r>
      <w:r w:rsidR="000F62A8" w:rsidRPr="002D4D50">
        <w:rPr>
          <w:bCs/>
        </w:rPr>
        <w:t>.</w:t>
      </w:r>
      <w:r w:rsidRPr="002D4D50">
        <w:rPr>
          <w:bCs/>
        </w:rPr>
        <w:t xml:space="preserve"> </w:t>
      </w:r>
      <w:r w:rsidRPr="002D4D50">
        <w:rPr>
          <w:bCs/>
          <w:i/>
        </w:rPr>
        <w:t>Radical right: Voters and parties in the electoral market.</w:t>
      </w:r>
      <w:r w:rsidRPr="002D4D50">
        <w:rPr>
          <w:bCs/>
        </w:rPr>
        <w:t xml:space="preserve"> Cambridge: Cambridge University Press. </w:t>
      </w:r>
    </w:p>
    <w:p w14:paraId="7A24DACD" w14:textId="62BCE071" w:rsidR="000F1714" w:rsidRPr="002D4D50" w:rsidRDefault="000F1714" w:rsidP="00ED02A7">
      <w:pPr>
        <w:spacing w:line="480" w:lineRule="auto"/>
        <w:ind w:left="284" w:hanging="284"/>
        <w:jc w:val="both"/>
        <w:rPr>
          <w:bCs/>
        </w:rPr>
      </w:pPr>
      <w:r w:rsidRPr="00224592">
        <w:rPr>
          <w:bCs/>
        </w:rPr>
        <w:t xml:space="preserve">Norris, P. </w:t>
      </w:r>
      <w:r w:rsidR="0081190D" w:rsidRPr="00224592">
        <w:rPr>
          <w:bCs/>
        </w:rPr>
        <w:t>(</w:t>
      </w:r>
      <w:r w:rsidRPr="00224592">
        <w:rPr>
          <w:bCs/>
        </w:rPr>
        <w:t>2017</w:t>
      </w:r>
      <w:r w:rsidR="0081190D" w:rsidRPr="00224592">
        <w:rPr>
          <w:bCs/>
        </w:rPr>
        <w:t>).</w:t>
      </w:r>
      <w:r w:rsidRPr="00224592">
        <w:rPr>
          <w:bCs/>
        </w:rPr>
        <w:t xml:space="preserve"> The conceptual framework of political support. In </w:t>
      </w:r>
      <w:r w:rsidR="00224592" w:rsidRPr="00224592">
        <w:rPr>
          <w:bCs/>
        </w:rPr>
        <w:t xml:space="preserve">S. </w:t>
      </w:r>
      <w:proofErr w:type="spellStart"/>
      <w:r w:rsidRPr="00224592">
        <w:rPr>
          <w:bCs/>
        </w:rPr>
        <w:t>Zmerli</w:t>
      </w:r>
      <w:proofErr w:type="spellEnd"/>
      <w:r w:rsidR="00224592" w:rsidRPr="00224592">
        <w:rPr>
          <w:bCs/>
        </w:rPr>
        <w:t xml:space="preserve"> &amp; T.</w:t>
      </w:r>
      <w:r w:rsidRPr="00224592">
        <w:rPr>
          <w:bCs/>
        </w:rPr>
        <w:t xml:space="preserve"> van der Meer</w:t>
      </w:r>
      <w:r w:rsidR="00224592" w:rsidRPr="00224592">
        <w:rPr>
          <w:bCs/>
        </w:rPr>
        <w:t xml:space="preserve"> </w:t>
      </w:r>
      <w:r w:rsidRPr="00224592">
        <w:rPr>
          <w:bCs/>
        </w:rPr>
        <w:t>(</w:t>
      </w:r>
      <w:r w:rsidR="00224592" w:rsidRPr="00224592">
        <w:rPr>
          <w:bCs/>
        </w:rPr>
        <w:t>E</w:t>
      </w:r>
      <w:r w:rsidRPr="00224592">
        <w:rPr>
          <w:bCs/>
        </w:rPr>
        <w:t>ds</w:t>
      </w:r>
      <w:r w:rsidR="00224592" w:rsidRPr="00224592">
        <w:rPr>
          <w:bCs/>
        </w:rPr>
        <w:t>.</w:t>
      </w:r>
      <w:r w:rsidRPr="00224592">
        <w:rPr>
          <w:bCs/>
        </w:rPr>
        <w:t xml:space="preserve">) </w:t>
      </w:r>
      <w:r w:rsidRPr="00224592">
        <w:rPr>
          <w:bCs/>
          <w:i/>
          <w:iCs/>
        </w:rPr>
        <w:t>Handbook on Political Trust</w:t>
      </w:r>
      <w:r w:rsidR="00224592" w:rsidRPr="00224592">
        <w:rPr>
          <w:bCs/>
        </w:rPr>
        <w:t xml:space="preserve"> (pp. 19-32)</w:t>
      </w:r>
      <w:r w:rsidRPr="00224592">
        <w:rPr>
          <w:bCs/>
        </w:rPr>
        <w:t>. Cheltenham: Edward Elgar.</w:t>
      </w:r>
    </w:p>
    <w:p w14:paraId="10510ECA" w14:textId="35AE0FAB" w:rsidR="008B58A7" w:rsidRPr="002D4D50" w:rsidRDefault="008B58A7" w:rsidP="00ED02A7">
      <w:pPr>
        <w:spacing w:line="480" w:lineRule="auto"/>
        <w:ind w:left="284" w:hanging="284"/>
        <w:jc w:val="both"/>
        <w:rPr>
          <w:bCs/>
        </w:rPr>
      </w:pPr>
      <w:proofErr w:type="spellStart"/>
      <w:r w:rsidRPr="002D4D50">
        <w:rPr>
          <w:bCs/>
        </w:rPr>
        <w:lastRenderedPageBreak/>
        <w:t>Pequito</w:t>
      </w:r>
      <w:proofErr w:type="spellEnd"/>
      <w:r w:rsidRPr="002D4D50">
        <w:rPr>
          <w:bCs/>
        </w:rPr>
        <w:t xml:space="preserve"> Teixeira, C., </w:t>
      </w:r>
      <w:proofErr w:type="spellStart"/>
      <w:r w:rsidRPr="002D4D50">
        <w:rPr>
          <w:bCs/>
        </w:rPr>
        <w:t>Tsatsanis</w:t>
      </w:r>
      <w:proofErr w:type="spellEnd"/>
      <w:r w:rsidR="0042489B">
        <w:rPr>
          <w:bCs/>
        </w:rPr>
        <w:t xml:space="preserve">, </w:t>
      </w:r>
      <w:r w:rsidR="0042489B" w:rsidRPr="002D4D50">
        <w:rPr>
          <w:bCs/>
        </w:rPr>
        <w:t>E.</w:t>
      </w:r>
      <w:r w:rsidR="0042489B">
        <w:rPr>
          <w:bCs/>
        </w:rPr>
        <w:t>,</w:t>
      </w:r>
      <w:r w:rsidRPr="002D4D50">
        <w:rPr>
          <w:bCs/>
        </w:rPr>
        <w:t xml:space="preserve"> &amp; </w:t>
      </w:r>
      <w:proofErr w:type="spellStart"/>
      <w:r w:rsidRPr="002D4D50">
        <w:rPr>
          <w:bCs/>
        </w:rPr>
        <w:t>Belchior</w:t>
      </w:r>
      <w:proofErr w:type="spellEnd"/>
      <w:r w:rsidRPr="002D4D50">
        <w:rPr>
          <w:bCs/>
        </w:rPr>
        <w:t>,</w:t>
      </w:r>
      <w:r w:rsidR="0042489B">
        <w:rPr>
          <w:bCs/>
        </w:rPr>
        <w:t xml:space="preserve"> </w:t>
      </w:r>
      <w:r w:rsidR="0042489B" w:rsidRPr="002D4D50">
        <w:rPr>
          <w:bCs/>
        </w:rPr>
        <w:t xml:space="preserve">A.M. </w:t>
      </w:r>
      <w:r w:rsidR="0042489B">
        <w:rPr>
          <w:bCs/>
        </w:rPr>
        <w:t>(</w:t>
      </w:r>
      <w:r w:rsidRPr="002D4D50">
        <w:rPr>
          <w:bCs/>
        </w:rPr>
        <w:t>2014</w:t>
      </w:r>
      <w:r w:rsidR="0042489B">
        <w:rPr>
          <w:bCs/>
        </w:rPr>
        <w:t>)</w:t>
      </w:r>
      <w:r w:rsidRPr="002D4D50">
        <w:rPr>
          <w:bCs/>
        </w:rPr>
        <w:t>. Support for Democracy in Times of Crisis: Diffuse and Specific Regime Support in Portugal and Greece</w:t>
      </w:r>
      <w:r w:rsidR="00392CCA">
        <w:rPr>
          <w:bCs/>
        </w:rPr>
        <w:t>.</w:t>
      </w:r>
      <w:r w:rsidRPr="002D4D50">
        <w:rPr>
          <w:bCs/>
        </w:rPr>
        <w:t xml:space="preserve"> </w:t>
      </w:r>
      <w:r w:rsidRPr="002D4D50">
        <w:rPr>
          <w:bCs/>
          <w:i/>
          <w:iCs/>
        </w:rPr>
        <w:t>South European Society and Politics</w:t>
      </w:r>
      <w:r w:rsidRPr="002D4D50">
        <w:rPr>
          <w:bCs/>
        </w:rPr>
        <w:t>, 19</w:t>
      </w:r>
      <w:r w:rsidR="00392CCA">
        <w:rPr>
          <w:bCs/>
        </w:rPr>
        <w:t>(</w:t>
      </w:r>
      <w:r w:rsidRPr="002D4D50">
        <w:rPr>
          <w:bCs/>
        </w:rPr>
        <w:t>4</w:t>
      </w:r>
      <w:r w:rsidR="00392CCA">
        <w:rPr>
          <w:bCs/>
        </w:rPr>
        <w:t>)</w:t>
      </w:r>
      <w:r w:rsidRPr="002D4D50">
        <w:rPr>
          <w:bCs/>
        </w:rPr>
        <w:t>, 501-518.</w:t>
      </w:r>
    </w:p>
    <w:p w14:paraId="674B3F4B" w14:textId="7246C19C" w:rsidR="00AA6E1C" w:rsidRPr="002D4D50" w:rsidRDefault="00364E2D" w:rsidP="00ED02A7">
      <w:pPr>
        <w:spacing w:line="480" w:lineRule="auto"/>
        <w:ind w:left="284" w:hanging="284"/>
        <w:jc w:val="both"/>
        <w:rPr>
          <w:bCs/>
        </w:rPr>
      </w:pPr>
      <w:proofErr w:type="spellStart"/>
      <w:r w:rsidRPr="002D4D50">
        <w:rPr>
          <w:bCs/>
        </w:rPr>
        <w:t>Rooduijn</w:t>
      </w:r>
      <w:proofErr w:type="spellEnd"/>
      <w:r w:rsidRPr="002D4D50">
        <w:rPr>
          <w:bCs/>
        </w:rPr>
        <w:t xml:space="preserve">, M., Van Kessel, S., </w:t>
      </w:r>
      <w:proofErr w:type="spellStart"/>
      <w:r w:rsidRPr="002D4D50">
        <w:rPr>
          <w:bCs/>
        </w:rPr>
        <w:t>Froio</w:t>
      </w:r>
      <w:proofErr w:type="spellEnd"/>
      <w:r w:rsidRPr="002D4D50">
        <w:rPr>
          <w:bCs/>
        </w:rPr>
        <w:t xml:space="preserve">, C., </w:t>
      </w:r>
      <w:proofErr w:type="spellStart"/>
      <w:r w:rsidRPr="002D4D50">
        <w:rPr>
          <w:bCs/>
        </w:rPr>
        <w:t>Pirro</w:t>
      </w:r>
      <w:proofErr w:type="spellEnd"/>
      <w:r w:rsidRPr="002D4D50">
        <w:rPr>
          <w:bCs/>
        </w:rPr>
        <w:t xml:space="preserve">, A., De Lange, S., Halikiopoulou, D., Lewis, P., </w:t>
      </w:r>
      <w:proofErr w:type="spellStart"/>
      <w:r w:rsidRPr="002D4D50">
        <w:rPr>
          <w:bCs/>
        </w:rPr>
        <w:t>Mudde</w:t>
      </w:r>
      <w:proofErr w:type="spellEnd"/>
      <w:r w:rsidRPr="002D4D50">
        <w:rPr>
          <w:bCs/>
        </w:rPr>
        <w:t>, C.</w:t>
      </w:r>
      <w:r w:rsidR="0042489B">
        <w:rPr>
          <w:bCs/>
        </w:rPr>
        <w:t>,</w:t>
      </w:r>
      <w:r w:rsidRPr="002D4D50">
        <w:rPr>
          <w:bCs/>
        </w:rPr>
        <w:t xml:space="preserve"> &amp; Taggart, P. </w:t>
      </w:r>
      <w:r w:rsidR="0042489B">
        <w:rPr>
          <w:bCs/>
        </w:rPr>
        <w:t>(</w:t>
      </w:r>
      <w:r w:rsidRPr="002D4D50">
        <w:rPr>
          <w:bCs/>
        </w:rPr>
        <w:t>2019</w:t>
      </w:r>
      <w:r w:rsidR="0042489B">
        <w:rPr>
          <w:bCs/>
        </w:rPr>
        <w:t>)</w:t>
      </w:r>
      <w:r w:rsidRPr="002D4D50">
        <w:rPr>
          <w:bCs/>
        </w:rPr>
        <w:t xml:space="preserve">. </w:t>
      </w:r>
      <w:r w:rsidRPr="002D4D50">
        <w:rPr>
          <w:bCs/>
          <w:i/>
          <w:iCs/>
        </w:rPr>
        <w:t xml:space="preserve">The </w:t>
      </w:r>
      <w:proofErr w:type="spellStart"/>
      <w:r w:rsidRPr="002D4D50">
        <w:rPr>
          <w:bCs/>
          <w:i/>
          <w:iCs/>
        </w:rPr>
        <w:t>PopuList</w:t>
      </w:r>
      <w:proofErr w:type="spellEnd"/>
      <w:r w:rsidRPr="002D4D50">
        <w:rPr>
          <w:bCs/>
          <w:i/>
          <w:iCs/>
        </w:rPr>
        <w:t>: An Overview of Populist, Far Right, Far Left and Eurosceptic Parties in Europe</w:t>
      </w:r>
      <w:r w:rsidRPr="002D4D50">
        <w:rPr>
          <w:bCs/>
        </w:rPr>
        <w:t>. www.popu-list.org.</w:t>
      </w:r>
      <w:r w:rsidR="004C4013" w:rsidRPr="002D4D50">
        <w:rPr>
          <w:bCs/>
        </w:rPr>
        <w:t xml:space="preserve"> </w:t>
      </w:r>
    </w:p>
    <w:p w14:paraId="7FE6AF42" w14:textId="26CBF68D" w:rsidR="00AA6E1C" w:rsidRPr="002D4D50" w:rsidRDefault="004C4013" w:rsidP="00ED02A7">
      <w:pPr>
        <w:spacing w:line="480" w:lineRule="auto"/>
        <w:ind w:left="284" w:hanging="284"/>
        <w:jc w:val="both"/>
        <w:rPr>
          <w:bCs/>
        </w:rPr>
      </w:pPr>
      <w:proofErr w:type="spellStart"/>
      <w:r w:rsidRPr="002D4D50">
        <w:rPr>
          <w:bCs/>
        </w:rPr>
        <w:t>Rooduijn</w:t>
      </w:r>
      <w:proofErr w:type="spellEnd"/>
      <w:r w:rsidRPr="002D4D50">
        <w:rPr>
          <w:bCs/>
        </w:rPr>
        <w:t>, M</w:t>
      </w:r>
      <w:r w:rsidR="00A00941" w:rsidRPr="002D4D50">
        <w:rPr>
          <w:bCs/>
        </w:rPr>
        <w:t>.</w:t>
      </w:r>
      <w:r w:rsidRPr="002D4D50">
        <w:rPr>
          <w:bCs/>
        </w:rPr>
        <w:t xml:space="preserve">, Burgoon, </w:t>
      </w:r>
      <w:r w:rsidR="00A00941" w:rsidRPr="002D4D50">
        <w:rPr>
          <w:bCs/>
        </w:rPr>
        <w:t xml:space="preserve">B., </w:t>
      </w:r>
      <w:r w:rsidRPr="002D4D50">
        <w:rPr>
          <w:bCs/>
        </w:rPr>
        <w:t xml:space="preserve">van </w:t>
      </w:r>
      <w:proofErr w:type="spellStart"/>
      <w:r w:rsidRPr="002D4D50">
        <w:rPr>
          <w:bCs/>
        </w:rPr>
        <w:t>Elsas</w:t>
      </w:r>
      <w:proofErr w:type="spellEnd"/>
      <w:r w:rsidR="00A00941" w:rsidRPr="002D4D50">
        <w:rPr>
          <w:bCs/>
        </w:rPr>
        <w:t>, E.</w:t>
      </w:r>
      <w:r w:rsidR="0042489B">
        <w:rPr>
          <w:bCs/>
        </w:rPr>
        <w:t>, &amp;</w:t>
      </w:r>
      <w:r w:rsidRPr="002D4D50">
        <w:rPr>
          <w:bCs/>
        </w:rPr>
        <w:t xml:space="preserve"> van de </w:t>
      </w:r>
      <w:proofErr w:type="spellStart"/>
      <w:r w:rsidRPr="002D4D50">
        <w:rPr>
          <w:bCs/>
        </w:rPr>
        <w:t>Werfhorst</w:t>
      </w:r>
      <w:proofErr w:type="spellEnd"/>
      <w:r w:rsidR="00A00941" w:rsidRPr="002D4D50">
        <w:rPr>
          <w:bCs/>
        </w:rPr>
        <w:t>, H.</w:t>
      </w:r>
      <w:r w:rsidRPr="002D4D50">
        <w:rPr>
          <w:bCs/>
        </w:rPr>
        <w:t xml:space="preserve"> </w:t>
      </w:r>
      <w:r w:rsidR="0042489B">
        <w:rPr>
          <w:bCs/>
        </w:rPr>
        <w:t>(</w:t>
      </w:r>
      <w:r w:rsidRPr="002D4D50">
        <w:rPr>
          <w:bCs/>
        </w:rPr>
        <w:t>2017</w:t>
      </w:r>
      <w:r w:rsidR="0042489B">
        <w:rPr>
          <w:bCs/>
        </w:rPr>
        <w:t>)</w:t>
      </w:r>
      <w:r w:rsidRPr="002D4D50">
        <w:rPr>
          <w:bCs/>
        </w:rPr>
        <w:t>. Radical distinction: Support for radical left and radical right parties in Europe</w:t>
      </w:r>
      <w:r w:rsidR="003F423A" w:rsidRPr="002D4D50">
        <w:rPr>
          <w:bCs/>
        </w:rPr>
        <w:t>.</w:t>
      </w:r>
      <w:r w:rsidRPr="002D4D50">
        <w:rPr>
          <w:bCs/>
        </w:rPr>
        <w:t xml:space="preserve"> </w:t>
      </w:r>
      <w:r w:rsidRPr="002D4D50">
        <w:rPr>
          <w:bCs/>
          <w:i/>
        </w:rPr>
        <w:t>European Union Politics</w:t>
      </w:r>
      <w:r w:rsidR="00BB0613">
        <w:rPr>
          <w:bCs/>
          <w:i/>
        </w:rPr>
        <w:t>,</w:t>
      </w:r>
      <w:r w:rsidRPr="002D4D50">
        <w:rPr>
          <w:bCs/>
        </w:rPr>
        <w:t xml:space="preserve"> 18</w:t>
      </w:r>
      <w:r w:rsidR="003F423A" w:rsidRPr="002D4D50">
        <w:rPr>
          <w:bCs/>
        </w:rPr>
        <w:t>(</w:t>
      </w:r>
      <w:r w:rsidRPr="002D4D50">
        <w:rPr>
          <w:bCs/>
        </w:rPr>
        <w:t>4</w:t>
      </w:r>
      <w:r w:rsidR="003F423A" w:rsidRPr="002D4D50">
        <w:rPr>
          <w:bCs/>
        </w:rPr>
        <w:t xml:space="preserve">): </w:t>
      </w:r>
      <w:r w:rsidRPr="002D4D50">
        <w:rPr>
          <w:bCs/>
        </w:rPr>
        <w:t>536 – 559</w:t>
      </w:r>
      <w:r w:rsidR="00A00941" w:rsidRPr="002D4D50">
        <w:rPr>
          <w:bCs/>
        </w:rPr>
        <w:t xml:space="preserve">. </w:t>
      </w:r>
    </w:p>
    <w:p w14:paraId="52C187AD" w14:textId="68FAA479" w:rsidR="00F85C15" w:rsidRPr="002D4D50" w:rsidRDefault="00F85C15" w:rsidP="00ED02A7">
      <w:pPr>
        <w:spacing w:line="480" w:lineRule="auto"/>
        <w:ind w:left="284" w:hanging="284"/>
        <w:jc w:val="both"/>
        <w:rPr>
          <w:bCs/>
        </w:rPr>
      </w:pPr>
      <w:proofErr w:type="spellStart"/>
      <w:r w:rsidRPr="002D4D50">
        <w:rPr>
          <w:bCs/>
        </w:rPr>
        <w:t>Rooduijn</w:t>
      </w:r>
      <w:proofErr w:type="spellEnd"/>
      <w:r w:rsidRPr="002D4D50">
        <w:rPr>
          <w:bCs/>
        </w:rPr>
        <w:t>, M.</w:t>
      </w:r>
      <w:r w:rsidR="0042489B">
        <w:rPr>
          <w:bCs/>
        </w:rPr>
        <w:t>, &amp;</w:t>
      </w:r>
      <w:r w:rsidRPr="002D4D50">
        <w:rPr>
          <w:bCs/>
        </w:rPr>
        <w:t xml:space="preserve"> Burgoon</w:t>
      </w:r>
      <w:r w:rsidR="00A90FD7" w:rsidRPr="002D4D50">
        <w:rPr>
          <w:bCs/>
        </w:rPr>
        <w:t xml:space="preserve">, B. </w:t>
      </w:r>
      <w:r w:rsidR="0042489B">
        <w:rPr>
          <w:bCs/>
        </w:rPr>
        <w:t>(</w:t>
      </w:r>
      <w:r w:rsidRPr="002D4D50">
        <w:rPr>
          <w:bCs/>
        </w:rPr>
        <w:t>2018</w:t>
      </w:r>
      <w:r w:rsidR="0042489B">
        <w:rPr>
          <w:bCs/>
        </w:rPr>
        <w:t>)</w:t>
      </w:r>
      <w:r w:rsidR="003F423A" w:rsidRPr="002D4D50">
        <w:rPr>
          <w:bCs/>
        </w:rPr>
        <w:t>.</w:t>
      </w:r>
      <w:r w:rsidR="00A90FD7" w:rsidRPr="002D4D50">
        <w:rPr>
          <w:bCs/>
        </w:rPr>
        <w:t xml:space="preserve"> The paradox of well-being: do </w:t>
      </w:r>
      <w:proofErr w:type="spellStart"/>
      <w:r w:rsidR="00A90FD7" w:rsidRPr="002D4D50">
        <w:rPr>
          <w:bCs/>
        </w:rPr>
        <w:t>unfavorable</w:t>
      </w:r>
      <w:proofErr w:type="spellEnd"/>
      <w:r w:rsidR="00A90FD7" w:rsidRPr="002D4D50">
        <w:rPr>
          <w:bCs/>
        </w:rPr>
        <w:t xml:space="preserve"> socioeconomic and sociocultural </w:t>
      </w:r>
      <w:proofErr w:type="gramStart"/>
      <w:r w:rsidR="00A90FD7" w:rsidRPr="002D4D50">
        <w:rPr>
          <w:bCs/>
        </w:rPr>
        <w:t>contexts</w:t>
      </w:r>
      <w:proofErr w:type="gramEnd"/>
      <w:r w:rsidR="00A90FD7" w:rsidRPr="002D4D50">
        <w:rPr>
          <w:rFonts w:ascii="MS Mincho" w:eastAsia="MS Mincho" w:hAnsi="MS Mincho" w:cs="MS Mincho" w:hint="eastAsia"/>
          <w:bCs/>
        </w:rPr>
        <w:t> </w:t>
      </w:r>
      <w:r w:rsidR="00A90FD7" w:rsidRPr="002D4D50">
        <w:rPr>
          <w:bCs/>
        </w:rPr>
        <w:t>deepen or dampen radical left and right voting among the less well-off?</w:t>
      </w:r>
      <w:r w:rsidR="00BB0613">
        <w:rPr>
          <w:bCs/>
        </w:rPr>
        <w:t xml:space="preserve"> </w:t>
      </w:r>
      <w:r w:rsidR="00A90FD7" w:rsidRPr="002D4D50">
        <w:rPr>
          <w:bCs/>
          <w:i/>
        </w:rPr>
        <w:t>Comparative Political Studies</w:t>
      </w:r>
      <w:r w:rsidR="00BB0613">
        <w:rPr>
          <w:bCs/>
          <w:i/>
        </w:rPr>
        <w:t>,</w:t>
      </w:r>
      <w:r w:rsidR="00A90FD7" w:rsidRPr="002D4D50">
        <w:rPr>
          <w:bCs/>
        </w:rPr>
        <w:t xml:space="preserve"> 51(13)</w:t>
      </w:r>
      <w:r w:rsidR="00BB0613">
        <w:rPr>
          <w:bCs/>
        </w:rPr>
        <w:t>,</w:t>
      </w:r>
      <w:r w:rsidR="00A90FD7" w:rsidRPr="002D4D50">
        <w:rPr>
          <w:bCs/>
        </w:rPr>
        <w:t xml:space="preserve"> 1720–1753.</w:t>
      </w:r>
    </w:p>
    <w:p w14:paraId="0FECD03D" w14:textId="7D427350" w:rsidR="00FB26C0" w:rsidRPr="002D4D50" w:rsidRDefault="00FB26C0" w:rsidP="00ED02A7">
      <w:pPr>
        <w:spacing w:line="480" w:lineRule="auto"/>
        <w:ind w:left="284" w:hanging="284"/>
        <w:jc w:val="both"/>
        <w:rPr>
          <w:bCs/>
        </w:rPr>
      </w:pPr>
      <w:proofErr w:type="spellStart"/>
      <w:r w:rsidRPr="002D4D50">
        <w:rPr>
          <w:bCs/>
        </w:rPr>
        <w:t>Rooduijn</w:t>
      </w:r>
      <w:proofErr w:type="spellEnd"/>
      <w:r w:rsidRPr="002D4D50">
        <w:rPr>
          <w:bCs/>
        </w:rPr>
        <w:t xml:space="preserve">, M. </w:t>
      </w:r>
      <w:r w:rsidR="0072060C">
        <w:rPr>
          <w:bCs/>
        </w:rPr>
        <w:t>(</w:t>
      </w:r>
      <w:r w:rsidRPr="002D4D50">
        <w:rPr>
          <w:bCs/>
        </w:rPr>
        <w:t>2018</w:t>
      </w:r>
      <w:r w:rsidR="0072060C">
        <w:rPr>
          <w:bCs/>
        </w:rPr>
        <w:t>)</w:t>
      </w:r>
      <w:r w:rsidRPr="002D4D50">
        <w:rPr>
          <w:bCs/>
        </w:rPr>
        <w:t xml:space="preserve">. What unites the voter bases of populist parties? Comparing the electorates of 15 populist parties. </w:t>
      </w:r>
      <w:r w:rsidRPr="002D4D50">
        <w:rPr>
          <w:bCs/>
          <w:i/>
        </w:rPr>
        <w:t>European Political Science Review</w:t>
      </w:r>
      <w:r w:rsidR="00BB0613">
        <w:rPr>
          <w:bCs/>
          <w:i/>
        </w:rPr>
        <w:t>,</w:t>
      </w:r>
      <w:r w:rsidRPr="002D4D50">
        <w:rPr>
          <w:bCs/>
        </w:rPr>
        <w:t xml:space="preserve"> 10(3)</w:t>
      </w:r>
      <w:r w:rsidR="00BB0613">
        <w:rPr>
          <w:bCs/>
        </w:rPr>
        <w:t>,</w:t>
      </w:r>
      <w:r w:rsidRPr="002D4D50">
        <w:rPr>
          <w:bCs/>
        </w:rPr>
        <w:t xml:space="preserve"> 351-368. </w:t>
      </w:r>
    </w:p>
    <w:p w14:paraId="70FAA85D" w14:textId="0284B6BB" w:rsidR="00683BB5" w:rsidRPr="002D4D50" w:rsidRDefault="004C4013" w:rsidP="00683BB5">
      <w:pPr>
        <w:spacing w:line="480" w:lineRule="auto"/>
        <w:ind w:left="284" w:hanging="284"/>
        <w:jc w:val="both"/>
      </w:pPr>
      <w:proofErr w:type="spellStart"/>
      <w:r w:rsidRPr="002D4D50">
        <w:t>Rydgren</w:t>
      </w:r>
      <w:proofErr w:type="spellEnd"/>
      <w:r w:rsidRPr="002D4D50">
        <w:t xml:space="preserve">, J. </w:t>
      </w:r>
      <w:r w:rsidR="0072060C">
        <w:t>(</w:t>
      </w:r>
      <w:r w:rsidRPr="002D4D50">
        <w:t>2008</w:t>
      </w:r>
      <w:r w:rsidR="0072060C">
        <w:t>)</w:t>
      </w:r>
      <w:r w:rsidRPr="002D4D50">
        <w:t>. Immigration sceptics, xenophobes or racists? Radical right-wing voting in six West European countries</w:t>
      </w:r>
      <w:r w:rsidR="00894856" w:rsidRPr="002D4D50">
        <w:t>.</w:t>
      </w:r>
      <w:r w:rsidRPr="002D4D50">
        <w:t xml:space="preserve"> </w:t>
      </w:r>
      <w:r w:rsidRPr="002D4D50">
        <w:rPr>
          <w:i/>
        </w:rPr>
        <w:t>European Journal of Political Research</w:t>
      </w:r>
      <w:r w:rsidRPr="002D4D50">
        <w:t>, 47</w:t>
      </w:r>
      <w:r w:rsidR="00BB0613">
        <w:t>(6),</w:t>
      </w:r>
      <w:r w:rsidRPr="002D4D50">
        <w:t xml:space="preserve"> 737– 765.</w:t>
      </w:r>
    </w:p>
    <w:p w14:paraId="36A6350E" w14:textId="3E76881C" w:rsidR="00D365DC" w:rsidRPr="002D4D50" w:rsidRDefault="00D365DC" w:rsidP="00FF1635">
      <w:pPr>
        <w:spacing w:line="480" w:lineRule="auto"/>
        <w:ind w:left="284" w:hanging="284"/>
        <w:jc w:val="both"/>
      </w:pPr>
      <w:r w:rsidRPr="002D4D50">
        <w:t xml:space="preserve">Santana, A., </w:t>
      </w:r>
      <w:proofErr w:type="spellStart"/>
      <w:r w:rsidRPr="002D4D50">
        <w:t>Zagórski</w:t>
      </w:r>
      <w:proofErr w:type="spellEnd"/>
      <w:r w:rsidR="0072060C">
        <w:t xml:space="preserve">, </w:t>
      </w:r>
      <w:r w:rsidR="0072060C" w:rsidRPr="002D4D50">
        <w:t>P.</w:t>
      </w:r>
      <w:r w:rsidR="0072060C">
        <w:t>,</w:t>
      </w:r>
      <w:r w:rsidRPr="002D4D50">
        <w:t xml:space="preserve"> &amp; Rama</w:t>
      </w:r>
      <w:r w:rsidR="0072060C">
        <w:t>, J</w:t>
      </w:r>
      <w:r w:rsidRPr="002D4D50">
        <w:t xml:space="preserve">. </w:t>
      </w:r>
      <w:r w:rsidR="0072060C">
        <w:t>(</w:t>
      </w:r>
      <w:r w:rsidRPr="002D4D50">
        <w:t>2020</w:t>
      </w:r>
      <w:r w:rsidR="0072060C">
        <w:t>)</w:t>
      </w:r>
      <w:r w:rsidRPr="002D4D50">
        <w:t>. At odds with Europe:</w:t>
      </w:r>
      <w:r w:rsidR="00FF1635" w:rsidRPr="002D4D50">
        <w:t xml:space="preserve"> </w:t>
      </w:r>
      <w:r w:rsidRPr="002D4D50">
        <w:t>explaining populist radical right voting in Central and Eastern Europe</w:t>
      </w:r>
      <w:r w:rsidR="00BB0613">
        <w:t>.</w:t>
      </w:r>
      <w:r w:rsidRPr="002D4D50">
        <w:t xml:space="preserve"> </w:t>
      </w:r>
      <w:r w:rsidRPr="00BB0613">
        <w:rPr>
          <w:i/>
          <w:iCs/>
        </w:rPr>
        <w:t>East European Politics</w:t>
      </w:r>
      <w:r w:rsidRPr="002D4D50">
        <w:t>, 36</w:t>
      </w:r>
      <w:r w:rsidR="00BB0613">
        <w:t>(</w:t>
      </w:r>
      <w:r w:rsidRPr="002D4D50">
        <w:t>2</w:t>
      </w:r>
      <w:r w:rsidR="00BB0613">
        <w:t>)</w:t>
      </w:r>
      <w:r w:rsidRPr="002D4D50">
        <w:t>, 288-309</w:t>
      </w:r>
    </w:p>
    <w:p w14:paraId="184819BE" w14:textId="1A0FCA1C" w:rsidR="0022050E" w:rsidRPr="002D4D50" w:rsidRDefault="0022050E" w:rsidP="00FF1635">
      <w:pPr>
        <w:spacing w:line="480" w:lineRule="auto"/>
        <w:ind w:left="284" w:hanging="284"/>
        <w:jc w:val="both"/>
      </w:pPr>
      <w:r w:rsidRPr="002D4D50">
        <w:t xml:space="preserve">Singh, P., &amp; </w:t>
      </w:r>
      <w:proofErr w:type="spellStart"/>
      <w:r w:rsidRPr="002D4D50">
        <w:t>vom</w:t>
      </w:r>
      <w:proofErr w:type="spellEnd"/>
      <w:r w:rsidRPr="002D4D50">
        <w:t xml:space="preserve"> </w:t>
      </w:r>
      <w:proofErr w:type="spellStart"/>
      <w:r w:rsidRPr="002D4D50">
        <w:t>Hau</w:t>
      </w:r>
      <w:proofErr w:type="spellEnd"/>
      <w:r w:rsidRPr="002D4D50">
        <w:t>, M. (2016). Ethnicity in Time: Politics, History, and the Relationship between Ethnic Diversity and Public Goods Provision. </w:t>
      </w:r>
      <w:r w:rsidRPr="002D4D50">
        <w:rPr>
          <w:i/>
          <w:iCs/>
        </w:rPr>
        <w:t>Comparative Political Studies</w:t>
      </w:r>
      <w:r w:rsidRPr="002D4D50">
        <w:t>, </w:t>
      </w:r>
      <w:r w:rsidRPr="002D4D50">
        <w:rPr>
          <w:i/>
          <w:iCs/>
        </w:rPr>
        <w:t>49</w:t>
      </w:r>
      <w:r w:rsidRPr="002D4D50">
        <w:t>(10), 1303–1340.</w:t>
      </w:r>
    </w:p>
    <w:p w14:paraId="6FC69A38" w14:textId="511D6C39" w:rsidR="00AA6E1C" w:rsidRPr="002D4D50" w:rsidRDefault="004C4013" w:rsidP="00ED02A7">
      <w:pPr>
        <w:spacing w:line="480" w:lineRule="auto"/>
        <w:ind w:left="284" w:hanging="284"/>
        <w:jc w:val="both"/>
      </w:pPr>
      <w:r w:rsidRPr="002D4D50">
        <w:lastRenderedPageBreak/>
        <w:t>Slater, D. Smith, B.</w:t>
      </w:r>
      <w:r w:rsidR="0072060C">
        <w:t>, &amp;</w:t>
      </w:r>
      <w:r w:rsidRPr="002D4D50">
        <w:t xml:space="preserve"> Nair, G. </w:t>
      </w:r>
      <w:r w:rsidR="0072060C">
        <w:t>(</w:t>
      </w:r>
      <w:r w:rsidRPr="002D4D50">
        <w:t>2014</w:t>
      </w:r>
      <w:r w:rsidR="0072060C">
        <w:t>)</w:t>
      </w:r>
      <w:r w:rsidR="008665F5" w:rsidRPr="002D4D50">
        <w:t>.</w:t>
      </w:r>
      <w:r w:rsidRPr="002D4D50">
        <w:t xml:space="preserve"> Economic Origins of Democratic Breakdown? The Redistributive Model and the Postcolonial State</w:t>
      </w:r>
      <w:r w:rsidR="00BB0613">
        <w:t>.</w:t>
      </w:r>
      <w:r w:rsidRPr="002D4D50">
        <w:t xml:space="preserve"> </w:t>
      </w:r>
      <w:r w:rsidRPr="002D4D50">
        <w:rPr>
          <w:i/>
        </w:rPr>
        <w:t>Perspectives on Politics</w:t>
      </w:r>
      <w:r w:rsidR="00BB0613">
        <w:rPr>
          <w:i/>
        </w:rPr>
        <w:t>,</w:t>
      </w:r>
      <w:r w:rsidRPr="002D4D50">
        <w:t xml:space="preserve"> 12</w:t>
      </w:r>
      <w:r w:rsidR="00BB0613">
        <w:t>(</w:t>
      </w:r>
      <w:r w:rsidRPr="002D4D50">
        <w:t>2</w:t>
      </w:r>
      <w:r w:rsidR="00BB0613">
        <w:t>)</w:t>
      </w:r>
      <w:r w:rsidR="008665F5" w:rsidRPr="002D4D50">
        <w:t>,</w:t>
      </w:r>
      <w:r w:rsidRPr="002D4D50">
        <w:t xml:space="preserve"> 353–74.</w:t>
      </w:r>
    </w:p>
    <w:p w14:paraId="5FD17E88" w14:textId="151D777E" w:rsidR="00AA6E1C" w:rsidRPr="002D4D50" w:rsidRDefault="004C4013" w:rsidP="00ED02A7">
      <w:pPr>
        <w:spacing w:line="480" w:lineRule="auto"/>
        <w:ind w:left="284" w:hanging="284"/>
        <w:jc w:val="both"/>
        <w:rPr>
          <w:bCs/>
        </w:rPr>
      </w:pPr>
      <w:proofErr w:type="spellStart"/>
      <w:r w:rsidRPr="002D4D50">
        <w:t>Sniderman</w:t>
      </w:r>
      <w:proofErr w:type="spellEnd"/>
      <w:r w:rsidRPr="002D4D50">
        <w:t xml:space="preserve">, P., </w:t>
      </w:r>
      <w:proofErr w:type="spellStart"/>
      <w:r w:rsidRPr="002D4D50">
        <w:t>Hagendoorn</w:t>
      </w:r>
      <w:proofErr w:type="spellEnd"/>
      <w:r w:rsidR="008665F5" w:rsidRPr="002D4D50">
        <w:t>, L.</w:t>
      </w:r>
      <w:r w:rsidR="0072060C">
        <w:t>, &amp;</w:t>
      </w:r>
      <w:r w:rsidRPr="002D4D50">
        <w:t xml:space="preserve"> Prior</w:t>
      </w:r>
      <w:r w:rsidR="008665F5" w:rsidRPr="002D4D50">
        <w:t>, M.</w:t>
      </w:r>
      <w:r w:rsidRPr="002D4D50">
        <w:t xml:space="preserve"> </w:t>
      </w:r>
      <w:r w:rsidR="0072060C">
        <w:t>(</w:t>
      </w:r>
      <w:r w:rsidRPr="002D4D50">
        <w:t>2004</w:t>
      </w:r>
      <w:r w:rsidR="0072060C">
        <w:t>)</w:t>
      </w:r>
      <w:r w:rsidR="008665F5" w:rsidRPr="002D4D50">
        <w:t xml:space="preserve">. </w:t>
      </w:r>
      <w:r w:rsidRPr="002D4D50">
        <w:rPr>
          <w:bCs/>
        </w:rPr>
        <w:t>Predisposing Factors and Situational Triggers: Exclusionary Reactions to Immigrant Minorities</w:t>
      </w:r>
      <w:r w:rsidR="00BB0613">
        <w:rPr>
          <w:bCs/>
        </w:rPr>
        <w:t>.</w:t>
      </w:r>
      <w:r w:rsidRPr="002D4D50">
        <w:rPr>
          <w:bCs/>
        </w:rPr>
        <w:t xml:space="preserve"> </w:t>
      </w:r>
      <w:r w:rsidRPr="002D4D50">
        <w:rPr>
          <w:bCs/>
          <w:i/>
          <w:iCs/>
        </w:rPr>
        <w:t>American Political Science Review</w:t>
      </w:r>
      <w:r w:rsidR="00BB0613">
        <w:rPr>
          <w:bCs/>
          <w:i/>
          <w:iCs/>
        </w:rPr>
        <w:t>,</w:t>
      </w:r>
      <w:r w:rsidRPr="002D4D50">
        <w:rPr>
          <w:bCs/>
        </w:rPr>
        <w:t xml:space="preserve"> 98</w:t>
      </w:r>
      <w:r w:rsidR="00BB0613">
        <w:rPr>
          <w:bCs/>
        </w:rPr>
        <w:t>(1)</w:t>
      </w:r>
      <w:r w:rsidR="008665F5" w:rsidRPr="002D4D50">
        <w:rPr>
          <w:bCs/>
        </w:rPr>
        <w:t>,</w:t>
      </w:r>
      <w:r w:rsidRPr="002D4D50">
        <w:rPr>
          <w:bCs/>
        </w:rPr>
        <w:t xml:space="preserve"> 35-49.</w:t>
      </w:r>
    </w:p>
    <w:p w14:paraId="0BB352FD" w14:textId="72301522" w:rsidR="0034568B" w:rsidRPr="002D4D50" w:rsidRDefault="0034568B" w:rsidP="00ED02A7">
      <w:pPr>
        <w:spacing w:line="480" w:lineRule="auto"/>
        <w:ind w:left="284" w:hanging="284"/>
        <w:jc w:val="both"/>
        <w:rPr>
          <w:bCs/>
        </w:rPr>
      </w:pPr>
      <w:proofErr w:type="spellStart"/>
      <w:r w:rsidRPr="002D4D50">
        <w:rPr>
          <w:bCs/>
        </w:rPr>
        <w:t>Soifer</w:t>
      </w:r>
      <w:proofErr w:type="spellEnd"/>
      <w:r w:rsidRPr="002D4D50">
        <w:rPr>
          <w:bCs/>
        </w:rPr>
        <w:t xml:space="preserve">, H., </w:t>
      </w:r>
      <w:r w:rsidR="0072060C">
        <w:rPr>
          <w:bCs/>
        </w:rPr>
        <w:t xml:space="preserve">&amp; </w:t>
      </w:r>
      <w:proofErr w:type="spellStart"/>
      <w:r w:rsidRPr="002D4D50">
        <w:rPr>
          <w:bCs/>
        </w:rPr>
        <w:t>vom</w:t>
      </w:r>
      <w:proofErr w:type="spellEnd"/>
      <w:r w:rsidRPr="002D4D50">
        <w:rPr>
          <w:bCs/>
        </w:rPr>
        <w:t xml:space="preserve"> </w:t>
      </w:r>
      <w:proofErr w:type="spellStart"/>
      <w:r w:rsidRPr="002D4D50">
        <w:rPr>
          <w:bCs/>
        </w:rPr>
        <w:t>Hau</w:t>
      </w:r>
      <w:proofErr w:type="spellEnd"/>
      <w:r w:rsidRPr="002D4D50">
        <w:rPr>
          <w:bCs/>
        </w:rPr>
        <w:t xml:space="preserve">, M. </w:t>
      </w:r>
      <w:r w:rsidR="0072060C" w:rsidRPr="002D4D50">
        <w:rPr>
          <w:bCs/>
        </w:rPr>
        <w:t>(2008).</w:t>
      </w:r>
      <w:r w:rsidR="0072060C">
        <w:rPr>
          <w:bCs/>
        </w:rPr>
        <w:t xml:space="preserve"> </w:t>
      </w:r>
      <w:r w:rsidRPr="002D4D50">
        <w:rPr>
          <w:bCs/>
        </w:rPr>
        <w:t xml:space="preserve">Unpacking the Strength of the State: The Utility of State Infrastructural Power. </w:t>
      </w:r>
      <w:r w:rsidRPr="00BB0613">
        <w:rPr>
          <w:bCs/>
          <w:i/>
          <w:iCs/>
        </w:rPr>
        <w:t>St</w:t>
      </w:r>
      <w:r w:rsidR="00BB0613" w:rsidRPr="00BB0613">
        <w:rPr>
          <w:bCs/>
          <w:i/>
          <w:iCs/>
        </w:rPr>
        <w:t xml:space="preserve">udies in Comparative </w:t>
      </w:r>
      <w:r w:rsidRPr="00BB0613">
        <w:rPr>
          <w:bCs/>
          <w:i/>
          <w:iCs/>
        </w:rPr>
        <w:t>Int</w:t>
      </w:r>
      <w:r w:rsidR="00BB0613" w:rsidRPr="00BB0613">
        <w:rPr>
          <w:bCs/>
          <w:i/>
          <w:iCs/>
        </w:rPr>
        <w:t>ernational</w:t>
      </w:r>
      <w:r w:rsidRPr="00BB0613">
        <w:rPr>
          <w:bCs/>
          <w:i/>
          <w:iCs/>
        </w:rPr>
        <w:t xml:space="preserve"> </w:t>
      </w:r>
      <w:r w:rsidR="00BB0613" w:rsidRPr="00BB0613">
        <w:rPr>
          <w:bCs/>
          <w:i/>
          <w:iCs/>
        </w:rPr>
        <w:t>Development</w:t>
      </w:r>
      <w:r w:rsidR="00BB0613">
        <w:rPr>
          <w:bCs/>
        </w:rPr>
        <w:t>,</w:t>
      </w:r>
      <w:r w:rsidRPr="002D4D50">
        <w:rPr>
          <w:bCs/>
        </w:rPr>
        <w:t xml:space="preserve"> 43</w:t>
      </w:r>
      <w:r w:rsidR="00BB0613">
        <w:rPr>
          <w:bCs/>
        </w:rPr>
        <w:t>(3)</w:t>
      </w:r>
      <w:r w:rsidRPr="002D4D50">
        <w:rPr>
          <w:bCs/>
        </w:rPr>
        <w:t>, 219–230</w:t>
      </w:r>
      <w:r w:rsidR="0072060C">
        <w:rPr>
          <w:bCs/>
        </w:rPr>
        <w:t>.</w:t>
      </w:r>
    </w:p>
    <w:p w14:paraId="2C94D965" w14:textId="03FAA948" w:rsidR="0077425E" w:rsidRPr="002D4D50" w:rsidRDefault="0077425E" w:rsidP="00ED02A7">
      <w:pPr>
        <w:spacing w:line="480" w:lineRule="auto"/>
        <w:ind w:left="284" w:hanging="284"/>
        <w:jc w:val="both"/>
        <w:rPr>
          <w:bCs/>
        </w:rPr>
      </w:pPr>
      <w:r w:rsidRPr="002D4D50">
        <w:rPr>
          <w:bCs/>
        </w:rPr>
        <w:t>Steiner, N.D., Schimpf, C.H.</w:t>
      </w:r>
      <w:r w:rsidR="0072060C">
        <w:rPr>
          <w:bCs/>
        </w:rPr>
        <w:t>,</w:t>
      </w:r>
      <w:r w:rsidRPr="002D4D50">
        <w:rPr>
          <w:bCs/>
        </w:rPr>
        <w:t xml:space="preserve"> &amp; </w:t>
      </w:r>
      <w:proofErr w:type="spellStart"/>
      <w:r w:rsidRPr="002D4D50">
        <w:rPr>
          <w:bCs/>
        </w:rPr>
        <w:t>Wuttke</w:t>
      </w:r>
      <w:proofErr w:type="spellEnd"/>
      <w:r w:rsidRPr="002D4D50">
        <w:rPr>
          <w:bCs/>
        </w:rPr>
        <w:t xml:space="preserve">, A. </w:t>
      </w:r>
      <w:r w:rsidR="0072060C">
        <w:rPr>
          <w:bCs/>
        </w:rPr>
        <w:t>(</w:t>
      </w:r>
      <w:r w:rsidR="00BE44EE" w:rsidRPr="002D4D50">
        <w:rPr>
          <w:bCs/>
        </w:rPr>
        <w:t>2022</w:t>
      </w:r>
      <w:r w:rsidR="0072060C">
        <w:rPr>
          <w:bCs/>
        </w:rPr>
        <w:t>)</w:t>
      </w:r>
      <w:r w:rsidR="00BE44EE" w:rsidRPr="002D4D50">
        <w:rPr>
          <w:bCs/>
        </w:rPr>
        <w:t xml:space="preserve">. </w:t>
      </w:r>
      <w:r w:rsidRPr="002D4D50">
        <w:rPr>
          <w:bCs/>
        </w:rPr>
        <w:t xml:space="preserve">Left Behind and United by Populism? Populism’s Multiple Roots in Feelings of Lacking Societal Recognition. </w:t>
      </w:r>
      <w:r w:rsidRPr="002D4D50">
        <w:rPr>
          <w:bCs/>
          <w:i/>
          <w:iCs/>
        </w:rPr>
        <w:t xml:space="preserve">Polit </w:t>
      </w:r>
      <w:proofErr w:type="spellStart"/>
      <w:r w:rsidRPr="002D4D50">
        <w:rPr>
          <w:bCs/>
          <w:i/>
          <w:iCs/>
        </w:rPr>
        <w:t>Vierteljahresschr</w:t>
      </w:r>
      <w:proofErr w:type="spellEnd"/>
      <w:r w:rsidR="00BE44EE" w:rsidRPr="002D4D50">
        <w:rPr>
          <w:bCs/>
        </w:rPr>
        <w:t xml:space="preserve">, </w:t>
      </w:r>
      <w:hyperlink r:id="rId14" w:history="1">
        <w:r w:rsidR="00605A64" w:rsidRPr="002D4D50">
          <w:rPr>
            <w:rStyle w:val="Hyperlink"/>
            <w:bCs/>
            <w:color w:val="auto"/>
          </w:rPr>
          <w:t>https://doi.org/10.1007/s11615-022-00416-4</w:t>
        </w:r>
      </w:hyperlink>
      <w:r w:rsidR="00605A64" w:rsidRPr="002D4D50">
        <w:rPr>
          <w:bCs/>
        </w:rPr>
        <w:t xml:space="preserve"> </w:t>
      </w:r>
    </w:p>
    <w:p w14:paraId="5636675A" w14:textId="47C5BB3F" w:rsidR="00AA6E1C" w:rsidRPr="002D4D50" w:rsidRDefault="00361A42" w:rsidP="00ED02A7">
      <w:pPr>
        <w:spacing w:line="480" w:lineRule="auto"/>
        <w:ind w:left="284" w:hanging="284"/>
        <w:jc w:val="both"/>
        <w:rPr>
          <w:bCs/>
        </w:rPr>
      </w:pPr>
      <w:proofErr w:type="spellStart"/>
      <w:r w:rsidRPr="002D4D50">
        <w:rPr>
          <w:bCs/>
        </w:rPr>
        <w:t>Stockemer</w:t>
      </w:r>
      <w:proofErr w:type="spellEnd"/>
      <w:r w:rsidRPr="002D4D50">
        <w:rPr>
          <w:bCs/>
        </w:rPr>
        <w:t xml:space="preserve">, D. </w:t>
      </w:r>
      <w:r w:rsidR="0072060C">
        <w:rPr>
          <w:bCs/>
        </w:rPr>
        <w:t>(</w:t>
      </w:r>
      <w:r w:rsidRPr="002D4D50">
        <w:rPr>
          <w:bCs/>
        </w:rPr>
        <w:t>2016</w:t>
      </w:r>
      <w:r w:rsidR="0072060C">
        <w:rPr>
          <w:bCs/>
        </w:rPr>
        <w:t>)</w:t>
      </w:r>
      <w:r w:rsidRPr="002D4D50">
        <w:rPr>
          <w:bCs/>
        </w:rPr>
        <w:t>. Structural Data on Immigration or Immigration Perceptions? What Accounts for the Electoral Success of the Radical Right in Europe? </w:t>
      </w:r>
      <w:r w:rsidRPr="002D4D50">
        <w:rPr>
          <w:bCs/>
          <w:i/>
          <w:iCs/>
        </w:rPr>
        <w:t>JCMS: Journal of Common Market Studies</w:t>
      </w:r>
      <w:r w:rsidR="00BB0613">
        <w:rPr>
          <w:bCs/>
          <w:i/>
          <w:iCs/>
        </w:rPr>
        <w:t>,</w:t>
      </w:r>
      <w:r w:rsidRPr="002D4D50">
        <w:rPr>
          <w:bCs/>
        </w:rPr>
        <w:t> 54</w:t>
      </w:r>
      <w:r w:rsidR="00BB0613">
        <w:rPr>
          <w:bCs/>
        </w:rPr>
        <w:t>(</w:t>
      </w:r>
      <w:r w:rsidRPr="002D4D50">
        <w:rPr>
          <w:bCs/>
        </w:rPr>
        <w:t>4</w:t>
      </w:r>
      <w:r w:rsidR="00BB0613">
        <w:rPr>
          <w:bCs/>
        </w:rPr>
        <w:t>)</w:t>
      </w:r>
      <w:r w:rsidRPr="002D4D50">
        <w:rPr>
          <w:bCs/>
        </w:rPr>
        <w:t>, 999– 1016.</w:t>
      </w:r>
    </w:p>
    <w:p w14:paraId="0AADAC55" w14:textId="317637DB" w:rsidR="00CF2162" w:rsidRPr="002D4D50" w:rsidRDefault="004C4013" w:rsidP="00ED02A7">
      <w:pPr>
        <w:spacing w:line="480" w:lineRule="auto"/>
        <w:ind w:left="284" w:hanging="284"/>
        <w:jc w:val="both"/>
        <w:rPr>
          <w:lang w:val="en-US"/>
        </w:rPr>
      </w:pPr>
      <w:proofErr w:type="spellStart"/>
      <w:r w:rsidRPr="002D4D50">
        <w:rPr>
          <w:lang w:val="en-US"/>
        </w:rPr>
        <w:t>Stockemer</w:t>
      </w:r>
      <w:proofErr w:type="spellEnd"/>
      <w:r w:rsidRPr="002D4D50">
        <w:rPr>
          <w:lang w:val="en-US"/>
        </w:rPr>
        <w:t>, D. Lentz T.</w:t>
      </w:r>
      <w:r w:rsidR="0072060C">
        <w:rPr>
          <w:lang w:val="en-US"/>
        </w:rPr>
        <w:t>, &amp;</w:t>
      </w:r>
      <w:r w:rsidRPr="002D4D50">
        <w:rPr>
          <w:lang w:val="en-US"/>
        </w:rPr>
        <w:t xml:space="preserve"> Mayer D. </w:t>
      </w:r>
      <w:r w:rsidR="0072060C">
        <w:rPr>
          <w:lang w:val="en-US"/>
        </w:rPr>
        <w:t>(</w:t>
      </w:r>
      <w:r w:rsidRPr="002D4D50">
        <w:rPr>
          <w:lang w:val="en-US"/>
        </w:rPr>
        <w:t>2018</w:t>
      </w:r>
      <w:r w:rsidR="0072060C">
        <w:rPr>
          <w:lang w:val="en-US"/>
        </w:rPr>
        <w:t>)</w:t>
      </w:r>
      <w:r w:rsidR="008665F5" w:rsidRPr="002D4D50">
        <w:rPr>
          <w:lang w:val="en-US"/>
        </w:rPr>
        <w:t>.</w:t>
      </w:r>
      <w:r w:rsidRPr="002D4D50">
        <w:rPr>
          <w:lang w:val="en-US"/>
        </w:rPr>
        <w:t xml:space="preserve"> Individual Predictors of the Radical Right-Wing Vote in Europe: A Meta-Analysis of Articles in Peer-Reviewed Journals (1995–2016)</w:t>
      </w:r>
      <w:r w:rsidR="00BB0613">
        <w:rPr>
          <w:lang w:val="en-US"/>
        </w:rPr>
        <w:t>.</w:t>
      </w:r>
      <w:r w:rsidRPr="002D4D50">
        <w:rPr>
          <w:lang w:val="en-US"/>
        </w:rPr>
        <w:t xml:space="preserve"> </w:t>
      </w:r>
      <w:r w:rsidRPr="002D4D50">
        <w:rPr>
          <w:i/>
          <w:lang w:val="en-US"/>
        </w:rPr>
        <w:t>Government and Opposition</w:t>
      </w:r>
      <w:r w:rsidR="00BB0613">
        <w:rPr>
          <w:i/>
          <w:lang w:val="en-US"/>
        </w:rPr>
        <w:t>,</w:t>
      </w:r>
      <w:r w:rsidRPr="002D4D50">
        <w:rPr>
          <w:lang w:val="en-US"/>
        </w:rPr>
        <w:t xml:space="preserve"> 53</w:t>
      </w:r>
      <w:r w:rsidR="00A56C38" w:rsidRPr="002D4D50">
        <w:rPr>
          <w:lang w:val="en-US"/>
        </w:rPr>
        <w:t>(</w:t>
      </w:r>
      <w:r w:rsidRPr="002D4D50">
        <w:rPr>
          <w:lang w:val="en-US"/>
        </w:rPr>
        <w:t>3</w:t>
      </w:r>
      <w:r w:rsidR="00A56C38" w:rsidRPr="002D4D50">
        <w:rPr>
          <w:lang w:val="en-US"/>
        </w:rPr>
        <w:t>)</w:t>
      </w:r>
      <w:r w:rsidR="00BB0613">
        <w:rPr>
          <w:lang w:val="en-US"/>
        </w:rPr>
        <w:t>,</w:t>
      </w:r>
      <w:r w:rsidRPr="002D4D50">
        <w:rPr>
          <w:lang w:val="en-US"/>
        </w:rPr>
        <w:t xml:space="preserve"> 569–593. </w:t>
      </w:r>
    </w:p>
    <w:p w14:paraId="34042B3F" w14:textId="3443C245" w:rsidR="004A24FB" w:rsidRPr="002D4D50" w:rsidRDefault="00DE192A" w:rsidP="00ED02A7">
      <w:pPr>
        <w:spacing w:line="480" w:lineRule="auto"/>
        <w:ind w:left="284" w:hanging="284"/>
        <w:jc w:val="both"/>
        <w:rPr>
          <w:i/>
        </w:rPr>
      </w:pPr>
      <w:proofErr w:type="spellStart"/>
      <w:r w:rsidRPr="002D4D50">
        <w:rPr>
          <w:lang w:val="en-US"/>
        </w:rPr>
        <w:t>Stockemer</w:t>
      </w:r>
      <w:proofErr w:type="spellEnd"/>
      <w:r w:rsidRPr="002D4D50">
        <w:rPr>
          <w:lang w:val="en-US"/>
        </w:rPr>
        <w:t>, D., Halikiopoulou, D.</w:t>
      </w:r>
      <w:r w:rsidR="0072060C">
        <w:rPr>
          <w:lang w:val="en-US"/>
        </w:rPr>
        <w:t>,</w:t>
      </w:r>
      <w:r w:rsidRPr="002D4D50">
        <w:rPr>
          <w:lang w:val="en-US"/>
        </w:rPr>
        <w:t xml:space="preserve"> &amp; </w:t>
      </w:r>
      <w:proofErr w:type="spellStart"/>
      <w:r w:rsidRPr="002D4D50">
        <w:rPr>
          <w:lang w:val="en-US"/>
        </w:rPr>
        <w:t>Vlandas</w:t>
      </w:r>
      <w:proofErr w:type="spellEnd"/>
      <w:r w:rsidRPr="002D4D50">
        <w:rPr>
          <w:lang w:val="en-US"/>
        </w:rPr>
        <w:t xml:space="preserve">, T. </w:t>
      </w:r>
      <w:r w:rsidR="0072060C">
        <w:rPr>
          <w:lang w:val="en-US"/>
        </w:rPr>
        <w:t>(</w:t>
      </w:r>
      <w:r w:rsidRPr="002D4D50">
        <w:rPr>
          <w:lang w:val="en-US"/>
        </w:rPr>
        <w:t>202</w:t>
      </w:r>
      <w:r w:rsidR="004A24FB" w:rsidRPr="002D4D50">
        <w:rPr>
          <w:lang w:val="en-US"/>
        </w:rPr>
        <w:t>1</w:t>
      </w:r>
      <w:r w:rsidR="0072060C">
        <w:rPr>
          <w:lang w:val="en-US"/>
        </w:rPr>
        <w:t>)</w:t>
      </w:r>
      <w:r w:rsidR="003F423A" w:rsidRPr="002D4D50">
        <w:rPr>
          <w:lang w:val="en-US"/>
        </w:rPr>
        <w:t>.</w:t>
      </w:r>
      <w:r w:rsidRPr="002D4D50">
        <w:rPr>
          <w:lang w:val="en-US"/>
        </w:rPr>
        <w:t xml:space="preserve"> ‘Birds of a feather’? Assessing the prevalence of anti-immigration attitudes among the </w:t>
      </w:r>
      <w:proofErr w:type="gramStart"/>
      <w:r w:rsidRPr="002D4D50">
        <w:rPr>
          <w:lang w:val="en-US"/>
        </w:rPr>
        <w:t>far right</w:t>
      </w:r>
      <w:proofErr w:type="gramEnd"/>
      <w:r w:rsidRPr="002D4D50">
        <w:rPr>
          <w:lang w:val="en-US"/>
        </w:rPr>
        <w:t xml:space="preserve"> electorate</w:t>
      </w:r>
      <w:r w:rsidR="003F423A" w:rsidRPr="002D4D50">
        <w:rPr>
          <w:lang w:val="en-US"/>
        </w:rPr>
        <w:t>.</w:t>
      </w:r>
      <w:r w:rsidRPr="002D4D50">
        <w:rPr>
          <w:lang w:val="en-US"/>
        </w:rPr>
        <w:t xml:space="preserve"> </w:t>
      </w:r>
      <w:r w:rsidR="004A24FB" w:rsidRPr="002D4D50">
        <w:rPr>
          <w:i/>
        </w:rPr>
        <w:t>Journal of Ethnic and Migration Studies, 47</w:t>
      </w:r>
      <w:r w:rsidR="00BB0613">
        <w:rPr>
          <w:i/>
        </w:rPr>
        <w:t>(</w:t>
      </w:r>
      <w:r w:rsidR="004A24FB" w:rsidRPr="002D4D50">
        <w:rPr>
          <w:i/>
        </w:rPr>
        <w:t>15</w:t>
      </w:r>
      <w:r w:rsidR="00BB0613">
        <w:rPr>
          <w:i/>
        </w:rPr>
        <w:t>)</w:t>
      </w:r>
      <w:r w:rsidR="004A24FB" w:rsidRPr="002D4D50">
        <w:rPr>
          <w:i/>
        </w:rPr>
        <w:t>, 3409-3436</w:t>
      </w:r>
      <w:r w:rsidR="00BD4DBD" w:rsidRPr="002D4D50">
        <w:rPr>
          <w:i/>
        </w:rPr>
        <w:t>.</w:t>
      </w:r>
    </w:p>
    <w:p w14:paraId="793DEABF" w14:textId="7F7DF8EB" w:rsidR="00AA6E1C" w:rsidRPr="002D4D50" w:rsidRDefault="004C4013" w:rsidP="00ED02A7">
      <w:pPr>
        <w:spacing w:line="480" w:lineRule="auto"/>
        <w:ind w:left="284" w:hanging="284"/>
        <w:jc w:val="both"/>
        <w:rPr>
          <w:bCs/>
        </w:rPr>
      </w:pPr>
      <w:r w:rsidRPr="002D4D50">
        <w:t>Tilley, J.</w:t>
      </w:r>
      <w:r w:rsidR="0072060C">
        <w:t>, &amp;</w:t>
      </w:r>
      <w:r w:rsidRPr="002D4D50">
        <w:t xml:space="preserve"> Evans, G. </w:t>
      </w:r>
      <w:r w:rsidR="0072060C">
        <w:t>(</w:t>
      </w:r>
      <w:r w:rsidRPr="002D4D50">
        <w:t>2017</w:t>
      </w:r>
      <w:r w:rsidR="0072060C">
        <w:t>)</w:t>
      </w:r>
      <w:r w:rsidR="00135465" w:rsidRPr="002D4D50">
        <w:t>.</w:t>
      </w:r>
      <w:r w:rsidRPr="002D4D50">
        <w:t xml:space="preserve"> </w:t>
      </w:r>
      <w:r w:rsidRPr="002D4D50">
        <w:rPr>
          <w:bCs/>
        </w:rPr>
        <w:t>The New Politics of Class after the 2017 General Election</w:t>
      </w:r>
      <w:r w:rsidR="00A56C38" w:rsidRPr="002D4D50">
        <w:rPr>
          <w:bCs/>
        </w:rPr>
        <w:t>.</w:t>
      </w:r>
      <w:r w:rsidR="00BB0613">
        <w:rPr>
          <w:bCs/>
        </w:rPr>
        <w:t xml:space="preserve"> </w:t>
      </w:r>
      <w:r w:rsidRPr="002D4D50">
        <w:rPr>
          <w:bCs/>
          <w:i/>
        </w:rPr>
        <w:t>Political Quarterl</w:t>
      </w:r>
      <w:r w:rsidR="00A56C38" w:rsidRPr="002D4D50">
        <w:rPr>
          <w:bCs/>
          <w:i/>
        </w:rPr>
        <w:t>y</w:t>
      </w:r>
      <w:r w:rsidR="00BB0613">
        <w:rPr>
          <w:bCs/>
          <w:i/>
        </w:rPr>
        <w:t>,</w:t>
      </w:r>
      <w:r w:rsidRPr="002D4D50">
        <w:rPr>
          <w:bCs/>
        </w:rPr>
        <w:t xml:space="preserve"> 88</w:t>
      </w:r>
      <w:r w:rsidR="00BB0613">
        <w:rPr>
          <w:bCs/>
        </w:rPr>
        <w:t>(</w:t>
      </w:r>
      <w:r w:rsidRPr="002D4D50">
        <w:rPr>
          <w:bCs/>
        </w:rPr>
        <w:t>4</w:t>
      </w:r>
      <w:r w:rsidR="00BB0613">
        <w:rPr>
          <w:bCs/>
        </w:rPr>
        <w:t>)</w:t>
      </w:r>
      <w:r w:rsidR="00135465" w:rsidRPr="002D4D50">
        <w:rPr>
          <w:bCs/>
        </w:rPr>
        <w:t>,</w:t>
      </w:r>
      <w:r w:rsidRPr="002D4D50">
        <w:rPr>
          <w:bCs/>
        </w:rPr>
        <w:t xml:space="preserve"> 710-715.</w:t>
      </w:r>
    </w:p>
    <w:p w14:paraId="430E45EB" w14:textId="6549A30A" w:rsidR="00FB26C0" w:rsidRPr="002D4D50" w:rsidRDefault="003F423A" w:rsidP="00ED02A7">
      <w:pPr>
        <w:spacing w:line="480" w:lineRule="auto"/>
        <w:ind w:left="284" w:hanging="284"/>
        <w:jc w:val="both"/>
        <w:rPr>
          <w:bCs/>
          <w:lang w:val="en-US"/>
        </w:rPr>
      </w:pPr>
      <w:r w:rsidRPr="002D4D50">
        <w:rPr>
          <w:bCs/>
          <w:lang w:val="en-US"/>
        </w:rPr>
        <w:lastRenderedPageBreak/>
        <w:t>v</w:t>
      </w:r>
      <w:r w:rsidR="00FB26C0" w:rsidRPr="002D4D50">
        <w:rPr>
          <w:bCs/>
          <w:lang w:val="en-US"/>
        </w:rPr>
        <w:t xml:space="preserve">an </w:t>
      </w:r>
      <w:proofErr w:type="spellStart"/>
      <w:r w:rsidR="00FB26C0" w:rsidRPr="002D4D50">
        <w:rPr>
          <w:bCs/>
          <w:lang w:val="en-US"/>
        </w:rPr>
        <w:t>Hauwaert</w:t>
      </w:r>
      <w:proofErr w:type="spellEnd"/>
      <w:r w:rsidRPr="002D4D50">
        <w:rPr>
          <w:bCs/>
          <w:lang w:val="en-US"/>
        </w:rPr>
        <w:t>, S.</w:t>
      </w:r>
      <w:r w:rsidR="0072060C">
        <w:rPr>
          <w:bCs/>
          <w:lang w:val="en-US"/>
        </w:rPr>
        <w:t>, &amp;</w:t>
      </w:r>
      <w:r w:rsidR="00FB26C0" w:rsidRPr="002D4D50">
        <w:rPr>
          <w:bCs/>
          <w:lang w:val="en-US"/>
        </w:rPr>
        <w:t xml:space="preserve"> van Kessel, S. </w:t>
      </w:r>
      <w:r w:rsidR="0072060C">
        <w:rPr>
          <w:bCs/>
          <w:lang w:val="en-US"/>
        </w:rPr>
        <w:t>(</w:t>
      </w:r>
      <w:r w:rsidR="00FB26C0" w:rsidRPr="002D4D50">
        <w:rPr>
          <w:bCs/>
          <w:lang w:val="en-US"/>
        </w:rPr>
        <w:t>2018</w:t>
      </w:r>
      <w:r w:rsidR="0072060C">
        <w:rPr>
          <w:bCs/>
          <w:lang w:val="en-US"/>
        </w:rPr>
        <w:t>)</w:t>
      </w:r>
      <w:r w:rsidRPr="002D4D50">
        <w:rPr>
          <w:bCs/>
          <w:lang w:val="en-US"/>
        </w:rPr>
        <w:t>.</w:t>
      </w:r>
      <w:r w:rsidR="00FB26C0" w:rsidRPr="002D4D50">
        <w:rPr>
          <w:bCs/>
          <w:lang w:val="en-US"/>
        </w:rPr>
        <w:t xml:space="preserve"> Beyond protest and discontent: A cross-national analysis of the effect of populist attitudes and issue positions on populist party support. </w:t>
      </w:r>
      <w:r w:rsidR="00FB26C0" w:rsidRPr="002D4D50">
        <w:rPr>
          <w:bCs/>
          <w:i/>
          <w:lang w:val="en-US"/>
        </w:rPr>
        <w:t>European Journal of Political Research</w:t>
      </w:r>
      <w:r w:rsidR="005A6D17">
        <w:rPr>
          <w:bCs/>
          <w:i/>
          <w:lang w:val="en-US"/>
        </w:rPr>
        <w:t>,</w:t>
      </w:r>
      <w:r w:rsidR="00FB26C0" w:rsidRPr="002D4D50">
        <w:rPr>
          <w:bCs/>
          <w:lang w:val="en-US"/>
        </w:rPr>
        <w:t xml:space="preserve"> 57</w:t>
      </w:r>
      <w:r w:rsidR="005A6D17">
        <w:rPr>
          <w:bCs/>
          <w:lang w:val="en-US"/>
        </w:rPr>
        <w:t>(1),</w:t>
      </w:r>
      <w:r w:rsidR="00FB26C0" w:rsidRPr="002D4D50">
        <w:rPr>
          <w:bCs/>
          <w:lang w:val="en-US"/>
        </w:rPr>
        <w:t xml:space="preserve"> 68–92. </w:t>
      </w:r>
    </w:p>
    <w:p w14:paraId="721EF9B4" w14:textId="11613574" w:rsidR="00FB26C0" w:rsidRPr="002D4D50" w:rsidRDefault="00FB26C0" w:rsidP="00ED02A7">
      <w:pPr>
        <w:spacing w:line="480" w:lineRule="auto"/>
        <w:ind w:left="284" w:hanging="284"/>
        <w:jc w:val="both"/>
        <w:rPr>
          <w:lang w:val="en-US"/>
        </w:rPr>
      </w:pPr>
      <w:r w:rsidRPr="002D4D50">
        <w:rPr>
          <w:lang w:val="en-US"/>
        </w:rPr>
        <w:t xml:space="preserve">Van der </w:t>
      </w:r>
      <w:proofErr w:type="spellStart"/>
      <w:r w:rsidRPr="002D4D50">
        <w:rPr>
          <w:lang w:val="en-US"/>
        </w:rPr>
        <w:t>Brug</w:t>
      </w:r>
      <w:proofErr w:type="spellEnd"/>
      <w:r w:rsidRPr="002D4D50">
        <w:rPr>
          <w:lang w:val="en-US"/>
        </w:rPr>
        <w:t xml:space="preserve">, W., </w:t>
      </w:r>
      <w:proofErr w:type="spellStart"/>
      <w:r w:rsidRPr="002D4D50">
        <w:rPr>
          <w:lang w:val="en-US"/>
        </w:rPr>
        <w:t>Fennema</w:t>
      </w:r>
      <w:proofErr w:type="spellEnd"/>
      <w:r w:rsidRPr="002D4D50">
        <w:rPr>
          <w:lang w:val="en-US"/>
        </w:rPr>
        <w:t>, M.</w:t>
      </w:r>
      <w:r w:rsidR="0072060C">
        <w:rPr>
          <w:lang w:val="en-US"/>
        </w:rPr>
        <w:t>, &amp;</w:t>
      </w:r>
      <w:r w:rsidRPr="002D4D50">
        <w:rPr>
          <w:lang w:val="en-US"/>
        </w:rPr>
        <w:t xml:space="preserve"> Tillie, J. </w:t>
      </w:r>
      <w:r w:rsidR="0072060C">
        <w:rPr>
          <w:lang w:val="en-US"/>
        </w:rPr>
        <w:t>(</w:t>
      </w:r>
      <w:r w:rsidRPr="002D4D50">
        <w:rPr>
          <w:lang w:val="en-US"/>
        </w:rPr>
        <w:t>2000</w:t>
      </w:r>
      <w:r w:rsidR="0072060C">
        <w:rPr>
          <w:lang w:val="en-US"/>
        </w:rPr>
        <w:t>)</w:t>
      </w:r>
      <w:r w:rsidRPr="002D4D50">
        <w:rPr>
          <w:lang w:val="en-US"/>
        </w:rPr>
        <w:t xml:space="preserve">. Anti-immigrant parties in Europe: Ideological or protest vote? </w:t>
      </w:r>
      <w:r w:rsidR="00A821D3" w:rsidRPr="002D4D50">
        <w:rPr>
          <w:i/>
          <w:lang w:val="en-US"/>
        </w:rPr>
        <w:t>European Journal of Political Research</w:t>
      </w:r>
      <w:r w:rsidR="005A6D17">
        <w:rPr>
          <w:i/>
          <w:lang w:val="en-US"/>
        </w:rPr>
        <w:t>,</w:t>
      </w:r>
      <w:r w:rsidR="00A821D3" w:rsidRPr="002D4D50">
        <w:rPr>
          <w:lang w:val="en-US"/>
        </w:rPr>
        <w:t xml:space="preserve"> 37</w:t>
      </w:r>
      <w:r w:rsidR="005A6D17">
        <w:rPr>
          <w:lang w:val="en-US"/>
        </w:rPr>
        <w:t>(1),</w:t>
      </w:r>
      <w:r w:rsidR="00A821D3" w:rsidRPr="002D4D50">
        <w:rPr>
          <w:lang w:val="en-US"/>
        </w:rPr>
        <w:t xml:space="preserve"> 77–102. </w:t>
      </w:r>
    </w:p>
    <w:p w14:paraId="7248DC13" w14:textId="3196F8AB" w:rsidR="00AA6E1C" w:rsidRPr="002D4D50" w:rsidRDefault="004C4013" w:rsidP="00ED02A7">
      <w:pPr>
        <w:spacing w:line="480" w:lineRule="auto"/>
        <w:ind w:left="284" w:hanging="284"/>
        <w:jc w:val="both"/>
        <w:rPr>
          <w:lang w:val="en-US"/>
        </w:rPr>
      </w:pPr>
      <w:r w:rsidRPr="002D4D50">
        <w:rPr>
          <w:lang w:val="en-US"/>
        </w:rPr>
        <w:t xml:space="preserve">Van der </w:t>
      </w:r>
      <w:proofErr w:type="spellStart"/>
      <w:r w:rsidRPr="002D4D50">
        <w:rPr>
          <w:lang w:val="en-US"/>
        </w:rPr>
        <w:t>Brug</w:t>
      </w:r>
      <w:proofErr w:type="spellEnd"/>
      <w:r w:rsidRPr="002D4D50">
        <w:rPr>
          <w:lang w:val="en-US"/>
        </w:rPr>
        <w:t>, W</w:t>
      </w:r>
      <w:r w:rsidR="00135465" w:rsidRPr="002D4D50">
        <w:rPr>
          <w:lang w:val="en-US"/>
        </w:rPr>
        <w:t>.</w:t>
      </w:r>
      <w:r w:rsidRPr="002D4D50">
        <w:rPr>
          <w:lang w:val="en-US"/>
        </w:rPr>
        <w:t xml:space="preserve">, </w:t>
      </w:r>
      <w:proofErr w:type="spellStart"/>
      <w:r w:rsidRPr="002D4D50">
        <w:rPr>
          <w:lang w:val="en-US"/>
        </w:rPr>
        <w:t>Fennema</w:t>
      </w:r>
      <w:proofErr w:type="spellEnd"/>
      <w:r w:rsidR="00135465" w:rsidRPr="002D4D50">
        <w:rPr>
          <w:lang w:val="en-US"/>
        </w:rPr>
        <w:t>, M.</w:t>
      </w:r>
      <w:r w:rsidR="0072060C">
        <w:rPr>
          <w:lang w:val="en-US"/>
        </w:rPr>
        <w:t>, &amp;</w:t>
      </w:r>
      <w:r w:rsidRPr="002D4D50">
        <w:rPr>
          <w:lang w:val="en-US"/>
        </w:rPr>
        <w:t xml:space="preserve"> Tillie</w:t>
      </w:r>
      <w:r w:rsidR="00135465" w:rsidRPr="002D4D50">
        <w:rPr>
          <w:lang w:val="en-US"/>
        </w:rPr>
        <w:t>, J</w:t>
      </w:r>
      <w:r w:rsidRPr="002D4D50">
        <w:rPr>
          <w:lang w:val="en-US"/>
        </w:rPr>
        <w:t xml:space="preserve">. </w:t>
      </w:r>
      <w:r w:rsidR="0072060C">
        <w:rPr>
          <w:lang w:val="en-US"/>
        </w:rPr>
        <w:t>(</w:t>
      </w:r>
      <w:r w:rsidRPr="002D4D50">
        <w:rPr>
          <w:lang w:val="en-US"/>
        </w:rPr>
        <w:t>2005</w:t>
      </w:r>
      <w:r w:rsidR="0072060C">
        <w:rPr>
          <w:lang w:val="en-US"/>
        </w:rPr>
        <w:t>)</w:t>
      </w:r>
      <w:r w:rsidRPr="002D4D50">
        <w:rPr>
          <w:lang w:val="en-US"/>
        </w:rPr>
        <w:t xml:space="preserve">. Why Some Anti- Immigrant Parties Fail and Others Succeed: A Two-Step Model of Aggregate Electoral Support. </w:t>
      </w:r>
      <w:r w:rsidR="00135465" w:rsidRPr="002D4D50">
        <w:rPr>
          <w:i/>
          <w:lang w:val="en-US"/>
        </w:rPr>
        <w:t>C</w:t>
      </w:r>
      <w:r w:rsidRPr="002D4D50">
        <w:rPr>
          <w:i/>
          <w:lang w:val="en-US"/>
        </w:rPr>
        <w:t>omparative Political Studies</w:t>
      </w:r>
      <w:r w:rsidR="005A6D17">
        <w:rPr>
          <w:i/>
          <w:lang w:val="en-US"/>
        </w:rPr>
        <w:t>,</w:t>
      </w:r>
      <w:r w:rsidRPr="002D4D50">
        <w:rPr>
          <w:lang w:val="en-US"/>
        </w:rPr>
        <w:t xml:space="preserve"> 38</w:t>
      </w:r>
      <w:r w:rsidR="00A56C38" w:rsidRPr="002D4D50">
        <w:rPr>
          <w:lang w:val="en-US"/>
        </w:rPr>
        <w:t>(</w:t>
      </w:r>
      <w:r w:rsidRPr="002D4D50">
        <w:rPr>
          <w:lang w:val="en-US"/>
        </w:rPr>
        <w:t>5</w:t>
      </w:r>
      <w:r w:rsidR="00A56C38" w:rsidRPr="002D4D50">
        <w:rPr>
          <w:lang w:val="en-US"/>
        </w:rPr>
        <w:t>)</w:t>
      </w:r>
      <w:r w:rsidR="005A6D17">
        <w:rPr>
          <w:lang w:val="en-US"/>
        </w:rPr>
        <w:t>,</w:t>
      </w:r>
      <w:r w:rsidRPr="002D4D50">
        <w:rPr>
          <w:lang w:val="en-US"/>
        </w:rPr>
        <w:t xml:space="preserve"> 537-573.</w:t>
      </w:r>
    </w:p>
    <w:p w14:paraId="5A3FCC4F" w14:textId="35F5C6E0" w:rsidR="00C612AC" w:rsidRPr="002D4D50" w:rsidRDefault="00BD0C45" w:rsidP="00ED02A7">
      <w:pPr>
        <w:spacing w:line="480" w:lineRule="auto"/>
        <w:ind w:left="284" w:hanging="284"/>
        <w:jc w:val="both"/>
        <w:rPr>
          <w:lang w:val="en-US"/>
        </w:rPr>
      </w:pPr>
      <w:r w:rsidRPr="002D4D50">
        <w:rPr>
          <w:lang w:val="en-US"/>
        </w:rPr>
        <w:t xml:space="preserve">Van der </w:t>
      </w:r>
      <w:proofErr w:type="spellStart"/>
      <w:r w:rsidRPr="002D4D50">
        <w:rPr>
          <w:lang w:val="en-US"/>
        </w:rPr>
        <w:t>Brug</w:t>
      </w:r>
      <w:proofErr w:type="spellEnd"/>
      <w:r w:rsidRPr="002D4D50">
        <w:rPr>
          <w:lang w:val="en-US"/>
        </w:rPr>
        <w:t xml:space="preserve">, W., &amp; </w:t>
      </w:r>
      <w:proofErr w:type="spellStart"/>
      <w:r w:rsidRPr="002D4D50">
        <w:rPr>
          <w:lang w:val="en-US"/>
        </w:rPr>
        <w:t>Fennema</w:t>
      </w:r>
      <w:proofErr w:type="spellEnd"/>
      <w:r w:rsidRPr="002D4D50">
        <w:rPr>
          <w:lang w:val="en-US"/>
        </w:rPr>
        <w:t xml:space="preserve">, M. </w:t>
      </w:r>
      <w:r w:rsidR="0072060C">
        <w:rPr>
          <w:lang w:val="en-US"/>
        </w:rPr>
        <w:t>(</w:t>
      </w:r>
      <w:r w:rsidRPr="002D4D50">
        <w:rPr>
          <w:lang w:val="en-US"/>
        </w:rPr>
        <w:t>2007</w:t>
      </w:r>
      <w:r w:rsidR="0072060C">
        <w:rPr>
          <w:lang w:val="en-US"/>
        </w:rPr>
        <w:t>)</w:t>
      </w:r>
      <w:r w:rsidRPr="002D4D50">
        <w:rPr>
          <w:lang w:val="en-US"/>
        </w:rPr>
        <w:t xml:space="preserve">. What causes people to vote for a radical right party? A review of recent work. </w:t>
      </w:r>
      <w:r w:rsidRPr="002D4D50">
        <w:rPr>
          <w:i/>
          <w:lang w:val="en-US"/>
        </w:rPr>
        <w:t>International Journal of Public Opinion Research</w:t>
      </w:r>
      <w:r w:rsidR="005A6D17">
        <w:rPr>
          <w:i/>
          <w:lang w:val="en-US"/>
        </w:rPr>
        <w:t>,</w:t>
      </w:r>
      <w:r w:rsidRPr="002D4D50">
        <w:rPr>
          <w:lang w:val="en-US"/>
        </w:rPr>
        <w:t xml:space="preserve"> 19(4)</w:t>
      </w:r>
      <w:r w:rsidR="005A6D17">
        <w:rPr>
          <w:lang w:val="en-US"/>
        </w:rPr>
        <w:t>,</w:t>
      </w:r>
      <w:r w:rsidRPr="002D4D50">
        <w:rPr>
          <w:lang w:val="en-US"/>
        </w:rPr>
        <w:t xml:space="preserve"> 474-487.</w:t>
      </w:r>
    </w:p>
    <w:p w14:paraId="7C149A40" w14:textId="703B350E" w:rsidR="00FB26C0" w:rsidRPr="002D4D50" w:rsidRDefault="0072060C" w:rsidP="00C612AC">
      <w:pPr>
        <w:spacing w:line="480" w:lineRule="auto"/>
        <w:ind w:left="284" w:hanging="284"/>
        <w:jc w:val="both"/>
        <w:rPr>
          <w:lang w:val="en-US"/>
        </w:rPr>
      </w:pPr>
      <w:r>
        <w:rPr>
          <w:lang w:val="en-US"/>
        </w:rPr>
        <w:t>v</w:t>
      </w:r>
      <w:r w:rsidR="00FB26C0" w:rsidRPr="002D4D50">
        <w:rPr>
          <w:lang w:val="en-US"/>
        </w:rPr>
        <w:t>an der Meer, T.</w:t>
      </w:r>
      <w:r>
        <w:rPr>
          <w:lang w:val="en-US"/>
        </w:rPr>
        <w:t>, &amp;</w:t>
      </w:r>
      <w:r w:rsidR="00FB26C0" w:rsidRPr="002D4D50">
        <w:rPr>
          <w:lang w:val="en-US"/>
        </w:rPr>
        <w:t xml:space="preserve"> </w:t>
      </w:r>
      <w:proofErr w:type="spellStart"/>
      <w:r w:rsidR="00FB26C0" w:rsidRPr="002D4D50">
        <w:rPr>
          <w:lang w:val="en-US"/>
        </w:rPr>
        <w:t>Hakhverdian</w:t>
      </w:r>
      <w:proofErr w:type="spellEnd"/>
      <w:r w:rsidR="00FB26C0" w:rsidRPr="002D4D50">
        <w:t xml:space="preserve">, A. </w:t>
      </w:r>
      <w:r>
        <w:t>(</w:t>
      </w:r>
      <w:r w:rsidR="00FB26C0" w:rsidRPr="002D4D50">
        <w:t>2017</w:t>
      </w:r>
      <w:r>
        <w:t>)</w:t>
      </w:r>
      <w:r w:rsidR="003F423A" w:rsidRPr="002D4D50">
        <w:t>.</w:t>
      </w:r>
      <w:r w:rsidR="00FB26C0" w:rsidRPr="002D4D50">
        <w:t xml:space="preserve"> </w:t>
      </w:r>
      <w:r w:rsidR="00FB26C0" w:rsidRPr="002D4D50">
        <w:rPr>
          <w:lang w:val="en-US"/>
        </w:rPr>
        <w:t>Political Trust as the Evaluation of Process</w:t>
      </w:r>
      <w:r w:rsidR="00C612AC" w:rsidRPr="002D4D50">
        <w:rPr>
          <w:lang w:val="en-US"/>
        </w:rPr>
        <w:t xml:space="preserve"> </w:t>
      </w:r>
      <w:r w:rsidR="00FB26C0" w:rsidRPr="002D4D50">
        <w:rPr>
          <w:lang w:val="en-US"/>
        </w:rPr>
        <w:t xml:space="preserve">and Performance: A Cross-National Study of 42 European Countries. </w:t>
      </w:r>
      <w:r w:rsidR="00FB26C0" w:rsidRPr="002D4D50">
        <w:rPr>
          <w:i/>
          <w:lang w:val="en-US"/>
        </w:rPr>
        <w:t>Political Studies</w:t>
      </w:r>
      <w:r w:rsidR="005A6D17">
        <w:rPr>
          <w:i/>
          <w:lang w:val="en-US"/>
        </w:rPr>
        <w:t>,</w:t>
      </w:r>
      <w:r w:rsidR="00FB26C0" w:rsidRPr="002D4D50">
        <w:rPr>
          <w:lang w:val="en-US"/>
        </w:rPr>
        <w:t xml:space="preserve"> 65(1)</w:t>
      </w:r>
      <w:r w:rsidR="005A6D17">
        <w:rPr>
          <w:lang w:val="en-US"/>
        </w:rPr>
        <w:t>,</w:t>
      </w:r>
      <w:r w:rsidR="00FB26C0" w:rsidRPr="002D4D50">
        <w:rPr>
          <w:lang w:val="en-US"/>
        </w:rPr>
        <w:t xml:space="preserve"> 81–102. </w:t>
      </w:r>
    </w:p>
    <w:p w14:paraId="6913DB94" w14:textId="6EEF5629" w:rsidR="00AA6E1C" w:rsidRPr="002D4D50" w:rsidRDefault="0072060C" w:rsidP="00ED02A7">
      <w:pPr>
        <w:spacing w:line="480" w:lineRule="auto"/>
        <w:ind w:left="284" w:hanging="284"/>
        <w:jc w:val="both"/>
      </w:pPr>
      <w:r>
        <w:t>v</w:t>
      </w:r>
      <w:r w:rsidR="004C4013" w:rsidRPr="002D4D50">
        <w:t xml:space="preserve">an der Waal, </w:t>
      </w:r>
      <w:r w:rsidR="00135465" w:rsidRPr="002D4D50">
        <w:t xml:space="preserve">J., </w:t>
      </w:r>
      <w:proofErr w:type="spellStart"/>
      <w:r w:rsidR="004C4013" w:rsidRPr="002D4D50">
        <w:t>Achterberg</w:t>
      </w:r>
      <w:proofErr w:type="spellEnd"/>
      <w:r w:rsidR="00135465" w:rsidRPr="002D4D50">
        <w:t>, P.</w:t>
      </w:r>
      <w:r w:rsidR="004C4013" w:rsidRPr="002D4D50">
        <w:t xml:space="preserve">, </w:t>
      </w:r>
      <w:proofErr w:type="spellStart"/>
      <w:r w:rsidR="004C4013" w:rsidRPr="002D4D50">
        <w:t>Houtman</w:t>
      </w:r>
      <w:proofErr w:type="spellEnd"/>
      <w:r w:rsidR="004C4013" w:rsidRPr="002D4D50">
        <w:t xml:space="preserve">, </w:t>
      </w:r>
      <w:r w:rsidR="00135465" w:rsidRPr="002D4D50">
        <w:t>D., d</w:t>
      </w:r>
      <w:r w:rsidR="004C4013" w:rsidRPr="002D4D50">
        <w:t xml:space="preserve">e </w:t>
      </w:r>
      <w:proofErr w:type="spellStart"/>
      <w:r w:rsidR="004C4013" w:rsidRPr="002D4D50">
        <w:t>Koster</w:t>
      </w:r>
      <w:proofErr w:type="spellEnd"/>
      <w:r w:rsidR="004C4013" w:rsidRPr="002D4D50">
        <w:t>,</w:t>
      </w:r>
      <w:r w:rsidR="00135465" w:rsidRPr="002D4D50">
        <w:t xml:space="preserve"> W.</w:t>
      </w:r>
      <w:r>
        <w:t xml:space="preserve">, &amp; </w:t>
      </w:r>
      <w:proofErr w:type="spellStart"/>
      <w:r w:rsidR="004C4013" w:rsidRPr="002D4D50">
        <w:t>Manevska</w:t>
      </w:r>
      <w:proofErr w:type="spellEnd"/>
      <w:r w:rsidR="00135465" w:rsidRPr="002D4D50">
        <w:t>, K.</w:t>
      </w:r>
      <w:r w:rsidR="004C4013" w:rsidRPr="002D4D50">
        <w:t xml:space="preserve"> </w:t>
      </w:r>
      <w:r>
        <w:t>(</w:t>
      </w:r>
      <w:r w:rsidR="004C4013" w:rsidRPr="002D4D50">
        <w:t>2010</w:t>
      </w:r>
      <w:r>
        <w:t>)</w:t>
      </w:r>
      <w:r w:rsidR="004C4013" w:rsidRPr="002D4D50">
        <w:t>. Some Are More Equal Than Others: Economic Egalitarianism and Welfare Chauvinism in the Netherlands</w:t>
      </w:r>
      <w:r w:rsidR="00A56C38" w:rsidRPr="002D4D50">
        <w:t>.</w:t>
      </w:r>
      <w:r w:rsidR="004C4013" w:rsidRPr="002D4D50">
        <w:t xml:space="preserve"> </w:t>
      </w:r>
      <w:r w:rsidR="004C4013" w:rsidRPr="002D4D50">
        <w:rPr>
          <w:i/>
        </w:rPr>
        <w:t>Journal of European Social Policy</w:t>
      </w:r>
      <w:r w:rsidR="005A6D17">
        <w:rPr>
          <w:i/>
        </w:rPr>
        <w:t>,</w:t>
      </w:r>
      <w:r w:rsidR="004C4013" w:rsidRPr="002D4D50">
        <w:t xml:space="preserve"> 20</w:t>
      </w:r>
      <w:r w:rsidR="005A6D17">
        <w:t>(</w:t>
      </w:r>
      <w:r w:rsidR="004C4013" w:rsidRPr="002D4D50">
        <w:t>4</w:t>
      </w:r>
      <w:r w:rsidR="005A6D17">
        <w:t>)</w:t>
      </w:r>
      <w:r w:rsidR="004C4013" w:rsidRPr="002D4D50">
        <w:t>, 350–63.</w:t>
      </w:r>
    </w:p>
    <w:p w14:paraId="2521FA0D" w14:textId="295861E0" w:rsidR="00AA6E1C" w:rsidRPr="002D4D50" w:rsidRDefault="004C4013" w:rsidP="00ED02A7">
      <w:pPr>
        <w:spacing w:line="480" w:lineRule="auto"/>
        <w:ind w:left="284" w:hanging="284"/>
        <w:jc w:val="both"/>
      </w:pPr>
      <w:r w:rsidRPr="002D4D50">
        <w:t xml:space="preserve">van </w:t>
      </w:r>
      <w:proofErr w:type="spellStart"/>
      <w:r w:rsidRPr="002D4D50">
        <w:t>Spanje</w:t>
      </w:r>
      <w:proofErr w:type="spellEnd"/>
      <w:r w:rsidRPr="002D4D50">
        <w:t xml:space="preserve">, J. </w:t>
      </w:r>
      <w:r w:rsidR="0072060C">
        <w:t>(</w:t>
      </w:r>
      <w:r w:rsidRPr="002D4D50">
        <w:t>2010</w:t>
      </w:r>
      <w:r w:rsidR="0072060C">
        <w:t>)</w:t>
      </w:r>
      <w:r w:rsidR="00383C47" w:rsidRPr="002D4D50">
        <w:t>.</w:t>
      </w:r>
      <w:r w:rsidRPr="002D4D50">
        <w:t xml:space="preserve"> Contagious parties: Anti-immigrant parties and their impact on other parties' immigration stances in contemporary Western Europe</w:t>
      </w:r>
      <w:r w:rsidR="00A56C38" w:rsidRPr="002D4D50">
        <w:t>.</w:t>
      </w:r>
      <w:r w:rsidR="005A6D17">
        <w:t xml:space="preserve"> </w:t>
      </w:r>
      <w:r w:rsidRPr="002D4D50">
        <w:rPr>
          <w:i/>
          <w:iCs/>
        </w:rPr>
        <w:t>Party Politics</w:t>
      </w:r>
      <w:r w:rsidR="005A6D17">
        <w:rPr>
          <w:i/>
          <w:iCs/>
        </w:rPr>
        <w:t>,</w:t>
      </w:r>
      <w:r w:rsidRPr="002D4D50">
        <w:t xml:space="preserve"> 16</w:t>
      </w:r>
      <w:r w:rsidR="005A6D17">
        <w:t>(</w:t>
      </w:r>
      <w:r w:rsidRPr="002D4D50">
        <w:t>5</w:t>
      </w:r>
      <w:r w:rsidR="005A6D17">
        <w:t>)</w:t>
      </w:r>
      <w:r w:rsidRPr="002D4D50">
        <w:t>, 563-586.</w:t>
      </w:r>
    </w:p>
    <w:p w14:paraId="4E709A04" w14:textId="569817EE" w:rsidR="00AA6E1C" w:rsidRPr="002D4D50" w:rsidRDefault="004C4013" w:rsidP="00ED02A7">
      <w:pPr>
        <w:spacing w:line="480" w:lineRule="auto"/>
        <w:ind w:left="284" w:hanging="284"/>
        <w:jc w:val="both"/>
      </w:pPr>
      <w:proofErr w:type="spellStart"/>
      <w:r w:rsidRPr="002D4D50">
        <w:t>Vasilopoulou</w:t>
      </w:r>
      <w:proofErr w:type="spellEnd"/>
      <w:r w:rsidRPr="002D4D50">
        <w:t xml:space="preserve">, </w:t>
      </w:r>
      <w:r w:rsidR="00383C47" w:rsidRPr="002D4D50">
        <w:t>S.</w:t>
      </w:r>
      <w:r w:rsidR="0072060C">
        <w:t>, &amp;</w:t>
      </w:r>
      <w:r w:rsidRPr="002D4D50">
        <w:t xml:space="preserve"> Halikiopoulou</w:t>
      </w:r>
      <w:r w:rsidR="00383C47" w:rsidRPr="002D4D50">
        <w:t>, D</w:t>
      </w:r>
      <w:r w:rsidRPr="002D4D50">
        <w:t xml:space="preserve">. </w:t>
      </w:r>
      <w:r w:rsidR="0072060C">
        <w:t>(</w:t>
      </w:r>
      <w:r w:rsidRPr="002D4D50">
        <w:t>2015</w:t>
      </w:r>
      <w:r w:rsidR="0072060C">
        <w:t>)</w:t>
      </w:r>
      <w:r w:rsidRPr="002D4D50">
        <w:t xml:space="preserve">. </w:t>
      </w:r>
      <w:r w:rsidRPr="002D4D50">
        <w:rPr>
          <w:i/>
        </w:rPr>
        <w:t>The Golden Dawn’s nationalist Solution: Explaining the Rise of the Far Right in Greece</w:t>
      </w:r>
      <w:r w:rsidR="005A6D17">
        <w:rPr>
          <w:i/>
        </w:rPr>
        <w:t>.</w:t>
      </w:r>
      <w:r w:rsidRPr="002D4D50">
        <w:t xml:space="preserve"> New York: Palgrave.</w:t>
      </w:r>
    </w:p>
    <w:p w14:paraId="4EA54E6D" w14:textId="0FB7220B" w:rsidR="00C612AC" w:rsidRPr="002D4D50" w:rsidRDefault="00C612AC" w:rsidP="00ED02A7">
      <w:pPr>
        <w:spacing w:line="480" w:lineRule="auto"/>
        <w:ind w:left="284" w:hanging="284"/>
        <w:jc w:val="both"/>
      </w:pPr>
      <w:proofErr w:type="spellStart"/>
      <w:r w:rsidRPr="002D4D50">
        <w:lastRenderedPageBreak/>
        <w:t>Vlandas</w:t>
      </w:r>
      <w:proofErr w:type="spellEnd"/>
      <w:r w:rsidRPr="002D4D50">
        <w:t>, T.</w:t>
      </w:r>
      <w:r w:rsidR="0072060C">
        <w:t>,</w:t>
      </w:r>
      <w:r w:rsidRPr="002D4D50">
        <w:t xml:space="preserve"> &amp; Halikiopoulou</w:t>
      </w:r>
      <w:r w:rsidR="00AE2278">
        <w:t xml:space="preserve">, D. </w:t>
      </w:r>
      <w:r w:rsidRPr="002D4D50">
        <w:t>(2022)</w:t>
      </w:r>
      <w:r w:rsidR="005A6D17">
        <w:t>.</w:t>
      </w:r>
      <w:r w:rsidRPr="002D4D50">
        <w:t xml:space="preserve"> Welfare state policies and far right party support: moderating ‘insecurity effects' among different social groups</w:t>
      </w:r>
      <w:r w:rsidR="005A6D17">
        <w:t>.</w:t>
      </w:r>
      <w:r w:rsidRPr="002D4D50">
        <w:t xml:space="preserve"> </w:t>
      </w:r>
      <w:r w:rsidRPr="005A6D17">
        <w:rPr>
          <w:i/>
          <w:iCs/>
        </w:rPr>
        <w:t>West European Politics</w:t>
      </w:r>
      <w:r w:rsidRPr="002D4D50">
        <w:t>, 45</w:t>
      </w:r>
      <w:r w:rsidR="005A6D17">
        <w:t>(</w:t>
      </w:r>
      <w:r w:rsidRPr="002D4D50">
        <w:t>1</w:t>
      </w:r>
      <w:r w:rsidR="005A6D17">
        <w:t>)</w:t>
      </w:r>
      <w:r w:rsidRPr="002D4D50">
        <w:t xml:space="preserve">, 24-49. </w:t>
      </w:r>
    </w:p>
    <w:p w14:paraId="6E32C323" w14:textId="0DDAC004" w:rsidR="00703259" w:rsidRPr="002D4D50" w:rsidRDefault="0012756F" w:rsidP="00C612AC">
      <w:pPr>
        <w:spacing w:line="480" w:lineRule="auto"/>
        <w:ind w:left="284" w:hanging="284"/>
        <w:jc w:val="both"/>
      </w:pPr>
      <w:proofErr w:type="spellStart"/>
      <w:r w:rsidRPr="002D4D50">
        <w:t>Voogd</w:t>
      </w:r>
      <w:proofErr w:type="spellEnd"/>
      <w:r w:rsidRPr="002D4D50">
        <w:t xml:space="preserve">, R. J., van der Meer, T. W. G., &amp; van der </w:t>
      </w:r>
      <w:proofErr w:type="spellStart"/>
      <w:r w:rsidRPr="002D4D50">
        <w:t>Brug</w:t>
      </w:r>
      <w:proofErr w:type="spellEnd"/>
      <w:r w:rsidRPr="002D4D50">
        <w:t xml:space="preserve">, W. </w:t>
      </w:r>
      <w:r w:rsidR="0072060C">
        <w:t>(</w:t>
      </w:r>
      <w:r w:rsidRPr="002D4D50">
        <w:t>2019</w:t>
      </w:r>
      <w:r w:rsidR="0072060C">
        <w:t>)</w:t>
      </w:r>
      <w:r w:rsidRPr="002D4D50">
        <w:t xml:space="preserve">. Political Trust as a determinant of Volatile Vote Intentions: Separating Within- from Between-persons effects. </w:t>
      </w:r>
      <w:r w:rsidRPr="002D4D50">
        <w:rPr>
          <w:i/>
        </w:rPr>
        <w:t>International Journal of Public Opinion Research</w:t>
      </w:r>
      <w:r w:rsidR="005A6D17">
        <w:rPr>
          <w:i/>
        </w:rPr>
        <w:t>,</w:t>
      </w:r>
      <w:r w:rsidRPr="002D4D50">
        <w:t xml:space="preserve"> 31(4)</w:t>
      </w:r>
      <w:r w:rsidR="005A6D17">
        <w:t>,</w:t>
      </w:r>
      <w:r w:rsidRPr="002D4D50">
        <w:t xml:space="preserve"> 669-693.</w:t>
      </w:r>
    </w:p>
    <w:p w14:paraId="22A00C81" w14:textId="4F5562D3" w:rsidR="00703259" w:rsidRPr="002D4D50" w:rsidRDefault="00703259" w:rsidP="00ED02A7">
      <w:pPr>
        <w:spacing w:line="480" w:lineRule="auto"/>
        <w:ind w:left="284" w:hanging="284"/>
        <w:jc w:val="both"/>
      </w:pPr>
      <w:proofErr w:type="spellStart"/>
      <w:r w:rsidRPr="002D4D50">
        <w:t>Vrakopoulos</w:t>
      </w:r>
      <w:proofErr w:type="spellEnd"/>
      <w:r w:rsidRPr="002D4D50">
        <w:t xml:space="preserve">, C. </w:t>
      </w:r>
      <w:r w:rsidR="0072060C">
        <w:t>(</w:t>
      </w:r>
      <w:r w:rsidRPr="002D4D50">
        <w:t>2022</w:t>
      </w:r>
      <w:r w:rsidR="0072060C">
        <w:t>)</w:t>
      </w:r>
      <w:r w:rsidRPr="002D4D50">
        <w:t xml:space="preserve">. Political and ideological normalization: Quality of government, mainstream-right ideological positions and extreme-right support. </w:t>
      </w:r>
      <w:r w:rsidRPr="005A6D17">
        <w:rPr>
          <w:i/>
          <w:iCs/>
        </w:rPr>
        <w:t>European Political Science Review</w:t>
      </w:r>
      <w:r w:rsidRPr="002D4D50">
        <w:t>, 14(1), 56-73.</w:t>
      </w:r>
    </w:p>
    <w:p w14:paraId="6577C200" w14:textId="061F96DF" w:rsidR="00AA6E1C" w:rsidRPr="002D4D50" w:rsidRDefault="004C4013" w:rsidP="00ED02A7">
      <w:pPr>
        <w:spacing w:line="480" w:lineRule="auto"/>
        <w:ind w:left="284" w:hanging="284"/>
        <w:jc w:val="both"/>
      </w:pPr>
      <w:r w:rsidRPr="002D4D50">
        <w:t>Wagner, M.</w:t>
      </w:r>
      <w:r w:rsidR="0072060C">
        <w:t>, &amp;</w:t>
      </w:r>
      <w:r w:rsidRPr="002D4D50">
        <w:t xml:space="preserve"> Meyer, T. </w:t>
      </w:r>
      <w:r w:rsidR="0072060C">
        <w:t>(</w:t>
      </w:r>
      <w:r w:rsidRPr="002D4D50">
        <w:t>2016</w:t>
      </w:r>
      <w:r w:rsidR="0072060C">
        <w:t>)</w:t>
      </w:r>
      <w:r w:rsidR="00383C47" w:rsidRPr="002D4D50">
        <w:t xml:space="preserve">. </w:t>
      </w:r>
      <w:r w:rsidRPr="002D4D50">
        <w:t xml:space="preserve">The Radical Right as Niche Parties? The Ideological Landscape of Party Systems in Western Europe, 1980–2014, </w:t>
      </w:r>
      <w:r w:rsidRPr="002D4D50">
        <w:rPr>
          <w:i/>
          <w:iCs/>
        </w:rPr>
        <w:t>Political Studies</w:t>
      </w:r>
      <w:r w:rsidR="005A6D17">
        <w:rPr>
          <w:i/>
          <w:iCs/>
        </w:rPr>
        <w:t>,</w:t>
      </w:r>
      <w:r w:rsidRPr="002D4D50">
        <w:t xml:space="preserve"> 65</w:t>
      </w:r>
      <w:r w:rsidR="005A6D17">
        <w:t>(</w:t>
      </w:r>
      <w:r w:rsidRPr="002D4D50">
        <w:t>1</w:t>
      </w:r>
      <w:r w:rsidR="005A6D17">
        <w:t>)</w:t>
      </w:r>
      <w:r w:rsidRPr="002D4D50">
        <w:t>, 84-107</w:t>
      </w:r>
      <w:r w:rsidR="00AA6E1C" w:rsidRPr="002D4D50">
        <w:t xml:space="preserve">. </w:t>
      </w:r>
    </w:p>
    <w:p w14:paraId="2674D4DD" w14:textId="7170E146" w:rsidR="00776548" w:rsidRPr="002D4D50" w:rsidRDefault="004C4013" w:rsidP="00776548">
      <w:pPr>
        <w:spacing w:line="480" w:lineRule="auto"/>
        <w:ind w:left="284" w:hanging="284"/>
        <w:jc w:val="both"/>
      </w:pPr>
      <w:proofErr w:type="spellStart"/>
      <w:r w:rsidRPr="002D4D50">
        <w:t>Wimmer</w:t>
      </w:r>
      <w:proofErr w:type="spellEnd"/>
      <w:r w:rsidRPr="002D4D50">
        <w:t xml:space="preserve">, </w:t>
      </w:r>
      <w:r w:rsidR="00383C47" w:rsidRPr="002D4D50">
        <w:t>A</w:t>
      </w:r>
      <w:r w:rsidRPr="002D4D50">
        <w:t xml:space="preserve">. </w:t>
      </w:r>
      <w:r w:rsidR="0072060C">
        <w:t>(</w:t>
      </w:r>
      <w:r w:rsidRPr="002D4D50">
        <w:t>1997</w:t>
      </w:r>
      <w:r w:rsidR="0072060C">
        <w:t>)</w:t>
      </w:r>
      <w:r w:rsidR="00383C47" w:rsidRPr="002D4D50">
        <w:t>.</w:t>
      </w:r>
      <w:r w:rsidRPr="002D4D50">
        <w:t xml:space="preserve"> Explaining Xenophobia and Racism: A Critical Review of Current Research Approaches</w:t>
      </w:r>
      <w:r w:rsidR="00A56C38" w:rsidRPr="002D4D50">
        <w:t>.</w:t>
      </w:r>
      <w:r w:rsidRPr="002D4D50">
        <w:t xml:space="preserve"> </w:t>
      </w:r>
      <w:r w:rsidRPr="002D4D50">
        <w:rPr>
          <w:i/>
        </w:rPr>
        <w:t>Ethnic and Racial Studies</w:t>
      </w:r>
      <w:r w:rsidR="005A6D17">
        <w:rPr>
          <w:i/>
        </w:rPr>
        <w:t>,</w:t>
      </w:r>
      <w:r w:rsidRPr="002D4D50">
        <w:t xml:space="preserve"> 20</w:t>
      </w:r>
      <w:r w:rsidR="005A6D17">
        <w:t>(</w:t>
      </w:r>
      <w:r w:rsidRPr="002D4D50">
        <w:t>1</w:t>
      </w:r>
      <w:r w:rsidR="005A6D17">
        <w:t>)</w:t>
      </w:r>
      <w:r w:rsidR="00383C47" w:rsidRPr="002D4D50">
        <w:t>,</w:t>
      </w:r>
      <w:r w:rsidRPr="002D4D50">
        <w:t xml:space="preserve"> 17–41.</w:t>
      </w:r>
    </w:p>
    <w:p w14:paraId="4C57A662" w14:textId="3FC4DE64" w:rsidR="00860A6C" w:rsidRPr="002D4D50" w:rsidRDefault="00860A6C" w:rsidP="00776548">
      <w:pPr>
        <w:spacing w:line="480" w:lineRule="auto"/>
        <w:ind w:left="284" w:hanging="284"/>
        <w:jc w:val="both"/>
      </w:pPr>
      <w:proofErr w:type="spellStart"/>
      <w:r w:rsidRPr="002D4D50">
        <w:t>Wimmer</w:t>
      </w:r>
      <w:proofErr w:type="spellEnd"/>
      <w:r w:rsidRPr="002D4D50">
        <w:t xml:space="preserve">, A. (2016). Is Diversity Detrimental? Ethnic Fractionalization, Public Goods Provision, and the Historical Legacies of </w:t>
      </w:r>
      <w:proofErr w:type="spellStart"/>
      <w:r w:rsidRPr="002D4D50">
        <w:t>Stateness</w:t>
      </w:r>
      <w:proofErr w:type="spellEnd"/>
      <w:r w:rsidRPr="002D4D50">
        <w:t xml:space="preserve">. </w:t>
      </w:r>
      <w:r w:rsidRPr="005A6D17">
        <w:rPr>
          <w:i/>
          <w:iCs/>
        </w:rPr>
        <w:t>Comparative Political Studies</w:t>
      </w:r>
      <w:r w:rsidRPr="002D4D50">
        <w:t>, 49(11), 1407–1445.</w:t>
      </w:r>
    </w:p>
    <w:p w14:paraId="7E947964" w14:textId="08067E0E" w:rsidR="0030293B" w:rsidRPr="002D4D50" w:rsidRDefault="0030293B" w:rsidP="00776548">
      <w:pPr>
        <w:spacing w:line="480" w:lineRule="auto"/>
        <w:ind w:left="284" w:hanging="284"/>
        <w:jc w:val="both"/>
      </w:pPr>
      <w:proofErr w:type="spellStart"/>
      <w:r w:rsidRPr="002D4D50">
        <w:t>Wimmer</w:t>
      </w:r>
      <w:proofErr w:type="spellEnd"/>
      <w:r w:rsidRPr="002D4D50">
        <w:t xml:space="preserve">, A. (2019). Why Nationalism Works: And Why It Isn’t Going Away. </w:t>
      </w:r>
      <w:r w:rsidRPr="005A6D17">
        <w:rPr>
          <w:i/>
          <w:iCs/>
        </w:rPr>
        <w:t>Foreign Affairs</w:t>
      </w:r>
      <w:r w:rsidRPr="002D4D50">
        <w:t xml:space="preserve">, 98(2), 27–34. </w:t>
      </w:r>
    </w:p>
    <w:p w14:paraId="1B209F52" w14:textId="40166AB7" w:rsidR="00A80B51" w:rsidRPr="002D4D50" w:rsidRDefault="00A80B51" w:rsidP="00776548">
      <w:pPr>
        <w:spacing w:line="480" w:lineRule="auto"/>
        <w:ind w:left="284" w:hanging="284"/>
        <w:jc w:val="both"/>
      </w:pPr>
      <w:proofErr w:type="spellStart"/>
      <w:r w:rsidRPr="002D4D50">
        <w:t>Wuttke</w:t>
      </w:r>
      <w:proofErr w:type="spellEnd"/>
      <w:r w:rsidRPr="002D4D50">
        <w:t xml:space="preserve">, A., </w:t>
      </w:r>
      <w:proofErr w:type="spellStart"/>
      <w:r w:rsidRPr="002D4D50">
        <w:t>Gavras</w:t>
      </w:r>
      <w:proofErr w:type="spellEnd"/>
      <w:r w:rsidRPr="002D4D50">
        <w:t xml:space="preserve">, K., &amp; Schoen, H. </w:t>
      </w:r>
      <w:r w:rsidR="0072060C">
        <w:t>(</w:t>
      </w:r>
      <w:r w:rsidRPr="002D4D50">
        <w:t>2022</w:t>
      </w:r>
      <w:r w:rsidR="0072060C">
        <w:t>)</w:t>
      </w:r>
      <w:r w:rsidRPr="002D4D50">
        <w:t>. Have Europeans Grown Tired of Democracy? New Evidence from Eighteen Consolidated Democracies, 1981–2018. </w:t>
      </w:r>
      <w:r w:rsidRPr="002D4D50">
        <w:rPr>
          <w:i/>
          <w:iCs/>
        </w:rPr>
        <w:t>British Journal of Political Science,</w:t>
      </w:r>
      <w:r w:rsidRPr="002D4D50">
        <w:t> </w:t>
      </w:r>
      <w:r w:rsidRPr="002D4D50">
        <w:rPr>
          <w:i/>
          <w:iCs/>
        </w:rPr>
        <w:t>52</w:t>
      </w:r>
      <w:r w:rsidRPr="002D4D50">
        <w:t xml:space="preserve">(1), 416-428. </w:t>
      </w:r>
    </w:p>
    <w:p w14:paraId="30F4284F" w14:textId="03691546" w:rsidR="00B77BF2" w:rsidRPr="002D4D50" w:rsidRDefault="00B77BF2" w:rsidP="00776548">
      <w:pPr>
        <w:spacing w:line="480" w:lineRule="auto"/>
        <w:ind w:left="284" w:hanging="284"/>
        <w:jc w:val="both"/>
      </w:pPr>
      <w:proofErr w:type="spellStart"/>
      <w:r w:rsidRPr="002D4D50">
        <w:lastRenderedPageBreak/>
        <w:t>Zaslove</w:t>
      </w:r>
      <w:proofErr w:type="spellEnd"/>
      <w:r w:rsidRPr="002D4D50">
        <w:t xml:space="preserve">, A., </w:t>
      </w:r>
      <w:proofErr w:type="spellStart"/>
      <w:r w:rsidRPr="002D4D50">
        <w:t>Geurkink</w:t>
      </w:r>
      <w:proofErr w:type="spellEnd"/>
      <w:r w:rsidRPr="002D4D50">
        <w:t>, B., Jacobs, K.</w:t>
      </w:r>
      <w:r w:rsidR="0072060C">
        <w:t>, &amp;</w:t>
      </w:r>
      <w:r w:rsidRPr="002D4D50">
        <w:t xml:space="preserve"> </w:t>
      </w:r>
      <w:proofErr w:type="spellStart"/>
      <w:r w:rsidRPr="002D4D50">
        <w:t>Akkerman</w:t>
      </w:r>
      <w:proofErr w:type="spellEnd"/>
      <w:r w:rsidRPr="002D4D50">
        <w:t xml:space="preserve">, A. </w:t>
      </w:r>
      <w:r w:rsidR="0072060C">
        <w:t>(</w:t>
      </w:r>
      <w:r w:rsidRPr="002D4D50">
        <w:t>2021</w:t>
      </w:r>
      <w:r w:rsidR="0072060C">
        <w:t>)</w:t>
      </w:r>
      <w:r w:rsidRPr="002D4D50">
        <w:t>. Power to the people? Populism, democracy, and political participation: a citizen's perspective</w:t>
      </w:r>
      <w:r w:rsidR="005A6D17">
        <w:t>.</w:t>
      </w:r>
      <w:r w:rsidRPr="002D4D50">
        <w:t xml:space="preserve"> </w:t>
      </w:r>
      <w:r w:rsidRPr="005A6D17">
        <w:rPr>
          <w:i/>
          <w:iCs/>
        </w:rPr>
        <w:t>West European Politics</w:t>
      </w:r>
      <w:r w:rsidRPr="002D4D50">
        <w:t>, 44(4)</w:t>
      </w:r>
      <w:r w:rsidR="005A6D17">
        <w:t>,</w:t>
      </w:r>
      <w:r w:rsidRPr="002D4D50">
        <w:t xml:space="preserve"> 727-751.</w:t>
      </w:r>
    </w:p>
    <w:p w14:paraId="1D2D7242" w14:textId="2FA47FC4" w:rsidR="004C4013" w:rsidRPr="004837C4" w:rsidRDefault="00FF1635" w:rsidP="00CE193E">
      <w:pPr>
        <w:spacing w:line="480" w:lineRule="auto"/>
        <w:ind w:left="284" w:hanging="284"/>
        <w:jc w:val="both"/>
      </w:pPr>
      <w:proofErr w:type="spellStart"/>
      <w:r w:rsidRPr="002D4D50">
        <w:t>Zhirkov</w:t>
      </w:r>
      <w:proofErr w:type="spellEnd"/>
      <w:r w:rsidRPr="002D4D50">
        <w:t xml:space="preserve">, K. </w:t>
      </w:r>
      <w:r w:rsidR="0072060C">
        <w:t>(</w:t>
      </w:r>
      <w:r w:rsidRPr="002D4D50">
        <w:t>2014</w:t>
      </w:r>
      <w:r w:rsidR="0072060C">
        <w:t>)</w:t>
      </w:r>
      <w:r w:rsidRPr="002D4D50">
        <w:t xml:space="preserve">. Nativist but not alienated: A comparative perspective on the radical right vote in Western Europe. </w:t>
      </w:r>
      <w:r w:rsidRPr="005A6D17">
        <w:rPr>
          <w:i/>
          <w:iCs/>
        </w:rPr>
        <w:t>Party Politics</w:t>
      </w:r>
      <w:r w:rsidRPr="002D4D50">
        <w:t>, 20(2), 286–296.</w:t>
      </w:r>
    </w:p>
    <w:p w14:paraId="39F3279A" w14:textId="77777777" w:rsidR="00F36515" w:rsidRPr="004837C4" w:rsidRDefault="00F36515" w:rsidP="00ED02A7">
      <w:pPr>
        <w:spacing w:line="480" w:lineRule="auto"/>
        <w:jc w:val="both"/>
        <w:rPr>
          <w:color w:val="C00000"/>
        </w:rPr>
      </w:pPr>
    </w:p>
    <w:sectPr w:rsidR="00F36515" w:rsidRPr="004837C4" w:rsidSect="001B086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64833" w14:textId="77777777" w:rsidR="002C5DE1" w:rsidRDefault="002C5DE1" w:rsidP="00B069F3">
      <w:r>
        <w:separator/>
      </w:r>
    </w:p>
  </w:endnote>
  <w:endnote w:type="continuationSeparator" w:id="0">
    <w:p w14:paraId="5153EA20" w14:textId="77777777" w:rsidR="002C5DE1" w:rsidRDefault="002C5DE1" w:rsidP="00B0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FACD6" w14:textId="77777777" w:rsidR="003F423A" w:rsidRDefault="003F423A" w:rsidP="00BB7B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813B60" w14:textId="77777777" w:rsidR="003F423A" w:rsidRDefault="003F423A" w:rsidP="00E17A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32116" w14:textId="77777777" w:rsidR="003F423A" w:rsidRPr="00E17AE9" w:rsidRDefault="003F423A" w:rsidP="00BB7BAF">
    <w:pPr>
      <w:pStyle w:val="Footer"/>
      <w:framePr w:wrap="around" w:vAnchor="text" w:hAnchor="margin" w:xAlign="right" w:y="1"/>
      <w:rPr>
        <w:rStyle w:val="PageNumber"/>
        <w:rFonts w:ascii="Times New Roman" w:hAnsi="Times New Roman" w:cs="Times New Roman"/>
      </w:rPr>
    </w:pPr>
    <w:r w:rsidRPr="00E17AE9">
      <w:rPr>
        <w:rStyle w:val="PageNumber"/>
        <w:rFonts w:ascii="Times New Roman" w:hAnsi="Times New Roman" w:cs="Times New Roman"/>
      </w:rPr>
      <w:fldChar w:fldCharType="begin"/>
    </w:r>
    <w:r w:rsidRPr="00E17AE9">
      <w:rPr>
        <w:rStyle w:val="PageNumber"/>
        <w:rFonts w:ascii="Times New Roman" w:hAnsi="Times New Roman" w:cs="Times New Roman"/>
      </w:rPr>
      <w:instrText xml:space="preserve">PAGE  </w:instrText>
    </w:r>
    <w:r w:rsidRPr="00E17AE9">
      <w:rPr>
        <w:rStyle w:val="PageNumber"/>
        <w:rFonts w:ascii="Times New Roman" w:hAnsi="Times New Roman" w:cs="Times New Roman"/>
      </w:rPr>
      <w:fldChar w:fldCharType="separate"/>
    </w:r>
    <w:r w:rsidR="00667825">
      <w:rPr>
        <w:rStyle w:val="PageNumber"/>
        <w:rFonts w:ascii="Times New Roman" w:hAnsi="Times New Roman" w:cs="Times New Roman"/>
        <w:noProof/>
      </w:rPr>
      <w:t>26</w:t>
    </w:r>
    <w:r w:rsidRPr="00E17AE9">
      <w:rPr>
        <w:rStyle w:val="PageNumber"/>
        <w:rFonts w:ascii="Times New Roman" w:hAnsi="Times New Roman" w:cs="Times New Roman"/>
      </w:rPr>
      <w:fldChar w:fldCharType="end"/>
    </w:r>
  </w:p>
  <w:p w14:paraId="5F51AEFE" w14:textId="77777777" w:rsidR="003F423A" w:rsidRPr="00E17AE9" w:rsidRDefault="003F423A" w:rsidP="00E17AE9">
    <w:pPr>
      <w:pStyle w:val="Footer"/>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B3422" w14:textId="77777777" w:rsidR="002C5DE1" w:rsidRDefault="002C5DE1" w:rsidP="00B069F3">
      <w:r>
        <w:separator/>
      </w:r>
    </w:p>
  </w:footnote>
  <w:footnote w:type="continuationSeparator" w:id="0">
    <w:p w14:paraId="7C6F025E" w14:textId="77777777" w:rsidR="002C5DE1" w:rsidRDefault="002C5DE1" w:rsidP="00B069F3">
      <w:r>
        <w:continuationSeparator/>
      </w:r>
    </w:p>
  </w:footnote>
  <w:footnote w:id="1">
    <w:p w14:paraId="70DD722B" w14:textId="1E1D94CD" w:rsidR="00887362" w:rsidRPr="00813028" w:rsidRDefault="00887362">
      <w:pPr>
        <w:pStyle w:val="FootnoteText"/>
        <w:rPr>
          <w:rFonts w:ascii="Times New Roman" w:hAnsi="Times New Roman" w:cs="Times New Roman"/>
        </w:rPr>
      </w:pPr>
      <w:r w:rsidRPr="00813028">
        <w:rPr>
          <w:rStyle w:val="FootnoteReference"/>
          <w:rFonts w:ascii="Times New Roman" w:hAnsi="Times New Roman" w:cs="Times New Roman"/>
        </w:rPr>
        <w:footnoteRef/>
      </w:r>
      <w:r w:rsidRPr="00813028">
        <w:rPr>
          <w:rFonts w:ascii="Times New Roman" w:hAnsi="Times New Roman" w:cs="Times New Roman"/>
        </w:rPr>
        <w:t xml:space="preserve"> Both authors have contributed equally to this article. The order of names reflects the principle of rotation. </w:t>
      </w:r>
    </w:p>
  </w:footnote>
  <w:footnote w:id="2">
    <w:p w14:paraId="254E475D" w14:textId="7FDE0C50" w:rsidR="00084A01" w:rsidRPr="00084A01" w:rsidRDefault="00084A01">
      <w:pPr>
        <w:pStyle w:val="FootnoteText"/>
        <w:rPr>
          <w:sz w:val="20"/>
          <w:szCs w:val="20"/>
        </w:rPr>
      </w:pPr>
      <w:r>
        <w:rPr>
          <w:rStyle w:val="FootnoteReference"/>
        </w:rPr>
        <w:footnoteRef/>
      </w:r>
      <w:r>
        <w:t xml:space="preserve"> </w:t>
      </w:r>
      <w:r w:rsidRPr="00084A01">
        <w:rPr>
          <w:sz w:val="20"/>
          <w:szCs w:val="20"/>
        </w:rPr>
        <w:t xml:space="preserve">For a comparison between far right and far left parties see </w:t>
      </w:r>
      <w:proofErr w:type="spellStart"/>
      <w:r>
        <w:rPr>
          <w:sz w:val="20"/>
          <w:szCs w:val="20"/>
        </w:rPr>
        <w:t>Rooduijn</w:t>
      </w:r>
      <w:proofErr w:type="spellEnd"/>
      <w:r>
        <w:rPr>
          <w:sz w:val="20"/>
          <w:szCs w:val="20"/>
        </w:rPr>
        <w:t xml:space="preserve"> et al</w:t>
      </w:r>
      <w:r w:rsidR="00FF5311">
        <w:rPr>
          <w:sz w:val="20"/>
          <w:szCs w:val="20"/>
        </w:rPr>
        <w:t>.</w:t>
      </w:r>
      <w:r>
        <w:rPr>
          <w:sz w:val="20"/>
          <w:szCs w:val="20"/>
        </w:rPr>
        <w:t xml:space="preserve"> </w:t>
      </w:r>
      <w:r w:rsidR="00FF5311">
        <w:rPr>
          <w:sz w:val="20"/>
          <w:szCs w:val="20"/>
        </w:rPr>
        <w:t>(</w:t>
      </w:r>
      <w:r>
        <w:rPr>
          <w:sz w:val="20"/>
          <w:szCs w:val="20"/>
        </w:rPr>
        <w:t>2017</w:t>
      </w:r>
      <w:r w:rsidR="00FF5311">
        <w:rPr>
          <w:sz w:val="20"/>
          <w:szCs w:val="20"/>
        </w:rPr>
        <w:t>)</w:t>
      </w:r>
      <w:r w:rsidR="001038CC">
        <w:rPr>
          <w:sz w:val="20"/>
          <w:szCs w:val="20"/>
        </w:rPr>
        <w:t xml:space="preserve"> and Rooduijn </w:t>
      </w:r>
      <w:r w:rsidR="00FF5311">
        <w:rPr>
          <w:sz w:val="20"/>
          <w:szCs w:val="20"/>
        </w:rPr>
        <w:t>(</w:t>
      </w:r>
      <w:r w:rsidR="001038CC">
        <w:rPr>
          <w:sz w:val="20"/>
          <w:szCs w:val="20"/>
        </w:rPr>
        <w:t>2018</w:t>
      </w:r>
      <w:r w:rsidR="00FF5311">
        <w:rPr>
          <w:sz w:val="20"/>
          <w:szCs w:val="20"/>
        </w:rPr>
        <w:t>)</w:t>
      </w:r>
      <w:r w:rsidR="00F5662E">
        <w:rPr>
          <w:sz w:val="20"/>
          <w:szCs w:val="20"/>
        </w:rPr>
        <w:t xml:space="preserve">. </w:t>
      </w:r>
    </w:p>
  </w:footnote>
  <w:footnote w:id="3">
    <w:p w14:paraId="27AEF949" w14:textId="7B6C5980" w:rsidR="003F423A" w:rsidRPr="009E3AE0" w:rsidRDefault="003F423A" w:rsidP="009E3AE0">
      <w:pPr>
        <w:pStyle w:val="FootnoteText"/>
        <w:rPr>
          <w:rFonts w:ascii="Times New Roman" w:hAnsi="Times New Roman" w:cs="Times New Roman"/>
          <w:sz w:val="22"/>
          <w:szCs w:val="22"/>
        </w:rPr>
      </w:pPr>
      <w:r w:rsidRPr="006F4CD5">
        <w:rPr>
          <w:rStyle w:val="FootnoteReference"/>
          <w:rFonts w:ascii="Times New Roman" w:hAnsi="Times New Roman" w:cs="Times New Roman"/>
          <w:sz w:val="22"/>
          <w:szCs w:val="22"/>
        </w:rPr>
        <w:footnoteRef/>
      </w:r>
      <w:r w:rsidRPr="006F4CD5">
        <w:rPr>
          <w:rFonts w:ascii="Times New Roman" w:hAnsi="Times New Roman" w:cs="Times New Roman"/>
          <w:sz w:val="22"/>
          <w:szCs w:val="22"/>
        </w:rPr>
        <w:t xml:space="preserve"> Trust in institutions: mean difference: 0.</w:t>
      </w:r>
      <w:r w:rsidR="006F4CD5" w:rsidRPr="006F4CD5">
        <w:rPr>
          <w:rFonts w:ascii="Times New Roman" w:hAnsi="Times New Roman" w:cs="Times New Roman"/>
          <w:sz w:val="22"/>
          <w:szCs w:val="22"/>
        </w:rPr>
        <w:t>45</w:t>
      </w:r>
      <w:r w:rsidRPr="006F4CD5">
        <w:rPr>
          <w:rFonts w:ascii="Times New Roman" w:hAnsi="Times New Roman" w:cs="Times New Roman"/>
          <w:sz w:val="22"/>
          <w:szCs w:val="22"/>
        </w:rPr>
        <w:t>; t(</w:t>
      </w:r>
      <w:r w:rsidR="00FA6103" w:rsidRPr="00FA6103">
        <w:rPr>
          <w:rFonts w:ascii="Times New Roman" w:hAnsi="Times New Roman" w:cs="Times New Roman"/>
          <w:sz w:val="22"/>
          <w:szCs w:val="22"/>
        </w:rPr>
        <w:t>204238</w:t>
      </w:r>
      <w:r w:rsidRPr="006F4CD5">
        <w:rPr>
          <w:rFonts w:ascii="Times New Roman" w:hAnsi="Times New Roman" w:cs="Times New Roman"/>
          <w:sz w:val="22"/>
          <w:szCs w:val="22"/>
        </w:rPr>
        <w:t>) =  2</w:t>
      </w:r>
      <w:r w:rsidR="006F4CD5" w:rsidRPr="006F4CD5">
        <w:rPr>
          <w:rFonts w:ascii="Times New Roman" w:hAnsi="Times New Roman" w:cs="Times New Roman"/>
          <w:sz w:val="22"/>
          <w:szCs w:val="22"/>
        </w:rPr>
        <w:t>5</w:t>
      </w:r>
      <w:r w:rsidRPr="006F4CD5">
        <w:rPr>
          <w:rFonts w:ascii="Times New Roman" w:hAnsi="Times New Roman" w:cs="Times New Roman"/>
          <w:sz w:val="22"/>
          <w:szCs w:val="22"/>
        </w:rPr>
        <w:t>.</w:t>
      </w:r>
      <w:r w:rsidR="00FA6103">
        <w:rPr>
          <w:rFonts w:ascii="Times New Roman" w:hAnsi="Times New Roman" w:cs="Times New Roman"/>
          <w:sz w:val="22"/>
          <w:szCs w:val="22"/>
        </w:rPr>
        <w:t>0</w:t>
      </w:r>
      <w:r w:rsidRPr="006F4CD5">
        <w:rPr>
          <w:rFonts w:ascii="Times New Roman" w:hAnsi="Times New Roman" w:cs="Times New Roman"/>
          <w:sz w:val="22"/>
          <w:szCs w:val="22"/>
        </w:rPr>
        <w:t xml:space="preserve">4; p&lt;0.00001. </w:t>
      </w:r>
      <w:r w:rsidR="002B6FA8">
        <w:rPr>
          <w:rFonts w:ascii="Times New Roman" w:hAnsi="Times New Roman" w:cs="Times New Roman"/>
          <w:sz w:val="22"/>
          <w:szCs w:val="22"/>
        </w:rPr>
        <w:t>Performance satisfaction</w:t>
      </w:r>
      <w:r w:rsidRPr="006F4CD5">
        <w:rPr>
          <w:rFonts w:ascii="Times New Roman" w:hAnsi="Times New Roman" w:cs="Times New Roman"/>
          <w:sz w:val="22"/>
          <w:szCs w:val="22"/>
        </w:rPr>
        <w:t>: mean difference: 0.</w:t>
      </w:r>
      <w:r w:rsidR="006F4CD5" w:rsidRPr="006F4CD5">
        <w:rPr>
          <w:rFonts w:ascii="Times New Roman" w:hAnsi="Times New Roman" w:cs="Times New Roman"/>
          <w:sz w:val="22"/>
          <w:szCs w:val="22"/>
        </w:rPr>
        <w:t>29</w:t>
      </w:r>
      <w:r w:rsidRPr="006F4CD5">
        <w:rPr>
          <w:rFonts w:ascii="Times New Roman" w:hAnsi="Times New Roman" w:cs="Times New Roman"/>
          <w:sz w:val="22"/>
          <w:szCs w:val="22"/>
        </w:rPr>
        <w:t>; t(</w:t>
      </w:r>
      <w:r w:rsidR="00FA6103" w:rsidRPr="00FA6103">
        <w:rPr>
          <w:rFonts w:ascii="Times New Roman" w:hAnsi="Times New Roman" w:cs="Times New Roman"/>
          <w:sz w:val="22"/>
          <w:szCs w:val="22"/>
        </w:rPr>
        <w:t>203770</w:t>
      </w:r>
      <w:r w:rsidRPr="006F4CD5">
        <w:rPr>
          <w:rFonts w:ascii="Times New Roman" w:hAnsi="Times New Roman" w:cs="Times New Roman"/>
          <w:sz w:val="22"/>
          <w:szCs w:val="22"/>
        </w:rPr>
        <w:t xml:space="preserve">)= </w:t>
      </w:r>
      <w:r w:rsidR="006F4CD5" w:rsidRPr="006F4CD5">
        <w:rPr>
          <w:rFonts w:ascii="Times New Roman" w:hAnsi="Times New Roman" w:cs="Times New Roman"/>
          <w:sz w:val="22"/>
          <w:szCs w:val="22"/>
        </w:rPr>
        <w:t>16</w:t>
      </w:r>
      <w:r w:rsidRPr="006F4CD5">
        <w:rPr>
          <w:rFonts w:ascii="Times New Roman" w:hAnsi="Times New Roman" w:cs="Times New Roman"/>
          <w:sz w:val="22"/>
          <w:szCs w:val="22"/>
        </w:rPr>
        <w:t>.</w:t>
      </w:r>
      <w:r w:rsidR="00FA6103">
        <w:rPr>
          <w:rFonts w:ascii="Times New Roman" w:hAnsi="Times New Roman" w:cs="Times New Roman"/>
          <w:sz w:val="22"/>
          <w:szCs w:val="22"/>
        </w:rPr>
        <w:t>21</w:t>
      </w:r>
      <w:r w:rsidRPr="006F4CD5">
        <w:rPr>
          <w:rFonts w:ascii="Times New Roman" w:hAnsi="Times New Roman" w:cs="Times New Roman"/>
          <w:sz w:val="22"/>
          <w:szCs w:val="22"/>
        </w:rPr>
        <w:t>; p&lt;0.00001. State of health: mean difference: 0.</w:t>
      </w:r>
      <w:r w:rsidR="006F4CD5" w:rsidRPr="006F4CD5">
        <w:rPr>
          <w:rFonts w:ascii="Times New Roman" w:hAnsi="Times New Roman" w:cs="Times New Roman"/>
          <w:sz w:val="22"/>
          <w:szCs w:val="22"/>
        </w:rPr>
        <w:t>49</w:t>
      </w:r>
      <w:r w:rsidRPr="006F4CD5">
        <w:rPr>
          <w:rFonts w:ascii="Times New Roman" w:hAnsi="Times New Roman" w:cs="Times New Roman"/>
          <w:sz w:val="22"/>
          <w:szCs w:val="22"/>
        </w:rPr>
        <w:t>; t(</w:t>
      </w:r>
      <w:r w:rsidR="00FA6103" w:rsidRPr="00FA6103">
        <w:rPr>
          <w:rFonts w:ascii="Times New Roman" w:hAnsi="Times New Roman" w:cs="Times New Roman"/>
          <w:sz w:val="22"/>
          <w:szCs w:val="22"/>
        </w:rPr>
        <w:t>203305</w:t>
      </w:r>
      <w:r w:rsidRPr="006F4CD5">
        <w:rPr>
          <w:rFonts w:ascii="Times New Roman" w:hAnsi="Times New Roman" w:cs="Times New Roman"/>
          <w:sz w:val="22"/>
          <w:szCs w:val="22"/>
        </w:rPr>
        <w:t>)=22.</w:t>
      </w:r>
      <w:r w:rsidR="00FA6103">
        <w:rPr>
          <w:rFonts w:ascii="Times New Roman" w:hAnsi="Times New Roman" w:cs="Times New Roman"/>
          <w:sz w:val="22"/>
          <w:szCs w:val="22"/>
        </w:rPr>
        <w:t>9</w:t>
      </w:r>
      <w:r w:rsidRPr="006F4CD5">
        <w:rPr>
          <w:rFonts w:ascii="Times New Roman" w:hAnsi="Times New Roman" w:cs="Times New Roman"/>
          <w:sz w:val="22"/>
          <w:szCs w:val="22"/>
        </w:rPr>
        <w:t>1; p&lt;0.00001. State of education: mean difference: 0.1; t (</w:t>
      </w:r>
      <w:r w:rsidR="00FA6103" w:rsidRPr="00FA6103">
        <w:rPr>
          <w:rFonts w:ascii="Times New Roman" w:hAnsi="Times New Roman" w:cs="Times New Roman"/>
          <w:sz w:val="22"/>
          <w:szCs w:val="22"/>
        </w:rPr>
        <w:t>195773</w:t>
      </w:r>
      <w:r w:rsidRPr="006F4CD5">
        <w:rPr>
          <w:rFonts w:ascii="Times New Roman" w:hAnsi="Times New Roman" w:cs="Times New Roman"/>
          <w:sz w:val="22"/>
          <w:szCs w:val="22"/>
        </w:rPr>
        <w:t>)=</w:t>
      </w:r>
      <w:r w:rsidR="006F4CD5" w:rsidRPr="006F4CD5">
        <w:rPr>
          <w:rFonts w:ascii="Times New Roman" w:hAnsi="Times New Roman" w:cs="Times New Roman"/>
          <w:sz w:val="22"/>
          <w:szCs w:val="22"/>
        </w:rPr>
        <w:t>5.</w:t>
      </w:r>
      <w:r w:rsidR="00FA6103">
        <w:rPr>
          <w:rFonts w:ascii="Times New Roman" w:hAnsi="Times New Roman" w:cs="Times New Roman"/>
          <w:sz w:val="22"/>
          <w:szCs w:val="22"/>
        </w:rPr>
        <w:t>21</w:t>
      </w:r>
      <w:r w:rsidRPr="006F4CD5">
        <w:rPr>
          <w:rFonts w:ascii="Times New Roman" w:hAnsi="Times New Roman" w:cs="Times New Roman"/>
          <w:sz w:val="22"/>
          <w:szCs w:val="22"/>
        </w:rPr>
        <w:t>; p&lt;0.00001.</w:t>
      </w:r>
    </w:p>
    <w:p w14:paraId="6C50CC9E" w14:textId="4AC73D97" w:rsidR="003F423A" w:rsidRPr="009E3AE0" w:rsidRDefault="003F423A">
      <w:pPr>
        <w:pStyle w:val="FootnoteText"/>
        <w:rPr>
          <w:rFonts w:ascii="Times New Roman" w:hAnsi="Times New Roman" w:cs="Times New Roman"/>
          <w:sz w:val="22"/>
          <w:szCs w:val="22"/>
        </w:rPr>
      </w:pPr>
    </w:p>
  </w:footnote>
  <w:footnote w:id="4">
    <w:p w14:paraId="012B9D03" w14:textId="5B34ABF4" w:rsidR="003B2E6C" w:rsidRPr="003B2E6C" w:rsidRDefault="003B2E6C">
      <w:pPr>
        <w:pStyle w:val="FootnoteText"/>
        <w:rPr>
          <w:rFonts w:ascii="Times New Roman" w:hAnsi="Times New Roman" w:cs="Times New Roman"/>
        </w:rPr>
      </w:pPr>
      <w:r>
        <w:rPr>
          <w:rStyle w:val="FootnoteReference"/>
        </w:rPr>
        <w:footnoteRef/>
      </w:r>
      <w:r>
        <w:t xml:space="preserve"> </w:t>
      </w:r>
      <w:r w:rsidRPr="003B2E6C">
        <w:rPr>
          <w:rFonts w:ascii="Times New Roman" w:hAnsi="Times New Roman" w:cs="Times New Roman"/>
        </w:rPr>
        <w:t xml:space="preserve">We have ran the models without the subjective economic wellbeing control variable. In some models unemployment is statistically significant at 10% level </w:t>
      </w:r>
      <w:r>
        <w:rPr>
          <w:rFonts w:ascii="Times New Roman" w:hAnsi="Times New Roman" w:cs="Times New Roman"/>
        </w:rPr>
        <w:t xml:space="preserve">(see Appendix Table 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02E"/>
    <w:multiLevelType w:val="hybridMultilevel"/>
    <w:tmpl w:val="3F2E2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15BAE"/>
    <w:multiLevelType w:val="hybridMultilevel"/>
    <w:tmpl w:val="C8C8384E"/>
    <w:lvl w:ilvl="0" w:tplc="77D832D4">
      <w:start w:val="1"/>
      <w:numFmt w:val="bullet"/>
      <w:lvlText w:val="•"/>
      <w:lvlJc w:val="left"/>
      <w:pPr>
        <w:tabs>
          <w:tab w:val="num" w:pos="720"/>
        </w:tabs>
        <w:ind w:left="720" w:hanging="360"/>
      </w:pPr>
      <w:rPr>
        <w:rFonts w:ascii="Arial" w:hAnsi="Arial" w:hint="default"/>
      </w:rPr>
    </w:lvl>
    <w:lvl w:ilvl="1" w:tplc="7CAC71E4">
      <w:start w:val="1"/>
      <w:numFmt w:val="bullet"/>
      <w:lvlText w:val="•"/>
      <w:lvlJc w:val="left"/>
      <w:pPr>
        <w:tabs>
          <w:tab w:val="num" w:pos="1440"/>
        </w:tabs>
        <w:ind w:left="1440" w:hanging="360"/>
      </w:pPr>
      <w:rPr>
        <w:rFonts w:ascii="Arial" w:hAnsi="Arial" w:hint="default"/>
      </w:rPr>
    </w:lvl>
    <w:lvl w:ilvl="2" w:tplc="C55606D6" w:tentative="1">
      <w:start w:val="1"/>
      <w:numFmt w:val="bullet"/>
      <w:lvlText w:val="•"/>
      <w:lvlJc w:val="left"/>
      <w:pPr>
        <w:tabs>
          <w:tab w:val="num" w:pos="2160"/>
        </w:tabs>
        <w:ind w:left="2160" w:hanging="360"/>
      </w:pPr>
      <w:rPr>
        <w:rFonts w:ascii="Arial" w:hAnsi="Arial" w:hint="default"/>
      </w:rPr>
    </w:lvl>
    <w:lvl w:ilvl="3" w:tplc="C0609C4E" w:tentative="1">
      <w:start w:val="1"/>
      <w:numFmt w:val="bullet"/>
      <w:lvlText w:val="•"/>
      <w:lvlJc w:val="left"/>
      <w:pPr>
        <w:tabs>
          <w:tab w:val="num" w:pos="2880"/>
        </w:tabs>
        <w:ind w:left="2880" w:hanging="360"/>
      </w:pPr>
      <w:rPr>
        <w:rFonts w:ascii="Arial" w:hAnsi="Arial" w:hint="default"/>
      </w:rPr>
    </w:lvl>
    <w:lvl w:ilvl="4" w:tplc="CA468700" w:tentative="1">
      <w:start w:val="1"/>
      <w:numFmt w:val="bullet"/>
      <w:lvlText w:val="•"/>
      <w:lvlJc w:val="left"/>
      <w:pPr>
        <w:tabs>
          <w:tab w:val="num" w:pos="3600"/>
        </w:tabs>
        <w:ind w:left="3600" w:hanging="360"/>
      </w:pPr>
      <w:rPr>
        <w:rFonts w:ascii="Arial" w:hAnsi="Arial" w:hint="default"/>
      </w:rPr>
    </w:lvl>
    <w:lvl w:ilvl="5" w:tplc="7A62A856" w:tentative="1">
      <w:start w:val="1"/>
      <w:numFmt w:val="bullet"/>
      <w:lvlText w:val="•"/>
      <w:lvlJc w:val="left"/>
      <w:pPr>
        <w:tabs>
          <w:tab w:val="num" w:pos="4320"/>
        </w:tabs>
        <w:ind w:left="4320" w:hanging="360"/>
      </w:pPr>
      <w:rPr>
        <w:rFonts w:ascii="Arial" w:hAnsi="Arial" w:hint="default"/>
      </w:rPr>
    </w:lvl>
    <w:lvl w:ilvl="6" w:tplc="7DE41ED0" w:tentative="1">
      <w:start w:val="1"/>
      <w:numFmt w:val="bullet"/>
      <w:lvlText w:val="•"/>
      <w:lvlJc w:val="left"/>
      <w:pPr>
        <w:tabs>
          <w:tab w:val="num" w:pos="5040"/>
        </w:tabs>
        <w:ind w:left="5040" w:hanging="360"/>
      </w:pPr>
      <w:rPr>
        <w:rFonts w:ascii="Arial" w:hAnsi="Arial" w:hint="default"/>
      </w:rPr>
    </w:lvl>
    <w:lvl w:ilvl="7" w:tplc="694038CA" w:tentative="1">
      <w:start w:val="1"/>
      <w:numFmt w:val="bullet"/>
      <w:lvlText w:val="•"/>
      <w:lvlJc w:val="left"/>
      <w:pPr>
        <w:tabs>
          <w:tab w:val="num" w:pos="5760"/>
        </w:tabs>
        <w:ind w:left="5760" w:hanging="360"/>
      </w:pPr>
      <w:rPr>
        <w:rFonts w:ascii="Arial" w:hAnsi="Arial" w:hint="default"/>
      </w:rPr>
    </w:lvl>
    <w:lvl w:ilvl="8" w:tplc="0178C89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006462"/>
    <w:multiLevelType w:val="hybridMultilevel"/>
    <w:tmpl w:val="9836D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E2C6F"/>
    <w:multiLevelType w:val="hybridMultilevel"/>
    <w:tmpl w:val="A5E25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E299D"/>
    <w:multiLevelType w:val="hybridMultilevel"/>
    <w:tmpl w:val="7A00D8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A20994"/>
    <w:multiLevelType w:val="hybridMultilevel"/>
    <w:tmpl w:val="650CE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E216BF"/>
    <w:multiLevelType w:val="hybridMultilevel"/>
    <w:tmpl w:val="9AC62718"/>
    <w:lvl w:ilvl="0" w:tplc="31EEE2C0">
      <w:start w:val="1"/>
      <w:numFmt w:val="bullet"/>
      <w:lvlText w:val="•"/>
      <w:lvlJc w:val="left"/>
      <w:pPr>
        <w:tabs>
          <w:tab w:val="num" w:pos="720"/>
        </w:tabs>
        <w:ind w:left="720" w:hanging="360"/>
      </w:pPr>
      <w:rPr>
        <w:rFonts w:ascii="Arial" w:hAnsi="Arial" w:hint="default"/>
      </w:rPr>
    </w:lvl>
    <w:lvl w:ilvl="1" w:tplc="8E2240F6" w:tentative="1">
      <w:start w:val="1"/>
      <w:numFmt w:val="bullet"/>
      <w:lvlText w:val="•"/>
      <w:lvlJc w:val="left"/>
      <w:pPr>
        <w:tabs>
          <w:tab w:val="num" w:pos="1440"/>
        </w:tabs>
        <w:ind w:left="1440" w:hanging="360"/>
      </w:pPr>
      <w:rPr>
        <w:rFonts w:ascii="Arial" w:hAnsi="Arial" w:hint="default"/>
      </w:rPr>
    </w:lvl>
    <w:lvl w:ilvl="2" w:tplc="A87C0812" w:tentative="1">
      <w:start w:val="1"/>
      <w:numFmt w:val="bullet"/>
      <w:lvlText w:val="•"/>
      <w:lvlJc w:val="left"/>
      <w:pPr>
        <w:tabs>
          <w:tab w:val="num" w:pos="2160"/>
        </w:tabs>
        <w:ind w:left="2160" w:hanging="360"/>
      </w:pPr>
      <w:rPr>
        <w:rFonts w:ascii="Arial" w:hAnsi="Arial" w:hint="default"/>
      </w:rPr>
    </w:lvl>
    <w:lvl w:ilvl="3" w:tplc="E51040D6" w:tentative="1">
      <w:start w:val="1"/>
      <w:numFmt w:val="bullet"/>
      <w:lvlText w:val="•"/>
      <w:lvlJc w:val="left"/>
      <w:pPr>
        <w:tabs>
          <w:tab w:val="num" w:pos="2880"/>
        </w:tabs>
        <w:ind w:left="2880" w:hanging="360"/>
      </w:pPr>
      <w:rPr>
        <w:rFonts w:ascii="Arial" w:hAnsi="Arial" w:hint="default"/>
      </w:rPr>
    </w:lvl>
    <w:lvl w:ilvl="4" w:tplc="DE668C86" w:tentative="1">
      <w:start w:val="1"/>
      <w:numFmt w:val="bullet"/>
      <w:lvlText w:val="•"/>
      <w:lvlJc w:val="left"/>
      <w:pPr>
        <w:tabs>
          <w:tab w:val="num" w:pos="3600"/>
        </w:tabs>
        <w:ind w:left="3600" w:hanging="360"/>
      </w:pPr>
      <w:rPr>
        <w:rFonts w:ascii="Arial" w:hAnsi="Arial" w:hint="default"/>
      </w:rPr>
    </w:lvl>
    <w:lvl w:ilvl="5" w:tplc="98BAC320" w:tentative="1">
      <w:start w:val="1"/>
      <w:numFmt w:val="bullet"/>
      <w:lvlText w:val="•"/>
      <w:lvlJc w:val="left"/>
      <w:pPr>
        <w:tabs>
          <w:tab w:val="num" w:pos="4320"/>
        </w:tabs>
        <w:ind w:left="4320" w:hanging="360"/>
      </w:pPr>
      <w:rPr>
        <w:rFonts w:ascii="Arial" w:hAnsi="Arial" w:hint="default"/>
      </w:rPr>
    </w:lvl>
    <w:lvl w:ilvl="6" w:tplc="3EAEE8AE" w:tentative="1">
      <w:start w:val="1"/>
      <w:numFmt w:val="bullet"/>
      <w:lvlText w:val="•"/>
      <w:lvlJc w:val="left"/>
      <w:pPr>
        <w:tabs>
          <w:tab w:val="num" w:pos="5040"/>
        </w:tabs>
        <w:ind w:left="5040" w:hanging="360"/>
      </w:pPr>
      <w:rPr>
        <w:rFonts w:ascii="Arial" w:hAnsi="Arial" w:hint="default"/>
      </w:rPr>
    </w:lvl>
    <w:lvl w:ilvl="7" w:tplc="08786674" w:tentative="1">
      <w:start w:val="1"/>
      <w:numFmt w:val="bullet"/>
      <w:lvlText w:val="•"/>
      <w:lvlJc w:val="left"/>
      <w:pPr>
        <w:tabs>
          <w:tab w:val="num" w:pos="5760"/>
        </w:tabs>
        <w:ind w:left="5760" w:hanging="360"/>
      </w:pPr>
      <w:rPr>
        <w:rFonts w:ascii="Arial" w:hAnsi="Arial" w:hint="default"/>
      </w:rPr>
    </w:lvl>
    <w:lvl w:ilvl="8" w:tplc="CD0CBB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526486"/>
    <w:multiLevelType w:val="hybridMultilevel"/>
    <w:tmpl w:val="8B801056"/>
    <w:lvl w:ilvl="0" w:tplc="14485558">
      <w:start w:val="1"/>
      <w:numFmt w:val="decimal"/>
      <w:lvlText w:val="%1."/>
      <w:lvlJc w:val="left"/>
      <w:pPr>
        <w:tabs>
          <w:tab w:val="num" w:pos="720"/>
        </w:tabs>
        <w:ind w:left="720" w:hanging="360"/>
      </w:pPr>
    </w:lvl>
    <w:lvl w:ilvl="1" w:tplc="8CBEBE6C" w:tentative="1">
      <w:start w:val="1"/>
      <w:numFmt w:val="decimal"/>
      <w:lvlText w:val="%2."/>
      <w:lvlJc w:val="left"/>
      <w:pPr>
        <w:tabs>
          <w:tab w:val="num" w:pos="1440"/>
        </w:tabs>
        <w:ind w:left="1440" w:hanging="360"/>
      </w:pPr>
    </w:lvl>
    <w:lvl w:ilvl="2" w:tplc="E0E8B708" w:tentative="1">
      <w:start w:val="1"/>
      <w:numFmt w:val="decimal"/>
      <w:lvlText w:val="%3."/>
      <w:lvlJc w:val="left"/>
      <w:pPr>
        <w:tabs>
          <w:tab w:val="num" w:pos="2160"/>
        </w:tabs>
        <w:ind w:left="2160" w:hanging="360"/>
      </w:pPr>
    </w:lvl>
    <w:lvl w:ilvl="3" w:tplc="45D4427E" w:tentative="1">
      <w:start w:val="1"/>
      <w:numFmt w:val="decimal"/>
      <w:lvlText w:val="%4."/>
      <w:lvlJc w:val="left"/>
      <w:pPr>
        <w:tabs>
          <w:tab w:val="num" w:pos="2880"/>
        </w:tabs>
        <w:ind w:left="2880" w:hanging="360"/>
      </w:pPr>
    </w:lvl>
    <w:lvl w:ilvl="4" w:tplc="6E1A7058" w:tentative="1">
      <w:start w:val="1"/>
      <w:numFmt w:val="decimal"/>
      <w:lvlText w:val="%5."/>
      <w:lvlJc w:val="left"/>
      <w:pPr>
        <w:tabs>
          <w:tab w:val="num" w:pos="3600"/>
        </w:tabs>
        <w:ind w:left="3600" w:hanging="360"/>
      </w:pPr>
    </w:lvl>
    <w:lvl w:ilvl="5" w:tplc="57B42D02" w:tentative="1">
      <w:start w:val="1"/>
      <w:numFmt w:val="decimal"/>
      <w:lvlText w:val="%6."/>
      <w:lvlJc w:val="left"/>
      <w:pPr>
        <w:tabs>
          <w:tab w:val="num" w:pos="4320"/>
        </w:tabs>
        <w:ind w:left="4320" w:hanging="360"/>
      </w:pPr>
    </w:lvl>
    <w:lvl w:ilvl="6" w:tplc="19F89E8A" w:tentative="1">
      <w:start w:val="1"/>
      <w:numFmt w:val="decimal"/>
      <w:lvlText w:val="%7."/>
      <w:lvlJc w:val="left"/>
      <w:pPr>
        <w:tabs>
          <w:tab w:val="num" w:pos="5040"/>
        </w:tabs>
        <w:ind w:left="5040" w:hanging="360"/>
      </w:pPr>
    </w:lvl>
    <w:lvl w:ilvl="7" w:tplc="B3067C86" w:tentative="1">
      <w:start w:val="1"/>
      <w:numFmt w:val="decimal"/>
      <w:lvlText w:val="%8."/>
      <w:lvlJc w:val="left"/>
      <w:pPr>
        <w:tabs>
          <w:tab w:val="num" w:pos="5760"/>
        </w:tabs>
        <w:ind w:left="5760" w:hanging="360"/>
      </w:pPr>
    </w:lvl>
    <w:lvl w:ilvl="8" w:tplc="96769D54" w:tentative="1">
      <w:start w:val="1"/>
      <w:numFmt w:val="decimal"/>
      <w:lvlText w:val="%9."/>
      <w:lvlJc w:val="left"/>
      <w:pPr>
        <w:tabs>
          <w:tab w:val="num" w:pos="6480"/>
        </w:tabs>
        <w:ind w:left="6480" w:hanging="360"/>
      </w:pPr>
    </w:lvl>
  </w:abstractNum>
  <w:abstractNum w:abstractNumId="8" w15:restartNumberingAfterBreak="0">
    <w:nsid w:val="34EB49F1"/>
    <w:multiLevelType w:val="hybridMultilevel"/>
    <w:tmpl w:val="C5E6BBFE"/>
    <w:lvl w:ilvl="0" w:tplc="B608C65A">
      <w:start w:val="1"/>
      <w:numFmt w:val="bullet"/>
      <w:lvlText w:val="•"/>
      <w:lvlJc w:val="left"/>
      <w:pPr>
        <w:tabs>
          <w:tab w:val="num" w:pos="720"/>
        </w:tabs>
        <w:ind w:left="720" w:hanging="360"/>
      </w:pPr>
      <w:rPr>
        <w:rFonts w:ascii="Arial" w:hAnsi="Arial" w:hint="default"/>
      </w:rPr>
    </w:lvl>
    <w:lvl w:ilvl="1" w:tplc="0A0CE798" w:tentative="1">
      <w:start w:val="1"/>
      <w:numFmt w:val="bullet"/>
      <w:lvlText w:val="•"/>
      <w:lvlJc w:val="left"/>
      <w:pPr>
        <w:tabs>
          <w:tab w:val="num" w:pos="1440"/>
        </w:tabs>
        <w:ind w:left="1440" w:hanging="360"/>
      </w:pPr>
      <w:rPr>
        <w:rFonts w:ascii="Arial" w:hAnsi="Arial" w:hint="default"/>
      </w:rPr>
    </w:lvl>
    <w:lvl w:ilvl="2" w:tplc="3E246A66" w:tentative="1">
      <w:start w:val="1"/>
      <w:numFmt w:val="bullet"/>
      <w:lvlText w:val="•"/>
      <w:lvlJc w:val="left"/>
      <w:pPr>
        <w:tabs>
          <w:tab w:val="num" w:pos="2160"/>
        </w:tabs>
        <w:ind w:left="2160" w:hanging="360"/>
      </w:pPr>
      <w:rPr>
        <w:rFonts w:ascii="Arial" w:hAnsi="Arial" w:hint="default"/>
      </w:rPr>
    </w:lvl>
    <w:lvl w:ilvl="3" w:tplc="638437F4" w:tentative="1">
      <w:start w:val="1"/>
      <w:numFmt w:val="bullet"/>
      <w:lvlText w:val="•"/>
      <w:lvlJc w:val="left"/>
      <w:pPr>
        <w:tabs>
          <w:tab w:val="num" w:pos="2880"/>
        </w:tabs>
        <w:ind w:left="2880" w:hanging="360"/>
      </w:pPr>
      <w:rPr>
        <w:rFonts w:ascii="Arial" w:hAnsi="Arial" w:hint="default"/>
      </w:rPr>
    </w:lvl>
    <w:lvl w:ilvl="4" w:tplc="0AC45F5E" w:tentative="1">
      <w:start w:val="1"/>
      <w:numFmt w:val="bullet"/>
      <w:lvlText w:val="•"/>
      <w:lvlJc w:val="left"/>
      <w:pPr>
        <w:tabs>
          <w:tab w:val="num" w:pos="3600"/>
        </w:tabs>
        <w:ind w:left="3600" w:hanging="360"/>
      </w:pPr>
      <w:rPr>
        <w:rFonts w:ascii="Arial" w:hAnsi="Arial" w:hint="default"/>
      </w:rPr>
    </w:lvl>
    <w:lvl w:ilvl="5" w:tplc="0598F3A0" w:tentative="1">
      <w:start w:val="1"/>
      <w:numFmt w:val="bullet"/>
      <w:lvlText w:val="•"/>
      <w:lvlJc w:val="left"/>
      <w:pPr>
        <w:tabs>
          <w:tab w:val="num" w:pos="4320"/>
        </w:tabs>
        <w:ind w:left="4320" w:hanging="360"/>
      </w:pPr>
      <w:rPr>
        <w:rFonts w:ascii="Arial" w:hAnsi="Arial" w:hint="default"/>
      </w:rPr>
    </w:lvl>
    <w:lvl w:ilvl="6" w:tplc="E0B89170" w:tentative="1">
      <w:start w:val="1"/>
      <w:numFmt w:val="bullet"/>
      <w:lvlText w:val="•"/>
      <w:lvlJc w:val="left"/>
      <w:pPr>
        <w:tabs>
          <w:tab w:val="num" w:pos="5040"/>
        </w:tabs>
        <w:ind w:left="5040" w:hanging="360"/>
      </w:pPr>
      <w:rPr>
        <w:rFonts w:ascii="Arial" w:hAnsi="Arial" w:hint="default"/>
      </w:rPr>
    </w:lvl>
    <w:lvl w:ilvl="7" w:tplc="DAC8C9C0" w:tentative="1">
      <w:start w:val="1"/>
      <w:numFmt w:val="bullet"/>
      <w:lvlText w:val="•"/>
      <w:lvlJc w:val="left"/>
      <w:pPr>
        <w:tabs>
          <w:tab w:val="num" w:pos="5760"/>
        </w:tabs>
        <w:ind w:left="5760" w:hanging="360"/>
      </w:pPr>
      <w:rPr>
        <w:rFonts w:ascii="Arial" w:hAnsi="Arial" w:hint="default"/>
      </w:rPr>
    </w:lvl>
    <w:lvl w:ilvl="8" w:tplc="4510D75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5E140E5"/>
    <w:multiLevelType w:val="hybridMultilevel"/>
    <w:tmpl w:val="B4B86DC6"/>
    <w:lvl w:ilvl="0" w:tplc="A5821358">
      <w:start w:val="1"/>
      <w:numFmt w:val="decimal"/>
      <w:lvlText w:val="%1."/>
      <w:lvlJc w:val="left"/>
      <w:pPr>
        <w:tabs>
          <w:tab w:val="num" w:pos="720"/>
        </w:tabs>
        <w:ind w:left="720" w:hanging="360"/>
      </w:pPr>
    </w:lvl>
    <w:lvl w:ilvl="1" w:tplc="53822C50" w:tentative="1">
      <w:start w:val="1"/>
      <w:numFmt w:val="decimal"/>
      <w:lvlText w:val="%2."/>
      <w:lvlJc w:val="left"/>
      <w:pPr>
        <w:tabs>
          <w:tab w:val="num" w:pos="1440"/>
        </w:tabs>
        <w:ind w:left="1440" w:hanging="360"/>
      </w:pPr>
    </w:lvl>
    <w:lvl w:ilvl="2" w:tplc="55C8564A" w:tentative="1">
      <w:start w:val="1"/>
      <w:numFmt w:val="decimal"/>
      <w:lvlText w:val="%3."/>
      <w:lvlJc w:val="left"/>
      <w:pPr>
        <w:tabs>
          <w:tab w:val="num" w:pos="2160"/>
        </w:tabs>
        <w:ind w:left="2160" w:hanging="360"/>
      </w:pPr>
    </w:lvl>
    <w:lvl w:ilvl="3" w:tplc="E59AFAAA" w:tentative="1">
      <w:start w:val="1"/>
      <w:numFmt w:val="decimal"/>
      <w:lvlText w:val="%4."/>
      <w:lvlJc w:val="left"/>
      <w:pPr>
        <w:tabs>
          <w:tab w:val="num" w:pos="2880"/>
        </w:tabs>
        <w:ind w:left="2880" w:hanging="360"/>
      </w:pPr>
    </w:lvl>
    <w:lvl w:ilvl="4" w:tplc="EEF82E74" w:tentative="1">
      <w:start w:val="1"/>
      <w:numFmt w:val="decimal"/>
      <w:lvlText w:val="%5."/>
      <w:lvlJc w:val="left"/>
      <w:pPr>
        <w:tabs>
          <w:tab w:val="num" w:pos="3600"/>
        </w:tabs>
        <w:ind w:left="3600" w:hanging="360"/>
      </w:pPr>
    </w:lvl>
    <w:lvl w:ilvl="5" w:tplc="6B2CF19A" w:tentative="1">
      <w:start w:val="1"/>
      <w:numFmt w:val="decimal"/>
      <w:lvlText w:val="%6."/>
      <w:lvlJc w:val="left"/>
      <w:pPr>
        <w:tabs>
          <w:tab w:val="num" w:pos="4320"/>
        </w:tabs>
        <w:ind w:left="4320" w:hanging="360"/>
      </w:pPr>
    </w:lvl>
    <w:lvl w:ilvl="6" w:tplc="5A4A6336" w:tentative="1">
      <w:start w:val="1"/>
      <w:numFmt w:val="decimal"/>
      <w:lvlText w:val="%7."/>
      <w:lvlJc w:val="left"/>
      <w:pPr>
        <w:tabs>
          <w:tab w:val="num" w:pos="5040"/>
        </w:tabs>
        <w:ind w:left="5040" w:hanging="360"/>
      </w:pPr>
    </w:lvl>
    <w:lvl w:ilvl="7" w:tplc="9A1CB256" w:tentative="1">
      <w:start w:val="1"/>
      <w:numFmt w:val="decimal"/>
      <w:lvlText w:val="%8."/>
      <w:lvlJc w:val="left"/>
      <w:pPr>
        <w:tabs>
          <w:tab w:val="num" w:pos="5760"/>
        </w:tabs>
        <w:ind w:left="5760" w:hanging="360"/>
      </w:pPr>
    </w:lvl>
    <w:lvl w:ilvl="8" w:tplc="2D0EE6C0" w:tentative="1">
      <w:start w:val="1"/>
      <w:numFmt w:val="decimal"/>
      <w:lvlText w:val="%9."/>
      <w:lvlJc w:val="left"/>
      <w:pPr>
        <w:tabs>
          <w:tab w:val="num" w:pos="6480"/>
        </w:tabs>
        <w:ind w:left="6480" w:hanging="360"/>
      </w:pPr>
    </w:lvl>
  </w:abstractNum>
  <w:abstractNum w:abstractNumId="10" w15:restartNumberingAfterBreak="0">
    <w:nsid w:val="35E55046"/>
    <w:multiLevelType w:val="hybridMultilevel"/>
    <w:tmpl w:val="BCDA8A1A"/>
    <w:lvl w:ilvl="0" w:tplc="82F47038">
      <w:start w:val="1"/>
      <w:numFmt w:val="bullet"/>
      <w:lvlText w:val="•"/>
      <w:lvlJc w:val="left"/>
      <w:pPr>
        <w:tabs>
          <w:tab w:val="num" w:pos="720"/>
        </w:tabs>
        <w:ind w:left="720" w:hanging="360"/>
      </w:pPr>
      <w:rPr>
        <w:rFonts w:ascii="Arial" w:hAnsi="Arial" w:hint="default"/>
      </w:rPr>
    </w:lvl>
    <w:lvl w:ilvl="1" w:tplc="6FDCBDEE" w:tentative="1">
      <w:start w:val="1"/>
      <w:numFmt w:val="bullet"/>
      <w:lvlText w:val="•"/>
      <w:lvlJc w:val="left"/>
      <w:pPr>
        <w:tabs>
          <w:tab w:val="num" w:pos="1440"/>
        </w:tabs>
        <w:ind w:left="1440" w:hanging="360"/>
      </w:pPr>
      <w:rPr>
        <w:rFonts w:ascii="Arial" w:hAnsi="Arial" w:hint="default"/>
      </w:rPr>
    </w:lvl>
    <w:lvl w:ilvl="2" w:tplc="EF4A905C" w:tentative="1">
      <w:start w:val="1"/>
      <w:numFmt w:val="bullet"/>
      <w:lvlText w:val="•"/>
      <w:lvlJc w:val="left"/>
      <w:pPr>
        <w:tabs>
          <w:tab w:val="num" w:pos="2160"/>
        </w:tabs>
        <w:ind w:left="2160" w:hanging="360"/>
      </w:pPr>
      <w:rPr>
        <w:rFonts w:ascii="Arial" w:hAnsi="Arial" w:hint="default"/>
      </w:rPr>
    </w:lvl>
    <w:lvl w:ilvl="3" w:tplc="C480E676" w:tentative="1">
      <w:start w:val="1"/>
      <w:numFmt w:val="bullet"/>
      <w:lvlText w:val="•"/>
      <w:lvlJc w:val="left"/>
      <w:pPr>
        <w:tabs>
          <w:tab w:val="num" w:pos="2880"/>
        </w:tabs>
        <w:ind w:left="2880" w:hanging="360"/>
      </w:pPr>
      <w:rPr>
        <w:rFonts w:ascii="Arial" w:hAnsi="Arial" w:hint="default"/>
      </w:rPr>
    </w:lvl>
    <w:lvl w:ilvl="4" w:tplc="FBC8B546" w:tentative="1">
      <w:start w:val="1"/>
      <w:numFmt w:val="bullet"/>
      <w:lvlText w:val="•"/>
      <w:lvlJc w:val="left"/>
      <w:pPr>
        <w:tabs>
          <w:tab w:val="num" w:pos="3600"/>
        </w:tabs>
        <w:ind w:left="3600" w:hanging="360"/>
      </w:pPr>
      <w:rPr>
        <w:rFonts w:ascii="Arial" w:hAnsi="Arial" w:hint="default"/>
      </w:rPr>
    </w:lvl>
    <w:lvl w:ilvl="5" w:tplc="C25A6754" w:tentative="1">
      <w:start w:val="1"/>
      <w:numFmt w:val="bullet"/>
      <w:lvlText w:val="•"/>
      <w:lvlJc w:val="left"/>
      <w:pPr>
        <w:tabs>
          <w:tab w:val="num" w:pos="4320"/>
        </w:tabs>
        <w:ind w:left="4320" w:hanging="360"/>
      </w:pPr>
      <w:rPr>
        <w:rFonts w:ascii="Arial" w:hAnsi="Arial" w:hint="default"/>
      </w:rPr>
    </w:lvl>
    <w:lvl w:ilvl="6" w:tplc="6A0000CA" w:tentative="1">
      <w:start w:val="1"/>
      <w:numFmt w:val="bullet"/>
      <w:lvlText w:val="•"/>
      <w:lvlJc w:val="left"/>
      <w:pPr>
        <w:tabs>
          <w:tab w:val="num" w:pos="5040"/>
        </w:tabs>
        <w:ind w:left="5040" w:hanging="360"/>
      </w:pPr>
      <w:rPr>
        <w:rFonts w:ascii="Arial" w:hAnsi="Arial" w:hint="default"/>
      </w:rPr>
    </w:lvl>
    <w:lvl w:ilvl="7" w:tplc="B79EA944" w:tentative="1">
      <w:start w:val="1"/>
      <w:numFmt w:val="bullet"/>
      <w:lvlText w:val="•"/>
      <w:lvlJc w:val="left"/>
      <w:pPr>
        <w:tabs>
          <w:tab w:val="num" w:pos="5760"/>
        </w:tabs>
        <w:ind w:left="5760" w:hanging="360"/>
      </w:pPr>
      <w:rPr>
        <w:rFonts w:ascii="Arial" w:hAnsi="Arial" w:hint="default"/>
      </w:rPr>
    </w:lvl>
    <w:lvl w:ilvl="8" w:tplc="3AA89D6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6BB6674"/>
    <w:multiLevelType w:val="hybridMultilevel"/>
    <w:tmpl w:val="5D283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75EF8"/>
    <w:multiLevelType w:val="hybridMultilevel"/>
    <w:tmpl w:val="5F52689A"/>
    <w:lvl w:ilvl="0" w:tplc="2B524A0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3CCB02FF"/>
    <w:multiLevelType w:val="hybridMultilevel"/>
    <w:tmpl w:val="56DA75E2"/>
    <w:lvl w:ilvl="0" w:tplc="C18CADC8">
      <w:start w:val="1"/>
      <w:numFmt w:val="bullet"/>
      <w:lvlText w:val="•"/>
      <w:lvlJc w:val="left"/>
      <w:pPr>
        <w:tabs>
          <w:tab w:val="num" w:pos="720"/>
        </w:tabs>
        <w:ind w:left="720" w:hanging="360"/>
      </w:pPr>
      <w:rPr>
        <w:rFonts w:ascii="Arial" w:hAnsi="Arial" w:hint="default"/>
      </w:rPr>
    </w:lvl>
    <w:lvl w:ilvl="1" w:tplc="3E10565C">
      <w:start w:val="1"/>
      <w:numFmt w:val="bullet"/>
      <w:lvlText w:val="•"/>
      <w:lvlJc w:val="left"/>
      <w:pPr>
        <w:tabs>
          <w:tab w:val="num" w:pos="1440"/>
        </w:tabs>
        <w:ind w:left="1440" w:hanging="360"/>
      </w:pPr>
      <w:rPr>
        <w:rFonts w:ascii="Arial" w:hAnsi="Arial" w:hint="default"/>
      </w:rPr>
    </w:lvl>
    <w:lvl w:ilvl="2" w:tplc="7A186EF8" w:tentative="1">
      <w:start w:val="1"/>
      <w:numFmt w:val="bullet"/>
      <w:lvlText w:val="•"/>
      <w:lvlJc w:val="left"/>
      <w:pPr>
        <w:tabs>
          <w:tab w:val="num" w:pos="2160"/>
        </w:tabs>
        <w:ind w:left="2160" w:hanging="360"/>
      </w:pPr>
      <w:rPr>
        <w:rFonts w:ascii="Arial" w:hAnsi="Arial" w:hint="default"/>
      </w:rPr>
    </w:lvl>
    <w:lvl w:ilvl="3" w:tplc="8CE6F338" w:tentative="1">
      <w:start w:val="1"/>
      <w:numFmt w:val="bullet"/>
      <w:lvlText w:val="•"/>
      <w:lvlJc w:val="left"/>
      <w:pPr>
        <w:tabs>
          <w:tab w:val="num" w:pos="2880"/>
        </w:tabs>
        <w:ind w:left="2880" w:hanging="360"/>
      </w:pPr>
      <w:rPr>
        <w:rFonts w:ascii="Arial" w:hAnsi="Arial" w:hint="default"/>
      </w:rPr>
    </w:lvl>
    <w:lvl w:ilvl="4" w:tplc="33721ECE" w:tentative="1">
      <w:start w:val="1"/>
      <w:numFmt w:val="bullet"/>
      <w:lvlText w:val="•"/>
      <w:lvlJc w:val="left"/>
      <w:pPr>
        <w:tabs>
          <w:tab w:val="num" w:pos="3600"/>
        </w:tabs>
        <w:ind w:left="3600" w:hanging="360"/>
      </w:pPr>
      <w:rPr>
        <w:rFonts w:ascii="Arial" w:hAnsi="Arial" w:hint="default"/>
      </w:rPr>
    </w:lvl>
    <w:lvl w:ilvl="5" w:tplc="3C2817C2" w:tentative="1">
      <w:start w:val="1"/>
      <w:numFmt w:val="bullet"/>
      <w:lvlText w:val="•"/>
      <w:lvlJc w:val="left"/>
      <w:pPr>
        <w:tabs>
          <w:tab w:val="num" w:pos="4320"/>
        </w:tabs>
        <w:ind w:left="4320" w:hanging="360"/>
      </w:pPr>
      <w:rPr>
        <w:rFonts w:ascii="Arial" w:hAnsi="Arial" w:hint="default"/>
      </w:rPr>
    </w:lvl>
    <w:lvl w:ilvl="6" w:tplc="D2463FFC" w:tentative="1">
      <w:start w:val="1"/>
      <w:numFmt w:val="bullet"/>
      <w:lvlText w:val="•"/>
      <w:lvlJc w:val="left"/>
      <w:pPr>
        <w:tabs>
          <w:tab w:val="num" w:pos="5040"/>
        </w:tabs>
        <w:ind w:left="5040" w:hanging="360"/>
      </w:pPr>
      <w:rPr>
        <w:rFonts w:ascii="Arial" w:hAnsi="Arial" w:hint="default"/>
      </w:rPr>
    </w:lvl>
    <w:lvl w:ilvl="7" w:tplc="13CC003A" w:tentative="1">
      <w:start w:val="1"/>
      <w:numFmt w:val="bullet"/>
      <w:lvlText w:val="•"/>
      <w:lvlJc w:val="left"/>
      <w:pPr>
        <w:tabs>
          <w:tab w:val="num" w:pos="5760"/>
        </w:tabs>
        <w:ind w:left="5760" w:hanging="360"/>
      </w:pPr>
      <w:rPr>
        <w:rFonts w:ascii="Arial" w:hAnsi="Arial" w:hint="default"/>
      </w:rPr>
    </w:lvl>
    <w:lvl w:ilvl="8" w:tplc="164E1C8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1440750"/>
    <w:multiLevelType w:val="hybridMultilevel"/>
    <w:tmpl w:val="EC564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286F34"/>
    <w:multiLevelType w:val="hybridMultilevel"/>
    <w:tmpl w:val="C9880F8A"/>
    <w:lvl w:ilvl="0" w:tplc="674AED6C">
      <w:start w:val="1"/>
      <w:numFmt w:val="bullet"/>
      <w:lvlText w:val="•"/>
      <w:lvlJc w:val="left"/>
      <w:pPr>
        <w:tabs>
          <w:tab w:val="num" w:pos="720"/>
        </w:tabs>
        <w:ind w:left="720" w:hanging="360"/>
      </w:pPr>
      <w:rPr>
        <w:rFonts w:ascii="Arial" w:hAnsi="Arial" w:hint="default"/>
      </w:rPr>
    </w:lvl>
    <w:lvl w:ilvl="1" w:tplc="D3E484FE">
      <w:start w:val="542"/>
      <w:numFmt w:val="bullet"/>
      <w:lvlText w:val="•"/>
      <w:lvlJc w:val="left"/>
      <w:pPr>
        <w:tabs>
          <w:tab w:val="num" w:pos="1440"/>
        </w:tabs>
        <w:ind w:left="1440" w:hanging="360"/>
      </w:pPr>
      <w:rPr>
        <w:rFonts w:ascii="Arial" w:hAnsi="Arial" w:hint="default"/>
      </w:rPr>
    </w:lvl>
    <w:lvl w:ilvl="2" w:tplc="77BA9D5C" w:tentative="1">
      <w:start w:val="1"/>
      <w:numFmt w:val="bullet"/>
      <w:lvlText w:val="•"/>
      <w:lvlJc w:val="left"/>
      <w:pPr>
        <w:tabs>
          <w:tab w:val="num" w:pos="2160"/>
        </w:tabs>
        <w:ind w:left="2160" w:hanging="360"/>
      </w:pPr>
      <w:rPr>
        <w:rFonts w:ascii="Arial" w:hAnsi="Arial" w:hint="default"/>
      </w:rPr>
    </w:lvl>
    <w:lvl w:ilvl="3" w:tplc="43B4DF98" w:tentative="1">
      <w:start w:val="1"/>
      <w:numFmt w:val="bullet"/>
      <w:lvlText w:val="•"/>
      <w:lvlJc w:val="left"/>
      <w:pPr>
        <w:tabs>
          <w:tab w:val="num" w:pos="2880"/>
        </w:tabs>
        <w:ind w:left="2880" w:hanging="360"/>
      </w:pPr>
      <w:rPr>
        <w:rFonts w:ascii="Arial" w:hAnsi="Arial" w:hint="default"/>
      </w:rPr>
    </w:lvl>
    <w:lvl w:ilvl="4" w:tplc="5252869E" w:tentative="1">
      <w:start w:val="1"/>
      <w:numFmt w:val="bullet"/>
      <w:lvlText w:val="•"/>
      <w:lvlJc w:val="left"/>
      <w:pPr>
        <w:tabs>
          <w:tab w:val="num" w:pos="3600"/>
        </w:tabs>
        <w:ind w:left="3600" w:hanging="360"/>
      </w:pPr>
      <w:rPr>
        <w:rFonts w:ascii="Arial" w:hAnsi="Arial" w:hint="default"/>
      </w:rPr>
    </w:lvl>
    <w:lvl w:ilvl="5" w:tplc="D0D2B384" w:tentative="1">
      <w:start w:val="1"/>
      <w:numFmt w:val="bullet"/>
      <w:lvlText w:val="•"/>
      <w:lvlJc w:val="left"/>
      <w:pPr>
        <w:tabs>
          <w:tab w:val="num" w:pos="4320"/>
        </w:tabs>
        <w:ind w:left="4320" w:hanging="360"/>
      </w:pPr>
      <w:rPr>
        <w:rFonts w:ascii="Arial" w:hAnsi="Arial" w:hint="default"/>
      </w:rPr>
    </w:lvl>
    <w:lvl w:ilvl="6" w:tplc="4AF068F8" w:tentative="1">
      <w:start w:val="1"/>
      <w:numFmt w:val="bullet"/>
      <w:lvlText w:val="•"/>
      <w:lvlJc w:val="left"/>
      <w:pPr>
        <w:tabs>
          <w:tab w:val="num" w:pos="5040"/>
        </w:tabs>
        <w:ind w:left="5040" w:hanging="360"/>
      </w:pPr>
      <w:rPr>
        <w:rFonts w:ascii="Arial" w:hAnsi="Arial" w:hint="default"/>
      </w:rPr>
    </w:lvl>
    <w:lvl w:ilvl="7" w:tplc="4A203BE6" w:tentative="1">
      <w:start w:val="1"/>
      <w:numFmt w:val="bullet"/>
      <w:lvlText w:val="•"/>
      <w:lvlJc w:val="left"/>
      <w:pPr>
        <w:tabs>
          <w:tab w:val="num" w:pos="5760"/>
        </w:tabs>
        <w:ind w:left="5760" w:hanging="360"/>
      </w:pPr>
      <w:rPr>
        <w:rFonts w:ascii="Arial" w:hAnsi="Arial" w:hint="default"/>
      </w:rPr>
    </w:lvl>
    <w:lvl w:ilvl="8" w:tplc="305A3C9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04B1D10"/>
    <w:multiLevelType w:val="hybridMultilevel"/>
    <w:tmpl w:val="19D2E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9A47C3"/>
    <w:multiLevelType w:val="hybridMultilevel"/>
    <w:tmpl w:val="8416D0A0"/>
    <w:lvl w:ilvl="0" w:tplc="D58A95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C271A8"/>
    <w:multiLevelType w:val="hybridMultilevel"/>
    <w:tmpl w:val="EED4FF5A"/>
    <w:lvl w:ilvl="0" w:tplc="D3A6485C">
      <w:start w:val="1"/>
      <w:numFmt w:val="bullet"/>
      <w:lvlText w:val="•"/>
      <w:lvlJc w:val="left"/>
      <w:pPr>
        <w:tabs>
          <w:tab w:val="num" w:pos="720"/>
        </w:tabs>
        <w:ind w:left="720" w:hanging="360"/>
      </w:pPr>
      <w:rPr>
        <w:rFonts w:ascii="Arial" w:hAnsi="Arial" w:hint="default"/>
      </w:rPr>
    </w:lvl>
    <w:lvl w:ilvl="1" w:tplc="486A7F88">
      <w:start w:val="548"/>
      <w:numFmt w:val="bullet"/>
      <w:lvlText w:val="•"/>
      <w:lvlJc w:val="left"/>
      <w:pPr>
        <w:tabs>
          <w:tab w:val="num" w:pos="1440"/>
        </w:tabs>
        <w:ind w:left="1440" w:hanging="360"/>
      </w:pPr>
      <w:rPr>
        <w:rFonts w:ascii="Arial" w:hAnsi="Arial" w:hint="default"/>
      </w:rPr>
    </w:lvl>
    <w:lvl w:ilvl="2" w:tplc="FE2C6E2E" w:tentative="1">
      <w:start w:val="1"/>
      <w:numFmt w:val="bullet"/>
      <w:lvlText w:val="•"/>
      <w:lvlJc w:val="left"/>
      <w:pPr>
        <w:tabs>
          <w:tab w:val="num" w:pos="2160"/>
        </w:tabs>
        <w:ind w:left="2160" w:hanging="360"/>
      </w:pPr>
      <w:rPr>
        <w:rFonts w:ascii="Arial" w:hAnsi="Arial" w:hint="default"/>
      </w:rPr>
    </w:lvl>
    <w:lvl w:ilvl="3" w:tplc="400C5F0A" w:tentative="1">
      <w:start w:val="1"/>
      <w:numFmt w:val="bullet"/>
      <w:lvlText w:val="•"/>
      <w:lvlJc w:val="left"/>
      <w:pPr>
        <w:tabs>
          <w:tab w:val="num" w:pos="2880"/>
        </w:tabs>
        <w:ind w:left="2880" w:hanging="360"/>
      </w:pPr>
      <w:rPr>
        <w:rFonts w:ascii="Arial" w:hAnsi="Arial" w:hint="default"/>
      </w:rPr>
    </w:lvl>
    <w:lvl w:ilvl="4" w:tplc="8D4ADDCE" w:tentative="1">
      <w:start w:val="1"/>
      <w:numFmt w:val="bullet"/>
      <w:lvlText w:val="•"/>
      <w:lvlJc w:val="left"/>
      <w:pPr>
        <w:tabs>
          <w:tab w:val="num" w:pos="3600"/>
        </w:tabs>
        <w:ind w:left="3600" w:hanging="360"/>
      </w:pPr>
      <w:rPr>
        <w:rFonts w:ascii="Arial" w:hAnsi="Arial" w:hint="default"/>
      </w:rPr>
    </w:lvl>
    <w:lvl w:ilvl="5" w:tplc="CC66EEBC" w:tentative="1">
      <w:start w:val="1"/>
      <w:numFmt w:val="bullet"/>
      <w:lvlText w:val="•"/>
      <w:lvlJc w:val="left"/>
      <w:pPr>
        <w:tabs>
          <w:tab w:val="num" w:pos="4320"/>
        </w:tabs>
        <w:ind w:left="4320" w:hanging="360"/>
      </w:pPr>
      <w:rPr>
        <w:rFonts w:ascii="Arial" w:hAnsi="Arial" w:hint="default"/>
      </w:rPr>
    </w:lvl>
    <w:lvl w:ilvl="6" w:tplc="69044DAC" w:tentative="1">
      <w:start w:val="1"/>
      <w:numFmt w:val="bullet"/>
      <w:lvlText w:val="•"/>
      <w:lvlJc w:val="left"/>
      <w:pPr>
        <w:tabs>
          <w:tab w:val="num" w:pos="5040"/>
        </w:tabs>
        <w:ind w:left="5040" w:hanging="360"/>
      </w:pPr>
      <w:rPr>
        <w:rFonts w:ascii="Arial" w:hAnsi="Arial" w:hint="default"/>
      </w:rPr>
    </w:lvl>
    <w:lvl w:ilvl="7" w:tplc="3598776C" w:tentative="1">
      <w:start w:val="1"/>
      <w:numFmt w:val="bullet"/>
      <w:lvlText w:val="•"/>
      <w:lvlJc w:val="left"/>
      <w:pPr>
        <w:tabs>
          <w:tab w:val="num" w:pos="5760"/>
        </w:tabs>
        <w:ind w:left="5760" w:hanging="360"/>
      </w:pPr>
      <w:rPr>
        <w:rFonts w:ascii="Arial" w:hAnsi="Arial" w:hint="default"/>
      </w:rPr>
    </w:lvl>
    <w:lvl w:ilvl="8" w:tplc="E35AA12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73050D5"/>
    <w:multiLevelType w:val="hybridMultilevel"/>
    <w:tmpl w:val="73E0C648"/>
    <w:lvl w:ilvl="0" w:tplc="65EEF24E">
      <w:start w:val="1"/>
      <w:numFmt w:val="decimal"/>
      <w:lvlText w:val="%1."/>
      <w:lvlJc w:val="left"/>
      <w:pPr>
        <w:tabs>
          <w:tab w:val="num" w:pos="720"/>
        </w:tabs>
        <w:ind w:left="720" w:hanging="360"/>
      </w:pPr>
    </w:lvl>
    <w:lvl w:ilvl="1" w:tplc="6172E68C" w:tentative="1">
      <w:start w:val="1"/>
      <w:numFmt w:val="decimal"/>
      <w:lvlText w:val="%2."/>
      <w:lvlJc w:val="left"/>
      <w:pPr>
        <w:tabs>
          <w:tab w:val="num" w:pos="1440"/>
        </w:tabs>
        <w:ind w:left="1440" w:hanging="360"/>
      </w:pPr>
    </w:lvl>
    <w:lvl w:ilvl="2" w:tplc="22989412" w:tentative="1">
      <w:start w:val="1"/>
      <w:numFmt w:val="decimal"/>
      <w:lvlText w:val="%3."/>
      <w:lvlJc w:val="left"/>
      <w:pPr>
        <w:tabs>
          <w:tab w:val="num" w:pos="2160"/>
        </w:tabs>
        <w:ind w:left="2160" w:hanging="360"/>
      </w:pPr>
    </w:lvl>
    <w:lvl w:ilvl="3" w:tplc="E6722426" w:tentative="1">
      <w:start w:val="1"/>
      <w:numFmt w:val="decimal"/>
      <w:lvlText w:val="%4."/>
      <w:lvlJc w:val="left"/>
      <w:pPr>
        <w:tabs>
          <w:tab w:val="num" w:pos="2880"/>
        </w:tabs>
        <w:ind w:left="2880" w:hanging="360"/>
      </w:pPr>
    </w:lvl>
    <w:lvl w:ilvl="4" w:tplc="4274AC8A" w:tentative="1">
      <w:start w:val="1"/>
      <w:numFmt w:val="decimal"/>
      <w:lvlText w:val="%5."/>
      <w:lvlJc w:val="left"/>
      <w:pPr>
        <w:tabs>
          <w:tab w:val="num" w:pos="3600"/>
        </w:tabs>
        <w:ind w:left="3600" w:hanging="360"/>
      </w:pPr>
    </w:lvl>
    <w:lvl w:ilvl="5" w:tplc="D5E08006" w:tentative="1">
      <w:start w:val="1"/>
      <w:numFmt w:val="decimal"/>
      <w:lvlText w:val="%6."/>
      <w:lvlJc w:val="left"/>
      <w:pPr>
        <w:tabs>
          <w:tab w:val="num" w:pos="4320"/>
        </w:tabs>
        <w:ind w:left="4320" w:hanging="360"/>
      </w:pPr>
    </w:lvl>
    <w:lvl w:ilvl="6" w:tplc="CAC22C2E" w:tentative="1">
      <w:start w:val="1"/>
      <w:numFmt w:val="decimal"/>
      <w:lvlText w:val="%7."/>
      <w:lvlJc w:val="left"/>
      <w:pPr>
        <w:tabs>
          <w:tab w:val="num" w:pos="5040"/>
        </w:tabs>
        <w:ind w:left="5040" w:hanging="360"/>
      </w:pPr>
    </w:lvl>
    <w:lvl w:ilvl="7" w:tplc="2A16FF00" w:tentative="1">
      <w:start w:val="1"/>
      <w:numFmt w:val="decimal"/>
      <w:lvlText w:val="%8."/>
      <w:lvlJc w:val="left"/>
      <w:pPr>
        <w:tabs>
          <w:tab w:val="num" w:pos="5760"/>
        </w:tabs>
        <w:ind w:left="5760" w:hanging="360"/>
      </w:pPr>
    </w:lvl>
    <w:lvl w:ilvl="8" w:tplc="4CBAF556" w:tentative="1">
      <w:start w:val="1"/>
      <w:numFmt w:val="decimal"/>
      <w:lvlText w:val="%9."/>
      <w:lvlJc w:val="left"/>
      <w:pPr>
        <w:tabs>
          <w:tab w:val="num" w:pos="6480"/>
        </w:tabs>
        <w:ind w:left="6480" w:hanging="360"/>
      </w:pPr>
    </w:lvl>
  </w:abstractNum>
  <w:abstractNum w:abstractNumId="20" w15:restartNumberingAfterBreak="0">
    <w:nsid w:val="7EFA19AC"/>
    <w:multiLevelType w:val="hybridMultilevel"/>
    <w:tmpl w:val="C5CCB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8685524">
    <w:abstractNumId w:val="8"/>
  </w:num>
  <w:num w:numId="2" w16cid:durableId="1505972209">
    <w:abstractNumId w:val="9"/>
  </w:num>
  <w:num w:numId="3" w16cid:durableId="1475028916">
    <w:abstractNumId w:val="19"/>
  </w:num>
  <w:num w:numId="4" w16cid:durableId="1454710623">
    <w:abstractNumId w:val="10"/>
  </w:num>
  <w:num w:numId="5" w16cid:durableId="463696148">
    <w:abstractNumId w:val="7"/>
  </w:num>
  <w:num w:numId="6" w16cid:durableId="1398092423">
    <w:abstractNumId w:val="13"/>
  </w:num>
  <w:num w:numId="7" w16cid:durableId="1694647343">
    <w:abstractNumId w:val="18"/>
  </w:num>
  <w:num w:numId="8" w16cid:durableId="800221821">
    <w:abstractNumId w:val="6"/>
  </w:num>
  <w:num w:numId="9" w16cid:durableId="723025573">
    <w:abstractNumId w:val="1"/>
  </w:num>
  <w:num w:numId="10" w16cid:durableId="480969812">
    <w:abstractNumId w:val="5"/>
  </w:num>
  <w:num w:numId="11" w16cid:durableId="1285698852">
    <w:abstractNumId w:val="11"/>
  </w:num>
  <w:num w:numId="12" w16cid:durableId="1080105858">
    <w:abstractNumId w:val="15"/>
  </w:num>
  <w:num w:numId="13" w16cid:durableId="471872574">
    <w:abstractNumId w:val="17"/>
  </w:num>
  <w:num w:numId="14" w16cid:durableId="1119838432">
    <w:abstractNumId w:val="12"/>
  </w:num>
  <w:num w:numId="15" w16cid:durableId="511795432">
    <w:abstractNumId w:val="16"/>
  </w:num>
  <w:num w:numId="16" w16cid:durableId="706218686">
    <w:abstractNumId w:val="14"/>
  </w:num>
  <w:num w:numId="17" w16cid:durableId="42754838">
    <w:abstractNumId w:val="3"/>
  </w:num>
  <w:num w:numId="18" w16cid:durableId="1001859203">
    <w:abstractNumId w:val="20"/>
  </w:num>
  <w:num w:numId="19" w16cid:durableId="1884754150">
    <w:abstractNumId w:val="0"/>
  </w:num>
  <w:num w:numId="20" w16cid:durableId="1342465572">
    <w:abstractNumId w:val="4"/>
  </w:num>
  <w:num w:numId="21" w16cid:durableId="356082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B10"/>
    <w:rsid w:val="00000FE1"/>
    <w:rsid w:val="00001B09"/>
    <w:rsid w:val="00001DEC"/>
    <w:rsid w:val="00001E5B"/>
    <w:rsid w:val="00003DB5"/>
    <w:rsid w:val="0000597E"/>
    <w:rsid w:val="00005B26"/>
    <w:rsid w:val="000061B4"/>
    <w:rsid w:val="000068DB"/>
    <w:rsid w:val="00007E0E"/>
    <w:rsid w:val="000110D1"/>
    <w:rsid w:val="00011AE7"/>
    <w:rsid w:val="00012D06"/>
    <w:rsid w:val="00013F2E"/>
    <w:rsid w:val="000146E7"/>
    <w:rsid w:val="00016907"/>
    <w:rsid w:val="00017A8F"/>
    <w:rsid w:val="00020791"/>
    <w:rsid w:val="00023FCC"/>
    <w:rsid w:val="00024DF2"/>
    <w:rsid w:val="00024FAA"/>
    <w:rsid w:val="0002597B"/>
    <w:rsid w:val="000261E2"/>
    <w:rsid w:val="00030052"/>
    <w:rsid w:val="0003177C"/>
    <w:rsid w:val="00031B19"/>
    <w:rsid w:val="00031E6B"/>
    <w:rsid w:val="00032452"/>
    <w:rsid w:val="0003381F"/>
    <w:rsid w:val="00034304"/>
    <w:rsid w:val="000356F9"/>
    <w:rsid w:val="000358F0"/>
    <w:rsid w:val="00035A30"/>
    <w:rsid w:val="00036A5B"/>
    <w:rsid w:val="00036C4A"/>
    <w:rsid w:val="00037ED4"/>
    <w:rsid w:val="00040D50"/>
    <w:rsid w:val="00041440"/>
    <w:rsid w:val="00042CE5"/>
    <w:rsid w:val="00043B6A"/>
    <w:rsid w:val="00043D8A"/>
    <w:rsid w:val="000460B3"/>
    <w:rsid w:val="0005083A"/>
    <w:rsid w:val="00050A25"/>
    <w:rsid w:val="00050B42"/>
    <w:rsid w:val="00050D5D"/>
    <w:rsid w:val="000511FA"/>
    <w:rsid w:val="00054A92"/>
    <w:rsid w:val="00056047"/>
    <w:rsid w:val="00056177"/>
    <w:rsid w:val="00056554"/>
    <w:rsid w:val="00056C08"/>
    <w:rsid w:val="000603AB"/>
    <w:rsid w:val="00060952"/>
    <w:rsid w:val="000611B9"/>
    <w:rsid w:val="00063429"/>
    <w:rsid w:val="00063D16"/>
    <w:rsid w:val="000640B7"/>
    <w:rsid w:val="00064EBD"/>
    <w:rsid w:val="00065CB7"/>
    <w:rsid w:val="00065D5A"/>
    <w:rsid w:val="00070017"/>
    <w:rsid w:val="000700EC"/>
    <w:rsid w:val="0007056A"/>
    <w:rsid w:val="0007211D"/>
    <w:rsid w:val="00072B7A"/>
    <w:rsid w:val="00073254"/>
    <w:rsid w:val="00073683"/>
    <w:rsid w:val="000738FB"/>
    <w:rsid w:val="00074843"/>
    <w:rsid w:val="00075A49"/>
    <w:rsid w:val="00075CA6"/>
    <w:rsid w:val="00077A2F"/>
    <w:rsid w:val="00081123"/>
    <w:rsid w:val="000820B0"/>
    <w:rsid w:val="00082124"/>
    <w:rsid w:val="00084A01"/>
    <w:rsid w:val="00084DF5"/>
    <w:rsid w:val="000858A3"/>
    <w:rsid w:val="000863BA"/>
    <w:rsid w:val="00086D62"/>
    <w:rsid w:val="000904EE"/>
    <w:rsid w:val="000911E1"/>
    <w:rsid w:val="000913B5"/>
    <w:rsid w:val="00091409"/>
    <w:rsid w:val="0009242C"/>
    <w:rsid w:val="000948B7"/>
    <w:rsid w:val="000978EF"/>
    <w:rsid w:val="000979DE"/>
    <w:rsid w:val="000A0918"/>
    <w:rsid w:val="000A1E0E"/>
    <w:rsid w:val="000A242B"/>
    <w:rsid w:val="000A290A"/>
    <w:rsid w:val="000A2A27"/>
    <w:rsid w:val="000A5F48"/>
    <w:rsid w:val="000A7E85"/>
    <w:rsid w:val="000B297C"/>
    <w:rsid w:val="000B4907"/>
    <w:rsid w:val="000B4EFB"/>
    <w:rsid w:val="000B5174"/>
    <w:rsid w:val="000B5318"/>
    <w:rsid w:val="000B6DF1"/>
    <w:rsid w:val="000C0109"/>
    <w:rsid w:val="000C04AD"/>
    <w:rsid w:val="000C220A"/>
    <w:rsid w:val="000C2BE8"/>
    <w:rsid w:val="000C3A2A"/>
    <w:rsid w:val="000C4565"/>
    <w:rsid w:val="000C5397"/>
    <w:rsid w:val="000C6466"/>
    <w:rsid w:val="000C747E"/>
    <w:rsid w:val="000C770E"/>
    <w:rsid w:val="000D0707"/>
    <w:rsid w:val="000D0739"/>
    <w:rsid w:val="000D083F"/>
    <w:rsid w:val="000D093B"/>
    <w:rsid w:val="000D0F2E"/>
    <w:rsid w:val="000D25F7"/>
    <w:rsid w:val="000D3960"/>
    <w:rsid w:val="000D5D04"/>
    <w:rsid w:val="000D6446"/>
    <w:rsid w:val="000D6645"/>
    <w:rsid w:val="000D67C0"/>
    <w:rsid w:val="000D69AA"/>
    <w:rsid w:val="000D6F24"/>
    <w:rsid w:val="000D7087"/>
    <w:rsid w:val="000E2E09"/>
    <w:rsid w:val="000E37F5"/>
    <w:rsid w:val="000E3850"/>
    <w:rsid w:val="000E3D82"/>
    <w:rsid w:val="000E3DA9"/>
    <w:rsid w:val="000E4BDD"/>
    <w:rsid w:val="000E5182"/>
    <w:rsid w:val="000E637D"/>
    <w:rsid w:val="000E6CF8"/>
    <w:rsid w:val="000E6DE4"/>
    <w:rsid w:val="000E7596"/>
    <w:rsid w:val="000F0F4C"/>
    <w:rsid w:val="000F1714"/>
    <w:rsid w:val="000F21CB"/>
    <w:rsid w:val="000F39E1"/>
    <w:rsid w:val="000F52D3"/>
    <w:rsid w:val="000F5C98"/>
    <w:rsid w:val="000F5D68"/>
    <w:rsid w:val="000F5EF9"/>
    <w:rsid w:val="000F62A8"/>
    <w:rsid w:val="000F6CDB"/>
    <w:rsid w:val="00100193"/>
    <w:rsid w:val="0010025A"/>
    <w:rsid w:val="00100FEC"/>
    <w:rsid w:val="001013AB"/>
    <w:rsid w:val="00102BCE"/>
    <w:rsid w:val="00102CAF"/>
    <w:rsid w:val="001038CC"/>
    <w:rsid w:val="00104A7D"/>
    <w:rsid w:val="00107767"/>
    <w:rsid w:val="00107CBD"/>
    <w:rsid w:val="00107D11"/>
    <w:rsid w:val="00112A76"/>
    <w:rsid w:val="00112E26"/>
    <w:rsid w:val="00113FC5"/>
    <w:rsid w:val="001149E9"/>
    <w:rsid w:val="00114D50"/>
    <w:rsid w:val="00121A6E"/>
    <w:rsid w:val="00122627"/>
    <w:rsid w:val="0012341E"/>
    <w:rsid w:val="0012607A"/>
    <w:rsid w:val="00126300"/>
    <w:rsid w:val="00126632"/>
    <w:rsid w:val="0012754F"/>
    <w:rsid w:val="0012756F"/>
    <w:rsid w:val="00132C14"/>
    <w:rsid w:val="00133163"/>
    <w:rsid w:val="001331C3"/>
    <w:rsid w:val="00133E77"/>
    <w:rsid w:val="0013460B"/>
    <w:rsid w:val="001349F7"/>
    <w:rsid w:val="00135465"/>
    <w:rsid w:val="00135B9B"/>
    <w:rsid w:val="0013672B"/>
    <w:rsid w:val="0013747E"/>
    <w:rsid w:val="001419FA"/>
    <w:rsid w:val="00141E8B"/>
    <w:rsid w:val="001420FD"/>
    <w:rsid w:val="00142160"/>
    <w:rsid w:val="001436F0"/>
    <w:rsid w:val="00143F5D"/>
    <w:rsid w:val="00145207"/>
    <w:rsid w:val="001463E0"/>
    <w:rsid w:val="0014651B"/>
    <w:rsid w:val="001502F2"/>
    <w:rsid w:val="001503A0"/>
    <w:rsid w:val="00151359"/>
    <w:rsid w:val="0015155D"/>
    <w:rsid w:val="0015166E"/>
    <w:rsid w:val="0015194C"/>
    <w:rsid w:val="0015441A"/>
    <w:rsid w:val="00155457"/>
    <w:rsid w:val="0015583F"/>
    <w:rsid w:val="00155F8B"/>
    <w:rsid w:val="00157A5A"/>
    <w:rsid w:val="001601B6"/>
    <w:rsid w:val="00160785"/>
    <w:rsid w:val="00160A78"/>
    <w:rsid w:val="00160F98"/>
    <w:rsid w:val="00161093"/>
    <w:rsid w:val="001612B4"/>
    <w:rsid w:val="00162221"/>
    <w:rsid w:val="00162270"/>
    <w:rsid w:val="001652C8"/>
    <w:rsid w:val="00171686"/>
    <w:rsid w:val="00172069"/>
    <w:rsid w:val="00173EC3"/>
    <w:rsid w:val="00174827"/>
    <w:rsid w:val="001749BB"/>
    <w:rsid w:val="001752F7"/>
    <w:rsid w:val="001760E0"/>
    <w:rsid w:val="001774FC"/>
    <w:rsid w:val="00177665"/>
    <w:rsid w:val="0017795C"/>
    <w:rsid w:val="001802A2"/>
    <w:rsid w:val="00180320"/>
    <w:rsid w:val="001808EB"/>
    <w:rsid w:val="001829C1"/>
    <w:rsid w:val="00186EE8"/>
    <w:rsid w:val="001903C3"/>
    <w:rsid w:val="001938AB"/>
    <w:rsid w:val="00194322"/>
    <w:rsid w:val="00196C7B"/>
    <w:rsid w:val="00197501"/>
    <w:rsid w:val="001A07BE"/>
    <w:rsid w:val="001A0DB7"/>
    <w:rsid w:val="001A143C"/>
    <w:rsid w:val="001A30A2"/>
    <w:rsid w:val="001A31E5"/>
    <w:rsid w:val="001A39A9"/>
    <w:rsid w:val="001A4831"/>
    <w:rsid w:val="001A4D70"/>
    <w:rsid w:val="001A52BE"/>
    <w:rsid w:val="001A576E"/>
    <w:rsid w:val="001A6D51"/>
    <w:rsid w:val="001A755A"/>
    <w:rsid w:val="001B0869"/>
    <w:rsid w:val="001B1231"/>
    <w:rsid w:val="001B1EB8"/>
    <w:rsid w:val="001B2020"/>
    <w:rsid w:val="001B3396"/>
    <w:rsid w:val="001B43C6"/>
    <w:rsid w:val="001C00B1"/>
    <w:rsid w:val="001C0275"/>
    <w:rsid w:val="001C47F9"/>
    <w:rsid w:val="001C4E2D"/>
    <w:rsid w:val="001C7BD0"/>
    <w:rsid w:val="001D0514"/>
    <w:rsid w:val="001D0B36"/>
    <w:rsid w:val="001D121E"/>
    <w:rsid w:val="001D1561"/>
    <w:rsid w:val="001D23DC"/>
    <w:rsid w:val="001D2853"/>
    <w:rsid w:val="001D2F0F"/>
    <w:rsid w:val="001D3630"/>
    <w:rsid w:val="001D54FD"/>
    <w:rsid w:val="001D6430"/>
    <w:rsid w:val="001E0A5C"/>
    <w:rsid w:val="001E0B41"/>
    <w:rsid w:val="001E1DF2"/>
    <w:rsid w:val="001E2A32"/>
    <w:rsid w:val="001E2B59"/>
    <w:rsid w:val="001E37E2"/>
    <w:rsid w:val="001E4115"/>
    <w:rsid w:val="001E4579"/>
    <w:rsid w:val="001E60A2"/>
    <w:rsid w:val="001F0915"/>
    <w:rsid w:val="001F0C69"/>
    <w:rsid w:val="001F1747"/>
    <w:rsid w:val="001F3351"/>
    <w:rsid w:val="001F4AA4"/>
    <w:rsid w:val="001F62AE"/>
    <w:rsid w:val="001F68FC"/>
    <w:rsid w:val="001F7E44"/>
    <w:rsid w:val="00202AB6"/>
    <w:rsid w:val="00203214"/>
    <w:rsid w:val="00205837"/>
    <w:rsid w:val="00205A63"/>
    <w:rsid w:val="00205BE6"/>
    <w:rsid w:val="002064BE"/>
    <w:rsid w:val="00206DEA"/>
    <w:rsid w:val="00206FB4"/>
    <w:rsid w:val="002112B9"/>
    <w:rsid w:val="002126EB"/>
    <w:rsid w:val="00212C3F"/>
    <w:rsid w:val="0021382F"/>
    <w:rsid w:val="00213E01"/>
    <w:rsid w:val="00213E99"/>
    <w:rsid w:val="00214130"/>
    <w:rsid w:val="0021476C"/>
    <w:rsid w:val="00214FAC"/>
    <w:rsid w:val="002156DB"/>
    <w:rsid w:val="00215AD0"/>
    <w:rsid w:val="00216A89"/>
    <w:rsid w:val="0022050E"/>
    <w:rsid w:val="00221DDB"/>
    <w:rsid w:val="00224200"/>
    <w:rsid w:val="0022449F"/>
    <w:rsid w:val="00224592"/>
    <w:rsid w:val="00226ABD"/>
    <w:rsid w:val="00227484"/>
    <w:rsid w:val="002336B1"/>
    <w:rsid w:val="00233BC9"/>
    <w:rsid w:val="002340FB"/>
    <w:rsid w:val="0023675B"/>
    <w:rsid w:val="00241AA7"/>
    <w:rsid w:val="002424E6"/>
    <w:rsid w:val="00243F04"/>
    <w:rsid w:val="00244FC8"/>
    <w:rsid w:val="0024554E"/>
    <w:rsid w:val="002463BF"/>
    <w:rsid w:val="00246CCB"/>
    <w:rsid w:val="002475A2"/>
    <w:rsid w:val="00247886"/>
    <w:rsid w:val="002506D5"/>
    <w:rsid w:val="00250836"/>
    <w:rsid w:val="00250FF1"/>
    <w:rsid w:val="00251160"/>
    <w:rsid w:val="002522D4"/>
    <w:rsid w:val="00253D8D"/>
    <w:rsid w:val="00254791"/>
    <w:rsid w:val="00255276"/>
    <w:rsid w:val="002575DC"/>
    <w:rsid w:val="00257F61"/>
    <w:rsid w:val="00261D6E"/>
    <w:rsid w:val="00263DB3"/>
    <w:rsid w:val="00264110"/>
    <w:rsid w:val="0026438A"/>
    <w:rsid w:val="00264654"/>
    <w:rsid w:val="0026518B"/>
    <w:rsid w:val="00265758"/>
    <w:rsid w:val="002667F3"/>
    <w:rsid w:val="00267EE7"/>
    <w:rsid w:val="002725DE"/>
    <w:rsid w:val="00273203"/>
    <w:rsid w:val="0027577F"/>
    <w:rsid w:val="00276277"/>
    <w:rsid w:val="0027657D"/>
    <w:rsid w:val="002766C9"/>
    <w:rsid w:val="00276B5F"/>
    <w:rsid w:val="00276CB0"/>
    <w:rsid w:val="00277DAB"/>
    <w:rsid w:val="002806A7"/>
    <w:rsid w:val="002838C9"/>
    <w:rsid w:val="002841D4"/>
    <w:rsid w:val="00284237"/>
    <w:rsid w:val="00284C17"/>
    <w:rsid w:val="00286964"/>
    <w:rsid w:val="00286970"/>
    <w:rsid w:val="00286DF2"/>
    <w:rsid w:val="00286DF8"/>
    <w:rsid w:val="00287B7C"/>
    <w:rsid w:val="002901E5"/>
    <w:rsid w:val="00290522"/>
    <w:rsid w:val="00291128"/>
    <w:rsid w:val="002912D0"/>
    <w:rsid w:val="002913ED"/>
    <w:rsid w:val="002927BB"/>
    <w:rsid w:val="00292D06"/>
    <w:rsid w:val="00293548"/>
    <w:rsid w:val="00293831"/>
    <w:rsid w:val="0029389B"/>
    <w:rsid w:val="002942F9"/>
    <w:rsid w:val="00294DD5"/>
    <w:rsid w:val="00294DEA"/>
    <w:rsid w:val="00294FE1"/>
    <w:rsid w:val="002956C6"/>
    <w:rsid w:val="00295935"/>
    <w:rsid w:val="002967A4"/>
    <w:rsid w:val="002A000D"/>
    <w:rsid w:val="002A0411"/>
    <w:rsid w:val="002A091F"/>
    <w:rsid w:val="002A119D"/>
    <w:rsid w:val="002A3119"/>
    <w:rsid w:val="002A3D8D"/>
    <w:rsid w:val="002A5445"/>
    <w:rsid w:val="002A5550"/>
    <w:rsid w:val="002A6F3A"/>
    <w:rsid w:val="002A71BB"/>
    <w:rsid w:val="002A736E"/>
    <w:rsid w:val="002A7432"/>
    <w:rsid w:val="002A790D"/>
    <w:rsid w:val="002B02F0"/>
    <w:rsid w:val="002B03F0"/>
    <w:rsid w:val="002B0641"/>
    <w:rsid w:val="002B075A"/>
    <w:rsid w:val="002B07A4"/>
    <w:rsid w:val="002B2B7E"/>
    <w:rsid w:val="002B3173"/>
    <w:rsid w:val="002B3671"/>
    <w:rsid w:val="002B3AC0"/>
    <w:rsid w:val="002B456C"/>
    <w:rsid w:val="002B5248"/>
    <w:rsid w:val="002B665B"/>
    <w:rsid w:val="002B684D"/>
    <w:rsid w:val="002B6FA8"/>
    <w:rsid w:val="002B77D0"/>
    <w:rsid w:val="002B7C01"/>
    <w:rsid w:val="002C076D"/>
    <w:rsid w:val="002C0DD2"/>
    <w:rsid w:val="002C11F1"/>
    <w:rsid w:val="002C1396"/>
    <w:rsid w:val="002C17E3"/>
    <w:rsid w:val="002C1F62"/>
    <w:rsid w:val="002C1F75"/>
    <w:rsid w:val="002C30AE"/>
    <w:rsid w:val="002C3AC4"/>
    <w:rsid w:val="002C4643"/>
    <w:rsid w:val="002C51FF"/>
    <w:rsid w:val="002C5694"/>
    <w:rsid w:val="002C5DE1"/>
    <w:rsid w:val="002C6910"/>
    <w:rsid w:val="002C72E4"/>
    <w:rsid w:val="002C7789"/>
    <w:rsid w:val="002D06DD"/>
    <w:rsid w:val="002D0793"/>
    <w:rsid w:val="002D110A"/>
    <w:rsid w:val="002D1356"/>
    <w:rsid w:val="002D1B3D"/>
    <w:rsid w:val="002D2424"/>
    <w:rsid w:val="002D3162"/>
    <w:rsid w:val="002D35A9"/>
    <w:rsid w:val="002D3B16"/>
    <w:rsid w:val="002D47CF"/>
    <w:rsid w:val="002D4D50"/>
    <w:rsid w:val="002D4E24"/>
    <w:rsid w:val="002D528F"/>
    <w:rsid w:val="002D5B23"/>
    <w:rsid w:val="002D636D"/>
    <w:rsid w:val="002D65F0"/>
    <w:rsid w:val="002D7D65"/>
    <w:rsid w:val="002E04D0"/>
    <w:rsid w:val="002E08E1"/>
    <w:rsid w:val="002E1119"/>
    <w:rsid w:val="002E15FC"/>
    <w:rsid w:val="002E30A7"/>
    <w:rsid w:val="002E337F"/>
    <w:rsid w:val="002E469A"/>
    <w:rsid w:val="002E588E"/>
    <w:rsid w:val="002E6042"/>
    <w:rsid w:val="002E6133"/>
    <w:rsid w:val="002E788E"/>
    <w:rsid w:val="002E79D1"/>
    <w:rsid w:val="002E7A11"/>
    <w:rsid w:val="002F033F"/>
    <w:rsid w:val="002F2CDD"/>
    <w:rsid w:val="002F4A60"/>
    <w:rsid w:val="002F58D4"/>
    <w:rsid w:val="002F6B13"/>
    <w:rsid w:val="002F709C"/>
    <w:rsid w:val="002F709F"/>
    <w:rsid w:val="002F76EE"/>
    <w:rsid w:val="00301614"/>
    <w:rsid w:val="00301831"/>
    <w:rsid w:val="003024BC"/>
    <w:rsid w:val="0030293B"/>
    <w:rsid w:val="00303380"/>
    <w:rsid w:val="003043F7"/>
    <w:rsid w:val="00304B43"/>
    <w:rsid w:val="00304B7C"/>
    <w:rsid w:val="003063BE"/>
    <w:rsid w:val="003063D8"/>
    <w:rsid w:val="00307D60"/>
    <w:rsid w:val="00310D27"/>
    <w:rsid w:val="00310D38"/>
    <w:rsid w:val="00311D5D"/>
    <w:rsid w:val="00312169"/>
    <w:rsid w:val="00312C24"/>
    <w:rsid w:val="00312D15"/>
    <w:rsid w:val="00312D25"/>
    <w:rsid w:val="003201D7"/>
    <w:rsid w:val="00322627"/>
    <w:rsid w:val="00322845"/>
    <w:rsid w:val="00323278"/>
    <w:rsid w:val="0032513A"/>
    <w:rsid w:val="00326351"/>
    <w:rsid w:val="00326A96"/>
    <w:rsid w:val="0032701C"/>
    <w:rsid w:val="00330C1C"/>
    <w:rsid w:val="00331032"/>
    <w:rsid w:val="0033270A"/>
    <w:rsid w:val="0033286E"/>
    <w:rsid w:val="003329F6"/>
    <w:rsid w:val="00332C92"/>
    <w:rsid w:val="00333883"/>
    <w:rsid w:val="00335090"/>
    <w:rsid w:val="003356E7"/>
    <w:rsid w:val="003365C1"/>
    <w:rsid w:val="003404C0"/>
    <w:rsid w:val="00340676"/>
    <w:rsid w:val="00343F8C"/>
    <w:rsid w:val="003441FE"/>
    <w:rsid w:val="003448E8"/>
    <w:rsid w:val="00345499"/>
    <w:rsid w:val="0034568B"/>
    <w:rsid w:val="003456EB"/>
    <w:rsid w:val="00346E63"/>
    <w:rsid w:val="0034785C"/>
    <w:rsid w:val="00350FA9"/>
    <w:rsid w:val="00351970"/>
    <w:rsid w:val="0035198E"/>
    <w:rsid w:val="00352E2D"/>
    <w:rsid w:val="00353434"/>
    <w:rsid w:val="003538D7"/>
    <w:rsid w:val="00353A57"/>
    <w:rsid w:val="003544C2"/>
    <w:rsid w:val="00355156"/>
    <w:rsid w:val="00355205"/>
    <w:rsid w:val="00356D1E"/>
    <w:rsid w:val="00357111"/>
    <w:rsid w:val="00360A77"/>
    <w:rsid w:val="0036136A"/>
    <w:rsid w:val="00361A42"/>
    <w:rsid w:val="00362005"/>
    <w:rsid w:val="00363758"/>
    <w:rsid w:val="00363CA6"/>
    <w:rsid w:val="00363E10"/>
    <w:rsid w:val="0036472F"/>
    <w:rsid w:val="00364C82"/>
    <w:rsid w:val="00364E2D"/>
    <w:rsid w:val="00366603"/>
    <w:rsid w:val="00366FE2"/>
    <w:rsid w:val="003704C9"/>
    <w:rsid w:val="00370801"/>
    <w:rsid w:val="00370A9B"/>
    <w:rsid w:val="00370B2F"/>
    <w:rsid w:val="003711EE"/>
    <w:rsid w:val="0037142E"/>
    <w:rsid w:val="003718D0"/>
    <w:rsid w:val="0037260C"/>
    <w:rsid w:val="003740EB"/>
    <w:rsid w:val="003749A3"/>
    <w:rsid w:val="00374BE4"/>
    <w:rsid w:val="00375FCE"/>
    <w:rsid w:val="00376DA4"/>
    <w:rsid w:val="00377D7D"/>
    <w:rsid w:val="003809D1"/>
    <w:rsid w:val="00381575"/>
    <w:rsid w:val="003832E0"/>
    <w:rsid w:val="00383C47"/>
    <w:rsid w:val="0038415B"/>
    <w:rsid w:val="0038420A"/>
    <w:rsid w:val="003849D4"/>
    <w:rsid w:val="00385BDD"/>
    <w:rsid w:val="00385E63"/>
    <w:rsid w:val="00386E9E"/>
    <w:rsid w:val="00387311"/>
    <w:rsid w:val="003876D2"/>
    <w:rsid w:val="00387A97"/>
    <w:rsid w:val="0039182D"/>
    <w:rsid w:val="00391C7C"/>
    <w:rsid w:val="0039213A"/>
    <w:rsid w:val="00392CCA"/>
    <w:rsid w:val="0039330C"/>
    <w:rsid w:val="003940AA"/>
    <w:rsid w:val="00395A49"/>
    <w:rsid w:val="00396AA0"/>
    <w:rsid w:val="00396B1F"/>
    <w:rsid w:val="003975B4"/>
    <w:rsid w:val="003A141A"/>
    <w:rsid w:val="003A2586"/>
    <w:rsid w:val="003A274E"/>
    <w:rsid w:val="003A3339"/>
    <w:rsid w:val="003A5187"/>
    <w:rsid w:val="003A58C3"/>
    <w:rsid w:val="003A65A9"/>
    <w:rsid w:val="003A7805"/>
    <w:rsid w:val="003B1C3D"/>
    <w:rsid w:val="003B1EB3"/>
    <w:rsid w:val="003B2E6C"/>
    <w:rsid w:val="003B36C0"/>
    <w:rsid w:val="003B45CE"/>
    <w:rsid w:val="003B645B"/>
    <w:rsid w:val="003B6F98"/>
    <w:rsid w:val="003B73A9"/>
    <w:rsid w:val="003B73E9"/>
    <w:rsid w:val="003C1181"/>
    <w:rsid w:val="003C13FA"/>
    <w:rsid w:val="003C1425"/>
    <w:rsid w:val="003C348A"/>
    <w:rsid w:val="003C370E"/>
    <w:rsid w:val="003C3F04"/>
    <w:rsid w:val="003C487D"/>
    <w:rsid w:val="003C4CD1"/>
    <w:rsid w:val="003C5D88"/>
    <w:rsid w:val="003C769D"/>
    <w:rsid w:val="003D0E9F"/>
    <w:rsid w:val="003D1259"/>
    <w:rsid w:val="003D1EEA"/>
    <w:rsid w:val="003D2204"/>
    <w:rsid w:val="003D2AA0"/>
    <w:rsid w:val="003D2B07"/>
    <w:rsid w:val="003D39C4"/>
    <w:rsid w:val="003D3F22"/>
    <w:rsid w:val="003D492B"/>
    <w:rsid w:val="003D5EDE"/>
    <w:rsid w:val="003D62B9"/>
    <w:rsid w:val="003D67BD"/>
    <w:rsid w:val="003D73E0"/>
    <w:rsid w:val="003D75F4"/>
    <w:rsid w:val="003E07DB"/>
    <w:rsid w:val="003E10D6"/>
    <w:rsid w:val="003E1A73"/>
    <w:rsid w:val="003E2560"/>
    <w:rsid w:val="003E2635"/>
    <w:rsid w:val="003E3BFC"/>
    <w:rsid w:val="003E4AED"/>
    <w:rsid w:val="003E6133"/>
    <w:rsid w:val="003E6B00"/>
    <w:rsid w:val="003E743A"/>
    <w:rsid w:val="003F17E1"/>
    <w:rsid w:val="003F24F6"/>
    <w:rsid w:val="003F2A80"/>
    <w:rsid w:val="003F2CC9"/>
    <w:rsid w:val="003F31EF"/>
    <w:rsid w:val="003F3B80"/>
    <w:rsid w:val="003F423A"/>
    <w:rsid w:val="003F57AF"/>
    <w:rsid w:val="003F57BC"/>
    <w:rsid w:val="003F5F12"/>
    <w:rsid w:val="003F732E"/>
    <w:rsid w:val="00400406"/>
    <w:rsid w:val="004017C2"/>
    <w:rsid w:val="00402739"/>
    <w:rsid w:val="0040533B"/>
    <w:rsid w:val="004071F0"/>
    <w:rsid w:val="00407E37"/>
    <w:rsid w:val="00413001"/>
    <w:rsid w:val="00413D86"/>
    <w:rsid w:val="004150BD"/>
    <w:rsid w:val="0041511D"/>
    <w:rsid w:val="0041518D"/>
    <w:rsid w:val="0041541A"/>
    <w:rsid w:val="0041649E"/>
    <w:rsid w:val="0042156D"/>
    <w:rsid w:val="00422C85"/>
    <w:rsid w:val="00422D42"/>
    <w:rsid w:val="00423D82"/>
    <w:rsid w:val="0042489B"/>
    <w:rsid w:val="00424CA5"/>
    <w:rsid w:val="00425215"/>
    <w:rsid w:val="004274B5"/>
    <w:rsid w:val="00427B20"/>
    <w:rsid w:val="00427F93"/>
    <w:rsid w:val="004304E2"/>
    <w:rsid w:val="004308E1"/>
    <w:rsid w:val="004309C4"/>
    <w:rsid w:val="00431064"/>
    <w:rsid w:val="00431F46"/>
    <w:rsid w:val="00432D4F"/>
    <w:rsid w:val="00432E14"/>
    <w:rsid w:val="00433866"/>
    <w:rsid w:val="00433A59"/>
    <w:rsid w:val="00433E90"/>
    <w:rsid w:val="0043532A"/>
    <w:rsid w:val="00436028"/>
    <w:rsid w:val="00440D6E"/>
    <w:rsid w:val="004417EB"/>
    <w:rsid w:val="00441F1C"/>
    <w:rsid w:val="00444DF9"/>
    <w:rsid w:val="0044719B"/>
    <w:rsid w:val="00447D5A"/>
    <w:rsid w:val="00450FDC"/>
    <w:rsid w:val="0045147C"/>
    <w:rsid w:val="00452DB2"/>
    <w:rsid w:val="0045321F"/>
    <w:rsid w:val="00453E92"/>
    <w:rsid w:val="004549B3"/>
    <w:rsid w:val="00454B9D"/>
    <w:rsid w:val="00454E5E"/>
    <w:rsid w:val="00454F33"/>
    <w:rsid w:val="00454F94"/>
    <w:rsid w:val="0045516E"/>
    <w:rsid w:val="0045529B"/>
    <w:rsid w:val="00456B17"/>
    <w:rsid w:val="004601BF"/>
    <w:rsid w:val="0046068C"/>
    <w:rsid w:val="00460B19"/>
    <w:rsid w:val="00460D68"/>
    <w:rsid w:val="0046135E"/>
    <w:rsid w:val="00461A2C"/>
    <w:rsid w:val="00461D4D"/>
    <w:rsid w:val="00461D97"/>
    <w:rsid w:val="00464CDC"/>
    <w:rsid w:val="00465745"/>
    <w:rsid w:val="00465F53"/>
    <w:rsid w:val="004663C6"/>
    <w:rsid w:val="0046664D"/>
    <w:rsid w:val="00466B50"/>
    <w:rsid w:val="00467509"/>
    <w:rsid w:val="00470A60"/>
    <w:rsid w:val="00471B84"/>
    <w:rsid w:val="00472AB2"/>
    <w:rsid w:val="00472E6A"/>
    <w:rsid w:val="00472ED9"/>
    <w:rsid w:val="00475209"/>
    <w:rsid w:val="00475570"/>
    <w:rsid w:val="0047615A"/>
    <w:rsid w:val="004773FE"/>
    <w:rsid w:val="00480225"/>
    <w:rsid w:val="00481703"/>
    <w:rsid w:val="00481B1D"/>
    <w:rsid w:val="0048225B"/>
    <w:rsid w:val="00483743"/>
    <w:rsid w:val="004837C4"/>
    <w:rsid w:val="004847A0"/>
    <w:rsid w:val="00486C6A"/>
    <w:rsid w:val="00486E14"/>
    <w:rsid w:val="00486EAF"/>
    <w:rsid w:val="00487B12"/>
    <w:rsid w:val="00490CAC"/>
    <w:rsid w:val="00492B0C"/>
    <w:rsid w:val="00493201"/>
    <w:rsid w:val="004935C1"/>
    <w:rsid w:val="00493B49"/>
    <w:rsid w:val="004960E3"/>
    <w:rsid w:val="00497221"/>
    <w:rsid w:val="004975CF"/>
    <w:rsid w:val="004979EF"/>
    <w:rsid w:val="00497AC0"/>
    <w:rsid w:val="004A24FB"/>
    <w:rsid w:val="004A2E34"/>
    <w:rsid w:val="004A2E4D"/>
    <w:rsid w:val="004A2F1F"/>
    <w:rsid w:val="004A70BE"/>
    <w:rsid w:val="004B04C8"/>
    <w:rsid w:val="004B1E99"/>
    <w:rsid w:val="004B1FF9"/>
    <w:rsid w:val="004B48EE"/>
    <w:rsid w:val="004B5670"/>
    <w:rsid w:val="004B7F54"/>
    <w:rsid w:val="004C05F7"/>
    <w:rsid w:val="004C0938"/>
    <w:rsid w:val="004C0F89"/>
    <w:rsid w:val="004C22E2"/>
    <w:rsid w:val="004C2389"/>
    <w:rsid w:val="004C355A"/>
    <w:rsid w:val="004C3C6B"/>
    <w:rsid w:val="004C4013"/>
    <w:rsid w:val="004C4F63"/>
    <w:rsid w:val="004C60B5"/>
    <w:rsid w:val="004C63EF"/>
    <w:rsid w:val="004D01F5"/>
    <w:rsid w:val="004D2EE2"/>
    <w:rsid w:val="004D3DAE"/>
    <w:rsid w:val="004D400F"/>
    <w:rsid w:val="004D495F"/>
    <w:rsid w:val="004D4D38"/>
    <w:rsid w:val="004D6B33"/>
    <w:rsid w:val="004D7515"/>
    <w:rsid w:val="004D7F2B"/>
    <w:rsid w:val="004E0516"/>
    <w:rsid w:val="004E18C5"/>
    <w:rsid w:val="004E27C7"/>
    <w:rsid w:val="004E356D"/>
    <w:rsid w:val="004E5D3F"/>
    <w:rsid w:val="004F04EB"/>
    <w:rsid w:val="004F06A2"/>
    <w:rsid w:val="004F0F2A"/>
    <w:rsid w:val="004F177F"/>
    <w:rsid w:val="004F2155"/>
    <w:rsid w:val="004F3ABC"/>
    <w:rsid w:val="004F48A7"/>
    <w:rsid w:val="004F53E4"/>
    <w:rsid w:val="004F5533"/>
    <w:rsid w:val="004F5AEA"/>
    <w:rsid w:val="004F5D2F"/>
    <w:rsid w:val="004F6176"/>
    <w:rsid w:val="004F6F4D"/>
    <w:rsid w:val="00502674"/>
    <w:rsid w:val="00506665"/>
    <w:rsid w:val="005072C9"/>
    <w:rsid w:val="00507513"/>
    <w:rsid w:val="00507F1C"/>
    <w:rsid w:val="00510344"/>
    <w:rsid w:val="00510E00"/>
    <w:rsid w:val="00511651"/>
    <w:rsid w:val="005123AC"/>
    <w:rsid w:val="0051443C"/>
    <w:rsid w:val="005148FC"/>
    <w:rsid w:val="00516100"/>
    <w:rsid w:val="00516814"/>
    <w:rsid w:val="005169AB"/>
    <w:rsid w:val="00517635"/>
    <w:rsid w:val="00517ABE"/>
    <w:rsid w:val="00521230"/>
    <w:rsid w:val="00523C74"/>
    <w:rsid w:val="005244EE"/>
    <w:rsid w:val="00524DE4"/>
    <w:rsid w:val="00525210"/>
    <w:rsid w:val="0052601E"/>
    <w:rsid w:val="0052614D"/>
    <w:rsid w:val="00527237"/>
    <w:rsid w:val="0052788F"/>
    <w:rsid w:val="00527C99"/>
    <w:rsid w:val="00527EBA"/>
    <w:rsid w:val="00531944"/>
    <w:rsid w:val="00532FEE"/>
    <w:rsid w:val="00533DC1"/>
    <w:rsid w:val="00534D8E"/>
    <w:rsid w:val="00534F49"/>
    <w:rsid w:val="005353F4"/>
    <w:rsid w:val="00536159"/>
    <w:rsid w:val="00536345"/>
    <w:rsid w:val="0053654F"/>
    <w:rsid w:val="005423B9"/>
    <w:rsid w:val="00542490"/>
    <w:rsid w:val="00542723"/>
    <w:rsid w:val="00542786"/>
    <w:rsid w:val="0054283E"/>
    <w:rsid w:val="00542D02"/>
    <w:rsid w:val="005431F1"/>
    <w:rsid w:val="0054378A"/>
    <w:rsid w:val="00543BC7"/>
    <w:rsid w:val="00544E99"/>
    <w:rsid w:val="00546538"/>
    <w:rsid w:val="00546866"/>
    <w:rsid w:val="00546E31"/>
    <w:rsid w:val="00550813"/>
    <w:rsid w:val="00553189"/>
    <w:rsid w:val="005553A6"/>
    <w:rsid w:val="005554CC"/>
    <w:rsid w:val="005569F0"/>
    <w:rsid w:val="00556B30"/>
    <w:rsid w:val="00556BD3"/>
    <w:rsid w:val="0055701D"/>
    <w:rsid w:val="005572FF"/>
    <w:rsid w:val="00557375"/>
    <w:rsid w:val="00557D10"/>
    <w:rsid w:val="0056023D"/>
    <w:rsid w:val="005605CD"/>
    <w:rsid w:val="005606D7"/>
    <w:rsid w:val="00562CED"/>
    <w:rsid w:val="00564CEF"/>
    <w:rsid w:val="00566B8B"/>
    <w:rsid w:val="00566D4D"/>
    <w:rsid w:val="00567B25"/>
    <w:rsid w:val="00567EA3"/>
    <w:rsid w:val="00567FC6"/>
    <w:rsid w:val="0057081A"/>
    <w:rsid w:val="00571EA0"/>
    <w:rsid w:val="00571F60"/>
    <w:rsid w:val="005729ED"/>
    <w:rsid w:val="00572D5B"/>
    <w:rsid w:val="00573294"/>
    <w:rsid w:val="00574666"/>
    <w:rsid w:val="00574CBB"/>
    <w:rsid w:val="0057644A"/>
    <w:rsid w:val="00576EAE"/>
    <w:rsid w:val="005804C0"/>
    <w:rsid w:val="00581944"/>
    <w:rsid w:val="005827B1"/>
    <w:rsid w:val="00582C08"/>
    <w:rsid w:val="00582E36"/>
    <w:rsid w:val="00582EA6"/>
    <w:rsid w:val="005834E6"/>
    <w:rsid w:val="00583A2A"/>
    <w:rsid w:val="00584260"/>
    <w:rsid w:val="00584914"/>
    <w:rsid w:val="00584CD8"/>
    <w:rsid w:val="0058542A"/>
    <w:rsid w:val="005854B7"/>
    <w:rsid w:val="00585557"/>
    <w:rsid w:val="0058651A"/>
    <w:rsid w:val="00587637"/>
    <w:rsid w:val="00587B9F"/>
    <w:rsid w:val="00593848"/>
    <w:rsid w:val="005949CF"/>
    <w:rsid w:val="0059579D"/>
    <w:rsid w:val="00595A7F"/>
    <w:rsid w:val="00596FB1"/>
    <w:rsid w:val="005972ED"/>
    <w:rsid w:val="005A05C5"/>
    <w:rsid w:val="005A0908"/>
    <w:rsid w:val="005A118E"/>
    <w:rsid w:val="005A2E03"/>
    <w:rsid w:val="005A32BE"/>
    <w:rsid w:val="005A3E71"/>
    <w:rsid w:val="005A4C2F"/>
    <w:rsid w:val="005A5791"/>
    <w:rsid w:val="005A5B5A"/>
    <w:rsid w:val="005A5C5F"/>
    <w:rsid w:val="005A6D0E"/>
    <w:rsid w:val="005A6D17"/>
    <w:rsid w:val="005A7F88"/>
    <w:rsid w:val="005B0952"/>
    <w:rsid w:val="005B1227"/>
    <w:rsid w:val="005B17E5"/>
    <w:rsid w:val="005B22F2"/>
    <w:rsid w:val="005B4CC9"/>
    <w:rsid w:val="005B4D90"/>
    <w:rsid w:val="005B63C6"/>
    <w:rsid w:val="005B6BFF"/>
    <w:rsid w:val="005B75CD"/>
    <w:rsid w:val="005C0FB2"/>
    <w:rsid w:val="005C120D"/>
    <w:rsid w:val="005C1424"/>
    <w:rsid w:val="005C1A66"/>
    <w:rsid w:val="005C212C"/>
    <w:rsid w:val="005C2870"/>
    <w:rsid w:val="005C317D"/>
    <w:rsid w:val="005C3C93"/>
    <w:rsid w:val="005C5333"/>
    <w:rsid w:val="005C5825"/>
    <w:rsid w:val="005C5A08"/>
    <w:rsid w:val="005C6AD5"/>
    <w:rsid w:val="005C6D4E"/>
    <w:rsid w:val="005D1AD6"/>
    <w:rsid w:val="005D2C7B"/>
    <w:rsid w:val="005D3AF0"/>
    <w:rsid w:val="005D3FFE"/>
    <w:rsid w:val="005D441D"/>
    <w:rsid w:val="005D46A1"/>
    <w:rsid w:val="005D46EC"/>
    <w:rsid w:val="005D512C"/>
    <w:rsid w:val="005D784A"/>
    <w:rsid w:val="005E0054"/>
    <w:rsid w:val="005E1BA7"/>
    <w:rsid w:val="005E1EFF"/>
    <w:rsid w:val="005E2A36"/>
    <w:rsid w:val="005E3A60"/>
    <w:rsid w:val="005E3BF6"/>
    <w:rsid w:val="005E45CF"/>
    <w:rsid w:val="005E4CC4"/>
    <w:rsid w:val="005E5AC4"/>
    <w:rsid w:val="005E5C5F"/>
    <w:rsid w:val="005E742D"/>
    <w:rsid w:val="005F03F0"/>
    <w:rsid w:val="005F0623"/>
    <w:rsid w:val="005F0E92"/>
    <w:rsid w:val="005F1A49"/>
    <w:rsid w:val="005F1CB9"/>
    <w:rsid w:val="005F310D"/>
    <w:rsid w:val="005F35D6"/>
    <w:rsid w:val="005F35E6"/>
    <w:rsid w:val="005F3E05"/>
    <w:rsid w:val="005F43B1"/>
    <w:rsid w:val="005F4A1D"/>
    <w:rsid w:val="005F4EB3"/>
    <w:rsid w:val="005F5530"/>
    <w:rsid w:val="005F66DC"/>
    <w:rsid w:val="005F72CD"/>
    <w:rsid w:val="00600885"/>
    <w:rsid w:val="00602D62"/>
    <w:rsid w:val="006059E0"/>
    <w:rsid w:val="00605A64"/>
    <w:rsid w:val="00606032"/>
    <w:rsid w:val="00606C23"/>
    <w:rsid w:val="00607321"/>
    <w:rsid w:val="006074E0"/>
    <w:rsid w:val="00607A7F"/>
    <w:rsid w:val="006118E3"/>
    <w:rsid w:val="00616D53"/>
    <w:rsid w:val="00620732"/>
    <w:rsid w:val="00620B37"/>
    <w:rsid w:val="00621200"/>
    <w:rsid w:val="00621A8C"/>
    <w:rsid w:val="00622740"/>
    <w:rsid w:val="00622FFC"/>
    <w:rsid w:val="006230C1"/>
    <w:rsid w:val="006231A6"/>
    <w:rsid w:val="006233EB"/>
    <w:rsid w:val="00623E0B"/>
    <w:rsid w:val="00624699"/>
    <w:rsid w:val="00624D89"/>
    <w:rsid w:val="00624E5D"/>
    <w:rsid w:val="0062509E"/>
    <w:rsid w:val="00625BAE"/>
    <w:rsid w:val="0062692B"/>
    <w:rsid w:val="00626CCE"/>
    <w:rsid w:val="0063103D"/>
    <w:rsid w:val="00633273"/>
    <w:rsid w:val="006339A2"/>
    <w:rsid w:val="00633E58"/>
    <w:rsid w:val="006344D6"/>
    <w:rsid w:val="00635AE9"/>
    <w:rsid w:val="00636B14"/>
    <w:rsid w:val="006376BE"/>
    <w:rsid w:val="00637EA5"/>
    <w:rsid w:val="0064158F"/>
    <w:rsid w:val="00641DA5"/>
    <w:rsid w:val="006423F1"/>
    <w:rsid w:val="00643720"/>
    <w:rsid w:val="00643933"/>
    <w:rsid w:val="0064555F"/>
    <w:rsid w:val="00650790"/>
    <w:rsid w:val="006518D1"/>
    <w:rsid w:val="00651A0D"/>
    <w:rsid w:val="00653ACB"/>
    <w:rsid w:val="00653BC7"/>
    <w:rsid w:val="00654002"/>
    <w:rsid w:val="00655445"/>
    <w:rsid w:val="00656C95"/>
    <w:rsid w:val="00656D26"/>
    <w:rsid w:val="00662AAB"/>
    <w:rsid w:val="0066440D"/>
    <w:rsid w:val="00664421"/>
    <w:rsid w:val="00664AB4"/>
    <w:rsid w:val="00666534"/>
    <w:rsid w:val="00666651"/>
    <w:rsid w:val="0066674E"/>
    <w:rsid w:val="00667825"/>
    <w:rsid w:val="00667CC3"/>
    <w:rsid w:val="00671EA1"/>
    <w:rsid w:val="00674420"/>
    <w:rsid w:val="006769CA"/>
    <w:rsid w:val="0067735B"/>
    <w:rsid w:val="006775E6"/>
    <w:rsid w:val="00677782"/>
    <w:rsid w:val="00677837"/>
    <w:rsid w:val="00681D4C"/>
    <w:rsid w:val="00683407"/>
    <w:rsid w:val="00683BB5"/>
    <w:rsid w:val="0068473F"/>
    <w:rsid w:val="00685294"/>
    <w:rsid w:val="006857AE"/>
    <w:rsid w:val="0068644C"/>
    <w:rsid w:val="00686518"/>
    <w:rsid w:val="00690686"/>
    <w:rsid w:val="00690E73"/>
    <w:rsid w:val="00691ABA"/>
    <w:rsid w:val="00692491"/>
    <w:rsid w:val="00692808"/>
    <w:rsid w:val="00692AB2"/>
    <w:rsid w:val="006935F6"/>
    <w:rsid w:val="00693A09"/>
    <w:rsid w:val="00695164"/>
    <w:rsid w:val="00697894"/>
    <w:rsid w:val="00697D51"/>
    <w:rsid w:val="006A02F0"/>
    <w:rsid w:val="006A0752"/>
    <w:rsid w:val="006A1422"/>
    <w:rsid w:val="006A1F2E"/>
    <w:rsid w:val="006A245C"/>
    <w:rsid w:val="006A51BE"/>
    <w:rsid w:val="006A5AB3"/>
    <w:rsid w:val="006A66BA"/>
    <w:rsid w:val="006A6B5A"/>
    <w:rsid w:val="006A6C73"/>
    <w:rsid w:val="006A7934"/>
    <w:rsid w:val="006B06B4"/>
    <w:rsid w:val="006B083C"/>
    <w:rsid w:val="006B2446"/>
    <w:rsid w:val="006B247C"/>
    <w:rsid w:val="006B287B"/>
    <w:rsid w:val="006B345A"/>
    <w:rsid w:val="006B3494"/>
    <w:rsid w:val="006B355F"/>
    <w:rsid w:val="006B36BB"/>
    <w:rsid w:val="006B3B8D"/>
    <w:rsid w:val="006B48D8"/>
    <w:rsid w:val="006B533B"/>
    <w:rsid w:val="006B6775"/>
    <w:rsid w:val="006C11F1"/>
    <w:rsid w:val="006C5142"/>
    <w:rsid w:val="006C691B"/>
    <w:rsid w:val="006C7FE9"/>
    <w:rsid w:val="006D0765"/>
    <w:rsid w:val="006D18F1"/>
    <w:rsid w:val="006D1C17"/>
    <w:rsid w:val="006D35A4"/>
    <w:rsid w:val="006D44CA"/>
    <w:rsid w:val="006D64D2"/>
    <w:rsid w:val="006D6A15"/>
    <w:rsid w:val="006D7979"/>
    <w:rsid w:val="006D7D37"/>
    <w:rsid w:val="006D7ECC"/>
    <w:rsid w:val="006E0880"/>
    <w:rsid w:val="006E0F4F"/>
    <w:rsid w:val="006E2D25"/>
    <w:rsid w:val="006E366D"/>
    <w:rsid w:val="006E4EC1"/>
    <w:rsid w:val="006E5158"/>
    <w:rsid w:val="006E57E0"/>
    <w:rsid w:val="006E5AD4"/>
    <w:rsid w:val="006E6019"/>
    <w:rsid w:val="006E607D"/>
    <w:rsid w:val="006E6B3D"/>
    <w:rsid w:val="006F0574"/>
    <w:rsid w:val="006F0975"/>
    <w:rsid w:val="006F0BB2"/>
    <w:rsid w:val="006F1B84"/>
    <w:rsid w:val="006F32A0"/>
    <w:rsid w:val="006F4CD5"/>
    <w:rsid w:val="006F6F5E"/>
    <w:rsid w:val="006F791A"/>
    <w:rsid w:val="006F7940"/>
    <w:rsid w:val="006F7A16"/>
    <w:rsid w:val="007007F8"/>
    <w:rsid w:val="00701071"/>
    <w:rsid w:val="00701312"/>
    <w:rsid w:val="00702248"/>
    <w:rsid w:val="00702773"/>
    <w:rsid w:val="00702F41"/>
    <w:rsid w:val="00703259"/>
    <w:rsid w:val="007036FA"/>
    <w:rsid w:val="00703CB5"/>
    <w:rsid w:val="00705055"/>
    <w:rsid w:val="007050B2"/>
    <w:rsid w:val="00705A4B"/>
    <w:rsid w:val="0070721E"/>
    <w:rsid w:val="00707231"/>
    <w:rsid w:val="00707899"/>
    <w:rsid w:val="00707BC6"/>
    <w:rsid w:val="007104F2"/>
    <w:rsid w:val="007109CA"/>
    <w:rsid w:val="00710CDD"/>
    <w:rsid w:val="00711333"/>
    <w:rsid w:val="00711E28"/>
    <w:rsid w:val="00711F48"/>
    <w:rsid w:val="00714DB8"/>
    <w:rsid w:val="0071753F"/>
    <w:rsid w:val="0071780A"/>
    <w:rsid w:val="0072060C"/>
    <w:rsid w:val="00721D37"/>
    <w:rsid w:val="007224EB"/>
    <w:rsid w:val="00722CA6"/>
    <w:rsid w:val="00723553"/>
    <w:rsid w:val="007246E4"/>
    <w:rsid w:val="00726901"/>
    <w:rsid w:val="0073134D"/>
    <w:rsid w:val="00733709"/>
    <w:rsid w:val="00733E96"/>
    <w:rsid w:val="007344D7"/>
    <w:rsid w:val="00736A26"/>
    <w:rsid w:val="00737AD9"/>
    <w:rsid w:val="00737FE2"/>
    <w:rsid w:val="00740357"/>
    <w:rsid w:val="00740A81"/>
    <w:rsid w:val="00741627"/>
    <w:rsid w:val="007421E0"/>
    <w:rsid w:val="00742AC3"/>
    <w:rsid w:val="00742D04"/>
    <w:rsid w:val="00743598"/>
    <w:rsid w:val="007449A2"/>
    <w:rsid w:val="0074670A"/>
    <w:rsid w:val="00746E47"/>
    <w:rsid w:val="007475D7"/>
    <w:rsid w:val="00750FC7"/>
    <w:rsid w:val="00751137"/>
    <w:rsid w:val="00751218"/>
    <w:rsid w:val="007512BD"/>
    <w:rsid w:val="00752D71"/>
    <w:rsid w:val="00754402"/>
    <w:rsid w:val="007573BE"/>
    <w:rsid w:val="00757BD9"/>
    <w:rsid w:val="007612E8"/>
    <w:rsid w:val="00761672"/>
    <w:rsid w:val="00762981"/>
    <w:rsid w:val="00763288"/>
    <w:rsid w:val="0076430A"/>
    <w:rsid w:val="007649D9"/>
    <w:rsid w:val="00764A4B"/>
    <w:rsid w:val="0076589A"/>
    <w:rsid w:val="00765E6A"/>
    <w:rsid w:val="007663CF"/>
    <w:rsid w:val="00766DB5"/>
    <w:rsid w:val="007678FC"/>
    <w:rsid w:val="00767F05"/>
    <w:rsid w:val="0077323B"/>
    <w:rsid w:val="0077424E"/>
    <w:rsid w:val="0077425E"/>
    <w:rsid w:val="007748EF"/>
    <w:rsid w:val="00774CD1"/>
    <w:rsid w:val="007750CF"/>
    <w:rsid w:val="007764F6"/>
    <w:rsid w:val="00776548"/>
    <w:rsid w:val="00776666"/>
    <w:rsid w:val="00776B57"/>
    <w:rsid w:val="00776C47"/>
    <w:rsid w:val="00776D15"/>
    <w:rsid w:val="00777E0C"/>
    <w:rsid w:val="007800B5"/>
    <w:rsid w:val="007807B9"/>
    <w:rsid w:val="00783BD8"/>
    <w:rsid w:val="00783D25"/>
    <w:rsid w:val="00783D61"/>
    <w:rsid w:val="00783E0F"/>
    <w:rsid w:val="00784CA1"/>
    <w:rsid w:val="0078659F"/>
    <w:rsid w:val="00790951"/>
    <w:rsid w:val="007918C4"/>
    <w:rsid w:val="00792577"/>
    <w:rsid w:val="00792C84"/>
    <w:rsid w:val="00792D57"/>
    <w:rsid w:val="00793F9E"/>
    <w:rsid w:val="007945DD"/>
    <w:rsid w:val="007948A1"/>
    <w:rsid w:val="007976BB"/>
    <w:rsid w:val="007978E8"/>
    <w:rsid w:val="00797D38"/>
    <w:rsid w:val="007A00C8"/>
    <w:rsid w:val="007A22B6"/>
    <w:rsid w:val="007A23EC"/>
    <w:rsid w:val="007A2D35"/>
    <w:rsid w:val="007A30DF"/>
    <w:rsid w:val="007A3BBE"/>
    <w:rsid w:val="007A4180"/>
    <w:rsid w:val="007A73F0"/>
    <w:rsid w:val="007B0108"/>
    <w:rsid w:val="007B01EA"/>
    <w:rsid w:val="007B0265"/>
    <w:rsid w:val="007B1AA5"/>
    <w:rsid w:val="007B2B8B"/>
    <w:rsid w:val="007B3634"/>
    <w:rsid w:val="007B3FA1"/>
    <w:rsid w:val="007B409D"/>
    <w:rsid w:val="007B5206"/>
    <w:rsid w:val="007B57BA"/>
    <w:rsid w:val="007B65ED"/>
    <w:rsid w:val="007B6FB4"/>
    <w:rsid w:val="007B79F5"/>
    <w:rsid w:val="007C07DF"/>
    <w:rsid w:val="007C1597"/>
    <w:rsid w:val="007C15E3"/>
    <w:rsid w:val="007C261B"/>
    <w:rsid w:val="007C2D9D"/>
    <w:rsid w:val="007C3175"/>
    <w:rsid w:val="007C3A46"/>
    <w:rsid w:val="007C481E"/>
    <w:rsid w:val="007C4EC2"/>
    <w:rsid w:val="007C77E4"/>
    <w:rsid w:val="007C7A31"/>
    <w:rsid w:val="007C7B55"/>
    <w:rsid w:val="007C7EF9"/>
    <w:rsid w:val="007D0079"/>
    <w:rsid w:val="007D4437"/>
    <w:rsid w:val="007D4C2B"/>
    <w:rsid w:val="007D5C78"/>
    <w:rsid w:val="007D5F42"/>
    <w:rsid w:val="007D76A0"/>
    <w:rsid w:val="007E0BAA"/>
    <w:rsid w:val="007E19F4"/>
    <w:rsid w:val="007E27AA"/>
    <w:rsid w:val="007E2C63"/>
    <w:rsid w:val="007E34FC"/>
    <w:rsid w:val="007E3C19"/>
    <w:rsid w:val="007E42EA"/>
    <w:rsid w:val="007E5E10"/>
    <w:rsid w:val="007E7C6F"/>
    <w:rsid w:val="007F0A92"/>
    <w:rsid w:val="007F17E1"/>
    <w:rsid w:val="007F42E0"/>
    <w:rsid w:val="007F4348"/>
    <w:rsid w:val="007F6C5A"/>
    <w:rsid w:val="007F703C"/>
    <w:rsid w:val="007F7D48"/>
    <w:rsid w:val="0080075E"/>
    <w:rsid w:val="00800CD5"/>
    <w:rsid w:val="00801387"/>
    <w:rsid w:val="00802236"/>
    <w:rsid w:val="008037BD"/>
    <w:rsid w:val="00803A54"/>
    <w:rsid w:val="00803B5B"/>
    <w:rsid w:val="00803BF8"/>
    <w:rsid w:val="00804AF2"/>
    <w:rsid w:val="008052C6"/>
    <w:rsid w:val="00805ACE"/>
    <w:rsid w:val="0081190D"/>
    <w:rsid w:val="00812DD4"/>
    <w:rsid w:val="00813028"/>
    <w:rsid w:val="0081606A"/>
    <w:rsid w:val="0081632D"/>
    <w:rsid w:val="00817041"/>
    <w:rsid w:val="00817441"/>
    <w:rsid w:val="00820A9B"/>
    <w:rsid w:val="00823656"/>
    <w:rsid w:val="008245AD"/>
    <w:rsid w:val="00824885"/>
    <w:rsid w:val="00825FFE"/>
    <w:rsid w:val="00827679"/>
    <w:rsid w:val="00827A41"/>
    <w:rsid w:val="00827B63"/>
    <w:rsid w:val="00831CE3"/>
    <w:rsid w:val="0083298A"/>
    <w:rsid w:val="00832B62"/>
    <w:rsid w:val="00834043"/>
    <w:rsid w:val="00834614"/>
    <w:rsid w:val="008352F7"/>
    <w:rsid w:val="00835B10"/>
    <w:rsid w:val="00836FB6"/>
    <w:rsid w:val="008400CC"/>
    <w:rsid w:val="00840AD3"/>
    <w:rsid w:val="00841B35"/>
    <w:rsid w:val="00843299"/>
    <w:rsid w:val="00844019"/>
    <w:rsid w:val="00844229"/>
    <w:rsid w:val="00844597"/>
    <w:rsid w:val="00845C7E"/>
    <w:rsid w:val="00845DAB"/>
    <w:rsid w:val="00846049"/>
    <w:rsid w:val="00850353"/>
    <w:rsid w:val="00850FA0"/>
    <w:rsid w:val="00851120"/>
    <w:rsid w:val="008514F3"/>
    <w:rsid w:val="00851654"/>
    <w:rsid w:val="008517D1"/>
    <w:rsid w:val="00851C2F"/>
    <w:rsid w:val="00852853"/>
    <w:rsid w:val="00852A86"/>
    <w:rsid w:val="008534B1"/>
    <w:rsid w:val="00854163"/>
    <w:rsid w:val="008549FD"/>
    <w:rsid w:val="008557B0"/>
    <w:rsid w:val="00855895"/>
    <w:rsid w:val="00855D60"/>
    <w:rsid w:val="00856E0A"/>
    <w:rsid w:val="00857D06"/>
    <w:rsid w:val="0086085F"/>
    <w:rsid w:val="00860A6C"/>
    <w:rsid w:val="00860D4E"/>
    <w:rsid w:val="00862A14"/>
    <w:rsid w:val="00863D36"/>
    <w:rsid w:val="008645F9"/>
    <w:rsid w:val="00865381"/>
    <w:rsid w:val="00865888"/>
    <w:rsid w:val="00865D68"/>
    <w:rsid w:val="00865E5D"/>
    <w:rsid w:val="008665F5"/>
    <w:rsid w:val="008672F5"/>
    <w:rsid w:val="0087026E"/>
    <w:rsid w:val="0087050A"/>
    <w:rsid w:val="00870772"/>
    <w:rsid w:val="0087136A"/>
    <w:rsid w:val="00871405"/>
    <w:rsid w:val="008727BB"/>
    <w:rsid w:val="008729D2"/>
    <w:rsid w:val="00873D41"/>
    <w:rsid w:val="00873F29"/>
    <w:rsid w:val="00874D0E"/>
    <w:rsid w:val="008762EC"/>
    <w:rsid w:val="00876C82"/>
    <w:rsid w:val="00876F0A"/>
    <w:rsid w:val="008775D7"/>
    <w:rsid w:val="00877EE8"/>
    <w:rsid w:val="00882A98"/>
    <w:rsid w:val="00882E7D"/>
    <w:rsid w:val="00884293"/>
    <w:rsid w:val="0088439F"/>
    <w:rsid w:val="00884597"/>
    <w:rsid w:val="00884A73"/>
    <w:rsid w:val="00885709"/>
    <w:rsid w:val="00885BE9"/>
    <w:rsid w:val="00886D17"/>
    <w:rsid w:val="00886E99"/>
    <w:rsid w:val="00887362"/>
    <w:rsid w:val="00887C8B"/>
    <w:rsid w:val="008904F0"/>
    <w:rsid w:val="0089079A"/>
    <w:rsid w:val="00890ED1"/>
    <w:rsid w:val="00891C89"/>
    <w:rsid w:val="00892C7E"/>
    <w:rsid w:val="00892EC5"/>
    <w:rsid w:val="0089349D"/>
    <w:rsid w:val="0089382E"/>
    <w:rsid w:val="00893A3C"/>
    <w:rsid w:val="00893AC3"/>
    <w:rsid w:val="008946F7"/>
    <w:rsid w:val="00894791"/>
    <w:rsid w:val="00894856"/>
    <w:rsid w:val="008953AF"/>
    <w:rsid w:val="00895795"/>
    <w:rsid w:val="00895801"/>
    <w:rsid w:val="00897F2D"/>
    <w:rsid w:val="008A0288"/>
    <w:rsid w:val="008A0F31"/>
    <w:rsid w:val="008A12AB"/>
    <w:rsid w:val="008A1633"/>
    <w:rsid w:val="008A1DBF"/>
    <w:rsid w:val="008A2A32"/>
    <w:rsid w:val="008A34B5"/>
    <w:rsid w:val="008A3869"/>
    <w:rsid w:val="008A3F6D"/>
    <w:rsid w:val="008A415F"/>
    <w:rsid w:val="008A5C8B"/>
    <w:rsid w:val="008A61B5"/>
    <w:rsid w:val="008A7A46"/>
    <w:rsid w:val="008A7C58"/>
    <w:rsid w:val="008A7ECC"/>
    <w:rsid w:val="008B0AF6"/>
    <w:rsid w:val="008B31BA"/>
    <w:rsid w:val="008B4A1F"/>
    <w:rsid w:val="008B50BC"/>
    <w:rsid w:val="008B58A7"/>
    <w:rsid w:val="008B6439"/>
    <w:rsid w:val="008B6A0B"/>
    <w:rsid w:val="008B7D59"/>
    <w:rsid w:val="008B7D7F"/>
    <w:rsid w:val="008C0375"/>
    <w:rsid w:val="008C1484"/>
    <w:rsid w:val="008C1923"/>
    <w:rsid w:val="008C2253"/>
    <w:rsid w:val="008C457C"/>
    <w:rsid w:val="008C4B1E"/>
    <w:rsid w:val="008C6992"/>
    <w:rsid w:val="008C6D45"/>
    <w:rsid w:val="008D06CB"/>
    <w:rsid w:val="008D0B55"/>
    <w:rsid w:val="008D151D"/>
    <w:rsid w:val="008D21E2"/>
    <w:rsid w:val="008D223E"/>
    <w:rsid w:val="008D24D0"/>
    <w:rsid w:val="008D3448"/>
    <w:rsid w:val="008D3459"/>
    <w:rsid w:val="008D3A04"/>
    <w:rsid w:val="008D41B7"/>
    <w:rsid w:val="008D4291"/>
    <w:rsid w:val="008D4F72"/>
    <w:rsid w:val="008D6AD3"/>
    <w:rsid w:val="008D7F94"/>
    <w:rsid w:val="008E0561"/>
    <w:rsid w:val="008E05DA"/>
    <w:rsid w:val="008E08BC"/>
    <w:rsid w:val="008E2976"/>
    <w:rsid w:val="008E37F6"/>
    <w:rsid w:val="008E40E7"/>
    <w:rsid w:val="008E4247"/>
    <w:rsid w:val="008E4424"/>
    <w:rsid w:val="008E466F"/>
    <w:rsid w:val="008E4E51"/>
    <w:rsid w:val="008E51F0"/>
    <w:rsid w:val="008E55CE"/>
    <w:rsid w:val="008E57EB"/>
    <w:rsid w:val="008E5CB1"/>
    <w:rsid w:val="008E6F29"/>
    <w:rsid w:val="008E7128"/>
    <w:rsid w:val="008F0231"/>
    <w:rsid w:val="008F0237"/>
    <w:rsid w:val="008F09A9"/>
    <w:rsid w:val="008F114D"/>
    <w:rsid w:val="008F3CE5"/>
    <w:rsid w:val="008F44E7"/>
    <w:rsid w:val="008F4D94"/>
    <w:rsid w:val="008F50F3"/>
    <w:rsid w:val="008F55F9"/>
    <w:rsid w:val="008F6970"/>
    <w:rsid w:val="008F6C5B"/>
    <w:rsid w:val="008F76CA"/>
    <w:rsid w:val="008F7ACE"/>
    <w:rsid w:val="00901F82"/>
    <w:rsid w:val="0090237A"/>
    <w:rsid w:val="009037C4"/>
    <w:rsid w:val="00903851"/>
    <w:rsid w:val="00904C81"/>
    <w:rsid w:val="00905D66"/>
    <w:rsid w:val="009062FF"/>
    <w:rsid w:val="0090652B"/>
    <w:rsid w:val="00906561"/>
    <w:rsid w:val="00906A46"/>
    <w:rsid w:val="00907061"/>
    <w:rsid w:val="00907C48"/>
    <w:rsid w:val="00914FED"/>
    <w:rsid w:val="00914FFA"/>
    <w:rsid w:val="009157A6"/>
    <w:rsid w:val="009158FA"/>
    <w:rsid w:val="0091613C"/>
    <w:rsid w:val="00916765"/>
    <w:rsid w:val="00916AC5"/>
    <w:rsid w:val="00917E9C"/>
    <w:rsid w:val="00920144"/>
    <w:rsid w:val="009201B0"/>
    <w:rsid w:val="009201BA"/>
    <w:rsid w:val="00921207"/>
    <w:rsid w:val="00922A69"/>
    <w:rsid w:val="00922C6E"/>
    <w:rsid w:val="009231A9"/>
    <w:rsid w:val="00925357"/>
    <w:rsid w:val="00926FF7"/>
    <w:rsid w:val="0092704C"/>
    <w:rsid w:val="009272CC"/>
    <w:rsid w:val="00927463"/>
    <w:rsid w:val="009304A4"/>
    <w:rsid w:val="009311B3"/>
    <w:rsid w:val="00931539"/>
    <w:rsid w:val="00931553"/>
    <w:rsid w:val="00931863"/>
    <w:rsid w:val="0093292D"/>
    <w:rsid w:val="00932C32"/>
    <w:rsid w:val="009333E6"/>
    <w:rsid w:val="0093397F"/>
    <w:rsid w:val="00934880"/>
    <w:rsid w:val="00934CD6"/>
    <w:rsid w:val="00937974"/>
    <w:rsid w:val="00937BA4"/>
    <w:rsid w:val="00940732"/>
    <w:rsid w:val="009407E5"/>
    <w:rsid w:val="00940CAC"/>
    <w:rsid w:val="00941680"/>
    <w:rsid w:val="00944CAF"/>
    <w:rsid w:val="00946079"/>
    <w:rsid w:val="0094616E"/>
    <w:rsid w:val="00947131"/>
    <w:rsid w:val="00947D61"/>
    <w:rsid w:val="00950B5E"/>
    <w:rsid w:val="00952032"/>
    <w:rsid w:val="00952423"/>
    <w:rsid w:val="00952BD6"/>
    <w:rsid w:val="00954F4A"/>
    <w:rsid w:val="0095514B"/>
    <w:rsid w:val="009562B7"/>
    <w:rsid w:val="00957787"/>
    <w:rsid w:val="00960174"/>
    <w:rsid w:val="009601A9"/>
    <w:rsid w:val="00960D56"/>
    <w:rsid w:val="009617ED"/>
    <w:rsid w:val="00961A23"/>
    <w:rsid w:val="009634BC"/>
    <w:rsid w:val="009642AF"/>
    <w:rsid w:val="00965CAA"/>
    <w:rsid w:val="009667A9"/>
    <w:rsid w:val="00967DE5"/>
    <w:rsid w:val="0097006F"/>
    <w:rsid w:val="0097021F"/>
    <w:rsid w:val="009705D7"/>
    <w:rsid w:val="00970A61"/>
    <w:rsid w:val="00971F4C"/>
    <w:rsid w:val="0097264C"/>
    <w:rsid w:val="00972E4F"/>
    <w:rsid w:val="009736B9"/>
    <w:rsid w:val="00974F31"/>
    <w:rsid w:val="00975A3F"/>
    <w:rsid w:val="009809C6"/>
    <w:rsid w:val="009817DD"/>
    <w:rsid w:val="00981DB6"/>
    <w:rsid w:val="00982A1E"/>
    <w:rsid w:val="0098397F"/>
    <w:rsid w:val="00983E0A"/>
    <w:rsid w:val="00984739"/>
    <w:rsid w:val="00984BA4"/>
    <w:rsid w:val="00984DCC"/>
    <w:rsid w:val="0098520E"/>
    <w:rsid w:val="00985DA7"/>
    <w:rsid w:val="00986247"/>
    <w:rsid w:val="0098735E"/>
    <w:rsid w:val="00990B47"/>
    <w:rsid w:val="00991269"/>
    <w:rsid w:val="00991D55"/>
    <w:rsid w:val="00992432"/>
    <w:rsid w:val="00992D5C"/>
    <w:rsid w:val="0099389A"/>
    <w:rsid w:val="00993A06"/>
    <w:rsid w:val="00993B30"/>
    <w:rsid w:val="00994205"/>
    <w:rsid w:val="00994A17"/>
    <w:rsid w:val="00996902"/>
    <w:rsid w:val="00996D36"/>
    <w:rsid w:val="009A09FF"/>
    <w:rsid w:val="009A10AC"/>
    <w:rsid w:val="009A22CE"/>
    <w:rsid w:val="009A2302"/>
    <w:rsid w:val="009A27B4"/>
    <w:rsid w:val="009A63F8"/>
    <w:rsid w:val="009B1691"/>
    <w:rsid w:val="009B38E7"/>
    <w:rsid w:val="009B3AD0"/>
    <w:rsid w:val="009B4CE0"/>
    <w:rsid w:val="009B5498"/>
    <w:rsid w:val="009B58D0"/>
    <w:rsid w:val="009B5C7F"/>
    <w:rsid w:val="009B69D2"/>
    <w:rsid w:val="009B6F7A"/>
    <w:rsid w:val="009B7485"/>
    <w:rsid w:val="009B7C08"/>
    <w:rsid w:val="009C0336"/>
    <w:rsid w:val="009C043E"/>
    <w:rsid w:val="009C266F"/>
    <w:rsid w:val="009C3119"/>
    <w:rsid w:val="009C3123"/>
    <w:rsid w:val="009C3470"/>
    <w:rsid w:val="009C428D"/>
    <w:rsid w:val="009C46F7"/>
    <w:rsid w:val="009C59A8"/>
    <w:rsid w:val="009C5BF1"/>
    <w:rsid w:val="009C6DF5"/>
    <w:rsid w:val="009C7E0E"/>
    <w:rsid w:val="009C7E12"/>
    <w:rsid w:val="009D0964"/>
    <w:rsid w:val="009D12C5"/>
    <w:rsid w:val="009D1422"/>
    <w:rsid w:val="009D15E4"/>
    <w:rsid w:val="009D2C77"/>
    <w:rsid w:val="009D2FCD"/>
    <w:rsid w:val="009D3BAF"/>
    <w:rsid w:val="009D4B5B"/>
    <w:rsid w:val="009D5045"/>
    <w:rsid w:val="009D5334"/>
    <w:rsid w:val="009D6281"/>
    <w:rsid w:val="009D7A23"/>
    <w:rsid w:val="009E05FF"/>
    <w:rsid w:val="009E099D"/>
    <w:rsid w:val="009E3AE0"/>
    <w:rsid w:val="009E410F"/>
    <w:rsid w:val="009E44CD"/>
    <w:rsid w:val="009E4BAA"/>
    <w:rsid w:val="009E51B1"/>
    <w:rsid w:val="009E56C5"/>
    <w:rsid w:val="009E603A"/>
    <w:rsid w:val="009E7897"/>
    <w:rsid w:val="009F0814"/>
    <w:rsid w:val="009F29DA"/>
    <w:rsid w:val="009F2ECF"/>
    <w:rsid w:val="009F34C7"/>
    <w:rsid w:val="009F399F"/>
    <w:rsid w:val="009F4A54"/>
    <w:rsid w:val="009F4B9C"/>
    <w:rsid w:val="009F4C85"/>
    <w:rsid w:val="009F540F"/>
    <w:rsid w:val="009F574D"/>
    <w:rsid w:val="009F5918"/>
    <w:rsid w:val="009F636E"/>
    <w:rsid w:val="009F6ABC"/>
    <w:rsid w:val="009F6FFD"/>
    <w:rsid w:val="00A00941"/>
    <w:rsid w:val="00A01E56"/>
    <w:rsid w:val="00A0209B"/>
    <w:rsid w:val="00A029C4"/>
    <w:rsid w:val="00A02B28"/>
    <w:rsid w:val="00A03072"/>
    <w:rsid w:val="00A030F4"/>
    <w:rsid w:val="00A039E7"/>
    <w:rsid w:val="00A03CF9"/>
    <w:rsid w:val="00A054C3"/>
    <w:rsid w:val="00A05ED5"/>
    <w:rsid w:val="00A065B7"/>
    <w:rsid w:val="00A07445"/>
    <w:rsid w:val="00A11407"/>
    <w:rsid w:val="00A12082"/>
    <w:rsid w:val="00A12DFA"/>
    <w:rsid w:val="00A131C4"/>
    <w:rsid w:val="00A14667"/>
    <w:rsid w:val="00A14B7F"/>
    <w:rsid w:val="00A156EB"/>
    <w:rsid w:val="00A161DE"/>
    <w:rsid w:val="00A1687A"/>
    <w:rsid w:val="00A16C59"/>
    <w:rsid w:val="00A16F73"/>
    <w:rsid w:val="00A1744E"/>
    <w:rsid w:val="00A176E8"/>
    <w:rsid w:val="00A20CD3"/>
    <w:rsid w:val="00A2213B"/>
    <w:rsid w:val="00A2366A"/>
    <w:rsid w:val="00A23DF1"/>
    <w:rsid w:val="00A24BB8"/>
    <w:rsid w:val="00A25D82"/>
    <w:rsid w:val="00A263BA"/>
    <w:rsid w:val="00A270C5"/>
    <w:rsid w:val="00A271EF"/>
    <w:rsid w:val="00A304F9"/>
    <w:rsid w:val="00A309DB"/>
    <w:rsid w:val="00A30D20"/>
    <w:rsid w:val="00A31C8B"/>
    <w:rsid w:val="00A32991"/>
    <w:rsid w:val="00A333C7"/>
    <w:rsid w:val="00A3353C"/>
    <w:rsid w:val="00A336AB"/>
    <w:rsid w:val="00A337E7"/>
    <w:rsid w:val="00A34628"/>
    <w:rsid w:val="00A34AFF"/>
    <w:rsid w:val="00A35599"/>
    <w:rsid w:val="00A406B4"/>
    <w:rsid w:val="00A4073A"/>
    <w:rsid w:val="00A40E34"/>
    <w:rsid w:val="00A41667"/>
    <w:rsid w:val="00A4327B"/>
    <w:rsid w:val="00A44BF1"/>
    <w:rsid w:val="00A4594A"/>
    <w:rsid w:val="00A47A15"/>
    <w:rsid w:val="00A51541"/>
    <w:rsid w:val="00A51579"/>
    <w:rsid w:val="00A54DF4"/>
    <w:rsid w:val="00A55C88"/>
    <w:rsid w:val="00A56479"/>
    <w:rsid w:val="00A5665E"/>
    <w:rsid w:val="00A56C38"/>
    <w:rsid w:val="00A56DA1"/>
    <w:rsid w:val="00A61D52"/>
    <w:rsid w:val="00A61DE4"/>
    <w:rsid w:val="00A62EF3"/>
    <w:rsid w:val="00A63E24"/>
    <w:rsid w:val="00A64816"/>
    <w:rsid w:val="00A649D5"/>
    <w:rsid w:val="00A64B7B"/>
    <w:rsid w:val="00A66544"/>
    <w:rsid w:val="00A66B8B"/>
    <w:rsid w:val="00A67772"/>
    <w:rsid w:val="00A708D0"/>
    <w:rsid w:val="00A70D31"/>
    <w:rsid w:val="00A71B90"/>
    <w:rsid w:val="00A73069"/>
    <w:rsid w:val="00A73964"/>
    <w:rsid w:val="00A73ADE"/>
    <w:rsid w:val="00A74BC3"/>
    <w:rsid w:val="00A74F89"/>
    <w:rsid w:val="00A75B1D"/>
    <w:rsid w:val="00A762EC"/>
    <w:rsid w:val="00A805E8"/>
    <w:rsid w:val="00A8078E"/>
    <w:rsid w:val="00A80A98"/>
    <w:rsid w:val="00A80B51"/>
    <w:rsid w:val="00A81FA1"/>
    <w:rsid w:val="00A8216D"/>
    <w:rsid w:val="00A821D3"/>
    <w:rsid w:val="00A82C3E"/>
    <w:rsid w:val="00A83AD0"/>
    <w:rsid w:val="00A8554C"/>
    <w:rsid w:val="00A85C16"/>
    <w:rsid w:val="00A862F0"/>
    <w:rsid w:val="00A86BF4"/>
    <w:rsid w:val="00A86DF3"/>
    <w:rsid w:val="00A87346"/>
    <w:rsid w:val="00A9032A"/>
    <w:rsid w:val="00A90FD7"/>
    <w:rsid w:val="00A9100E"/>
    <w:rsid w:val="00A91604"/>
    <w:rsid w:val="00A92846"/>
    <w:rsid w:val="00A93D7E"/>
    <w:rsid w:val="00A9484A"/>
    <w:rsid w:val="00A94D92"/>
    <w:rsid w:val="00A968A7"/>
    <w:rsid w:val="00A96FCD"/>
    <w:rsid w:val="00A97690"/>
    <w:rsid w:val="00A97801"/>
    <w:rsid w:val="00A97C66"/>
    <w:rsid w:val="00AA076D"/>
    <w:rsid w:val="00AA07B2"/>
    <w:rsid w:val="00AA158B"/>
    <w:rsid w:val="00AA1EAB"/>
    <w:rsid w:val="00AA22C5"/>
    <w:rsid w:val="00AA2AB2"/>
    <w:rsid w:val="00AA2ADE"/>
    <w:rsid w:val="00AA2B13"/>
    <w:rsid w:val="00AA2CE4"/>
    <w:rsid w:val="00AA31DD"/>
    <w:rsid w:val="00AA3386"/>
    <w:rsid w:val="00AA3B22"/>
    <w:rsid w:val="00AA43A6"/>
    <w:rsid w:val="00AA5059"/>
    <w:rsid w:val="00AA5745"/>
    <w:rsid w:val="00AA6E1C"/>
    <w:rsid w:val="00AA6F7B"/>
    <w:rsid w:val="00AA7351"/>
    <w:rsid w:val="00AB0B83"/>
    <w:rsid w:val="00AB0E76"/>
    <w:rsid w:val="00AB1760"/>
    <w:rsid w:val="00AB2307"/>
    <w:rsid w:val="00AB5455"/>
    <w:rsid w:val="00AB6B81"/>
    <w:rsid w:val="00AB6FF1"/>
    <w:rsid w:val="00AB7347"/>
    <w:rsid w:val="00AB78D8"/>
    <w:rsid w:val="00AB7D41"/>
    <w:rsid w:val="00AC0492"/>
    <w:rsid w:val="00AC0DC6"/>
    <w:rsid w:val="00AC2125"/>
    <w:rsid w:val="00AC2CE6"/>
    <w:rsid w:val="00AC31D7"/>
    <w:rsid w:val="00AC3663"/>
    <w:rsid w:val="00AC3E1D"/>
    <w:rsid w:val="00AC50D9"/>
    <w:rsid w:val="00AC5B67"/>
    <w:rsid w:val="00AC6C10"/>
    <w:rsid w:val="00AC7299"/>
    <w:rsid w:val="00AC741D"/>
    <w:rsid w:val="00AC76C6"/>
    <w:rsid w:val="00AD1012"/>
    <w:rsid w:val="00AD2686"/>
    <w:rsid w:val="00AD2748"/>
    <w:rsid w:val="00AD36E4"/>
    <w:rsid w:val="00AD3931"/>
    <w:rsid w:val="00AD4893"/>
    <w:rsid w:val="00AD72F6"/>
    <w:rsid w:val="00AD7614"/>
    <w:rsid w:val="00AE098F"/>
    <w:rsid w:val="00AE0D5C"/>
    <w:rsid w:val="00AE12F0"/>
    <w:rsid w:val="00AE13CE"/>
    <w:rsid w:val="00AE1853"/>
    <w:rsid w:val="00AE2278"/>
    <w:rsid w:val="00AE3BDE"/>
    <w:rsid w:val="00AE59DC"/>
    <w:rsid w:val="00AE62A1"/>
    <w:rsid w:val="00AE7E5D"/>
    <w:rsid w:val="00AE7F3D"/>
    <w:rsid w:val="00AF0443"/>
    <w:rsid w:val="00AF0D3B"/>
    <w:rsid w:val="00AF22B6"/>
    <w:rsid w:val="00AF4F70"/>
    <w:rsid w:val="00AF7260"/>
    <w:rsid w:val="00B00DCD"/>
    <w:rsid w:val="00B01B36"/>
    <w:rsid w:val="00B021E2"/>
    <w:rsid w:val="00B02876"/>
    <w:rsid w:val="00B031C9"/>
    <w:rsid w:val="00B04E4B"/>
    <w:rsid w:val="00B04F30"/>
    <w:rsid w:val="00B0689E"/>
    <w:rsid w:val="00B069F3"/>
    <w:rsid w:val="00B06DB2"/>
    <w:rsid w:val="00B07C20"/>
    <w:rsid w:val="00B10417"/>
    <w:rsid w:val="00B13941"/>
    <w:rsid w:val="00B14317"/>
    <w:rsid w:val="00B14686"/>
    <w:rsid w:val="00B15E90"/>
    <w:rsid w:val="00B17025"/>
    <w:rsid w:val="00B20832"/>
    <w:rsid w:val="00B20F2E"/>
    <w:rsid w:val="00B22D9C"/>
    <w:rsid w:val="00B22E66"/>
    <w:rsid w:val="00B23BD9"/>
    <w:rsid w:val="00B2608F"/>
    <w:rsid w:val="00B31B44"/>
    <w:rsid w:val="00B32D84"/>
    <w:rsid w:val="00B40755"/>
    <w:rsid w:val="00B41801"/>
    <w:rsid w:val="00B4298F"/>
    <w:rsid w:val="00B42A4E"/>
    <w:rsid w:val="00B43125"/>
    <w:rsid w:val="00B4384D"/>
    <w:rsid w:val="00B43BC9"/>
    <w:rsid w:val="00B43F8E"/>
    <w:rsid w:val="00B4556D"/>
    <w:rsid w:val="00B45EB2"/>
    <w:rsid w:val="00B46046"/>
    <w:rsid w:val="00B46E4B"/>
    <w:rsid w:val="00B4722F"/>
    <w:rsid w:val="00B477A0"/>
    <w:rsid w:val="00B47C27"/>
    <w:rsid w:val="00B5041E"/>
    <w:rsid w:val="00B50BB9"/>
    <w:rsid w:val="00B510C6"/>
    <w:rsid w:val="00B51505"/>
    <w:rsid w:val="00B51964"/>
    <w:rsid w:val="00B555E2"/>
    <w:rsid w:val="00B56A32"/>
    <w:rsid w:val="00B57E67"/>
    <w:rsid w:val="00B62353"/>
    <w:rsid w:val="00B623C5"/>
    <w:rsid w:val="00B62EF1"/>
    <w:rsid w:val="00B634C9"/>
    <w:rsid w:val="00B63CD3"/>
    <w:rsid w:val="00B640CB"/>
    <w:rsid w:val="00B64FB6"/>
    <w:rsid w:val="00B65D4E"/>
    <w:rsid w:val="00B669E8"/>
    <w:rsid w:val="00B67A96"/>
    <w:rsid w:val="00B70345"/>
    <w:rsid w:val="00B70B91"/>
    <w:rsid w:val="00B711EB"/>
    <w:rsid w:val="00B71505"/>
    <w:rsid w:val="00B729D1"/>
    <w:rsid w:val="00B74C31"/>
    <w:rsid w:val="00B758E9"/>
    <w:rsid w:val="00B75B78"/>
    <w:rsid w:val="00B75F9B"/>
    <w:rsid w:val="00B76E91"/>
    <w:rsid w:val="00B773BF"/>
    <w:rsid w:val="00B77BF2"/>
    <w:rsid w:val="00B811F6"/>
    <w:rsid w:val="00B8144E"/>
    <w:rsid w:val="00B828BF"/>
    <w:rsid w:val="00B82C7E"/>
    <w:rsid w:val="00B841B4"/>
    <w:rsid w:val="00B84A94"/>
    <w:rsid w:val="00B86340"/>
    <w:rsid w:val="00B87AF4"/>
    <w:rsid w:val="00B90762"/>
    <w:rsid w:val="00B90FB4"/>
    <w:rsid w:val="00B92018"/>
    <w:rsid w:val="00B92AED"/>
    <w:rsid w:val="00B93D18"/>
    <w:rsid w:val="00B94AF3"/>
    <w:rsid w:val="00B94E25"/>
    <w:rsid w:val="00B95823"/>
    <w:rsid w:val="00B968AE"/>
    <w:rsid w:val="00B9784A"/>
    <w:rsid w:val="00BA0C96"/>
    <w:rsid w:val="00BA1E24"/>
    <w:rsid w:val="00BA24D1"/>
    <w:rsid w:val="00BA2BA7"/>
    <w:rsid w:val="00BA31DF"/>
    <w:rsid w:val="00BA3498"/>
    <w:rsid w:val="00BA34A1"/>
    <w:rsid w:val="00BA5F85"/>
    <w:rsid w:val="00BA663A"/>
    <w:rsid w:val="00BA6C95"/>
    <w:rsid w:val="00BA790B"/>
    <w:rsid w:val="00BB0613"/>
    <w:rsid w:val="00BB1AEA"/>
    <w:rsid w:val="00BB28B8"/>
    <w:rsid w:val="00BB29BA"/>
    <w:rsid w:val="00BB5907"/>
    <w:rsid w:val="00BB7BAF"/>
    <w:rsid w:val="00BB7ED9"/>
    <w:rsid w:val="00BC19C5"/>
    <w:rsid w:val="00BC27ED"/>
    <w:rsid w:val="00BC2A86"/>
    <w:rsid w:val="00BC316F"/>
    <w:rsid w:val="00BC3F4B"/>
    <w:rsid w:val="00BC635B"/>
    <w:rsid w:val="00BC66F4"/>
    <w:rsid w:val="00BC69E4"/>
    <w:rsid w:val="00BC7548"/>
    <w:rsid w:val="00BC7EAA"/>
    <w:rsid w:val="00BD08C7"/>
    <w:rsid w:val="00BD0C45"/>
    <w:rsid w:val="00BD2E65"/>
    <w:rsid w:val="00BD3F2A"/>
    <w:rsid w:val="00BD4381"/>
    <w:rsid w:val="00BD4C10"/>
    <w:rsid w:val="00BD4DBD"/>
    <w:rsid w:val="00BD58F8"/>
    <w:rsid w:val="00BD5B08"/>
    <w:rsid w:val="00BD6272"/>
    <w:rsid w:val="00BD7077"/>
    <w:rsid w:val="00BD74D7"/>
    <w:rsid w:val="00BE02CA"/>
    <w:rsid w:val="00BE2E1D"/>
    <w:rsid w:val="00BE2FFB"/>
    <w:rsid w:val="00BE3A41"/>
    <w:rsid w:val="00BE44EE"/>
    <w:rsid w:val="00BE4DE7"/>
    <w:rsid w:val="00BE501F"/>
    <w:rsid w:val="00BE566E"/>
    <w:rsid w:val="00BE7600"/>
    <w:rsid w:val="00BE7DA1"/>
    <w:rsid w:val="00BF0847"/>
    <w:rsid w:val="00BF1226"/>
    <w:rsid w:val="00BF1631"/>
    <w:rsid w:val="00BF22F8"/>
    <w:rsid w:val="00BF24C9"/>
    <w:rsid w:val="00BF2863"/>
    <w:rsid w:val="00BF4989"/>
    <w:rsid w:val="00BF4C86"/>
    <w:rsid w:val="00BF6954"/>
    <w:rsid w:val="00C00043"/>
    <w:rsid w:val="00C0194C"/>
    <w:rsid w:val="00C023DA"/>
    <w:rsid w:val="00C02F22"/>
    <w:rsid w:val="00C03B4E"/>
    <w:rsid w:val="00C03CF8"/>
    <w:rsid w:val="00C04335"/>
    <w:rsid w:val="00C0464E"/>
    <w:rsid w:val="00C04BE2"/>
    <w:rsid w:val="00C055D0"/>
    <w:rsid w:val="00C06103"/>
    <w:rsid w:val="00C0772F"/>
    <w:rsid w:val="00C07731"/>
    <w:rsid w:val="00C078A7"/>
    <w:rsid w:val="00C07F4F"/>
    <w:rsid w:val="00C1040E"/>
    <w:rsid w:val="00C10F58"/>
    <w:rsid w:val="00C116EA"/>
    <w:rsid w:val="00C12846"/>
    <w:rsid w:val="00C13423"/>
    <w:rsid w:val="00C145E2"/>
    <w:rsid w:val="00C154C9"/>
    <w:rsid w:val="00C1560A"/>
    <w:rsid w:val="00C16AE0"/>
    <w:rsid w:val="00C207E9"/>
    <w:rsid w:val="00C2100C"/>
    <w:rsid w:val="00C21116"/>
    <w:rsid w:val="00C24779"/>
    <w:rsid w:val="00C24A38"/>
    <w:rsid w:val="00C24BA0"/>
    <w:rsid w:val="00C24F3C"/>
    <w:rsid w:val="00C26489"/>
    <w:rsid w:val="00C26AB3"/>
    <w:rsid w:val="00C26EF2"/>
    <w:rsid w:val="00C274FE"/>
    <w:rsid w:val="00C27DDF"/>
    <w:rsid w:val="00C308F5"/>
    <w:rsid w:val="00C30AF5"/>
    <w:rsid w:val="00C31C15"/>
    <w:rsid w:val="00C3250A"/>
    <w:rsid w:val="00C32971"/>
    <w:rsid w:val="00C33BEE"/>
    <w:rsid w:val="00C361EE"/>
    <w:rsid w:val="00C36D9C"/>
    <w:rsid w:val="00C37310"/>
    <w:rsid w:val="00C37A03"/>
    <w:rsid w:val="00C40C8A"/>
    <w:rsid w:val="00C40FA3"/>
    <w:rsid w:val="00C41703"/>
    <w:rsid w:val="00C4610D"/>
    <w:rsid w:val="00C47E71"/>
    <w:rsid w:val="00C50506"/>
    <w:rsid w:val="00C50650"/>
    <w:rsid w:val="00C50DB4"/>
    <w:rsid w:val="00C515E8"/>
    <w:rsid w:val="00C51BC1"/>
    <w:rsid w:val="00C51BDF"/>
    <w:rsid w:val="00C51EBA"/>
    <w:rsid w:val="00C52BC4"/>
    <w:rsid w:val="00C53CBE"/>
    <w:rsid w:val="00C54F95"/>
    <w:rsid w:val="00C56B6E"/>
    <w:rsid w:val="00C56D6A"/>
    <w:rsid w:val="00C612AC"/>
    <w:rsid w:val="00C63B6D"/>
    <w:rsid w:val="00C6516B"/>
    <w:rsid w:val="00C65217"/>
    <w:rsid w:val="00C653A7"/>
    <w:rsid w:val="00C6591F"/>
    <w:rsid w:val="00C65B41"/>
    <w:rsid w:val="00C65DCC"/>
    <w:rsid w:val="00C66B15"/>
    <w:rsid w:val="00C679E3"/>
    <w:rsid w:val="00C67E0A"/>
    <w:rsid w:val="00C70913"/>
    <w:rsid w:val="00C71832"/>
    <w:rsid w:val="00C72C24"/>
    <w:rsid w:val="00C72D7C"/>
    <w:rsid w:val="00C73A92"/>
    <w:rsid w:val="00C7488A"/>
    <w:rsid w:val="00C74DC1"/>
    <w:rsid w:val="00C7566E"/>
    <w:rsid w:val="00C76505"/>
    <w:rsid w:val="00C7690C"/>
    <w:rsid w:val="00C76AAA"/>
    <w:rsid w:val="00C770E2"/>
    <w:rsid w:val="00C77614"/>
    <w:rsid w:val="00C77F68"/>
    <w:rsid w:val="00C802EF"/>
    <w:rsid w:val="00C819E1"/>
    <w:rsid w:val="00C824E2"/>
    <w:rsid w:val="00C825C2"/>
    <w:rsid w:val="00C8312D"/>
    <w:rsid w:val="00C83512"/>
    <w:rsid w:val="00C83640"/>
    <w:rsid w:val="00C8585F"/>
    <w:rsid w:val="00C858A4"/>
    <w:rsid w:val="00C85CE3"/>
    <w:rsid w:val="00C85D0B"/>
    <w:rsid w:val="00C86E7A"/>
    <w:rsid w:val="00C90969"/>
    <w:rsid w:val="00C91482"/>
    <w:rsid w:val="00C91CEE"/>
    <w:rsid w:val="00C920AA"/>
    <w:rsid w:val="00C92459"/>
    <w:rsid w:val="00C92FFE"/>
    <w:rsid w:val="00C938EF"/>
    <w:rsid w:val="00C93B51"/>
    <w:rsid w:val="00C94B53"/>
    <w:rsid w:val="00C95F6B"/>
    <w:rsid w:val="00C96658"/>
    <w:rsid w:val="00C96C1A"/>
    <w:rsid w:val="00C96E37"/>
    <w:rsid w:val="00CA1656"/>
    <w:rsid w:val="00CA1FF5"/>
    <w:rsid w:val="00CA283E"/>
    <w:rsid w:val="00CA2B6D"/>
    <w:rsid w:val="00CA5488"/>
    <w:rsid w:val="00CA5918"/>
    <w:rsid w:val="00CA6E6E"/>
    <w:rsid w:val="00CA73CB"/>
    <w:rsid w:val="00CA77B2"/>
    <w:rsid w:val="00CA7DCB"/>
    <w:rsid w:val="00CB167A"/>
    <w:rsid w:val="00CB16ED"/>
    <w:rsid w:val="00CB1F80"/>
    <w:rsid w:val="00CB2A6D"/>
    <w:rsid w:val="00CB2BBB"/>
    <w:rsid w:val="00CB321E"/>
    <w:rsid w:val="00CB3A7B"/>
    <w:rsid w:val="00CB3B3D"/>
    <w:rsid w:val="00CB541A"/>
    <w:rsid w:val="00CB5AC0"/>
    <w:rsid w:val="00CB6114"/>
    <w:rsid w:val="00CB6AC4"/>
    <w:rsid w:val="00CB7296"/>
    <w:rsid w:val="00CB7F07"/>
    <w:rsid w:val="00CC0F8F"/>
    <w:rsid w:val="00CC0FD6"/>
    <w:rsid w:val="00CC23D4"/>
    <w:rsid w:val="00CC23F8"/>
    <w:rsid w:val="00CC3121"/>
    <w:rsid w:val="00CC6FD7"/>
    <w:rsid w:val="00CD0224"/>
    <w:rsid w:val="00CD0464"/>
    <w:rsid w:val="00CD0870"/>
    <w:rsid w:val="00CD109C"/>
    <w:rsid w:val="00CD2F38"/>
    <w:rsid w:val="00CD3E5F"/>
    <w:rsid w:val="00CD42F1"/>
    <w:rsid w:val="00CD65DA"/>
    <w:rsid w:val="00CD6631"/>
    <w:rsid w:val="00CE0371"/>
    <w:rsid w:val="00CE0B8A"/>
    <w:rsid w:val="00CE193E"/>
    <w:rsid w:val="00CE2394"/>
    <w:rsid w:val="00CE32B1"/>
    <w:rsid w:val="00CE5A03"/>
    <w:rsid w:val="00CE5E57"/>
    <w:rsid w:val="00CE6654"/>
    <w:rsid w:val="00CE6C8C"/>
    <w:rsid w:val="00CE710B"/>
    <w:rsid w:val="00CE7774"/>
    <w:rsid w:val="00CF075D"/>
    <w:rsid w:val="00CF2162"/>
    <w:rsid w:val="00CF3855"/>
    <w:rsid w:val="00CF3ECE"/>
    <w:rsid w:val="00CF7264"/>
    <w:rsid w:val="00CF73E7"/>
    <w:rsid w:val="00CF76E6"/>
    <w:rsid w:val="00D00AA0"/>
    <w:rsid w:val="00D036C2"/>
    <w:rsid w:val="00D04A52"/>
    <w:rsid w:val="00D04DEC"/>
    <w:rsid w:val="00D05CE7"/>
    <w:rsid w:val="00D062AA"/>
    <w:rsid w:val="00D108B4"/>
    <w:rsid w:val="00D1178D"/>
    <w:rsid w:val="00D12651"/>
    <w:rsid w:val="00D1351B"/>
    <w:rsid w:val="00D13B14"/>
    <w:rsid w:val="00D147AA"/>
    <w:rsid w:val="00D153B7"/>
    <w:rsid w:val="00D15450"/>
    <w:rsid w:val="00D16BF3"/>
    <w:rsid w:val="00D16DB4"/>
    <w:rsid w:val="00D1705B"/>
    <w:rsid w:val="00D1728E"/>
    <w:rsid w:val="00D20C2B"/>
    <w:rsid w:val="00D2151D"/>
    <w:rsid w:val="00D2251E"/>
    <w:rsid w:val="00D23203"/>
    <w:rsid w:val="00D2357B"/>
    <w:rsid w:val="00D2465D"/>
    <w:rsid w:val="00D27B23"/>
    <w:rsid w:val="00D31A86"/>
    <w:rsid w:val="00D31D01"/>
    <w:rsid w:val="00D3288F"/>
    <w:rsid w:val="00D3328A"/>
    <w:rsid w:val="00D3387C"/>
    <w:rsid w:val="00D34DE8"/>
    <w:rsid w:val="00D3641B"/>
    <w:rsid w:val="00D365DC"/>
    <w:rsid w:val="00D37241"/>
    <w:rsid w:val="00D4052F"/>
    <w:rsid w:val="00D40D4D"/>
    <w:rsid w:val="00D41C99"/>
    <w:rsid w:val="00D437F8"/>
    <w:rsid w:val="00D44215"/>
    <w:rsid w:val="00D5049E"/>
    <w:rsid w:val="00D51DDC"/>
    <w:rsid w:val="00D52D29"/>
    <w:rsid w:val="00D54245"/>
    <w:rsid w:val="00D543D1"/>
    <w:rsid w:val="00D545D0"/>
    <w:rsid w:val="00D5494A"/>
    <w:rsid w:val="00D55463"/>
    <w:rsid w:val="00D5636C"/>
    <w:rsid w:val="00D56565"/>
    <w:rsid w:val="00D565C5"/>
    <w:rsid w:val="00D56629"/>
    <w:rsid w:val="00D57158"/>
    <w:rsid w:val="00D576EE"/>
    <w:rsid w:val="00D60909"/>
    <w:rsid w:val="00D60EA3"/>
    <w:rsid w:val="00D61054"/>
    <w:rsid w:val="00D61A14"/>
    <w:rsid w:val="00D62029"/>
    <w:rsid w:val="00D62516"/>
    <w:rsid w:val="00D62B1F"/>
    <w:rsid w:val="00D62C70"/>
    <w:rsid w:val="00D64431"/>
    <w:rsid w:val="00D65A5D"/>
    <w:rsid w:val="00D661FD"/>
    <w:rsid w:val="00D6639D"/>
    <w:rsid w:val="00D6782A"/>
    <w:rsid w:val="00D7034F"/>
    <w:rsid w:val="00D72298"/>
    <w:rsid w:val="00D73085"/>
    <w:rsid w:val="00D730C4"/>
    <w:rsid w:val="00D73417"/>
    <w:rsid w:val="00D73BE2"/>
    <w:rsid w:val="00D761DE"/>
    <w:rsid w:val="00D76C11"/>
    <w:rsid w:val="00D77D98"/>
    <w:rsid w:val="00D808CE"/>
    <w:rsid w:val="00D818B2"/>
    <w:rsid w:val="00D822F9"/>
    <w:rsid w:val="00D82472"/>
    <w:rsid w:val="00D8404F"/>
    <w:rsid w:val="00D84407"/>
    <w:rsid w:val="00D84475"/>
    <w:rsid w:val="00D8489C"/>
    <w:rsid w:val="00D84ED2"/>
    <w:rsid w:val="00D8523B"/>
    <w:rsid w:val="00D872E6"/>
    <w:rsid w:val="00D90EF7"/>
    <w:rsid w:val="00D912C1"/>
    <w:rsid w:val="00D92F48"/>
    <w:rsid w:val="00D932C5"/>
    <w:rsid w:val="00D93370"/>
    <w:rsid w:val="00D93CC2"/>
    <w:rsid w:val="00D94080"/>
    <w:rsid w:val="00D9463A"/>
    <w:rsid w:val="00D948C1"/>
    <w:rsid w:val="00DA0512"/>
    <w:rsid w:val="00DA0778"/>
    <w:rsid w:val="00DA0FE8"/>
    <w:rsid w:val="00DA1DC0"/>
    <w:rsid w:val="00DA27DA"/>
    <w:rsid w:val="00DA30AE"/>
    <w:rsid w:val="00DA37C6"/>
    <w:rsid w:val="00DA3D2A"/>
    <w:rsid w:val="00DA4841"/>
    <w:rsid w:val="00DA5032"/>
    <w:rsid w:val="00DA5A5E"/>
    <w:rsid w:val="00DA63BF"/>
    <w:rsid w:val="00DA6618"/>
    <w:rsid w:val="00DA6833"/>
    <w:rsid w:val="00DB0982"/>
    <w:rsid w:val="00DB0E87"/>
    <w:rsid w:val="00DB14DC"/>
    <w:rsid w:val="00DB1763"/>
    <w:rsid w:val="00DB178B"/>
    <w:rsid w:val="00DB1E91"/>
    <w:rsid w:val="00DB2B02"/>
    <w:rsid w:val="00DB508F"/>
    <w:rsid w:val="00DB613E"/>
    <w:rsid w:val="00DB6C3E"/>
    <w:rsid w:val="00DB7403"/>
    <w:rsid w:val="00DB7E49"/>
    <w:rsid w:val="00DC15C7"/>
    <w:rsid w:val="00DC238C"/>
    <w:rsid w:val="00DC25E9"/>
    <w:rsid w:val="00DC5107"/>
    <w:rsid w:val="00DC5CCC"/>
    <w:rsid w:val="00DC5F28"/>
    <w:rsid w:val="00DC62FE"/>
    <w:rsid w:val="00DC797E"/>
    <w:rsid w:val="00DC7DE2"/>
    <w:rsid w:val="00DD05ED"/>
    <w:rsid w:val="00DD11FB"/>
    <w:rsid w:val="00DD1C75"/>
    <w:rsid w:val="00DD2A21"/>
    <w:rsid w:val="00DD4C10"/>
    <w:rsid w:val="00DD4C92"/>
    <w:rsid w:val="00DD5192"/>
    <w:rsid w:val="00DD6724"/>
    <w:rsid w:val="00DD6E35"/>
    <w:rsid w:val="00DD76C4"/>
    <w:rsid w:val="00DD77B5"/>
    <w:rsid w:val="00DD7859"/>
    <w:rsid w:val="00DD7E24"/>
    <w:rsid w:val="00DE1475"/>
    <w:rsid w:val="00DE14EA"/>
    <w:rsid w:val="00DE192A"/>
    <w:rsid w:val="00DE1FDB"/>
    <w:rsid w:val="00DE2400"/>
    <w:rsid w:val="00DE3CE7"/>
    <w:rsid w:val="00DE5207"/>
    <w:rsid w:val="00DE5696"/>
    <w:rsid w:val="00DE5EC7"/>
    <w:rsid w:val="00DE6108"/>
    <w:rsid w:val="00DE7BCB"/>
    <w:rsid w:val="00DF2FFB"/>
    <w:rsid w:val="00DF570A"/>
    <w:rsid w:val="00DF5DF5"/>
    <w:rsid w:val="00DF681E"/>
    <w:rsid w:val="00E00428"/>
    <w:rsid w:val="00E0242D"/>
    <w:rsid w:val="00E02E24"/>
    <w:rsid w:val="00E02EF2"/>
    <w:rsid w:val="00E040A9"/>
    <w:rsid w:val="00E04BAD"/>
    <w:rsid w:val="00E05052"/>
    <w:rsid w:val="00E05BD9"/>
    <w:rsid w:val="00E06F78"/>
    <w:rsid w:val="00E073C8"/>
    <w:rsid w:val="00E1044D"/>
    <w:rsid w:val="00E11421"/>
    <w:rsid w:val="00E12EAC"/>
    <w:rsid w:val="00E1535E"/>
    <w:rsid w:val="00E1609C"/>
    <w:rsid w:val="00E163F9"/>
    <w:rsid w:val="00E17AE9"/>
    <w:rsid w:val="00E17CC5"/>
    <w:rsid w:val="00E201D7"/>
    <w:rsid w:val="00E205B6"/>
    <w:rsid w:val="00E2082A"/>
    <w:rsid w:val="00E230AF"/>
    <w:rsid w:val="00E23211"/>
    <w:rsid w:val="00E2392A"/>
    <w:rsid w:val="00E247B3"/>
    <w:rsid w:val="00E24A99"/>
    <w:rsid w:val="00E24AA9"/>
    <w:rsid w:val="00E25525"/>
    <w:rsid w:val="00E264AB"/>
    <w:rsid w:val="00E27147"/>
    <w:rsid w:val="00E2789C"/>
    <w:rsid w:val="00E32FBC"/>
    <w:rsid w:val="00E33AF6"/>
    <w:rsid w:val="00E34707"/>
    <w:rsid w:val="00E35429"/>
    <w:rsid w:val="00E36F60"/>
    <w:rsid w:val="00E37215"/>
    <w:rsid w:val="00E3726D"/>
    <w:rsid w:val="00E37531"/>
    <w:rsid w:val="00E37E79"/>
    <w:rsid w:val="00E40394"/>
    <w:rsid w:val="00E407F3"/>
    <w:rsid w:val="00E40830"/>
    <w:rsid w:val="00E42676"/>
    <w:rsid w:val="00E430B6"/>
    <w:rsid w:val="00E453A1"/>
    <w:rsid w:val="00E4754A"/>
    <w:rsid w:val="00E5078E"/>
    <w:rsid w:val="00E50F33"/>
    <w:rsid w:val="00E5100F"/>
    <w:rsid w:val="00E54FF0"/>
    <w:rsid w:val="00E56CD0"/>
    <w:rsid w:val="00E57652"/>
    <w:rsid w:val="00E611E2"/>
    <w:rsid w:val="00E613EC"/>
    <w:rsid w:val="00E61A46"/>
    <w:rsid w:val="00E63077"/>
    <w:rsid w:val="00E63555"/>
    <w:rsid w:val="00E64F8A"/>
    <w:rsid w:val="00E6567C"/>
    <w:rsid w:val="00E706CD"/>
    <w:rsid w:val="00E70F0C"/>
    <w:rsid w:val="00E744E6"/>
    <w:rsid w:val="00E749C1"/>
    <w:rsid w:val="00E75143"/>
    <w:rsid w:val="00E75F97"/>
    <w:rsid w:val="00E76527"/>
    <w:rsid w:val="00E76581"/>
    <w:rsid w:val="00E77238"/>
    <w:rsid w:val="00E8008A"/>
    <w:rsid w:val="00E8012C"/>
    <w:rsid w:val="00E82372"/>
    <w:rsid w:val="00E831CA"/>
    <w:rsid w:val="00E83A3F"/>
    <w:rsid w:val="00E83DB2"/>
    <w:rsid w:val="00E83F7C"/>
    <w:rsid w:val="00E85DEF"/>
    <w:rsid w:val="00E86A41"/>
    <w:rsid w:val="00E873D8"/>
    <w:rsid w:val="00E87F5A"/>
    <w:rsid w:val="00E918B1"/>
    <w:rsid w:val="00E91B3F"/>
    <w:rsid w:val="00E91E8B"/>
    <w:rsid w:val="00E92AD2"/>
    <w:rsid w:val="00E94A73"/>
    <w:rsid w:val="00E94AEE"/>
    <w:rsid w:val="00E951B0"/>
    <w:rsid w:val="00E95548"/>
    <w:rsid w:val="00E96469"/>
    <w:rsid w:val="00E96D9D"/>
    <w:rsid w:val="00E973B7"/>
    <w:rsid w:val="00E973DE"/>
    <w:rsid w:val="00E974EB"/>
    <w:rsid w:val="00E97D6A"/>
    <w:rsid w:val="00E97DFC"/>
    <w:rsid w:val="00EA0069"/>
    <w:rsid w:val="00EA26D3"/>
    <w:rsid w:val="00EA3AA7"/>
    <w:rsid w:val="00EA5975"/>
    <w:rsid w:val="00EA6BC1"/>
    <w:rsid w:val="00EA6C42"/>
    <w:rsid w:val="00EB0B94"/>
    <w:rsid w:val="00EB104F"/>
    <w:rsid w:val="00EB2E57"/>
    <w:rsid w:val="00EB307C"/>
    <w:rsid w:val="00EB35DF"/>
    <w:rsid w:val="00EB4F7B"/>
    <w:rsid w:val="00EB54CE"/>
    <w:rsid w:val="00EB61BB"/>
    <w:rsid w:val="00EB6CC9"/>
    <w:rsid w:val="00EB6E4E"/>
    <w:rsid w:val="00EB6EB3"/>
    <w:rsid w:val="00EB77CB"/>
    <w:rsid w:val="00EB7AE1"/>
    <w:rsid w:val="00EC0956"/>
    <w:rsid w:val="00EC1716"/>
    <w:rsid w:val="00EC1B72"/>
    <w:rsid w:val="00EC3A90"/>
    <w:rsid w:val="00EC441E"/>
    <w:rsid w:val="00EC5A18"/>
    <w:rsid w:val="00EC5A27"/>
    <w:rsid w:val="00EC5B61"/>
    <w:rsid w:val="00EC6147"/>
    <w:rsid w:val="00EC640F"/>
    <w:rsid w:val="00EC78B6"/>
    <w:rsid w:val="00EC7A5C"/>
    <w:rsid w:val="00ED02A7"/>
    <w:rsid w:val="00ED10ED"/>
    <w:rsid w:val="00ED1A2D"/>
    <w:rsid w:val="00ED2E90"/>
    <w:rsid w:val="00ED331A"/>
    <w:rsid w:val="00ED36AC"/>
    <w:rsid w:val="00ED5617"/>
    <w:rsid w:val="00ED58E7"/>
    <w:rsid w:val="00ED67AD"/>
    <w:rsid w:val="00ED6AC0"/>
    <w:rsid w:val="00EE0843"/>
    <w:rsid w:val="00EE0B57"/>
    <w:rsid w:val="00EE0DAF"/>
    <w:rsid w:val="00EE182D"/>
    <w:rsid w:val="00EE1989"/>
    <w:rsid w:val="00EE2877"/>
    <w:rsid w:val="00EE387B"/>
    <w:rsid w:val="00EE3B0D"/>
    <w:rsid w:val="00EE3BD2"/>
    <w:rsid w:val="00EE46B7"/>
    <w:rsid w:val="00EE4AF3"/>
    <w:rsid w:val="00EE64EB"/>
    <w:rsid w:val="00EE67B5"/>
    <w:rsid w:val="00EE6931"/>
    <w:rsid w:val="00EE794B"/>
    <w:rsid w:val="00EE7F26"/>
    <w:rsid w:val="00EF13B8"/>
    <w:rsid w:val="00EF31B9"/>
    <w:rsid w:val="00EF326F"/>
    <w:rsid w:val="00EF4CBC"/>
    <w:rsid w:val="00EF5119"/>
    <w:rsid w:val="00EF5EF3"/>
    <w:rsid w:val="00EF66E3"/>
    <w:rsid w:val="00EF6804"/>
    <w:rsid w:val="00EF74AB"/>
    <w:rsid w:val="00F01174"/>
    <w:rsid w:val="00F01211"/>
    <w:rsid w:val="00F0134B"/>
    <w:rsid w:val="00F01DEC"/>
    <w:rsid w:val="00F028F5"/>
    <w:rsid w:val="00F07484"/>
    <w:rsid w:val="00F07AA3"/>
    <w:rsid w:val="00F1180D"/>
    <w:rsid w:val="00F11FAD"/>
    <w:rsid w:val="00F13DBA"/>
    <w:rsid w:val="00F14ACC"/>
    <w:rsid w:val="00F14D18"/>
    <w:rsid w:val="00F152BC"/>
    <w:rsid w:val="00F164DA"/>
    <w:rsid w:val="00F16578"/>
    <w:rsid w:val="00F1671E"/>
    <w:rsid w:val="00F205DF"/>
    <w:rsid w:val="00F22CE0"/>
    <w:rsid w:val="00F23388"/>
    <w:rsid w:val="00F25960"/>
    <w:rsid w:val="00F264A4"/>
    <w:rsid w:val="00F306AA"/>
    <w:rsid w:val="00F30A5A"/>
    <w:rsid w:val="00F30AC7"/>
    <w:rsid w:val="00F311F8"/>
    <w:rsid w:val="00F32442"/>
    <w:rsid w:val="00F3338A"/>
    <w:rsid w:val="00F33873"/>
    <w:rsid w:val="00F33874"/>
    <w:rsid w:val="00F36515"/>
    <w:rsid w:val="00F3690F"/>
    <w:rsid w:val="00F36BCA"/>
    <w:rsid w:val="00F37350"/>
    <w:rsid w:val="00F40D46"/>
    <w:rsid w:val="00F40FBF"/>
    <w:rsid w:val="00F41DED"/>
    <w:rsid w:val="00F423DA"/>
    <w:rsid w:val="00F43685"/>
    <w:rsid w:val="00F44E2E"/>
    <w:rsid w:val="00F45784"/>
    <w:rsid w:val="00F4619A"/>
    <w:rsid w:val="00F4687A"/>
    <w:rsid w:val="00F46E56"/>
    <w:rsid w:val="00F50F6F"/>
    <w:rsid w:val="00F5127E"/>
    <w:rsid w:val="00F517AB"/>
    <w:rsid w:val="00F53D55"/>
    <w:rsid w:val="00F54E3E"/>
    <w:rsid w:val="00F55A21"/>
    <w:rsid w:val="00F5662E"/>
    <w:rsid w:val="00F57CDA"/>
    <w:rsid w:val="00F602B8"/>
    <w:rsid w:val="00F608FB"/>
    <w:rsid w:val="00F6267D"/>
    <w:rsid w:val="00F6359E"/>
    <w:rsid w:val="00F654F2"/>
    <w:rsid w:val="00F6682C"/>
    <w:rsid w:val="00F70D97"/>
    <w:rsid w:val="00F73665"/>
    <w:rsid w:val="00F737E0"/>
    <w:rsid w:val="00F74253"/>
    <w:rsid w:val="00F747FB"/>
    <w:rsid w:val="00F7719A"/>
    <w:rsid w:val="00F777C7"/>
    <w:rsid w:val="00F77879"/>
    <w:rsid w:val="00F8123A"/>
    <w:rsid w:val="00F82747"/>
    <w:rsid w:val="00F82B74"/>
    <w:rsid w:val="00F838A1"/>
    <w:rsid w:val="00F83D2C"/>
    <w:rsid w:val="00F8482F"/>
    <w:rsid w:val="00F848EF"/>
    <w:rsid w:val="00F84A92"/>
    <w:rsid w:val="00F8532F"/>
    <w:rsid w:val="00F85C15"/>
    <w:rsid w:val="00F86325"/>
    <w:rsid w:val="00F86658"/>
    <w:rsid w:val="00F86679"/>
    <w:rsid w:val="00F909CD"/>
    <w:rsid w:val="00F91994"/>
    <w:rsid w:val="00F91C42"/>
    <w:rsid w:val="00F93369"/>
    <w:rsid w:val="00F93590"/>
    <w:rsid w:val="00F93F8C"/>
    <w:rsid w:val="00F94B03"/>
    <w:rsid w:val="00F94D8D"/>
    <w:rsid w:val="00F95491"/>
    <w:rsid w:val="00F95C13"/>
    <w:rsid w:val="00F968F2"/>
    <w:rsid w:val="00F97948"/>
    <w:rsid w:val="00FA07B5"/>
    <w:rsid w:val="00FA0831"/>
    <w:rsid w:val="00FA497F"/>
    <w:rsid w:val="00FA4F4D"/>
    <w:rsid w:val="00FA60B8"/>
    <w:rsid w:val="00FA6103"/>
    <w:rsid w:val="00FA694C"/>
    <w:rsid w:val="00FA69A0"/>
    <w:rsid w:val="00FB26C0"/>
    <w:rsid w:val="00FB3153"/>
    <w:rsid w:val="00FB3620"/>
    <w:rsid w:val="00FB4538"/>
    <w:rsid w:val="00FB5230"/>
    <w:rsid w:val="00FB53B1"/>
    <w:rsid w:val="00FB5B99"/>
    <w:rsid w:val="00FB6C56"/>
    <w:rsid w:val="00FC0573"/>
    <w:rsid w:val="00FC06D3"/>
    <w:rsid w:val="00FC07F0"/>
    <w:rsid w:val="00FC0DC4"/>
    <w:rsid w:val="00FC14D5"/>
    <w:rsid w:val="00FC21D6"/>
    <w:rsid w:val="00FC25B4"/>
    <w:rsid w:val="00FC3E03"/>
    <w:rsid w:val="00FC4DDA"/>
    <w:rsid w:val="00FC4FCD"/>
    <w:rsid w:val="00FC5075"/>
    <w:rsid w:val="00FC57D2"/>
    <w:rsid w:val="00FC681E"/>
    <w:rsid w:val="00FC7A14"/>
    <w:rsid w:val="00FD03D8"/>
    <w:rsid w:val="00FD045D"/>
    <w:rsid w:val="00FD0E29"/>
    <w:rsid w:val="00FD18D4"/>
    <w:rsid w:val="00FD2509"/>
    <w:rsid w:val="00FD2849"/>
    <w:rsid w:val="00FD302C"/>
    <w:rsid w:val="00FD31D1"/>
    <w:rsid w:val="00FD3BB1"/>
    <w:rsid w:val="00FD3DC8"/>
    <w:rsid w:val="00FD3EB3"/>
    <w:rsid w:val="00FD3EB7"/>
    <w:rsid w:val="00FD4239"/>
    <w:rsid w:val="00FD57A8"/>
    <w:rsid w:val="00FD6506"/>
    <w:rsid w:val="00FD69ED"/>
    <w:rsid w:val="00FD7266"/>
    <w:rsid w:val="00FD7A82"/>
    <w:rsid w:val="00FD7CDA"/>
    <w:rsid w:val="00FD7E74"/>
    <w:rsid w:val="00FE0101"/>
    <w:rsid w:val="00FE019C"/>
    <w:rsid w:val="00FE0294"/>
    <w:rsid w:val="00FE22EF"/>
    <w:rsid w:val="00FE2B5A"/>
    <w:rsid w:val="00FE30C6"/>
    <w:rsid w:val="00FE324C"/>
    <w:rsid w:val="00FE3D3E"/>
    <w:rsid w:val="00FE4DBB"/>
    <w:rsid w:val="00FE503C"/>
    <w:rsid w:val="00FE527C"/>
    <w:rsid w:val="00FE5AD3"/>
    <w:rsid w:val="00FE6627"/>
    <w:rsid w:val="00FE681B"/>
    <w:rsid w:val="00FF1635"/>
    <w:rsid w:val="00FF1AAE"/>
    <w:rsid w:val="00FF20A2"/>
    <w:rsid w:val="00FF227D"/>
    <w:rsid w:val="00FF2F86"/>
    <w:rsid w:val="00FF307A"/>
    <w:rsid w:val="00FF452C"/>
    <w:rsid w:val="00FF4E54"/>
    <w:rsid w:val="00FF5311"/>
    <w:rsid w:val="00FF535F"/>
    <w:rsid w:val="00FF6971"/>
    <w:rsid w:val="00FF7474"/>
    <w:rsid w:val="00FF7564"/>
    <w:rsid w:val="00FF7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89AEB3"/>
  <w14:defaultImageDpi w14:val="300"/>
  <w15:docId w15:val="{5FD19AE0-5336-9E47-A076-F3A1BDAB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4FC"/>
    <w:rPr>
      <w:rFonts w:ascii="Times New Roman" w:eastAsia="Times New Roman" w:hAnsi="Times New Roman" w:cs="Times New Roman"/>
      <w:lang w:val="en-GB"/>
    </w:rPr>
  </w:style>
  <w:style w:type="paragraph" w:styleId="Heading1">
    <w:name w:val="heading 1"/>
    <w:basedOn w:val="Normal"/>
    <w:next w:val="Normal"/>
    <w:link w:val="Heading1Char"/>
    <w:uiPriority w:val="9"/>
    <w:qFormat/>
    <w:rsid w:val="004C401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7FC6"/>
    <w:rPr>
      <w:color w:val="0000FF" w:themeColor="hyperlink"/>
      <w:u w:val="single"/>
    </w:rPr>
  </w:style>
  <w:style w:type="paragraph" w:styleId="ListParagraph">
    <w:name w:val="List Paragraph"/>
    <w:basedOn w:val="Normal"/>
    <w:uiPriority w:val="34"/>
    <w:qFormat/>
    <w:rsid w:val="0037260C"/>
    <w:pPr>
      <w:ind w:left="720"/>
      <w:contextualSpacing/>
    </w:pPr>
    <w:rPr>
      <w:rFonts w:asciiTheme="minorHAnsi" w:eastAsiaTheme="minorEastAsia" w:hAnsiTheme="minorHAnsi" w:cstheme="minorBidi"/>
    </w:rPr>
  </w:style>
  <w:style w:type="character" w:styleId="Strong">
    <w:name w:val="Strong"/>
    <w:basedOn w:val="DefaultParagraphFont"/>
    <w:uiPriority w:val="22"/>
    <w:qFormat/>
    <w:rsid w:val="00B64FB6"/>
    <w:rPr>
      <w:b/>
      <w:bCs/>
    </w:rPr>
  </w:style>
  <w:style w:type="table" w:styleId="TableGrid">
    <w:name w:val="Table Grid"/>
    <w:basedOn w:val="TableNormal"/>
    <w:uiPriority w:val="59"/>
    <w:rsid w:val="00CB1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069F3"/>
    <w:rPr>
      <w:rFonts w:asciiTheme="minorHAnsi" w:eastAsiaTheme="minorEastAsia" w:hAnsiTheme="minorHAnsi" w:cstheme="minorBidi"/>
    </w:rPr>
  </w:style>
  <w:style w:type="character" w:customStyle="1" w:styleId="FootnoteTextChar">
    <w:name w:val="Footnote Text Char"/>
    <w:basedOn w:val="DefaultParagraphFont"/>
    <w:link w:val="FootnoteText"/>
    <w:uiPriority w:val="99"/>
    <w:rsid w:val="00B069F3"/>
    <w:rPr>
      <w:lang w:val="en-GB"/>
    </w:rPr>
  </w:style>
  <w:style w:type="character" w:styleId="FootnoteReference">
    <w:name w:val="footnote reference"/>
    <w:basedOn w:val="DefaultParagraphFont"/>
    <w:uiPriority w:val="99"/>
    <w:unhideWhenUsed/>
    <w:rsid w:val="00B069F3"/>
    <w:rPr>
      <w:vertAlign w:val="superscript"/>
    </w:rPr>
  </w:style>
  <w:style w:type="paragraph" w:styleId="BalloonText">
    <w:name w:val="Balloon Text"/>
    <w:basedOn w:val="Normal"/>
    <w:link w:val="BalloonTextChar"/>
    <w:uiPriority w:val="99"/>
    <w:semiHidden/>
    <w:unhideWhenUsed/>
    <w:rsid w:val="00BE501F"/>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BE501F"/>
    <w:rPr>
      <w:rFonts w:ascii="Lucida Grande" w:hAnsi="Lucida Grande" w:cs="Lucida Grande"/>
      <w:sz w:val="18"/>
      <w:szCs w:val="18"/>
      <w:lang w:val="en-GB"/>
    </w:rPr>
  </w:style>
  <w:style w:type="paragraph" w:styleId="Footer">
    <w:name w:val="footer"/>
    <w:basedOn w:val="Normal"/>
    <w:link w:val="FooterChar"/>
    <w:uiPriority w:val="99"/>
    <w:unhideWhenUsed/>
    <w:rsid w:val="00E17AE9"/>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E17AE9"/>
    <w:rPr>
      <w:lang w:val="en-GB"/>
    </w:rPr>
  </w:style>
  <w:style w:type="character" w:styleId="PageNumber">
    <w:name w:val="page number"/>
    <w:basedOn w:val="DefaultParagraphFont"/>
    <w:uiPriority w:val="99"/>
    <w:semiHidden/>
    <w:unhideWhenUsed/>
    <w:rsid w:val="00E17AE9"/>
  </w:style>
  <w:style w:type="paragraph" w:styleId="Header">
    <w:name w:val="header"/>
    <w:basedOn w:val="Normal"/>
    <w:link w:val="HeaderChar"/>
    <w:uiPriority w:val="99"/>
    <w:unhideWhenUsed/>
    <w:rsid w:val="00E17AE9"/>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E17AE9"/>
    <w:rPr>
      <w:lang w:val="en-GB"/>
    </w:rPr>
  </w:style>
  <w:style w:type="character" w:customStyle="1" w:styleId="UnresolvedMention1">
    <w:name w:val="Unresolved Mention1"/>
    <w:basedOn w:val="DefaultParagraphFont"/>
    <w:uiPriority w:val="99"/>
    <w:semiHidden/>
    <w:unhideWhenUsed/>
    <w:rsid w:val="008E0561"/>
    <w:rPr>
      <w:color w:val="605E5C"/>
      <w:shd w:val="clear" w:color="auto" w:fill="E1DFDD"/>
    </w:rPr>
  </w:style>
  <w:style w:type="character" w:styleId="CommentReference">
    <w:name w:val="annotation reference"/>
    <w:basedOn w:val="DefaultParagraphFont"/>
    <w:uiPriority w:val="99"/>
    <w:semiHidden/>
    <w:unhideWhenUsed/>
    <w:rsid w:val="00C72D7C"/>
    <w:rPr>
      <w:sz w:val="18"/>
      <w:szCs w:val="18"/>
    </w:rPr>
  </w:style>
  <w:style w:type="paragraph" w:styleId="CommentText">
    <w:name w:val="annotation text"/>
    <w:basedOn w:val="Normal"/>
    <w:link w:val="CommentTextChar"/>
    <w:uiPriority w:val="99"/>
    <w:unhideWhenUsed/>
    <w:rsid w:val="00C72D7C"/>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C72D7C"/>
    <w:rPr>
      <w:lang w:val="en-GB"/>
    </w:rPr>
  </w:style>
  <w:style w:type="paragraph" w:styleId="CommentSubject">
    <w:name w:val="annotation subject"/>
    <w:basedOn w:val="CommentText"/>
    <w:next w:val="CommentText"/>
    <w:link w:val="CommentSubjectChar"/>
    <w:uiPriority w:val="99"/>
    <w:semiHidden/>
    <w:unhideWhenUsed/>
    <w:rsid w:val="00C72D7C"/>
    <w:rPr>
      <w:b/>
      <w:bCs/>
      <w:sz w:val="20"/>
      <w:szCs w:val="20"/>
    </w:rPr>
  </w:style>
  <w:style w:type="character" w:customStyle="1" w:styleId="CommentSubjectChar">
    <w:name w:val="Comment Subject Char"/>
    <w:basedOn w:val="CommentTextChar"/>
    <w:link w:val="CommentSubject"/>
    <w:uiPriority w:val="99"/>
    <w:semiHidden/>
    <w:rsid w:val="00C72D7C"/>
    <w:rPr>
      <w:b/>
      <w:bCs/>
      <w:sz w:val="20"/>
      <w:szCs w:val="20"/>
      <w:lang w:val="en-GB"/>
    </w:rPr>
  </w:style>
  <w:style w:type="paragraph" w:styleId="NormalWeb">
    <w:name w:val="Normal (Web)"/>
    <w:basedOn w:val="Normal"/>
    <w:uiPriority w:val="99"/>
    <w:unhideWhenUsed/>
    <w:rsid w:val="00620732"/>
    <w:rPr>
      <w:rFonts w:eastAsiaTheme="minorEastAsia"/>
    </w:rPr>
  </w:style>
  <w:style w:type="character" w:customStyle="1" w:styleId="Heading1Char">
    <w:name w:val="Heading 1 Char"/>
    <w:basedOn w:val="DefaultParagraphFont"/>
    <w:link w:val="Heading1"/>
    <w:uiPriority w:val="9"/>
    <w:rsid w:val="004C4013"/>
    <w:rPr>
      <w:rFonts w:asciiTheme="majorHAnsi" w:eastAsiaTheme="majorEastAsia" w:hAnsiTheme="majorHAnsi" w:cstheme="majorBidi"/>
      <w:color w:val="365F91" w:themeColor="accent1" w:themeShade="BF"/>
      <w:sz w:val="32"/>
      <w:szCs w:val="32"/>
      <w:lang w:val="en-GB"/>
    </w:rPr>
  </w:style>
  <w:style w:type="character" w:customStyle="1" w:styleId="UnresolvedMention2">
    <w:name w:val="Unresolved Mention2"/>
    <w:basedOn w:val="DefaultParagraphFont"/>
    <w:uiPriority w:val="99"/>
    <w:semiHidden/>
    <w:unhideWhenUsed/>
    <w:rsid w:val="00BF0847"/>
    <w:rPr>
      <w:color w:val="605E5C"/>
      <w:shd w:val="clear" w:color="auto" w:fill="E1DFDD"/>
    </w:rPr>
  </w:style>
  <w:style w:type="paragraph" w:styleId="Revision">
    <w:name w:val="Revision"/>
    <w:hidden/>
    <w:uiPriority w:val="99"/>
    <w:semiHidden/>
    <w:rsid w:val="0057081A"/>
    <w:rPr>
      <w:rFonts w:ascii="Times New Roman" w:eastAsia="Times New Roman" w:hAnsi="Times New Roman" w:cs="Times New Roman"/>
      <w:lang w:val="en-GB"/>
    </w:rPr>
  </w:style>
  <w:style w:type="character" w:styleId="UnresolvedMention">
    <w:name w:val="Unresolved Mention"/>
    <w:basedOn w:val="DefaultParagraphFont"/>
    <w:uiPriority w:val="99"/>
    <w:semiHidden/>
    <w:unhideWhenUsed/>
    <w:rsid w:val="00135B9B"/>
    <w:rPr>
      <w:color w:val="605E5C"/>
      <w:shd w:val="clear" w:color="auto" w:fill="E1DFDD"/>
    </w:rPr>
  </w:style>
  <w:style w:type="character" w:customStyle="1" w:styleId="apple-converted-space">
    <w:name w:val="apple-converted-space"/>
    <w:basedOn w:val="DefaultParagraphFont"/>
    <w:rsid w:val="0064555F"/>
  </w:style>
  <w:style w:type="character" w:styleId="FollowedHyperlink">
    <w:name w:val="FollowedHyperlink"/>
    <w:basedOn w:val="DefaultParagraphFont"/>
    <w:uiPriority w:val="99"/>
    <w:semiHidden/>
    <w:unhideWhenUsed/>
    <w:rsid w:val="005428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5396">
      <w:bodyDiv w:val="1"/>
      <w:marLeft w:val="0"/>
      <w:marRight w:val="0"/>
      <w:marTop w:val="0"/>
      <w:marBottom w:val="0"/>
      <w:divBdr>
        <w:top w:val="none" w:sz="0" w:space="0" w:color="auto"/>
        <w:left w:val="none" w:sz="0" w:space="0" w:color="auto"/>
        <w:bottom w:val="none" w:sz="0" w:space="0" w:color="auto"/>
        <w:right w:val="none" w:sz="0" w:space="0" w:color="auto"/>
      </w:divBdr>
      <w:divsChild>
        <w:div w:id="1458184754">
          <w:marLeft w:val="288"/>
          <w:marRight w:val="0"/>
          <w:marTop w:val="115"/>
          <w:marBottom w:val="0"/>
          <w:divBdr>
            <w:top w:val="none" w:sz="0" w:space="0" w:color="auto"/>
            <w:left w:val="none" w:sz="0" w:space="0" w:color="auto"/>
            <w:bottom w:val="none" w:sz="0" w:space="0" w:color="auto"/>
            <w:right w:val="none" w:sz="0" w:space="0" w:color="auto"/>
          </w:divBdr>
        </w:div>
        <w:div w:id="1766224842">
          <w:marLeft w:val="288"/>
          <w:marRight w:val="0"/>
          <w:marTop w:val="115"/>
          <w:marBottom w:val="0"/>
          <w:divBdr>
            <w:top w:val="none" w:sz="0" w:space="0" w:color="auto"/>
            <w:left w:val="none" w:sz="0" w:space="0" w:color="auto"/>
            <w:bottom w:val="none" w:sz="0" w:space="0" w:color="auto"/>
            <w:right w:val="none" w:sz="0" w:space="0" w:color="auto"/>
          </w:divBdr>
        </w:div>
        <w:div w:id="634944818">
          <w:marLeft w:val="288"/>
          <w:marRight w:val="0"/>
          <w:marTop w:val="115"/>
          <w:marBottom w:val="0"/>
          <w:divBdr>
            <w:top w:val="none" w:sz="0" w:space="0" w:color="auto"/>
            <w:left w:val="none" w:sz="0" w:space="0" w:color="auto"/>
            <w:bottom w:val="none" w:sz="0" w:space="0" w:color="auto"/>
            <w:right w:val="none" w:sz="0" w:space="0" w:color="auto"/>
          </w:divBdr>
        </w:div>
        <w:div w:id="923223288">
          <w:marLeft w:val="720"/>
          <w:marRight w:val="0"/>
          <w:marTop w:val="115"/>
          <w:marBottom w:val="0"/>
          <w:divBdr>
            <w:top w:val="none" w:sz="0" w:space="0" w:color="auto"/>
            <w:left w:val="none" w:sz="0" w:space="0" w:color="auto"/>
            <w:bottom w:val="none" w:sz="0" w:space="0" w:color="auto"/>
            <w:right w:val="none" w:sz="0" w:space="0" w:color="auto"/>
          </w:divBdr>
        </w:div>
        <w:div w:id="1938363630">
          <w:marLeft w:val="720"/>
          <w:marRight w:val="0"/>
          <w:marTop w:val="115"/>
          <w:marBottom w:val="0"/>
          <w:divBdr>
            <w:top w:val="none" w:sz="0" w:space="0" w:color="auto"/>
            <w:left w:val="none" w:sz="0" w:space="0" w:color="auto"/>
            <w:bottom w:val="none" w:sz="0" w:space="0" w:color="auto"/>
            <w:right w:val="none" w:sz="0" w:space="0" w:color="auto"/>
          </w:divBdr>
        </w:div>
      </w:divsChild>
    </w:div>
    <w:div w:id="103771302">
      <w:bodyDiv w:val="1"/>
      <w:marLeft w:val="0"/>
      <w:marRight w:val="0"/>
      <w:marTop w:val="0"/>
      <w:marBottom w:val="0"/>
      <w:divBdr>
        <w:top w:val="none" w:sz="0" w:space="0" w:color="auto"/>
        <w:left w:val="none" w:sz="0" w:space="0" w:color="auto"/>
        <w:bottom w:val="none" w:sz="0" w:space="0" w:color="auto"/>
        <w:right w:val="none" w:sz="0" w:space="0" w:color="auto"/>
      </w:divBdr>
    </w:div>
    <w:div w:id="170416943">
      <w:bodyDiv w:val="1"/>
      <w:marLeft w:val="0"/>
      <w:marRight w:val="0"/>
      <w:marTop w:val="0"/>
      <w:marBottom w:val="0"/>
      <w:divBdr>
        <w:top w:val="none" w:sz="0" w:space="0" w:color="auto"/>
        <w:left w:val="none" w:sz="0" w:space="0" w:color="auto"/>
        <w:bottom w:val="none" w:sz="0" w:space="0" w:color="auto"/>
        <w:right w:val="none" w:sz="0" w:space="0" w:color="auto"/>
      </w:divBdr>
      <w:divsChild>
        <w:div w:id="624391336">
          <w:marLeft w:val="0"/>
          <w:marRight w:val="0"/>
          <w:marTop w:val="0"/>
          <w:marBottom w:val="0"/>
          <w:divBdr>
            <w:top w:val="none" w:sz="0" w:space="0" w:color="auto"/>
            <w:left w:val="none" w:sz="0" w:space="0" w:color="auto"/>
            <w:bottom w:val="none" w:sz="0" w:space="0" w:color="auto"/>
            <w:right w:val="none" w:sz="0" w:space="0" w:color="auto"/>
          </w:divBdr>
          <w:divsChild>
            <w:div w:id="1802458179">
              <w:marLeft w:val="0"/>
              <w:marRight w:val="0"/>
              <w:marTop w:val="0"/>
              <w:marBottom w:val="0"/>
              <w:divBdr>
                <w:top w:val="none" w:sz="0" w:space="0" w:color="auto"/>
                <w:left w:val="none" w:sz="0" w:space="0" w:color="auto"/>
                <w:bottom w:val="none" w:sz="0" w:space="0" w:color="auto"/>
                <w:right w:val="none" w:sz="0" w:space="0" w:color="auto"/>
              </w:divBdr>
              <w:divsChild>
                <w:div w:id="119160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36347">
      <w:bodyDiv w:val="1"/>
      <w:marLeft w:val="0"/>
      <w:marRight w:val="0"/>
      <w:marTop w:val="0"/>
      <w:marBottom w:val="0"/>
      <w:divBdr>
        <w:top w:val="none" w:sz="0" w:space="0" w:color="auto"/>
        <w:left w:val="none" w:sz="0" w:space="0" w:color="auto"/>
        <w:bottom w:val="none" w:sz="0" w:space="0" w:color="auto"/>
        <w:right w:val="none" w:sz="0" w:space="0" w:color="auto"/>
      </w:divBdr>
    </w:div>
    <w:div w:id="248926601">
      <w:bodyDiv w:val="1"/>
      <w:marLeft w:val="0"/>
      <w:marRight w:val="0"/>
      <w:marTop w:val="0"/>
      <w:marBottom w:val="0"/>
      <w:divBdr>
        <w:top w:val="none" w:sz="0" w:space="0" w:color="auto"/>
        <w:left w:val="none" w:sz="0" w:space="0" w:color="auto"/>
        <w:bottom w:val="none" w:sz="0" w:space="0" w:color="auto"/>
        <w:right w:val="none" w:sz="0" w:space="0" w:color="auto"/>
      </w:divBdr>
    </w:div>
    <w:div w:id="253707620">
      <w:bodyDiv w:val="1"/>
      <w:marLeft w:val="0"/>
      <w:marRight w:val="0"/>
      <w:marTop w:val="0"/>
      <w:marBottom w:val="0"/>
      <w:divBdr>
        <w:top w:val="none" w:sz="0" w:space="0" w:color="auto"/>
        <w:left w:val="none" w:sz="0" w:space="0" w:color="auto"/>
        <w:bottom w:val="none" w:sz="0" w:space="0" w:color="auto"/>
        <w:right w:val="none" w:sz="0" w:space="0" w:color="auto"/>
      </w:divBdr>
      <w:divsChild>
        <w:div w:id="1964919993">
          <w:marLeft w:val="288"/>
          <w:marRight w:val="0"/>
          <w:marTop w:val="106"/>
          <w:marBottom w:val="0"/>
          <w:divBdr>
            <w:top w:val="none" w:sz="0" w:space="0" w:color="auto"/>
            <w:left w:val="none" w:sz="0" w:space="0" w:color="auto"/>
            <w:bottom w:val="none" w:sz="0" w:space="0" w:color="auto"/>
            <w:right w:val="none" w:sz="0" w:space="0" w:color="auto"/>
          </w:divBdr>
        </w:div>
        <w:div w:id="1437098812">
          <w:marLeft w:val="288"/>
          <w:marRight w:val="0"/>
          <w:marTop w:val="106"/>
          <w:marBottom w:val="0"/>
          <w:divBdr>
            <w:top w:val="none" w:sz="0" w:space="0" w:color="auto"/>
            <w:left w:val="none" w:sz="0" w:space="0" w:color="auto"/>
            <w:bottom w:val="none" w:sz="0" w:space="0" w:color="auto"/>
            <w:right w:val="none" w:sz="0" w:space="0" w:color="auto"/>
          </w:divBdr>
        </w:div>
        <w:div w:id="130951762">
          <w:marLeft w:val="288"/>
          <w:marRight w:val="0"/>
          <w:marTop w:val="106"/>
          <w:marBottom w:val="0"/>
          <w:divBdr>
            <w:top w:val="none" w:sz="0" w:space="0" w:color="auto"/>
            <w:left w:val="none" w:sz="0" w:space="0" w:color="auto"/>
            <w:bottom w:val="none" w:sz="0" w:space="0" w:color="auto"/>
            <w:right w:val="none" w:sz="0" w:space="0" w:color="auto"/>
          </w:divBdr>
        </w:div>
        <w:div w:id="1505705412">
          <w:marLeft w:val="288"/>
          <w:marRight w:val="0"/>
          <w:marTop w:val="106"/>
          <w:marBottom w:val="0"/>
          <w:divBdr>
            <w:top w:val="none" w:sz="0" w:space="0" w:color="auto"/>
            <w:left w:val="none" w:sz="0" w:space="0" w:color="auto"/>
            <w:bottom w:val="none" w:sz="0" w:space="0" w:color="auto"/>
            <w:right w:val="none" w:sz="0" w:space="0" w:color="auto"/>
          </w:divBdr>
        </w:div>
        <w:div w:id="1591700049">
          <w:marLeft w:val="907"/>
          <w:marRight w:val="0"/>
          <w:marTop w:val="106"/>
          <w:marBottom w:val="0"/>
          <w:divBdr>
            <w:top w:val="none" w:sz="0" w:space="0" w:color="auto"/>
            <w:left w:val="none" w:sz="0" w:space="0" w:color="auto"/>
            <w:bottom w:val="none" w:sz="0" w:space="0" w:color="auto"/>
            <w:right w:val="none" w:sz="0" w:space="0" w:color="auto"/>
          </w:divBdr>
        </w:div>
        <w:div w:id="1571428321">
          <w:marLeft w:val="907"/>
          <w:marRight w:val="0"/>
          <w:marTop w:val="106"/>
          <w:marBottom w:val="0"/>
          <w:divBdr>
            <w:top w:val="none" w:sz="0" w:space="0" w:color="auto"/>
            <w:left w:val="none" w:sz="0" w:space="0" w:color="auto"/>
            <w:bottom w:val="none" w:sz="0" w:space="0" w:color="auto"/>
            <w:right w:val="none" w:sz="0" w:space="0" w:color="auto"/>
          </w:divBdr>
        </w:div>
      </w:divsChild>
    </w:div>
    <w:div w:id="373696364">
      <w:bodyDiv w:val="1"/>
      <w:marLeft w:val="0"/>
      <w:marRight w:val="0"/>
      <w:marTop w:val="0"/>
      <w:marBottom w:val="0"/>
      <w:divBdr>
        <w:top w:val="none" w:sz="0" w:space="0" w:color="auto"/>
        <w:left w:val="none" w:sz="0" w:space="0" w:color="auto"/>
        <w:bottom w:val="none" w:sz="0" w:space="0" w:color="auto"/>
        <w:right w:val="none" w:sz="0" w:space="0" w:color="auto"/>
      </w:divBdr>
    </w:div>
    <w:div w:id="453139284">
      <w:bodyDiv w:val="1"/>
      <w:marLeft w:val="0"/>
      <w:marRight w:val="0"/>
      <w:marTop w:val="0"/>
      <w:marBottom w:val="0"/>
      <w:divBdr>
        <w:top w:val="none" w:sz="0" w:space="0" w:color="auto"/>
        <w:left w:val="none" w:sz="0" w:space="0" w:color="auto"/>
        <w:bottom w:val="none" w:sz="0" w:space="0" w:color="auto"/>
        <w:right w:val="none" w:sz="0" w:space="0" w:color="auto"/>
      </w:divBdr>
      <w:divsChild>
        <w:div w:id="1848246506">
          <w:marLeft w:val="0"/>
          <w:marRight w:val="0"/>
          <w:marTop w:val="0"/>
          <w:marBottom w:val="0"/>
          <w:divBdr>
            <w:top w:val="none" w:sz="0" w:space="0" w:color="auto"/>
            <w:left w:val="none" w:sz="0" w:space="0" w:color="auto"/>
            <w:bottom w:val="none" w:sz="0" w:space="0" w:color="auto"/>
            <w:right w:val="none" w:sz="0" w:space="0" w:color="auto"/>
          </w:divBdr>
          <w:divsChild>
            <w:div w:id="419061419">
              <w:marLeft w:val="0"/>
              <w:marRight w:val="0"/>
              <w:marTop w:val="0"/>
              <w:marBottom w:val="0"/>
              <w:divBdr>
                <w:top w:val="none" w:sz="0" w:space="0" w:color="auto"/>
                <w:left w:val="none" w:sz="0" w:space="0" w:color="auto"/>
                <w:bottom w:val="none" w:sz="0" w:space="0" w:color="auto"/>
                <w:right w:val="none" w:sz="0" w:space="0" w:color="auto"/>
              </w:divBdr>
              <w:divsChild>
                <w:div w:id="18038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06917">
      <w:bodyDiv w:val="1"/>
      <w:marLeft w:val="0"/>
      <w:marRight w:val="0"/>
      <w:marTop w:val="0"/>
      <w:marBottom w:val="0"/>
      <w:divBdr>
        <w:top w:val="none" w:sz="0" w:space="0" w:color="auto"/>
        <w:left w:val="none" w:sz="0" w:space="0" w:color="auto"/>
        <w:bottom w:val="none" w:sz="0" w:space="0" w:color="auto"/>
        <w:right w:val="none" w:sz="0" w:space="0" w:color="auto"/>
      </w:divBdr>
      <w:divsChild>
        <w:div w:id="282806531">
          <w:marLeft w:val="0"/>
          <w:marRight w:val="0"/>
          <w:marTop w:val="0"/>
          <w:marBottom w:val="0"/>
          <w:divBdr>
            <w:top w:val="none" w:sz="0" w:space="0" w:color="auto"/>
            <w:left w:val="none" w:sz="0" w:space="0" w:color="auto"/>
            <w:bottom w:val="none" w:sz="0" w:space="0" w:color="auto"/>
            <w:right w:val="none" w:sz="0" w:space="0" w:color="auto"/>
          </w:divBdr>
          <w:divsChild>
            <w:div w:id="537743566">
              <w:marLeft w:val="0"/>
              <w:marRight w:val="0"/>
              <w:marTop w:val="0"/>
              <w:marBottom w:val="0"/>
              <w:divBdr>
                <w:top w:val="none" w:sz="0" w:space="0" w:color="auto"/>
                <w:left w:val="none" w:sz="0" w:space="0" w:color="auto"/>
                <w:bottom w:val="none" w:sz="0" w:space="0" w:color="auto"/>
                <w:right w:val="none" w:sz="0" w:space="0" w:color="auto"/>
              </w:divBdr>
              <w:divsChild>
                <w:div w:id="148262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04324">
      <w:bodyDiv w:val="1"/>
      <w:marLeft w:val="0"/>
      <w:marRight w:val="0"/>
      <w:marTop w:val="0"/>
      <w:marBottom w:val="0"/>
      <w:divBdr>
        <w:top w:val="none" w:sz="0" w:space="0" w:color="auto"/>
        <w:left w:val="none" w:sz="0" w:space="0" w:color="auto"/>
        <w:bottom w:val="none" w:sz="0" w:space="0" w:color="auto"/>
        <w:right w:val="none" w:sz="0" w:space="0" w:color="auto"/>
      </w:divBdr>
      <w:divsChild>
        <w:div w:id="336884808">
          <w:marLeft w:val="0"/>
          <w:marRight w:val="0"/>
          <w:marTop w:val="0"/>
          <w:marBottom w:val="0"/>
          <w:divBdr>
            <w:top w:val="none" w:sz="0" w:space="0" w:color="auto"/>
            <w:left w:val="none" w:sz="0" w:space="0" w:color="auto"/>
            <w:bottom w:val="none" w:sz="0" w:space="0" w:color="auto"/>
            <w:right w:val="none" w:sz="0" w:space="0" w:color="auto"/>
          </w:divBdr>
          <w:divsChild>
            <w:div w:id="913396612">
              <w:marLeft w:val="0"/>
              <w:marRight w:val="0"/>
              <w:marTop w:val="0"/>
              <w:marBottom w:val="0"/>
              <w:divBdr>
                <w:top w:val="none" w:sz="0" w:space="0" w:color="auto"/>
                <w:left w:val="none" w:sz="0" w:space="0" w:color="auto"/>
                <w:bottom w:val="none" w:sz="0" w:space="0" w:color="auto"/>
                <w:right w:val="none" w:sz="0" w:space="0" w:color="auto"/>
              </w:divBdr>
              <w:divsChild>
                <w:div w:id="151684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7172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436">
          <w:marLeft w:val="0"/>
          <w:marRight w:val="0"/>
          <w:marTop w:val="0"/>
          <w:marBottom w:val="0"/>
          <w:divBdr>
            <w:top w:val="none" w:sz="0" w:space="0" w:color="auto"/>
            <w:left w:val="none" w:sz="0" w:space="0" w:color="auto"/>
            <w:bottom w:val="none" w:sz="0" w:space="0" w:color="auto"/>
            <w:right w:val="none" w:sz="0" w:space="0" w:color="auto"/>
          </w:divBdr>
          <w:divsChild>
            <w:div w:id="1151409356">
              <w:marLeft w:val="0"/>
              <w:marRight w:val="0"/>
              <w:marTop w:val="0"/>
              <w:marBottom w:val="0"/>
              <w:divBdr>
                <w:top w:val="none" w:sz="0" w:space="0" w:color="auto"/>
                <w:left w:val="none" w:sz="0" w:space="0" w:color="auto"/>
                <w:bottom w:val="none" w:sz="0" w:space="0" w:color="auto"/>
                <w:right w:val="none" w:sz="0" w:space="0" w:color="auto"/>
              </w:divBdr>
              <w:divsChild>
                <w:div w:id="12698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10498">
      <w:bodyDiv w:val="1"/>
      <w:marLeft w:val="0"/>
      <w:marRight w:val="0"/>
      <w:marTop w:val="0"/>
      <w:marBottom w:val="0"/>
      <w:divBdr>
        <w:top w:val="none" w:sz="0" w:space="0" w:color="auto"/>
        <w:left w:val="none" w:sz="0" w:space="0" w:color="auto"/>
        <w:bottom w:val="none" w:sz="0" w:space="0" w:color="auto"/>
        <w:right w:val="none" w:sz="0" w:space="0" w:color="auto"/>
      </w:divBdr>
      <w:divsChild>
        <w:div w:id="1796634480">
          <w:marLeft w:val="0"/>
          <w:marRight w:val="0"/>
          <w:marTop w:val="0"/>
          <w:marBottom w:val="0"/>
          <w:divBdr>
            <w:top w:val="none" w:sz="0" w:space="0" w:color="auto"/>
            <w:left w:val="none" w:sz="0" w:space="0" w:color="auto"/>
            <w:bottom w:val="none" w:sz="0" w:space="0" w:color="auto"/>
            <w:right w:val="none" w:sz="0" w:space="0" w:color="auto"/>
          </w:divBdr>
          <w:divsChild>
            <w:div w:id="863129211">
              <w:marLeft w:val="0"/>
              <w:marRight w:val="0"/>
              <w:marTop w:val="0"/>
              <w:marBottom w:val="0"/>
              <w:divBdr>
                <w:top w:val="none" w:sz="0" w:space="0" w:color="auto"/>
                <w:left w:val="none" w:sz="0" w:space="0" w:color="auto"/>
                <w:bottom w:val="none" w:sz="0" w:space="0" w:color="auto"/>
                <w:right w:val="none" w:sz="0" w:space="0" w:color="auto"/>
              </w:divBdr>
              <w:divsChild>
                <w:div w:id="7241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188875">
      <w:bodyDiv w:val="1"/>
      <w:marLeft w:val="0"/>
      <w:marRight w:val="0"/>
      <w:marTop w:val="0"/>
      <w:marBottom w:val="0"/>
      <w:divBdr>
        <w:top w:val="none" w:sz="0" w:space="0" w:color="auto"/>
        <w:left w:val="none" w:sz="0" w:space="0" w:color="auto"/>
        <w:bottom w:val="none" w:sz="0" w:space="0" w:color="auto"/>
        <w:right w:val="none" w:sz="0" w:space="0" w:color="auto"/>
      </w:divBdr>
    </w:div>
    <w:div w:id="534774095">
      <w:bodyDiv w:val="1"/>
      <w:marLeft w:val="0"/>
      <w:marRight w:val="0"/>
      <w:marTop w:val="0"/>
      <w:marBottom w:val="0"/>
      <w:divBdr>
        <w:top w:val="none" w:sz="0" w:space="0" w:color="auto"/>
        <w:left w:val="none" w:sz="0" w:space="0" w:color="auto"/>
        <w:bottom w:val="none" w:sz="0" w:space="0" w:color="auto"/>
        <w:right w:val="none" w:sz="0" w:space="0" w:color="auto"/>
      </w:divBdr>
      <w:divsChild>
        <w:div w:id="1322390770">
          <w:marLeft w:val="0"/>
          <w:marRight w:val="0"/>
          <w:marTop w:val="0"/>
          <w:marBottom w:val="0"/>
          <w:divBdr>
            <w:top w:val="none" w:sz="0" w:space="0" w:color="auto"/>
            <w:left w:val="none" w:sz="0" w:space="0" w:color="auto"/>
            <w:bottom w:val="none" w:sz="0" w:space="0" w:color="auto"/>
            <w:right w:val="none" w:sz="0" w:space="0" w:color="auto"/>
          </w:divBdr>
          <w:divsChild>
            <w:div w:id="163934078">
              <w:marLeft w:val="0"/>
              <w:marRight w:val="0"/>
              <w:marTop w:val="0"/>
              <w:marBottom w:val="0"/>
              <w:divBdr>
                <w:top w:val="none" w:sz="0" w:space="0" w:color="auto"/>
                <w:left w:val="none" w:sz="0" w:space="0" w:color="auto"/>
                <w:bottom w:val="none" w:sz="0" w:space="0" w:color="auto"/>
                <w:right w:val="none" w:sz="0" w:space="0" w:color="auto"/>
              </w:divBdr>
              <w:divsChild>
                <w:div w:id="76021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72240">
      <w:bodyDiv w:val="1"/>
      <w:marLeft w:val="0"/>
      <w:marRight w:val="0"/>
      <w:marTop w:val="0"/>
      <w:marBottom w:val="0"/>
      <w:divBdr>
        <w:top w:val="none" w:sz="0" w:space="0" w:color="auto"/>
        <w:left w:val="none" w:sz="0" w:space="0" w:color="auto"/>
        <w:bottom w:val="none" w:sz="0" w:space="0" w:color="auto"/>
        <w:right w:val="none" w:sz="0" w:space="0" w:color="auto"/>
      </w:divBdr>
    </w:div>
    <w:div w:id="616715789">
      <w:bodyDiv w:val="1"/>
      <w:marLeft w:val="0"/>
      <w:marRight w:val="0"/>
      <w:marTop w:val="0"/>
      <w:marBottom w:val="0"/>
      <w:divBdr>
        <w:top w:val="none" w:sz="0" w:space="0" w:color="auto"/>
        <w:left w:val="none" w:sz="0" w:space="0" w:color="auto"/>
        <w:bottom w:val="none" w:sz="0" w:space="0" w:color="auto"/>
        <w:right w:val="none" w:sz="0" w:space="0" w:color="auto"/>
      </w:divBdr>
      <w:divsChild>
        <w:div w:id="751312642">
          <w:marLeft w:val="0"/>
          <w:marRight w:val="0"/>
          <w:marTop w:val="0"/>
          <w:marBottom w:val="0"/>
          <w:divBdr>
            <w:top w:val="none" w:sz="0" w:space="0" w:color="auto"/>
            <w:left w:val="none" w:sz="0" w:space="0" w:color="auto"/>
            <w:bottom w:val="none" w:sz="0" w:space="0" w:color="auto"/>
            <w:right w:val="none" w:sz="0" w:space="0" w:color="auto"/>
          </w:divBdr>
          <w:divsChild>
            <w:div w:id="1048721259">
              <w:marLeft w:val="0"/>
              <w:marRight w:val="0"/>
              <w:marTop w:val="0"/>
              <w:marBottom w:val="0"/>
              <w:divBdr>
                <w:top w:val="none" w:sz="0" w:space="0" w:color="auto"/>
                <w:left w:val="none" w:sz="0" w:space="0" w:color="auto"/>
                <w:bottom w:val="none" w:sz="0" w:space="0" w:color="auto"/>
                <w:right w:val="none" w:sz="0" w:space="0" w:color="auto"/>
              </w:divBdr>
              <w:divsChild>
                <w:div w:id="1987659859">
                  <w:marLeft w:val="0"/>
                  <w:marRight w:val="0"/>
                  <w:marTop w:val="0"/>
                  <w:marBottom w:val="0"/>
                  <w:divBdr>
                    <w:top w:val="none" w:sz="0" w:space="0" w:color="auto"/>
                    <w:left w:val="none" w:sz="0" w:space="0" w:color="auto"/>
                    <w:bottom w:val="none" w:sz="0" w:space="0" w:color="auto"/>
                    <w:right w:val="none" w:sz="0" w:space="0" w:color="auto"/>
                  </w:divBdr>
                  <w:divsChild>
                    <w:div w:id="53130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070532">
      <w:bodyDiv w:val="1"/>
      <w:marLeft w:val="0"/>
      <w:marRight w:val="0"/>
      <w:marTop w:val="0"/>
      <w:marBottom w:val="0"/>
      <w:divBdr>
        <w:top w:val="none" w:sz="0" w:space="0" w:color="auto"/>
        <w:left w:val="none" w:sz="0" w:space="0" w:color="auto"/>
        <w:bottom w:val="none" w:sz="0" w:space="0" w:color="auto"/>
        <w:right w:val="none" w:sz="0" w:space="0" w:color="auto"/>
      </w:divBdr>
    </w:div>
    <w:div w:id="669022664">
      <w:bodyDiv w:val="1"/>
      <w:marLeft w:val="0"/>
      <w:marRight w:val="0"/>
      <w:marTop w:val="0"/>
      <w:marBottom w:val="0"/>
      <w:divBdr>
        <w:top w:val="none" w:sz="0" w:space="0" w:color="auto"/>
        <w:left w:val="none" w:sz="0" w:space="0" w:color="auto"/>
        <w:bottom w:val="none" w:sz="0" w:space="0" w:color="auto"/>
        <w:right w:val="none" w:sz="0" w:space="0" w:color="auto"/>
      </w:divBdr>
    </w:div>
    <w:div w:id="701826531">
      <w:bodyDiv w:val="1"/>
      <w:marLeft w:val="0"/>
      <w:marRight w:val="0"/>
      <w:marTop w:val="0"/>
      <w:marBottom w:val="0"/>
      <w:divBdr>
        <w:top w:val="none" w:sz="0" w:space="0" w:color="auto"/>
        <w:left w:val="none" w:sz="0" w:space="0" w:color="auto"/>
        <w:bottom w:val="none" w:sz="0" w:space="0" w:color="auto"/>
        <w:right w:val="none" w:sz="0" w:space="0" w:color="auto"/>
      </w:divBdr>
    </w:div>
    <w:div w:id="800418365">
      <w:bodyDiv w:val="1"/>
      <w:marLeft w:val="0"/>
      <w:marRight w:val="0"/>
      <w:marTop w:val="0"/>
      <w:marBottom w:val="0"/>
      <w:divBdr>
        <w:top w:val="none" w:sz="0" w:space="0" w:color="auto"/>
        <w:left w:val="none" w:sz="0" w:space="0" w:color="auto"/>
        <w:bottom w:val="none" w:sz="0" w:space="0" w:color="auto"/>
        <w:right w:val="none" w:sz="0" w:space="0" w:color="auto"/>
      </w:divBdr>
    </w:div>
    <w:div w:id="811752848">
      <w:bodyDiv w:val="1"/>
      <w:marLeft w:val="0"/>
      <w:marRight w:val="0"/>
      <w:marTop w:val="0"/>
      <w:marBottom w:val="0"/>
      <w:divBdr>
        <w:top w:val="none" w:sz="0" w:space="0" w:color="auto"/>
        <w:left w:val="none" w:sz="0" w:space="0" w:color="auto"/>
        <w:bottom w:val="none" w:sz="0" w:space="0" w:color="auto"/>
        <w:right w:val="none" w:sz="0" w:space="0" w:color="auto"/>
      </w:divBdr>
      <w:divsChild>
        <w:div w:id="1785270461">
          <w:marLeft w:val="0"/>
          <w:marRight w:val="0"/>
          <w:marTop w:val="0"/>
          <w:marBottom w:val="0"/>
          <w:divBdr>
            <w:top w:val="none" w:sz="0" w:space="0" w:color="auto"/>
            <w:left w:val="none" w:sz="0" w:space="0" w:color="auto"/>
            <w:bottom w:val="none" w:sz="0" w:space="0" w:color="auto"/>
            <w:right w:val="none" w:sz="0" w:space="0" w:color="auto"/>
          </w:divBdr>
          <w:divsChild>
            <w:div w:id="1845781720">
              <w:marLeft w:val="0"/>
              <w:marRight w:val="0"/>
              <w:marTop w:val="0"/>
              <w:marBottom w:val="0"/>
              <w:divBdr>
                <w:top w:val="none" w:sz="0" w:space="0" w:color="auto"/>
                <w:left w:val="none" w:sz="0" w:space="0" w:color="auto"/>
                <w:bottom w:val="none" w:sz="0" w:space="0" w:color="auto"/>
                <w:right w:val="none" w:sz="0" w:space="0" w:color="auto"/>
              </w:divBdr>
              <w:divsChild>
                <w:div w:id="191858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275586">
      <w:bodyDiv w:val="1"/>
      <w:marLeft w:val="0"/>
      <w:marRight w:val="0"/>
      <w:marTop w:val="0"/>
      <w:marBottom w:val="0"/>
      <w:divBdr>
        <w:top w:val="none" w:sz="0" w:space="0" w:color="auto"/>
        <w:left w:val="none" w:sz="0" w:space="0" w:color="auto"/>
        <w:bottom w:val="none" w:sz="0" w:space="0" w:color="auto"/>
        <w:right w:val="none" w:sz="0" w:space="0" w:color="auto"/>
      </w:divBdr>
      <w:divsChild>
        <w:div w:id="577062718">
          <w:marLeft w:val="0"/>
          <w:marRight w:val="0"/>
          <w:marTop w:val="0"/>
          <w:marBottom w:val="0"/>
          <w:divBdr>
            <w:top w:val="none" w:sz="0" w:space="0" w:color="auto"/>
            <w:left w:val="none" w:sz="0" w:space="0" w:color="auto"/>
            <w:bottom w:val="none" w:sz="0" w:space="0" w:color="auto"/>
            <w:right w:val="none" w:sz="0" w:space="0" w:color="auto"/>
          </w:divBdr>
          <w:divsChild>
            <w:div w:id="39402241">
              <w:marLeft w:val="0"/>
              <w:marRight w:val="0"/>
              <w:marTop w:val="0"/>
              <w:marBottom w:val="0"/>
              <w:divBdr>
                <w:top w:val="none" w:sz="0" w:space="0" w:color="auto"/>
                <w:left w:val="none" w:sz="0" w:space="0" w:color="auto"/>
                <w:bottom w:val="none" w:sz="0" w:space="0" w:color="auto"/>
                <w:right w:val="none" w:sz="0" w:space="0" w:color="auto"/>
              </w:divBdr>
              <w:divsChild>
                <w:div w:id="862521868">
                  <w:marLeft w:val="0"/>
                  <w:marRight w:val="0"/>
                  <w:marTop w:val="0"/>
                  <w:marBottom w:val="0"/>
                  <w:divBdr>
                    <w:top w:val="none" w:sz="0" w:space="0" w:color="auto"/>
                    <w:left w:val="none" w:sz="0" w:space="0" w:color="auto"/>
                    <w:bottom w:val="none" w:sz="0" w:space="0" w:color="auto"/>
                    <w:right w:val="none" w:sz="0" w:space="0" w:color="auto"/>
                  </w:divBdr>
                  <w:divsChild>
                    <w:div w:id="96635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867">
      <w:bodyDiv w:val="1"/>
      <w:marLeft w:val="0"/>
      <w:marRight w:val="0"/>
      <w:marTop w:val="0"/>
      <w:marBottom w:val="0"/>
      <w:divBdr>
        <w:top w:val="none" w:sz="0" w:space="0" w:color="auto"/>
        <w:left w:val="none" w:sz="0" w:space="0" w:color="auto"/>
        <w:bottom w:val="none" w:sz="0" w:space="0" w:color="auto"/>
        <w:right w:val="none" w:sz="0" w:space="0" w:color="auto"/>
      </w:divBdr>
      <w:divsChild>
        <w:div w:id="335811225">
          <w:marLeft w:val="288"/>
          <w:marRight w:val="0"/>
          <w:marTop w:val="115"/>
          <w:marBottom w:val="0"/>
          <w:divBdr>
            <w:top w:val="none" w:sz="0" w:space="0" w:color="auto"/>
            <w:left w:val="none" w:sz="0" w:space="0" w:color="auto"/>
            <w:bottom w:val="none" w:sz="0" w:space="0" w:color="auto"/>
            <w:right w:val="none" w:sz="0" w:space="0" w:color="auto"/>
          </w:divBdr>
        </w:div>
        <w:div w:id="829058270">
          <w:marLeft w:val="288"/>
          <w:marRight w:val="0"/>
          <w:marTop w:val="115"/>
          <w:marBottom w:val="0"/>
          <w:divBdr>
            <w:top w:val="none" w:sz="0" w:space="0" w:color="auto"/>
            <w:left w:val="none" w:sz="0" w:space="0" w:color="auto"/>
            <w:bottom w:val="none" w:sz="0" w:space="0" w:color="auto"/>
            <w:right w:val="none" w:sz="0" w:space="0" w:color="auto"/>
          </w:divBdr>
        </w:div>
        <w:div w:id="1872260826">
          <w:marLeft w:val="720"/>
          <w:marRight w:val="0"/>
          <w:marTop w:val="96"/>
          <w:marBottom w:val="0"/>
          <w:divBdr>
            <w:top w:val="none" w:sz="0" w:space="0" w:color="auto"/>
            <w:left w:val="none" w:sz="0" w:space="0" w:color="auto"/>
            <w:bottom w:val="none" w:sz="0" w:space="0" w:color="auto"/>
            <w:right w:val="none" w:sz="0" w:space="0" w:color="auto"/>
          </w:divBdr>
        </w:div>
        <w:div w:id="327440311">
          <w:marLeft w:val="288"/>
          <w:marRight w:val="0"/>
          <w:marTop w:val="115"/>
          <w:marBottom w:val="0"/>
          <w:divBdr>
            <w:top w:val="none" w:sz="0" w:space="0" w:color="auto"/>
            <w:left w:val="none" w:sz="0" w:space="0" w:color="auto"/>
            <w:bottom w:val="none" w:sz="0" w:space="0" w:color="auto"/>
            <w:right w:val="none" w:sz="0" w:space="0" w:color="auto"/>
          </w:divBdr>
        </w:div>
      </w:divsChild>
    </w:div>
    <w:div w:id="979193852">
      <w:bodyDiv w:val="1"/>
      <w:marLeft w:val="0"/>
      <w:marRight w:val="0"/>
      <w:marTop w:val="0"/>
      <w:marBottom w:val="0"/>
      <w:divBdr>
        <w:top w:val="none" w:sz="0" w:space="0" w:color="auto"/>
        <w:left w:val="none" w:sz="0" w:space="0" w:color="auto"/>
        <w:bottom w:val="none" w:sz="0" w:space="0" w:color="auto"/>
        <w:right w:val="none" w:sz="0" w:space="0" w:color="auto"/>
      </w:divBdr>
      <w:divsChild>
        <w:div w:id="288515991">
          <w:marLeft w:val="0"/>
          <w:marRight w:val="0"/>
          <w:marTop w:val="225"/>
          <w:marBottom w:val="225"/>
          <w:divBdr>
            <w:top w:val="none" w:sz="0" w:space="0" w:color="auto"/>
            <w:left w:val="none" w:sz="0" w:space="0" w:color="auto"/>
            <w:bottom w:val="none" w:sz="0" w:space="0" w:color="auto"/>
            <w:right w:val="none" w:sz="0" w:space="0" w:color="auto"/>
          </w:divBdr>
          <w:divsChild>
            <w:div w:id="8898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73342">
      <w:bodyDiv w:val="1"/>
      <w:marLeft w:val="0"/>
      <w:marRight w:val="0"/>
      <w:marTop w:val="0"/>
      <w:marBottom w:val="0"/>
      <w:divBdr>
        <w:top w:val="none" w:sz="0" w:space="0" w:color="auto"/>
        <w:left w:val="none" w:sz="0" w:space="0" w:color="auto"/>
        <w:bottom w:val="none" w:sz="0" w:space="0" w:color="auto"/>
        <w:right w:val="none" w:sz="0" w:space="0" w:color="auto"/>
      </w:divBdr>
      <w:divsChild>
        <w:div w:id="1449861050">
          <w:marLeft w:val="0"/>
          <w:marRight w:val="0"/>
          <w:marTop w:val="0"/>
          <w:marBottom w:val="0"/>
          <w:divBdr>
            <w:top w:val="none" w:sz="0" w:space="0" w:color="auto"/>
            <w:left w:val="none" w:sz="0" w:space="0" w:color="auto"/>
            <w:bottom w:val="none" w:sz="0" w:space="0" w:color="auto"/>
            <w:right w:val="none" w:sz="0" w:space="0" w:color="auto"/>
          </w:divBdr>
          <w:divsChild>
            <w:div w:id="140082120">
              <w:marLeft w:val="0"/>
              <w:marRight w:val="0"/>
              <w:marTop w:val="0"/>
              <w:marBottom w:val="0"/>
              <w:divBdr>
                <w:top w:val="none" w:sz="0" w:space="0" w:color="auto"/>
                <w:left w:val="none" w:sz="0" w:space="0" w:color="auto"/>
                <w:bottom w:val="none" w:sz="0" w:space="0" w:color="auto"/>
                <w:right w:val="none" w:sz="0" w:space="0" w:color="auto"/>
              </w:divBdr>
              <w:divsChild>
                <w:div w:id="1439912709">
                  <w:marLeft w:val="0"/>
                  <w:marRight w:val="0"/>
                  <w:marTop w:val="0"/>
                  <w:marBottom w:val="0"/>
                  <w:divBdr>
                    <w:top w:val="none" w:sz="0" w:space="0" w:color="auto"/>
                    <w:left w:val="none" w:sz="0" w:space="0" w:color="auto"/>
                    <w:bottom w:val="none" w:sz="0" w:space="0" w:color="auto"/>
                    <w:right w:val="none" w:sz="0" w:space="0" w:color="auto"/>
                  </w:divBdr>
                  <w:divsChild>
                    <w:div w:id="10658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163088">
      <w:bodyDiv w:val="1"/>
      <w:marLeft w:val="0"/>
      <w:marRight w:val="0"/>
      <w:marTop w:val="0"/>
      <w:marBottom w:val="0"/>
      <w:divBdr>
        <w:top w:val="none" w:sz="0" w:space="0" w:color="auto"/>
        <w:left w:val="none" w:sz="0" w:space="0" w:color="auto"/>
        <w:bottom w:val="none" w:sz="0" w:space="0" w:color="auto"/>
        <w:right w:val="none" w:sz="0" w:space="0" w:color="auto"/>
      </w:divBdr>
      <w:divsChild>
        <w:div w:id="368410052">
          <w:marLeft w:val="288"/>
          <w:marRight w:val="0"/>
          <w:marTop w:val="115"/>
          <w:marBottom w:val="0"/>
          <w:divBdr>
            <w:top w:val="none" w:sz="0" w:space="0" w:color="auto"/>
            <w:left w:val="none" w:sz="0" w:space="0" w:color="auto"/>
            <w:bottom w:val="none" w:sz="0" w:space="0" w:color="auto"/>
            <w:right w:val="none" w:sz="0" w:space="0" w:color="auto"/>
          </w:divBdr>
        </w:div>
        <w:div w:id="642272263">
          <w:marLeft w:val="720"/>
          <w:marRight w:val="0"/>
          <w:marTop w:val="96"/>
          <w:marBottom w:val="0"/>
          <w:divBdr>
            <w:top w:val="none" w:sz="0" w:space="0" w:color="auto"/>
            <w:left w:val="none" w:sz="0" w:space="0" w:color="auto"/>
            <w:bottom w:val="none" w:sz="0" w:space="0" w:color="auto"/>
            <w:right w:val="none" w:sz="0" w:space="0" w:color="auto"/>
          </w:divBdr>
        </w:div>
        <w:div w:id="1777627769">
          <w:marLeft w:val="720"/>
          <w:marRight w:val="0"/>
          <w:marTop w:val="96"/>
          <w:marBottom w:val="0"/>
          <w:divBdr>
            <w:top w:val="none" w:sz="0" w:space="0" w:color="auto"/>
            <w:left w:val="none" w:sz="0" w:space="0" w:color="auto"/>
            <w:bottom w:val="none" w:sz="0" w:space="0" w:color="auto"/>
            <w:right w:val="none" w:sz="0" w:space="0" w:color="auto"/>
          </w:divBdr>
        </w:div>
      </w:divsChild>
    </w:div>
    <w:div w:id="1115756287">
      <w:bodyDiv w:val="1"/>
      <w:marLeft w:val="0"/>
      <w:marRight w:val="0"/>
      <w:marTop w:val="0"/>
      <w:marBottom w:val="0"/>
      <w:divBdr>
        <w:top w:val="none" w:sz="0" w:space="0" w:color="auto"/>
        <w:left w:val="none" w:sz="0" w:space="0" w:color="auto"/>
        <w:bottom w:val="none" w:sz="0" w:space="0" w:color="auto"/>
        <w:right w:val="none" w:sz="0" w:space="0" w:color="auto"/>
      </w:divBdr>
      <w:divsChild>
        <w:div w:id="1384981283">
          <w:marLeft w:val="720"/>
          <w:marRight w:val="0"/>
          <w:marTop w:val="115"/>
          <w:marBottom w:val="0"/>
          <w:divBdr>
            <w:top w:val="none" w:sz="0" w:space="0" w:color="auto"/>
            <w:left w:val="none" w:sz="0" w:space="0" w:color="auto"/>
            <w:bottom w:val="none" w:sz="0" w:space="0" w:color="auto"/>
            <w:right w:val="none" w:sz="0" w:space="0" w:color="auto"/>
          </w:divBdr>
        </w:div>
        <w:div w:id="1759982594">
          <w:marLeft w:val="720"/>
          <w:marRight w:val="0"/>
          <w:marTop w:val="115"/>
          <w:marBottom w:val="0"/>
          <w:divBdr>
            <w:top w:val="none" w:sz="0" w:space="0" w:color="auto"/>
            <w:left w:val="none" w:sz="0" w:space="0" w:color="auto"/>
            <w:bottom w:val="none" w:sz="0" w:space="0" w:color="auto"/>
            <w:right w:val="none" w:sz="0" w:space="0" w:color="auto"/>
          </w:divBdr>
        </w:div>
      </w:divsChild>
    </w:div>
    <w:div w:id="1161383117">
      <w:bodyDiv w:val="1"/>
      <w:marLeft w:val="0"/>
      <w:marRight w:val="0"/>
      <w:marTop w:val="0"/>
      <w:marBottom w:val="0"/>
      <w:divBdr>
        <w:top w:val="none" w:sz="0" w:space="0" w:color="auto"/>
        <w:left w:val="none" w:sz="0" w:space="0" w:color="auto"/>
        <w:bottom w:val="none" w:sz="0" w:space="0" w:color="auto"/>
        <w:right w:val="none" w:sz="0" w:space="0" w:color="auto"/>
      </w:divBdr>
      <w:divsChild>
        <w:div w:id="1703822499">
          <w:marLeft w:val="0"/>
          <w:marRight w:val="0"/>
          <w:marTop w:val="0"/>
          <w:marBottom w:val="0"/>
          <w:divBdr>
            <w:top w:val="none" w:sz="0" w:space="0" w:color="auto"/>
            <w:left w:val="none" w:sz="0" w:space="0" w:color="auto"/>
            <w:bottom w:val="none" w:sz="0" w:space="0" w:color="auto"/>
            <w:right w:val="none" w:sz="0" w:space="0" w:color="auto"/>
          </w:divBdr>
          <w:divsChild>
            <w:div w:id="220792898">
              <w:marLeft w:val="0"/>
              <w:marRight w:val="0"/>
              <w:marTop w:val="0"/>
              <w:marBottom w:val="0"/>
              <w:divBdr>
                <w:top w:val="none" w:sz="0" w:space="0" w:color="auto"/>
                <w:left w:val="none" w:sz="0" w:space="0" w:color="auto"/>
                <w:bottom w:val="none" w:sz="0" w:space="0" w:color="auto"/>
                <w:right w:val="none" w:sz="0" w:space="0" w:color="auto"/>
              </w:divBdr>
              <w:divsChild>
                <w:div w:id="52123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5485">
      <w:bodyDiv w:val="1"/>
      <w:marLeft w:val="0"/>
      <w:marRight w:val="0"/>
      <w:marTop w:val="0"/>
      <w:marBottom w:val="0"/>
      <w:divBdr>
        <w:top w:val="none" w:sz="0" w:space="0" w:color="auto"/>
        <w:left w:val="none" w:sz="0" w:space="0" w:color="auto"/>
        <w:bottom w:val="none" w:sz="0" w:space="0" w:color="auto"/>
        <w:right w:val="none" w:sz="0" w:space="0" w:color="auto"/>
      </w:divBdr>
    </w:div>
    <w:div w:id="1203132494">
      <w:bodyDiv w:val="1"/>
      <w:marLeft w:val="0"/>
      <w:marRight w:val="0"/>
      <w:marTop w:val="0"/>
      <w:marBottom w:val="0"/>
      <w:divBdr>
        <w:top w:val="none" w:sz="0" w:space="0" w:color="auto"/>
        <w:left w:val="none" w:sz="0" w:space="0" w:color="auto"/>
        <w:bottom w:val="none" w:sz="0" w:space="0" w:color="auto"/>
        <w:right w:val="none" w:sz="0" w:space="0" w:color="auto"/>
      </w:divBdr>
    </w:div>
    <w:div w:id="1226912000">
      <w:bodyDiv w:val="1"/>
      <w:marLeft w:val="0"/>
      <w:marRight w:val="0"/>
      <w:marTop w:val="0"/>
      <w:marBottom w:val="0"/>
      <w:divBdr>
        <w:top w:val="none" w:sz="0" w:space="0" w:color="auto"/>
        <w:left w:val="none" w:sz="0" w:space="0" w:color="auto"/>
        <w:bottom w:val="none" w:sz="0" w:space="0" w:color="auto"/>
        <w:right w:val="none" w:sz="0" w:space="0" w:color="auto"/>
      </w:divBdr>
    </w:div>
    <w:div w:id="1271622220">
      <w:bodyDiv w:val="1"/>
      <w:marLeft w:val="0"/>
      <w:marRight w:val="0"/>
      <w:marTop w:val="0"/>
      <w:marBottom w:val="0"/>
      <w:divBdr>
        <w:top w:val="none" w:sz="0" w:space="0" w:color="auto"/>
        <w:left w:val="none" w:sz="0" w:space="0" w:color="auto"/>
        <w:bottom w:val="none" w:sz="0" w:space="0" w:color="auto"/>
        <w:right w:val="none" w:sz="0" w:space="0" w:color="auto"/>
      </w:divBdr>
    </w:div>
    <w:div w:id="1445539391">
      <w:bodyDiv w:val="1"/>
      <w:marLeft w:val="0"/>
      <w:marRight w:val="0"/>
      <w:marTop w:val="0"/>
      <w:marBottom w:val="0"/>
      <w:divBdr>
        <w:top w:val="none" w:sz="0" w:space="0" w:color="auto"/>
        <w:left w:val="none" w:sz="0" w:space="0" w:color="auto"/>
        <w:bottom w:val="none" w:sz="0" w:space="0" w:color="auto"/>
        <w:right w:val="none" w:sz="0" w:space="0" w:color="auto"/>
      </w:divBdr>
      <w:divsChild>
        <w:div w:id="2067490585">
          <w:marLeft w:val="0"/>
          <w:marRight w:val="0"/>
          <w:marTop w:val="0"/>
          <w:marBottom w:val="0"/>
          <w:divBdr>
            <w:top w:val="none" w:sz="0" w:space="0" w:color="auto"/>
            <w:left w:val="none" w:sz="0" w:space="0" w:color="auto"/>
            <w:bottom w:val="none" w:sz="0" w:space="0" w:color="auto"/>
            <w:right w:val="none" w:sz="0" w:space="0" w:color="auto"/>
          </w:divBdr>
          <w:divsChild>
            <w:div w:id="2089039402">
              <w:marLeft w:val="0"/>
              <w:marRight w:val="0"/>
              <w:marTop w:val="0"/>
              <w:marBottom w:val="0"/>
              <w:divBdr>
                <w:top w:val="none" w:sz="0" w:space="0" w:color="auto"/>
                <w:left w:val="none" w:sz="0" w:space="0" w:color="auto"/>
                <w:bottom w:val="none" w:sz="0" w:space="0" w:color="auto"/>
                <w:right w:val="none" w:sz="0" w:space="0" w:color="auto"/>
              </w:divBdr>
              <w:divsChild>
                <w:div w:id="33399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963576">
      <w:bodyDiv w:val="1"/>
      <w:marLeft w:val="0"/>
      <w:marRight w:val="0"/>
      <w:marTop w:val="0"/>
      <w:marBottom w:val="0"/>
      <w:divBdr>
        <w:top w:val="none" w:sz="0" w:space="0" w:color="auto"/>
        <w:left w:val="none" w:sz="0" w:space="0" w:color="auto"/>
        <w:bottom w:val="none" w:sz="0" w:space="0" w:color="auto"/>
        <w:right w:val="none" w:sz="0" w:space="0" w:color="auto"/>
      </w:divBdr>
    </w:div>
    <w:div w:id="1467434465">
      <w:bodyDiv w:val="1"/>
      <w:marLeft w:val="0"/>
      <w:marRight w:val="0"/>
      <w:marTop w:val="0"/>
      <w:marBottom w:val="0"/>
      <w:divBdr>
        <w:top w:val="none" w:sz="0" w:space="0" w:color="auto"/>
        <w:left w:val="none" w:sz="0" w:space="0" w:color="auto"/>
        <w:bottom w:val="none" w:sz="0" w:space="0" w:color="auto"/>
        <w:right w:val="none" w:sz="0" w:space="0" w:color="auto"/>
      </w:divBdr>
      <w:divsChild>
        <w:div w:id="962731452">
          <w:marLeft w:val="0"/>
          <w:marRight w:val="0"/>
          <w:marTop w:val="0"/>
          <w:marBottom w:val="0"/>
          <w:divBdr>
            <w:top w:val="none" w:sz="0" w:space="0" w:color="auto"/>
            <w:left w:val="none" w:sz="0" w:space="0" w:color="auto"/>
            <w:bottom w:val="none" w:sz="0" w:space="0" w:color="auto"/>
            <w:right w:val="none" w:sz="0" w:space="0" w:color="auto"/>
          </w:divBdr>
          <w:divsChild>
            <w:div w:id="295575179">
              <w:marLeft w:val="0"/>
              <w:marRight w:val="0"/>
              <w:marTop w:val="0"/>
              <w:marBottom w:val="0"/>
              <w:divBdr>
                <w:top w:val="none" w:sz="0" w:space="0" w:color="auto"/>
                <w:left w:val="none" w:sz="0" w:space="0" w:color="auto"/>
                <w:bottom w:val="none" w:sz="0" w:space="0" w:color="auto"/>
                <w:right w:val="none" w:sz="0" w:space="0" w:color="auto"/>
              </w:divBdr>
              <w:divsChild>
                <w:div w:id="92726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70790">
      <w:bodyDiv w:val="1"/>
      <w:marLeft w:val="0"/>
      <w:marRight w:val="0"/>
      <w:marTop w:val="0"/>
      <w:marBottom w:val="0"/>
      <w:divBdr>
        <w:top w:val="none" w:sz="0" w:space="0" w:color="auto"/>
        <w:left w:val="none" w:sz="0" w:space="0" w:color="auto"/>
        <w:bottom w:val="none" w:sz="0" w:space="0" w:color="auto"/>
        <w:right w:val="none" w:sz="0" w:space="0" w:color="auto"/>
      </w:divBdr>
    </w:div>
    <w:div w:id="1509254362">
      <w:bodyDiv w:val="1"/>
      <w:marLeft w:val="0"/>
      <w:marRight w:val="0"/>
      <w:marTop w:val="0"/>
      <w:marBottom w:val="0"/>
      <w:divBdr>
        <w:top w:val="none" w:sz="0" w:space="0" w:color="auto"/>
        <w:left w:val="none" w:sz="0" w:space="0" w:color="auto"/>
        <w:bottom w:val="none" w:sz="0" w:space="0" w:color="auto"/>
        <w:right w:val="none" w:sz="0" w:space="0" w:color="auto"/>
      </w:divBdr>
    </w:div>
    <w:div w:id="1524242188">
      <w:bodyDiv w:val="1"/>
      <w:marLeft w:val="0"/>
      <w:marRight w:val="0"/>
      <w:marTop w:val="0"/>
      <w:marBottom w:val="0"/>
      <w:divBdr>
        <w:top w:val="none" w:sz="0" w:space="0" w:color="auto"/>
        <w:left w:val="none" w:sz="0" w:space="0" w:color="auto"/>
        <w:bottom w:val="none" w:sz="0" w:space="0" w:color="auto"/>
        <w:right w:val="none" w:sz="0" w:space="0" w:color="auto"/>
      </w:divBdr>
      <w:divsChild>
        <w:div w:id="933241210">
          <w:marLeft w:val="0"/>
          <w:marRight w:val="0"/>
          <w:marTop w:val="0"/>
          <w:marBottom w:val="0"/>
          <w:divBdr>
            <w:top w:val="none" w:sz="0" w:space="0" w:color="auto"/>
            <w:left w:val="none" w:sz="0" w:space="0" w:color="auto"/>
            <w:bottom w:val="none" w:sz="0" w:space="0" w:color="auto"/>
            <w:right w:val="none" w:sz="0" w:space="0" w:color="auto"/>
          </w:divBdr>
          <w:divsChild>
            <w:div w:id="1455372216">
              <w:marLeft w:val="0"/>
              <w:marRight w:val="0"/>
              <w:marTop w:val="0"/>
              <w:marBottom w:val="0"/>
              <w:divBdr>
                <w:top w:val="none" w:sz="0" w:space="0" w:color="auto"/>
                <w:left w:val="none" w:sz="0" w:space="0" w:color="auto"/>
                <w:bottom w:val="none" w:sz="0" w:space="0" w:color="auto"/>
                <w:right w:val="none" w:sz="0" w:space="0" w:color="auto"/>
              </w:divBdr>
              <w:divsChild>
                <w:div w:id="193967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91594">
      <w:bodyDiv w:val="1"/>
      <w:marLeft w:val="0"/>
      <w:marRight w:val="0"/>
      <w:marTop w:val="0"/>
      <w:marBottom w:val="0"/>
      <w:divBdr>
        <w:top w:val="none" w:sz="0" w:space="0" w:color="auto"/>
        <w:left w:val="none" w:sz="0" w:space="0" w:color="auto"/>
        <w:bottom w:val="none" w:sz="0" w:space="0" w:color="auto"/>
        <w:right w:val="none" w:sz="0" w:space="0" w:color="auto"/>
      </w:divBdr>
    </w:div>
    <w:div w:id="1636987721">
      <w:bodyDiv w:val="1"/>
      <w:marLeft w:val="0"/>
      <w:marRight w:val="0"/>
      <w:marTop w:val="0"/>
      <w:marBottom w:val="0"/>
      <w:divBdr>
        <w:top w:val="none" w:sz="0" w:space="0" w:color="auto"/>
        <w:left w:val="none" w:sz="0" w:space="0" w:color="auto"/>
        <w:bottom w:val="none" w:sz="0" w:space="0" w:color="auto"/>
        <w:right w:val="none" w:sz="0" w:space="0" w:color="auto"/>
      </w:divBdr>
      <w:divsChild>
        <w:div w:id="79523611">
          <w:marLeft w:val="0"/>
          <w:marRight w:val="0"/>
          <w:marTop w:val="0"/>
          <w:marBottom w:val="0"/>
          <w:divBdr>
            <w:top w:val="none" w:sz="0" w:space="0" w:color="auto"/>
            <w:left w:val="none" w:sz="0" w:space="0" w:color="auto"/>
            <w:bottom w:val="none" w:sz="0" w:space="0" w:color="auto"/>
            <w:right w:val="none" w:sz="0" w:space="0" w:color="auto"/>
          </w:divBdr>
        </w:div>
        <w:div w:id="381639705">
          <w:marLeft w:val="0"/>
          <w:marRight w:val="0"/>
          <w:marTop w:val="0"/>
          <w:marBottom w:val="0"/>
          <w:divBdr>
            <w:top w:val="none" w:sz="0" w:space="0" w:color="auto"/>
            <w:left w:val="none" w:sz="0" w:space="0" w:color="auto"/>
            <w:bottom w:val="none" w:sz="0" w:space="0" w:color="auto"/>
            <w:right w:val="none" w:sz="0" w:space="0" w:color="auto"/>
          </w:divBdr>
          <w:divsChild>
            <w:div w:id="9699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31024">
      <w:bodyDiv w:val="1"/>
      <w:marLeft w:val="0"/>
      <w:marRight w:val="0"/>
      <w:marTop w:val="0"/>
      <w:marBottom w:val="0"/>
      <w:divBdr>
        <w:top w:val="none" w:sz="0" w:space="0" w:color="auto"/>
        <w:left w:val="none" w:sz="0" w:space="0" w:color="auto"/>
        <w:bottom w:val="none" w:sz="0" w:space="0" w:color="auto"/>
        <w:right w:val="none" w:sz="0" w:space="0" w:color="auto"/>
      </w:divBdr>
      <w:divsChild>
        <w:div w:id="1848474655">
          <w:marLeft w:val="0"/>
          <w:marRight w:val="0"/>
          <w:marTop w:val="0"/>
          <w:marBottom w:val="0"/>
          <w:divBdr>
            <w:top w:val="none" w:sz="0" w:space="0" w:color="auto"/>
            <w:left w:val="none" w:sz="0" w:space="0" w:color="auto"/>
            <w:bottom w:val="none" w:sz="0" w:space="0" w:color="auto"/>
            <w:right w:val="none" w:sz="0" w:space="0" w:color="auto"/>
          </w:divBdr>
          <w:divsChild>
            <w:div w:id="813373711">
              <w:marLeft w:val="0"/>
              <w:marRight w:val="0"/>
              <w:marTop w:val="0"/>
              <w:marBottom w:val="0"/>
              <w:divBdr>
                <w:top w:val="none" w:sz="0" w:space="0" w:color="auto"/>
                <w:left w:val="none" w:sz="0" w:space="0" w:color="auto"/>
                <w:bottom w:val="none" w:sz="0" w:space="0" w:color="auto"/>
                <w:right w:val="none" w:sz="0" w:space="0" w:color="auto"/>
              </w:divBdr>
              <w:divsChild>
                <w:div w:id="38595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56027">
      <w:bodyDiv w:val="1"/>
      <w:marLeft w:val="0"/>
      <w:marRight w:val="0"/>
      <w:marTop w:val="0"/>
      <w:marBottom w:val="0"/>
      <w:divBdr>
        <w:top w:val="none" w:sz="0" w:space="0" w:color="auto"/>
        <w:left w:val="none" w:sz="0" w:space="0" w:color="auto"/>
        <w:bottom w:val="none" w:sz="0" w:space="0" w:color="auto"/>
        <w:right w:val="none" w:sz="0" w:space="0" w:color="auto"/>
      </w:divBdr>
    </w:div>
    <w:div w:id="1707489484">
      <w:bodyDiv w:val="1"/>
      <w:marLeft w:val="0"/>
      <w:marRight w:val="0"/>
      <w:marTop w:val="0"/>
      <w:marBottom w:val="0"/>
      <w:divBdr>
        <w:top w:val="none" w:sz="0" w:space="0" w:color="auto"/>
        <w:left w:val="none" w:sz="0" w:space="0" w:color="auto"/>
        <w:bottom w:val="none" w:sz="0" w:space="0" w:color="auto"/>
        <w:right w:val="none" w:sz="0" w:space="0" w:color="auto"/>
      </w:divBdr>
      <w:divsChild>
        <w:div w:id="409154002">
          <w:marLeft w:val="0"/>
          <w:marRight w:val="0"/>
          <w:marTop w:val="0"/>
          <w:marBottom w:val="0"/>
          <w:divBdr>
            <w:top w:val="none" w:sz="0" w:space="0" w:color="auto"/>
            <w:left w:val="none" w:sz="0" w:space="0" w:color="auto"/>
            <w:bottom w:val="none" w:sz="0" w:space="0" w:color="auto"/>
            <w:right w:val="none" w:sz="0" w:space="0" w:color="auto"/>
          </w:divBdr>
          <w:divsChild>
            <w:div w:id="1713308109">
              <w:marLeft w:val="0"/>
              <w:marRight w:val="0"/>
              <w:marTop w:val="0"/>
              <w:marBottom w:val="0"/>
              <w:divBdr>
                <w:top w:val="none" w:sz="0" w:space="0" w:color="auto"/>
                <w:left w:val="none" w:sz="0" w:space="0" w:color="auto"/>
                <w:bottom w:val="none" w:sz="0" w:space="0" w:color="auto"/>
                <w:right w:val="none" w:sz="0" w:space="0" w:color="auto"/>
              </w:divBdr>
              <w:divsChild>
                <w:div w:id="13771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579562">
          <w:marLeft w:val="0"/>
          <w:marRight w:val="0"/>
          <w:marTop w:val="0"/>
          <w:marBottom w:val="0"/>
          <w:divBdr>
            <w:top w:val="none" w:sz="0" w:space="0" w:color="auto"/>
            <w:left w:val="none" w:sz="0" w:space="0" w:color="auto"/>
            <w:bottom w:val="none" w:sz="0" w:space="0" w:color="auto"/>
            <w:right w:val="none" w:sz="0" w:space="0" w:color="auto"/>
          </w:divBdr>
          <w:divsChild>
            <w:div w:id="682825412">
              <w:marLeft w:val="0"/>
              <w:marRight w:val="0"/>
              <w:marTop w:val="0"/>
              <w:marBottom w:val="0"/>
              <w:divBdr>
                <w:top w:val="none" w:sz="0" w:space="0" w:color="auto"/>
                <w:left w:val="none" w:sz="0" w:space="0" w:color="auto"/>
                <w:bottom w:val="none" w:sz="0" w:space="0" w:color="auto"/>
                <w:right w:val="none" w:sz="0" w:space="0" w:color="auto"/>
              </w:divBdr>
              <w:divsChild>
                <w:div w:id="33904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86472">
      <w:bodyDiv w:val="1"/>
      <w:marLeft w:val="0"/>
      <w:marRight w:val="0"/>
      <w:marTop w:val="0"/>
      <w:marBottom w:val="0"/>
      <w:divBdr>
        <w:top w:val="none" w:sz="0" w:space="0" w:color="auto"/>
        <w:left w:val="none" w:sz="0" w:space="0" w:color="auto"/>
        <w:bottom w:val="none" w:sz="0" w:space="0" w:color="auto"/>
        <w:right w:val="none" w:sz="0" w:space="0" w:color="auto"/>
      </w:divBdr>
      <w:divsChild>
        <w:div w:id="1422987808">
          <w:marLeft w:val="0"/>
          <w:marRight w:val="0"/>
          <w:marTop w:val="0"/>
          <w:marBottom w:val="0"/>
          <w:divBdr>
            <w:top w:val="none" w:sz="0" w:space="0" w:color="auto"/>
            <w:left w:val="none" w:sz="0" w:space="0" w:color="auto"/>
            <w:bottom w:val="none" w:sz="0" w:space="0" w:color="auto"/>
            <w:right w:val="none" w:sz="0" w:space="0" w:color="auto"/>
          </w:divBdr>
          <w:divsChild>
            <w:div w:id="1080907017">
              <w:marLeft w:val="0"/>
              <w:marRight w:val="0"/>
              <w:marTop w:val="0"/>
              <w:marBottom w:val="0"/>
              <w:divBdr>
                <w:top w:val="none" w:sz="0" w:space="0" w:color="auto"/>
                <w:left w:val="none" w:sz="0" w:space="0" w:color="auto"/>
                <w:bottom w:val="none" w:sz="0" w:space="0" w:color="auto"/>
                <w:right w:val="none" w:sz="0" w:space="0" w:color="auto"/>
              </w:divBdr>
              <w:divsChild>
                <w:div w:id="147567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694176">
      <w:bodyDiv w:val="1"/>
      <w:marLeft w:val="0"/>
      <w:marRight w:val="0"/>
      <w:marTop w:val="0"/>
      <w:marBottom w:val="0"/>
      <w:divBdr>
        <w:top w:val="none" w:sz="0" w:space="0" w:color="auto"/>
        <w:left w:val="none" w:sz="0" w:space="0" w:color="auto"/>
        <w:bottom w:val="none" w:sz="0" w:space="0" w:color="auto"/>
        <w:right w:val="none" w:sz="0" w:space="0" w:color="auto"/>
      </w:divBdr>
    </w:div>
    <w:div w:id="1755397394">
      <w:bodyDiv w:val="1"/>
      <w:marLeft w:val="0"/>
      <w:marRight w:val="0"/>
      <w:marTop w:val="0"/>
      <w:marBottom w:val="0"/>
      <w:divBdr>
        <w:top w:val="none" w:sz="0" w:space="0" w:color="auto"/>
        <w:left w:val="none" w:sz="0" w:space="0" w:color="auto"/>
        <w:bottom w:val="none" w:sz="0" w:space="0" w:color="auto"/>
        <w:right w:val="none" w:sz="0" w:space="0" w:color="auto"/>
      </w:divBdr>
      <w:divsChild>
        <w:div w:id="17972094">
          <w:marLeft w:val="0"/>
          <w:marRight w:val="0"/>
          <w:marTop w:val="0"/>
          <w:marBottom w:val="0"/>
          <w:divBdr>
            <w:top w:val="none" w:sz="0" w:space="0" w:color="auto"/>
            <w:left w:val="none" w:sz="0" w:space="0" w:color="auto"/>
            <w:bottom w:val="none" w:sz="0" w:space="0" w:color="auto"/>
            <w:right w:val="none" w:sz="0" w:space="0" w:color="auto"/>
          </w:divBdr>
          <w:divsChild>
            <w:div w:id="2127187256">
              <w:marLeft w:val="0"/>
              <w:marRight w:val="0"/>
              <w:marTop w:val="0"/>
              <w:marBottom w:val="0"/>
              <w:divBdr>
                <w:top w:val="none" w:sz="0" w:space="0" w:color="auto"/>
                <w:left w:val="none" w:sz="0" w:space="0" w:color="auto"/>
                <w:bottom w:val="none" w:sz="0" w:space="0" w:color="auto"/>
                <w:right w:val="none" w:sz="0" w:space="0" w:color="auto"/>
              </w:divBdr>
              <w:divsChild>
                <w:div w:id="598567406">
                  <w:marLeft w:val="0"/>
                  <w:marRight w:val="0"/>
                  <w:marTop w:val="0"/>
                  <w:marBottom w:val="0"/>
                  <w:divBdr>
                    <w:top w:val="none" w:sz="0" w:space="0" w:color="auto"/>
                    <w:left w:val="none" w:sz="0" w:space="0" w:color="auto"/>
                    <w:bottom w:val="none" w:sz="0" w:space="0" w:color="auto"/>
                    <w:right w:val="none" w:sz="0" w:space="0" w:color="auto"/>
                  </w:divBdr>
                  <w:divsChild>
                    <w:div w:id="105100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687381">
      <w:bodyDiv w:val="1"/>
      <w:marLeft w:val="0"/>
      <w:marRight w:val="0"/>
      <w:marTop w:val="0"/>
      <w:marBottom w:val="0"/>
      <w:divBdr>
        <w:top w:val="none" w:sz="0" w:space="0" w:color="auto"/>
        <w:left w:val="none" w:sz="0" w:space="0" w:color="auto"/>
        <w:bottom w:val="none" w:sz="0" w:space="0" w:color="auto"/>
        <w:right w:val="none" w:sz="0" w:space="0" w:color="auto"/>
      </w:divBdr>
    </w:div>
    <w:div w:id="1781795989">
      <w:bodyDiv w:val="1"/>
      <w:marLeft w:val="0"/>
      <w:marRight w:val="0"/>
      <w:marTop w:val="0"/>
      <w:marBottom w:val="0"/>
      <w:divBdr>
        <w:top w:val="none" w:sz="0" w:space="0" w:color="auto"/>
        <w:left w:val="none" w:sz="0" w:space="0" w:color="auto"/>
        <w:bottom w:val="none" w:sz="0" w:space="0" w:color="auto"/>
        <w:right w:val="none" w:sz="0" w:space="0" w:color="auto"/>
      </w:divBdr>
      <w:divsChild>
        <w:div w:id="1424032964">
          <w:marLeft w:val="0"/>
          <w:marRight w:val="0"/>
          <w:marTop w:val="0"/>
          <w:marBottom w:val="0"/>
          <w:divBdr>
            <w:top w:val="none" w:sz="0" w:space="0" w:color="auto"/>
            <w:left w:val="none" w:sz="0" w:space="0" w:color="auto"/>
            <w:bottom w:val="none" w:sz="0" w:space="0" w:color="auto"/>
            <w:right w:val="none" w:sz="0" w:space="0" w:color="auto"/>
          </w:divBdr>
          <w:divsChild>
            <w:div w:id="921372675">
              <w:marLeft w:val="0"/>
              <w:marRight w:val="0"/>
              <w:marTop w:val="0"/>
              <w:marBottom w:val="0"/>
              <w:divBdr>
                <w:top w:val="none" w:sz="0" w:space="0" w:color="auto"/>
                <w:left w:val="none" w:sz="0" w:space="0" w:color="auto"/>
                <w:bottom w:val="none" w:sz="0" w:space="0" w:color="auto"/>
                <w:right w:val="none" w:sz="0" w:space="0" w:color="auto"/>
              </w:divBdr>
              <w:divsChild>
                <w:div w:id="120921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86391">
      <w:bodyDiv w:val="1"/>
      <w:marLeft w:val="0"/>
      <w:marRight w:val="0"/>
      <w:marTop w:val="0"/>
      <w:marBottom w:val="0"/>
      <w:divBdr>
        <w:top w:val="none" w:sz="0" w:space="0" w:color="auto"/>
        <w:left w:val="none" w:sz="0" w:space="0" w:color="auto"/>
        <w:bottom w:val="none" w:sz="0" w:space="0" w:color="auto"/>
        <w:right w:val="none" w:sz="0" w:space="0" w:color="auto"/>
      </w:divBdr>
      <w:divsChild>
        <w:div w:id="1356231897">
          <w:marLeft w:val="288"/>
          <w:marRight w:val="0"/>
          <w:marTop w:val="106"/>
          <w:marBottom w:val="0"/>
          <w:divBdr>
            <w:top w:val="none" w:sz="0" w:space="0" w:color="auto"/>
            <w:left w:val="none" w:sz="0" w:space="0" w:color="auto"/>
            <w:bottom w:val="none" w:sz="0" w:space="0" w:color="auto"/>
            <w:right w:val="none" w:sz="0" w:space="0" w:color="auto"/>
          </w:divBdr>
        </w:div>
        <w:div w:id="185217696">
          <w:marLeft w:val="288"/>
          <w:marRight w:val="0"/>
          <w:marTop w:val="106"/>
          <w:marBottom w:val="0"/>
          <w:divBdr>
            <w:top w:val="none" w:sz="0" w:space="0" w:color="auto"/>
            <w:left w:val="none" w:sz="0" w:space="0" w:color="auto"/>
            <w:bottom w:val="none" w:sz="0" w:space="0" w:color="auto"/>
            <w:right w:val="none" w:sz="0" w:space="0" w:color="auto"/>
          </w:divBdr>
        </w:div>
        <w:div w:id="992028273">
          <w:marLeft w:val="720"/>
          <w:marRight w:val="0"/>
          <w:marTop w:val="106"/>
          <w:marBottom w:val="0"/>
          <w:divBdr>
            <w:top w:val="none" w:sz="0" w:space="0" w:color="auto"/>
            <w:left w:val="none" w:sz="0" w:space="0" w:color="auto"/>
            <w:bottom w:val="none" w:sz="0" w:space="0" w:color="auto"/>
            <w:right w:val="none" w:sz="0" w:space="0" w:color="auto"/>
          </w:divBdr>
        </w:div>
        <w:div w:id="667371609">
          <w:marLeft w:val="720"/>
          <w:marRight w:val="0"/>
          <w:marTop w:val="106"/>
          <w:marBottom w:val="0"/>
          <w:divBdr>
            <w:top w:val="none" w:sz="0" w:space="0" w:color="auto"/>
            <w:left w:val="none" w:sz="0" w:space="0" w:color="auto"/>
            <w:bottom w:val="none" w:sz="0" w:space="0" w:color="auto"/>
            <w:right w:val="none" w:sz="0" w:space="0" w:color="auto"/>
          </w:divBdr>
        </w:div>
        <w:div w:id="1275019522">
          <w:marLeft w:val="720"/>
          <w:marRight w:val="0"/>
          <w:marTop w:val="106"/>
          <w:marBottom w:val="0"/>
          <w:divBdr>
            <w:top w:val="none" w:sz="0" w:space="0" w:color="auto"/>
            <w:left w:val="none" w:sz="0" w:space="0" w:color="auto"/>
            <w:bottom w:val="none" w:sz="0" w:space="0" w:color="auto"/>
            <w:right w:val="none" w:sz="0" w:space="0" w:color="auto"/>
          </w:divBdr>
        </w:div>
        <w:div w:id="2105957581">
          <w:marLeft w:val="806"/>
          <w:marRight w:val="0"/>
          <w:marTop w:val="106"/>
          <w:marBottom w:val="0"/>
          <w:divBdr>
            <w:top w:val="none" w:sz="0" w:space="0" w:color="auto"/>
            <w:left w:val="none" w:sz="0" w:space="0" w:color="auto"/>
            <w:bottom w:val="none" w:sz="0" w:space="0" w:color="auto"/>
            <w:right w:val="none" w:sz="0" w:space="0" w:color="auto"/>
          </w:divBdr>
        </w:div>
        <w:div w:id="1167330131">
          <w:marLeft w:val="806"/>
          <w:marRight w:val="0"/>
          <w:marTop w:val="106"/>
          <w:marBottom w:val="0"/>
          <w:divBdr>
            <w:top w:val="none" w:sz="0" w:space="0" w:color="auto"/>
            <w:left w:val="none" w:sz="0" w:space="0" w:color="auto"/>
            <w:bottom w:val="none" w:sz="0" w:space="0" w:color="auto"/>
            <w:right w:val="none" w:sz="0" w:space="0" w:color="auto"/>
          </w:divBdr>
        </w:div>
      </w:divsChild>
    </w:div>
    <w:div w:id="1974365406">
      <w:bodyDiv w:val="1"/>
      <w:marLeft w:val="0"/>
      <w:marRight w:val="0"/>
      <w:marTop w:val="0"/>
      <w:marBottom w:val="0"/>
      <w:divBdr>
        <w:top w:val="none" w:sz="0" w:space="0" w:color="auto"/>
        <w:left w:val="none" w:sz="0" w:space="0" w:color="auto"/>
        <w:bottom w:val="none" w:sz="0" w:space="0" w:color="auto"/>
        <w:right w:val="none" w:sz="0" w:space="0" w:color="auto"/>
      </w:divBdr>
      <w:divsChild>
        <w:div w:id="2008359828">
          <w:marLeft w:val="0"/>
          <w:marRight w:val="0"/>
          <w:marTop w:val="0"/>
          <w:marBottom w:val="0"/>
          <w:divBdr>
            <w:top w:val="none" w:sz="0" w:space="0" w:color="auto"/>
            <w:left w:val="none" w:sz="0" w:space="0" w:color="auto"/>
            <w:bottom w:val="none" w:sz="0" w:space="0" w:color="auto"/>
            <w:right w:val="none" w:sz="0" w:space="0" w:color="auto"/>
          </w:divBdr>
          <w:divsChild>
            <w:div w:id="826170908">
              <w:marLeft w:val="0"/>
              <w:marRight w:val="0"/>
              <w:marTop w:val="0"/>
              <w:marBottom w:val="0"/>
              <w:divBdr>
                <w:top w:val="none" w:sz="0" w:space="0" w:color="auto"/>
                <w:left w:val="none" w:sz="0" w:space="0" w:color="auto"/>
                <w:bottom w:val="none" w:sz="0" w:space="0" w:color="auto"/>
                <w:right w:val="none" w:sz="0" w:space="0" w:color="auto"/>
              </w:divBdr>
              <w:divsChild>
                <w:div w:id="15365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20800">
      <w:bodyDiv w:val="1"/>
      <w:marLeft w:val="0"/>
      <w:marRight w:val="0"/>
      <w:marTop w:val="0"/>
      <w:marBottom w:val="0"/>
      <w:divBdr>
        <w:top w:val="none" w:sz="0" w:space="0" w:color="auto"/>
        <w:left w:val="none" w:sz="0" w:space="0" w:color="auto"/>
        <w:bottom w:val="none" w:sz="0" w:space="0" w:color="auto"/>
        <w:right w:val="none" w:sz="0" w:space="0" w:color="auto"/>
      </w:divBdr>
      <w:divsChild>
        <w:div w:id="688142850">
          <w:marLeft w:val="0"/>
          <w:marRight w:val="0"/>
          <w:marTop w:val="0"/>
          <w:marBottom w:val="0"/>
          <w:divBdr>
            <w:top w:val="none" w:sz="0" w:space="0" w:color="auto"/>
            <w:left w:val="none" w:sz="0" w:space="0" w:color="auto"/>
            <w:bottom w:val="none" w:sz="0" w:space="0" w:color="auto"/>
            <w:right w:val="none" w:sz="0" w:space="0" w:color="auto"/>
          </w:divBdr>
          <w:divsChild>
            <w:div w:id="865171575">
              <w:marLeft w:val="0"/>
              <w:marRight w:val="0"/>
              <w:marTop w:val="0"/>
              <w:marBottom w:val="0"/>
              <w:divBdr>
                <w:top w:val="none" w:sz="0" w:space="0" w:color="auto"/>
                <w:left w:val="none" w:sz="0" w:space="0" w:color="auto"/>
                <w:bottom w:val="none" w:sz="0" w:space="0" w:color="auto"/>
                <w:right w:val="none" w:sz="0" w:space="0" w:color="auto"/>
              </w:divBdr>
              <w:divsChild>
                <w:div w:id="496462790">
                  <w:marLeft w:val="0"/>
                  <w:marRight w:val="0"/>
                  <w:marTop w:val="0"/>
                  <w:marBottom w:val="0"/>
                  <w:divBdr>
                    <w:top w:val="none" w:sz="0" w:space="0" w:color="auto"/>
                    <w:left w:val="none" w:sz="0" w:space="0" w:color="auto"/>
                    <w:bottom w:val="none" w:sz="0" w:space="0" w:color="auto"/>
                    <w:right w:val="none" w:sz="0" w:space="0" w:color="auto"/>
                  </w:divBdr>
                  <w:divsChild>
                    <w:div w:id="117553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130206">
      <w:bodyDiv w:val="1"/>
      <w:marLeft w:val="0"/>
      <w:marRight w:val="0"/>
      <w:marTop w:val="0"/>
      <w:marBottom w:val="0"/>
      <w:divBdr>
        <w:top w:val="none" w:sz="0" w:space="0" w:color="auto"/>
        <w:left w:val="none" w:sz="0" w:space="0" w:color="auto"/>
        <w:bottom w:val="none" w:sz="0" w:space="0" w:color="auto"/>
        <w:right w:val="none" w:sz="0" w:space="0" w:color="auto"/>
      </w:divBdr>
      <w:divsChild>
        <w:div w:id="915239136">
          <w:marLeft w:val="0"/>
          <w:marRight w:val="0"/>
          <w:marTop w:val="0"/>
          <w:marBottom w:val="0"/>
          <w:divBdr>
            <w:top w:val="none" w:sz="0" w:space="0" w:color="auto"/>
            <w:left w:val="none" w:sz="0" w:space="0" w:color="auto"/>
            <w:bottom w:val="none" w:sz="0" w:space="0" w:color="auto"/>
            <w:right w:val="none" w:sz="0" w:space="0" w:color="auto"/>
          </w:divBdr>
          <w:divsChild>
            <w:div w:id="354186583">
              <w:marLeft w:val="0"/>
              <w:marRight w:val="0"/>
              <w:marTop w:val="0"/>
              <w:marBottom w:val="0"/>
              <w:divBdr>
                <w:top w:val="none" w:sz="0" w:space="0" w:color="auto"/>
                <w:left w:val="none" w:sz="0" w:space="0" w:color="auto"/>
                <w:bottom w:val="none" w:sz="0" w:space="0" w:color="auto"/>
                <w:right w:val="none" w:sz="0" w:space="0" w:color="auto"/>
              </w:divBdr>
              <w:divsChild>
                <w:div w:id="980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292802">
      <w:bodyDiv w:val="1"/>
      <w:marLeft w:val="0"/>
      <w:marRight w:val="0"/>
      <w:marTop w:val="0"/>
      <w:marBottom w:val="0"/>
      <w:divBdr>
        <w:top w:val="none" w:sz="0" w:space="0" w:color="auto"/>
        <w:left w:val="none" w:sz="0" w:space="0" w:color="auto"/>
        <w:bottom w:val="none" w:sz="0" w:space="0" w:color="auto"/>
        <w:right w:val="none" w:sz="0" w:space="0" w:color="auto"/>
      </w:divBdr>
      <w:divsChild>
        <w:div w:id="1022589016">
          <w:marLeft w:val="0"/>
          <w:marRight w:val="0"/>
          <w:marTop w:val="0"/>
          <w:marBottom w:val="0"/>
          <w:divBdr>
            <w:top w:val="none" w:sz="0" w:space="0" w:color="auto"/>
            <w:left w:val="none" w:sz="0" w:space="0" w:color="auto"/>
            <w:bottom w:val="none" w:sz="0" w:space="0" w:color="auto"/>
            <w:right w:val="none" w:sz="0" w:space="0" w:color="auto"/>
          </w:divBdr>
          <w:divsChild>
            <w:div w:id="1449932325">
              <w:marLeft w:val="0"/>
              <w:marRight w:val="0"/>
              <w:marTop w:val="0"/>
              <w:marBottom w:val="0"/>
              <w:divBdr>
                <w:top w:val="none" w:sz="0" w:space="0" w:color="auto"/>
                <w:left w:val="none" w:sz="0" w:space="0" w:color="auto"/>
                <w:bottom w:val="none" w:sz="0" w:space="0" w:color="auto"/>
                <w:right w:val="none" w:sz="0" w:space="0" w:color="auto"/>
              </w:divBdr>
              <w:divsChild>
                <w:div w:id="294144658">
                  <w:marLeft w:val="0"/>
                  <w:marRight w:val="0"/>
                  <w:marTop w:val="0"/>
                  <w:marBottom w:val="0"/>
                  <w:divBdr>
                    <w:top w:val="none" w:sz="0" w:space="0" w:color="auto"/>
                    <w:left w:val="none" w:sz="0" w:space="0" w:color="auto"/>
                    <w:bottom w:val="none" w:sz="0" w:space="0" w:color="auto"/>
                    <w:right w:val="none" w:sz="0" w:space="0" w:color="auto"/>
                  </w:divBdr>
                  <w:divsChild>
                    <w:div w:id="138224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854918">
      <w:bodyDiv w:val="1"/>
      <w:marLeft w:val="0"/>
      <w:marRight w:val="0"/>
      <w:marTop w:val="0"/>
      <w:marBottom w:val="0"/>
      <w:divBdr>
        <w:top w:val="none" w:sz="0" w:space="0" w:color="auto"/>
        <w:left w:val="none" w:sz="0" w:space="0" w:color="auto"/>
        <w:bottom w:val="none" w:sz="0" w:space="0" w:color="auto"/>
        <w:right w:val="none" w:sz="0" w:space="0" w:color="auto"/>
      </w:divBdr>
      <w:divsChild>
        <w:div w:id="1174799780">
          <w:marLeft w:val="288"/>
          <w:marRight w:val="0"/>
          <w:marTop w:val="106"/>
          <w:marBottom w:val="0"/>
          <w:divBdr>
            <w:top w:val="none" w:sz="0" w:space="0" w:color="auto"/>
            <w:left w:val="none" w:sz="0" w:space="0" w:color="auto"/>
            <w:bottom w:val="none" w:sz="0" w:space="0" w:color="auto"/>
            <w:right w:val="none" w:sz="0" w:space="0" w:color="auto"/>
          </w:divBdr>
        </w:div>
        <w:div w:id="571815596">
          <w:marLeft w:val="288"/>
          <w:marRight w:val="0"/>
          <w:marTop w:val="106"/>
          <w:marBottom w:val="0"/>
          <w:divBdr>
            <w:top w:val="none" w:sz="0" w:space="0" w:color="auto"/>
            <w:left w:val="none" w:sz="0" w:space="0" w:color="auto"/>
            <w:bottom w:val="none" w:sz="0" w:space="0" w:color="auto"/>
            <w:right w:val="none" w:sz="0" w:space="0" w:color="auto"/>
          </w:divBdr>
        </w:div>
        <w:div w:id="1961061193">
          <w:marLeft w:val="720"/>
          <w:marRight w:val="0"/>
          <w:marTop w:val="106"/>
          <w:marBottom w:val="0"/>
          <w:divBdr>
            <w:top w:val="none" w:sz="0" w:space="0" w:color="auto"/>
            <w:left w:val="none" w:sz="0" w:space="0" w:color="auto"/>
            <w:bottom w:val="none" w:sz="0" w:space="0" w:color="auto"/>
            <w:right w:val="none" w:sz="0" w:space="0" w:color="auto"/>
          </w:divBdr>
        </w:div>
        <w:div w:id="747969090">
          <w:marLeft w:val="720"/>
          <w:marRight w:val="0"/>
          <w:marTop w:val="106"/>
          <w:marBottom w:val="0"/>
          <w:divBdr>
            <w:top w:val="none" w:sz="0" w:space="0" w:color="auto"/>
            <w:left w:val="none" w:sz="0" w:space="0" w:color="auto"/>
            <w:bottom w:val="none" w:sz="0" w:space="0" w:color="auto"/>
            <w:right w:val="none" w:sz="0" w:space="0" w:color="auto"/>
          </w:divBdr>
        </w:div>
        <w:div w:id="1105345732">
          <w:marLeft w:val="720"/>
          <w:marRight w:val="0"/>
          <w:marTop w:val="106"/>
          <w:marBottom w:val="0"/>
          <w:divBdr>
            <w:top w:val="none" w:sz="0" w:space="0" w:color="auto"/>
            <w:left w:val="none" w:sz="0" w:space="0" w:color="auto"/>
            <w:bottom w:val="none" w:sz="0" w:space="0" w:color="auto"/>
            <w:right w:val="none" w:sz="0" w:space="0" w:color="auto"/>
          </w:divBdr>
        </w:div>
        <w:div w:id="464130281">
          <w:marLeft w:val="806"/>
          <w:marRight w:val="0"/>
          <w:marTop w:val="106"/>
          <w:marBottom w:val="0"/>
          <w:divBdr>
            <w:top w:val="none" w:sz="0" w:space="0" w:color="auto"/>
            <w:left w:val="none" w:sz="0" w:space="0" w:color="auto"/>
            <w:bottom w:val="none" w:sz="0" w:space="0" w:color="auto"/>
            <w:right w:val="none" w:sz="0" w:space="0" w:color="auto"/>
          </w:divBdr>
        </w:div>
        <w:div w:id="1791364157">
          <w:marLeft w:val="806"/>
          <w:marRight w:val="0"/>
          <w:marTop w:val="10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1815-6882" TargetMode="Externa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https://orcid.org/0000-0002-0943-4433"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doi.org/10.7910/DVN/YGVORS" TargetMode="External"/><Relationship Id="rId14" Type="http://schemas.openxmlformats.org/officeDocument/2006/relationships/hyperlink" Target="https://doi.org/10.1007/s11615-022-0041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43</Pages>
  <Words>10322</Words>
  <Characters>58842</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Vasilopoulou, Sofia</dc:creator>
  <cp:keywords/>
  <dc:description/>
  <cp:lastModifiedBy>Sofia Vasilopoulou</cp:lastModifiedBy>
  <cp:revision>10</cp:revision>
  <dcterms:created xsi:type="dcterms:W3CDTF">2023-05-09T12:11:00Z</dcterms:created>
  <dcterms:modified xsi:type="dcterms:W3CDTF">2023-06-01T15:25:00Z</dcterms:modified>
  <cp:category/>
</cp:coreProperties>
</file>