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EB24" w14:textId="77777777" w:rsidR="001B747D" w:rsidRDefault="001B747D" w:rsidP="007232AE">
      <w:pPr>
        <w:spacing w:after="0" w:line="360" w:lineRule="auto"/>
        <w:jc w:val="center"/>
        <w:rPr>
          <w:rFonts w:ascii="Times New Roman" w:eastAsia="Times New Roman" w:hAnsi="Times New Roman" w:cs="Times New Roman"/>
          <w:b/>
          <w:kern w:val="28"/>
          <w:sz w:val="24"/>
          <w:szCs w:val="24"/>
          <w:lang w:eastAsia="en-IE"/>
        </w:rPr>
      </w:pPr>
      <w:r w:rsidRPr="007B19A9">
        <w:rPr>
          <w:rFonts w:ascii="Times New Roman" w:eastAsia="Times New Roman" w:hAnsi="Times New Roman" w:cs="Times New Roman"/>
          <w:b/>
          <w:kern w:val="28"/>
          <w:sz w:val="24"/>
          <w:szCs w:val="24"/>
          <w:lang w:eastAsia="en-IE"/>
        </w:rPr>
        <w:t xml:space="preserve">Just who wanted Dominion Home Rule?: ‘moderates’ </w:t>
      </w:r>
      <w:r>
        <w:rPr>
          <w:rFonts w:ascii="Times New Roman" w:eastAsia="Times New Roman" w:hAnsi="Times New Roman" w:cs="Times New Roman"/>
          <w:b/>
          <w:kern w:val="28"/>
          <w:sz w:val="24"/>
          <w:szCs w:val="24"/>
          <w:lang w:eastAsia="en-IE"/>
        </w:rPr>
        <w:t>and the Irish War of Independence</w:t>
      </w:r>
    </w:p>
    <w:p w14:paraId="2B61977A" w14:textId="77777777" w:rsidR="001B747D" w:rsidRDefault="001B747D" w:rsidP="007232AE">
      <w:pPr>
        <w:spacing w:after="0" w:line="360" w:lineRule="auto"/>
        <w:ind w:firstLine="720"/>
        <w:jc w:val="center"/>
        <w:rPr>
          <w:rFonts w:ascii="Times New Roman" w:eastAsia="Times New Roman" w:hAnsi="Times New Roman" w:cs="Times New Roman"/>
          <w:b/>
          <w:kern w:val="28"/>
          <w:sz w:val="24"/>
          <w:szCs w:val="24"/>
          <w:lang w:eastAsia="en-IE"/>
        </w:rPr>
      </w:pPr>
    </w:p>
    <w:p w14:paraId="59FCDD2A" w14:textId="77777777" w:rsidR="001B747D" w:rsidRPr="00B90FBA" w:rsidRDefault="001B747D" w:rsidP="007232AE">
      <w:pPr>
        <w:spacing w:after="0" w:line="360" w:lineRule="auto"/>
        <w:jc w:val="center"/>
        <w:rPr>
          <w:rFonts w:ascii="Times New Roman" w:eastAsia="Times New Roman" w:hAnsi="Times New Roman" w:cs="Times New Roman"/>
          <w:b/>
          <w:smallCaps/>
          <w:kern w:val="28"/>
          <w:sz w:val="24"/>
          <w:szCs w:val="24"/>
          <w:lang w:eastAsia="en-IE"/>
        </w:rPr>
      </w:pPr>
      <w:r w:rsidRPr="00B90FBA">
        <w:rPr>
          <w:rFonts w:ascii="Times New Roman" w:eastAsia="Times New Roman" w:hAnsi="Times New Roman" w:cs="Times New Roman"/>
          <w:b/>
          <w:smallCaps/>
          <w:kern w:val="28"/>
          <w:sz w:val="24"/>
          <w:szCs w:val="24"/>
          <w:lang w:eastAsia="en-IE"/>
        </w:rPr>
        <w:t>Conor Morrissey</w:t>
      </w:r>
      <w:r w:rsidRPr="00B90FBA">
        <w:rPr>
          <w:rStyle w:val="FootnoteReference"/>
          <w:rFonts w:ascii="Times New Roman" w:eastAsia="Times New Roman" w:hAnsi="Times New Roman" w:cs="Times New Roman"/>
          <w:b/>
          <w:smallCaps/>
          <w:kern w:val="28"/>
          <w:sz w:val="24"/>
          <w:szCs w:val="24"/>
          <w:lang w:eastAsia="en-IE"/>
        </w:rPr>
        <w:footnoteReference w:customMarkFollows="1" w:id="1"/>
        <w:sym w:font="Symbol" w:char="F02A"/>
      </w:r>
    </w:p>
    <w:p w14:paraId="54BD76CA" w14:textId="6DBD6ED4" w:rsidR="001B747D" w:rsidRPr="00B90FBA" w:rsidRDefault="001B747D" w:rsidP="007232AE">
      <w:pPr>
        <w:spacing w:after="0" w:line="360" w:lineRule="auto"/>
        <w:jc w:val="center"/>
        <w:rPr>
          <w:rFonts w:ascii="Times New Roman" w:eastAsia="Times New Roman" w:hAnsi="Times New Roman" w:cs="Times New Roman"/>
          <w:i/>
          <w:kern w:val="28"/>
          <w:sz w:val="24"/>
          <w:szCs w:val="24"/>
          <w:lang w:eastAsia="en-IE"/>
        </w:rPr>
      </w:pPr>
      <w:r w:rsidRPr="00B90FBA">
        <w:rPr>
          <w:rFonts w:ascii="Times New Roman" w:eastAsia="Times New Roman" w:hAnsi="Times New Roman" w:cs="Times New Roman"/>
          <w:i/>
          <w:kern w:val="28"/>
          <w:sz w:val="24"/>
          <w:szCs w:val="24"/>
          <w:lang w:eastAsia="en-IE"/>
        </w:rPr>
        <w:t>King’s College London</w:t>
      </w:r>
    </w:p>
    <w:p w14:paraId="0382F7C2" w14:textId="77777777" w:rsidR="001B747D" w:rsidRDefault="001B747D" w:rsidP="007232AE">
      <w:pPr>
        <w:spacing w:after="0" w:line="360" w:lineRule="auto"/>
        <w:jc w:val="center"/>
        <w:rPr>
          <w:rFonts w:ascii="Times New Roman" w:hAnsi="Times New Roman" w:cs="Times New Roman"/>
          <w:smallCaps/>
          <w:sz w:val="24"/>
          <w:szCs w:val="24"/>
        </w:rPr>
      </w:pPr>
    </w:p>
    <w:p w14:paraId="52676ED2" w14:textId="77777777" w:rsidR="001B747D" w:rsidRPr="00B90FBA" w:rsidRDefault="001B747D" w:rsidP="007232AE">
      <w:pPr>
        <w:spacing w:after="0" w:line="360" w:lineRule="auto"/>
        <w:jc w:val="center"/>
        <w:rPr>
          <w:rFonts w:ascii="Times New Roman" w:eastAsia="Times New Roman" w:hAnsi="Times New Roman" w:cs="Times New Roman"/>
          <w:i/>
          <w:kern w:val="28"/>
          <w:sz w:val="24"/>
          <w:szCs w:val="24"/>
          <w:lang w:eastAsia="en-IE"/>
        </w:rPr>
      </w:pPr>
      <w:r w:rsidRPr="00B90FBA">
        <w:rPr>
          <w:rFonts w:ascii="Times New Roman" w:hAnsi="Times New Roman" w:cs="Times New Roman"/>
          <w:smallCaps/>
          <w:sz w:val="24"/>
          <w:szCs w:val="24"/>
        </w:rPr>
        <w:t>Abstract:</w:t>
      </w:r>
      <w:r>
        <w:rPr>
          <w:rFonts w:ascii="Times New Roman" w:hAnsi="Times New Roman" w:cs="Times New Roman"/>
          <w:smallCaps/>
          <w:sz w:val="24"/>
          <w:szCs w:val="24"/>
        </w:rPr>
        <w:t xml:space="preserve"> </w:t>
      </w:r>
      <w:r w:rsidRPr="00B90FBA">
        <w:rPr>
          <w:rFonts w:ascii="Times New Roman" w:eastAsia="Times New Roman" w:hAnsi="Times New Roman" w:cs="Times New Roman"/>
          <w:i/>
          <w:kern w:val="28"/>
          <w:sz w:val="24"/>
          <w:szCs w:val="24"/>
          <w:lang w:eastAsia="en-IE"/>
        </w:rPr>
        <w:t xml:space="preserve">This article discusses political ‘moderates’, those individuals who reacted to the turmoil of the War of Independence by coalescing around a vision of a dominion of Ireland within the British Empire, with appropriate safeguards for minorities. </w:t>
      </w:r>
      <w:r w:rsidRPr="00CF5200">
        <w:rPr>
          <w:rFonts w:ascii="Times New Roman" w:hAnsi="Times New Roman" w:cs="Times New Roman"/>
          <w:i/>
          <w:sz w:val="24"/>
          <w:szCs w:val="24"/>
        </w:rPr>
        <w:t xml:space="preserve">It will </w:t>
      </w:r>
      <w:r>
        <w:rPr>
          <w:rFonts w:ascii="Times New Roman" w:hAnsi="Times New Roman" w:cs="Times New Roman"/>
          <w:i/>
          <w:sz w:val="24"/>
          <w:szCs w:val="24"/>
        </w:rPr>
        <w:t>consider</w:t>
      </w:r>
      <w:r w:rsidRPr="00B90FBA">
        <w:rPr>
          <w:rFonts w:ascii="Times New Roman" w:hAnsi="Times New Roman" w:cs="Times New Roman"/>
          <w:i/>
          <w:sz w:val="24"/>
          <w:szCs w:val="24"/>
        </w:rPr>
        <w:t xml:space="preserve"> how reformist gentry, </w:t>
      </w:r>
      <w:r>
        <w:rPr>
          <w:rFonts w:ascii="Times New Roman" w:hAnsi="Times New Roman" w:cs="Times New Roman"/>
          <w:i/>
          <w:sz w:val="24"/>
          <w:szCs w:val="24"/>
        </w:rPr>
        <w:t>parliamentary</w:t>
      </w:r>
      <w:r w:rsidRPr="00B90FBA">
        <w:rPr>
          <w:rFonts w:ascii="Times New Roman" w:hAnsi="Times New Roman" w:cs="Times New Roman"/>
          <w:i/>
          <w:sz w:val="24"/>
          <w:szCs w:val="24"/>
        </w:rPr>
        <w:t xml:space="preserve"> and former unionist elements came together to bring about their preferred settlement. </w:t>
      </w:r>
      <w:r>
        <w:rPr>
          <w:rFonts w:ascii="Times New Roman" w:hAnsi="Times New Roman" w:cs="Times New Roman"/>
          <w:i/>
          <w:sz w:val="24"/>
          <w:szCs w:val="24"/>
        </w:rPr>
        <w:t>Through statistical examination of</w:t>
      </w:r>
      <w:r w:rsidRPr="00B90FBA">
        <w:rPr>
          <w:rFonts w:ascii="Times New Roman" w:hAnsi="Times New Roman" w:cs="Times New Roman"/>
          <w:i/>
          <w:sz w:val="24"/>
          <w:szCs w:val="24"/>
        </w:rPr>
        <w:t xml:space="preserve"> the membership of the Irish Dominion League, the leading moderate movement, </w:t>
      </w:r>
      <w:r>
        <w:rPr>
          <w:rFonts w:ascii="Times New Roman" w:hAnsi="Times New Roman" w:cs="Times New Roman"/>
          <w:i/>
          <w:sz w:val="24"/>
          <w:szCs w:val="24"/>
        </w:rPr>
        <w:t>it will</w:t>
      </w:r>
      <w:r w:rsidRPr="00B90FBA">
        <w:rPr>
          <w:rFonts w:ascii="Times New Roman" w:hAnsi="Times New Roman" w:cs="Times New Roman"/>
          <w:i/>
          <w:sz w:val="24"/>
          <w:szCs w:val="24"/>
        </w:rPr>
        <w:t xml:space="preserve"> establish the </w:t>
      </w:r>
      <w:r>
        <w:rPr>
          <w:rFonts w:ascii="Times New Roman" w:hAnsi="Times New Roman" w:cs="Times New Roman"/>
          <w:i/>
          <w:sz w:val="24"/>
          <w:szCs w:val="24"/>
        </w:rPr>
        <w:t>political backgrounds, religion</w:t>
      </w:r>
      <w:r w:rsidRPr="00B90FBA">
        <w:rPr>
          <w:rFonts w:ascii="Times New Roman" w:hAnsi="Times New Roman" w:cs="Times New Roman"/>
          <w:i/>
          <w:sz w:val="24"/>
          <w:szCs w:val="24"/>
        </w:rPr>
        <w:t xml:space="preserve"> and social class of supporters, and demonstrate the various means by which moderates worked as intermediaries between British forces and the rebels.</w:t>
      </w:r>
      <w:r w:rsidRPr="00B90FBA">
        <w:rPr>
          <w:rFonts w:ascii="Times New Roman" w:eastAsia="Times New Roman" w:hAnsi="Times New Roman" w:cs="Times New Roman"/>
          <w:i/>
          <w:kern w:val="28"/>
          <w:sz w:val="24"/>
          <w:szCs w:val="24"/>
          <w:lang w:eastAsia="en-IE"/>
        </w:rPr>
        <w:t xml:space="preserve"> </w:t>
      </w:r>
      <w:r>
        <w:rPr>
          <w:rFonts w:ascii="Times New Roman" w:hAnsi="Times New Roman" w:cs="Times New Roman"/>
          <w:i/>
          <w:sz w:val="24"/>
          <w:szCs w:val="24"/>
        </w:rPr>
        <w:t>S</w:t>
      </w:r>
      <w:r w:rsidRPr="00B90FBA">
        <w:rPr>
          <w:rFonts w:ascii="Times New Roman" w:hAnsi="Times New Roman" w:cs="Times New Roman"/>
          <w:i/>
          <w:sz w:val="24"/>
          <w:szCs w:val="24"/>
        </w:rPr>
        <w:t xml:space="preserve">outhern unionists </w:t>
      </w:r>
      <w:r>
        <w:rPr>
          <w:rFonts w:ascii="Times New Roman" w:hAnsi="Times New Roman" w:cs="Times New Roman"/>
          <w:i/>
          <w:sz w:val="24"/>
          <w:szCs w:val="24"/>
        </w:rPr>
        <w:t xml:space="preserve">made efforts </w:t>
      </w:r>
      <w:r w:rsidRPr="00B90FBA">
        <w:rPr>
          <w:rFonts w:ascii="Times New Roman" w:hAnsi="Times New Roman" w:cs="Times New Roman"/>
          <w:i/>
          <w:sz w:val="24"/>
          <w:szCs w:val="24"/>
        </w:rPr>
        <w:t>to avoid working with moderates and</w:t>
      </w:r>
      <w:r>
        <w:rPr>
          <w:rFonts w:ascii="Times New Roman" w:hAnsi="Times New Roman" w:cs="Times New Roman"/>
          <w:i/>
          <w:sz w:val="24"/>
          <w:szCs w:val="24"/>
        </w:rPr>
        <w:t xml:space="preserve"> to</w:t>
      </w:r>
      <w:r w:rsidRPr="00B90FBA">
        <w:rPr>
          <w:rFonts w:ascii="Times New Roman" w:hAnsi="Times New Roman" w:cs="Times New Roman"/>
          <w:i/>
          <w:sz w:val="24"/>
          <w:szCs w:val="24"/>
        </w:rPr>
        <w:t xml:space="preserve"> retain a distinct political identity, and, ultimately, divisions within the movement, and the changing structure of Irish politics, inhibited the creation of an effective moderate party.</w:t>
      </w:r>
    </w:p>
    <w:p w14:paraId="6513419B" w14:textId="77777777" w:rsidR="001B747D" w:rsidRDefault="001B747D" w:rsidP="007232AE">
      <w:pPr>
        <w:spacing w:after="0" w:line="360" w:lineRule="auto"/>
        <w:jc w:val="both"/>
        <w:rPr>
          <w:rFonts w:ascii="Times New Roman" w:hAnsi="Times New Roman" w:cs="Times New Roman"/>
          <w:b/>
          <w:sz w:val="24"/>
          <w:szCs w:val="24"/>
        </w:rPr>
      </w:pPr>
    </w:p>
    <w:p w14:paraId="2EC8D6EA" w14:textId="77777777" w:rsidR="001B747D" w:rsidRPr="00B90FBA" w:rsidRDefault="001B747D" w:rsidP="007232AE">
      <w:pPr>
        <w:spacing w:after="0" w:line="360" w:lineRule="auto"/>
        <w:jc w:val="both"/>
        <w:rPr>
          <w:rFonts w:ascii="Times New Roman" w:hAnsi="Times New Roman" w:cs="Times New Roman"/>
          <w:b/>
          <w:sz w:val="24"/>
          <w:szCs w:val="24"/>
        </w:rPr>
      </w:pPr>
      <w:r w:rsidRPr="00B90FBA">
        <w:rPr>
          <w:rFonts w:ascii="Times New Roman" w:hAnsi="Times New Roman" w:cs="Times New Roman"/>
          <w:b/>
          <w:sz w:val="24"/>
          <w:szCs w:val="24"/>
        </w:rPr>
        <w:t>_________________________________________________________</w:t>
      </w:r>
    </w:p>
    <w:p w14:paraId="69E98F4B" w14:textId="77777777" w:rsidR="001B747D" w:rsidRPr="002209CE" w:rsidRDefault="001B747D" w:rsidP="007232AE">
      <w:pPr>
        <w:spacing w:after="0" w:line="360" w:lineRule="auto"/>
        <w:jc w:val="both"/>
        <w:rPr>
          <w:rFonts w:ascii="Times New Roman" w:hAnsi="Times New Roman" w:cs="Times New Roman"/>
          <w:b/>
          <w:sz w:val="24"/>
          <w:szCs w:val="24"/>
        </w:rPr>
      </w:pPr>
    </w:p>
    <w:p w14:paraId="402B2A9B" w14:textId="1751B58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Horace Plunkett called them the ‘moderate men of Ireland’, or the ‘moderate section’;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David Lloyd George referred to ‘the moderate opinion of Ireland’;</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Stephen Gwynn to ‘Moderate thinkers’, or the ‘middle public’;</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Henry Harrison, ‘moderates’, and ‘middle elements’;</w:t>
      </w:r>
      <w:r>
        <w:rPr>
          <w:rStyle w:val="FootnoteReference"/>
          <w:rFonts w:ascii="Times New Roman" w:hAnsi="Times New Roman" w:cs="Times New Roman"/>
          <w:sz w:val="24"/>
          <w:szCs w:val="24"/>
        </w:rPr>
        <w:footnoteReference w:id="5"/>
      </w:r>
      <w:r w:rsidRPr="0003293F">
        <w:rPr>
          <w:rFonts w:ascii="Times New Roman" w:hAnsi="Times New Roman" w:cs="Times New Roman"/>
          <w:sz w:val="24"/>
          <w:szCs w:val="24"/>
        </w:rPr>
        <w:t xml:space="preserve"> </w:t>
      </w:r>
      <w:r>
        <w:rPr>
          <w:rFonts w:ascii="Times New Roman" w:hAnsi="Times New Roman" w:cs="Times New Roman"/>
          <w:sz w:val="24"/>
          <w:szCs w:val="24"/>
        </w:rPr>
        <w:t>Lord Monteagle, ‘moderate men’;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Sir Stanley Harrington, ‘moderate business and professional men in Ireland’;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senior members of the British administration, ‘Moderate opinion’, ‘The </w:t>
      </w:r>
      <w:r>
        <w:rPr>
          <w:rFonts w:ascii="Times New Roman" w:hAnsi="Times New Roman" w:cs="Times New Roman"/>
          <w:sz w:val="24"/>
          <w:szCs w:val="24"/>
        </w:rPr>
        <w:lastRenderedPageBreak/>
        <w:t>Middlemen’, or the ‘Middle Party’;</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others referred to</w:t>
      </w:r>
      <w:r w:rsidRPr="0003293F">
        <w:rPr>
          <w:rFonts w:ascii="Times New Roman" w:hAnsi="Times New Roman" w:cs="Times New Roman"/>
          <w:sz w:val="24"/>
          <w:szCs w:val="24"/>
        </w:rPr>
        <w:t xml:space="preserve"> ‘moderate political thought in Ireland’</w:t>
      </w:r>
      <w:r>
        <w:rPr>
          <w:rFonts w:ascii="Times New Roman" w:hAnsi="Times New Roman" w:cs="Times New Roman"/>
          <w:sz w:val="24"/>
          <w:szCs w:val="24"/>
        </w:rPr>
        <w:t>,</w:t>
      </w:r>
      <w:r w:rsidRPr="0003293F">
        <w:rPr>
          <w:rFonts w:ascii="Times New Roman" w:hAnsi="Times New Roman" w:cs="Times New Roman"/>
          <w:sz w:val="24"/>
          <w:szCs w:val="24"/>
        </w:rPr>
        <w:t xml:space="preserve"> ‘middle opinion in Ireland’</w:t>
      </w:r>
      <w:r>
        <w:rPr>
          <w:rFonts w:ascii="Times New Roman" w:hAnsi="Times New Roman" w:cs="Times New Roman"/>
          <w:sz w:val="24"/>
          <w:szCs w:val="24"/>
        </w:rPr>
        <w:t>,</w:t>
      </w:r>
      <w:r w:rsidRPr="0003293F">
        <w:rPr>
          <w:rFonts w:ascii="Times New Roman" w:hAnsi="Times New Roman" w:cs="Times New Roman"/>
          <w:sz w:val="24"/>
          <w:szCs w:val="24"/>
        </w:rPr>
        <w:t xml:space="preserve"> the ‘party of moderation’</w:t>
      </w:r>
      <w:r>
        <w:rPr>
          <w:rFonts w:ascii="Times New Roman" w:hAnsi="Times New Roman" w:cs="Times New Roman"/>
          <w:sz w:val="24"/>
          <w:szCs w:val="24"/>
        </w:rPr>
        <w:t>,</w:t>
      </w:r>
      <w:r w:rsidRPr="0003293F">
        <w:rPr>
          <w:rFonts w:ascii="Times New Roman" w:hAnsi="Times New Roman" w:cs="Times New Roman"/>
          <w:sz w:val="24"/>
          <w:szCs w:val="24"/>
        </w:rPr>
        <w:t xml:space="preserve"> ‘moderate men’</w:t>
      </w:r>
      <w:r>
        <w:rPr>
          <w:rFonts w:ascii="Times New Roman" w:hAnsi="Times New Roman" w:cs="Times New Roman"/>
          <w:sz w:val="24"/>
          <w:szCs w:val="24"/>
        </w:rPr>
        <w:t>, or, simply,</w:t>
      </w:r>
      <w:r w:rsidRPr="0003293F">
        <w:rPr>
          <w:rFonts w:ascii="Times New Roman" w:hAnsi="Times New Roman" w:cs="Times New Roman"/>
          <w:sz w:val="24"/>
          <w:szCs w:val="24"/>
        </w:rPr>
        <w:t xml:space="preserve"> ‘we poor moderates’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We have grown accustomed to viewing the politics of the Irish War of Independence as a binary: Irish nationalists versus the British state, or </w:t>
      </w:r>
      <w:r w:rsidR="008B6334">
        <w:rPr>
          <w:rFonts w:ascii="Times New Roman" w:hAnsi="Times New Roman" w:cs="Times New Roman"/>
          <w:sz w:val="24"/>
          <w:szCs w:val="24"/>
        </w:rPr>
        <w:t>sometimes</w:t>
      </w:r>
      <w:r>
        <w:rPr>
          <w:rFonts w:ascii="Times New Roman" w:hAnsi="Times New Roman" w:cs="Times New Roman"/>
          <w:sz w:val="24"/>
          <w:szCs w:val="24"/>
        </w:rPr>
        <w:t xml:space="preserve">, a three-way dispute, with the incorporation of Ulster unionists within the narrative. This article will assess another dimension of politics during this era – the moderates, a group which resulted from the fusion of disparate networks and ideologies to create a new movement, which sought an all-Ireland dominion home rule settlement within the Empire.  </w:t>
      </w:r>
    </w:p>
    <w:p w14:paraId="530E4789" w14:textId="77777777"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moderate politics has been neglected in most accounts of the Irish revolution, this work is indebted to scholars who have highlighted the afterlife of constitutional nationalist politics after 1918. </w:t>
      </w:r>
      <w:proofErr w:type="spellStart"/>
      <w:r>
        <w:rPr>
          <w:rFonts w:ascii="Times New Roman" w:hAnsi="Times New Roman" w:cs="Times New Roman"/>
          <w:sz w:val="24"/>
          <w:szCs w:val="24"/>
        </w:rPr>
        <w:t>Senia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Paseta</w:t>
      </w:r>
      <w:proofErr w:type="spellEnd"/>
      <w:r>
        <w:rPr>
          <w:rFonts w:ascii="Times New Roman" w:hAnsi="Times New Roman" w:cs="Times New Roman"/>
          <w:sz w:val="24"/>
          <w:szCs w:val="24"/>
        </w:rPr>
        <w:t xml:space="preserve"> has described the lives of the last generation of constitutional nationalists, and shown how they could gravitate towards organisations such as the Irish Dominion League.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Colin Reid, in reconstructing the career of Stephen Gwynn, has highlighted some of the divisions which would undermine moderate politics.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Recently, Martin O’Donoghue has traced</w:t>
      </w:r>
      <w:r w:rsidRPr="00736840">
        <w:t xml:space="preserve"> </w:t>
      </w:r>
      <w:r w:rsidRPr="00736840">
        <w:rPr>
          <w:rFonts w:ascii="Times New Roman" w:hAnsi="Times New Roman" w:cs="Times New Roman"/>
          <w:sz w:val="24"/>
          <w:szCs w:val="24"/>
        </w:rPr>
        <w:t>the influence of former Irish Parliamentary Party</w:t>
      </w:r>
      <w:r>
        <w:rPr>
          <w:rFonts w:ascii="Times New Roman" w:hAnsi="Times New Roman" w:cs="Times New Roman"/>
          <w:sz w:val="24"/>
          <w:szCs w:val="24"/>
        </w:rPr>
        <w:t xml:space="preserve"> (IPP)</w:t>
      </w:r>
      <w:r w:rsidRPr="00736840">
        <w:rPr>
          <w:rFonts w:ascii="Times New Roman" w:hAnsi="Times New Roman" w:cs="Times New Roman"/>
          <w:sz w:val="24"/>
          <w:szCs w:val="24"/>
        </w:rPr>
        <w:t xml:space="preserve"> members</w:t>
      </w:r>
      <w:r>
        <w:rPr>
          <w:rFonts w:ascii="Times New Roman" w:hAnsi="Times New Roman" w:cs="Times New Roman"/>
          <w:sz w:val="24"/>
          <w:szCs w:val="24"/>
        </w:rPr>
        <w:t xml:space="preserve"> after 1922.</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Michael Hopkinson has described the numerous murky peace initiatives during the War of Independence, and argued that a settlement may have been achieved sooner, had Britain offered dominion home rule.</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Meanwhile, Paul Bew has shown how, with the split in Sinn Féin, ‘the eventual resolution of the Anglo-Irish conflict represented not a triumph of the middle ground, but rather its radical displacement’.</w:t>
      </w:r>
      <w:r>
        <w:rPr>
          <w:rStyle w:val="FootnoteReference"/>
          <w:rFonts w:ascii="Times New Roman" w:hAnsi="Times New Roman" w:cs="Times New Roman"/>
          <w:sz w:val="24"/>
          <w:szCs w:val="24"/>
        </w:rPr>
        <w:footnoteReference w:id="14"/>
      </w:r>
      <w:r w:rsidRPr="00761777">
        <w:rPr>
          <w:rFonts w:ascii="Times New Roman" w:hAnsi="Times New Roman" w:cs="Times New Roman"/>
          <w:sz w:val="24"/>
          <w:szCs w:val="24"/>
        </w:rPr>
        <w:t xml:space="preserve"> </w:t>
      </w:r>
    </w:p>
    <w:p w14:paraId="65DB3AB1" w14:textId="05571D02"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Who were the ‘moderates’? Much of the activity discussed in this article had its origins in networks that were formed in the aftermath of the Land Purchase (Ireland) Act 1903, which revolutionised land ownership by greatly expanding peasant proprietorship. In 1904, the earl </w:t>
      </w:r>
      <w:r>
        <w:rPr>
          <w:rFonts w:ascii="Times New Roman" w:hAnsi="Times New Roman" w:cs="Times New Roman"/>
          <w:sz w:val="24"/>
          <w:szCs w:val="24"/>
        </w:rPr>
        <w:lastRenderedPageBreak/>
        <w:t>of Dunraven, believing that the principal differences between landlord and tenant had been resolved, founded a new organisation, the Irish Reform Association. He hoped to lead the gentry away from unionism and towards détente with home rulers on the basis of devolution. Although only a minority of gentry joined the new group, and hopes for consensus on limited self-government were dashed amidst the ‘devolution crisis’, Dunraven’s venture is not without importance.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association brought together a group of well-connected individuals who were no longer hostile to Irish self-government, were eager to retain a strong link with Britain, and for whom partition was anathema: its members would be active in numerous later initiatives. Although reformist gentry shared some ideological sympathies with the Redmondite wing of the IPP, direct collaboration with the Party leadership was limited. Instead, figures such as Lord Dunraven, Lord Monteagle, and Sir John Keane became associated with William O’Brien’s renegade All-for-Ireland-League, founded in 1909 with the aim of achieving consensus between Catholics and Protestants on a scheme for Irish self-government.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Reformist gentry networks were bolstered during the Home Rule Crisis, as members of the </w:t>
      </w:r>
      <w:r>
        <w:rPr>
          <w:rFonts w:ascii="Times New Roman" w:hAnsi="Times New Roman" w:cs="Times New Roman"/>
          <w:sz w:val="24"/>
          <w:szCs w:val="24"/>
          <w:lang w:val="en-GB"/>
        </w:rPr>
        <w:t xml:space="preserve">southern Protestant </w:t>
      </w:r>
      <w:r w:rsidRPr="00BC5909">
        <w:rPr>
          <w:rFonts w:ascii="Times New Roman" w:hAnsi="Times New Roman" w:cs="Times New Roman"/>
          <w:sz w:val="24"/>
          <w:szCs w:val="24"/>
          <w:lang w:val="en-GB"/>
        </w:rPr>
        <w:t>upper-middle classes</w:t>
      </w:r>
      <w:r>
        <w:rPr>
          <w:rFonts w:ascii="Times New Roman" w:hAnsi="Times New Roman" w:cs="Times New Roman"/>
          <w:sz w:val="24"/>
          <w:szCs w:val="24"/>
          <w:lang w:val="en-GB"/>
        </w:rPr>
        <w:t xml:space="preserve">, </w:t>
      </w:r>
      <w:r>
        <w:rPr>
          <w:rFonts w:ascii="Times New Roman" w:hAnsi="Times New Roman" w:cs="Times New Roman"/>
          <w:sz w:val="24"/>
          <w:szCs w:val="24"/>
        </w:rPr>
        <w:t>fearful of partition and eager to retain some influence in a changing Ireland,</w:t>
      </w:r>
      <w:r w:rsidRPr="005D7CE7">
        <w:rPr>
          <w:rFonts w:ascii="Times New Roman" w:hAnsi="Times New Roman" w:cs="Times New Roman"/>
          <w:sz w:val="24"/>
          <w:szCs w:val="24"/>
          <w:lang w:val="en-GB"/>
        </w:rPr>
        <w:t xml:space="preserve"> </w:t>
      </w:r>
      <w:r>
        <w:rPr>
          <w:rFonts w:ascii="Times New Roman" w:hAnsi="Times New Roman" w:cs="Times New Roman"/>
          <w:sz w:val="24"/>
          <w:szCs w:val="24"/>
          <w:lang w:val="en-GB"/>
        </w:rPr>
        <w:t>joined organisations such as the Irish Protest Committee and Protestant Home Rule Committee.</w:t>
      </w:r>
      <w:r w:rsidR="00A50B81">
        <w:rPr>
          <w:rStyle w:val="FootnoteReference"/>
          <w:rFonts w:ascii="Times New Roman" w:hAnsi="Times New Roman" w:cs="Times New Roman"/>
          <w:sz w:val="24"/>
          <w:szCs w:val="24"/>
          <w:lang w:val="en-GB"/>
        </w:rPr>
        <w:footnoteReference w:id="17"/>
      </w:r>
      <w:r>
        <w:rPr>
          <w:rFonts w:ascii="Times New Roman" w:hAnsi="Times New Roman" w:cs="Times New Roman"/>
          <w:sz w:val="24"/>
          <w:szCs w:val="24"/>
          <w:lang w:val="en-GB"/>
        </w:rPr>
        <w:t xml:space="preserve"> </w:t>
      </w:r>
      <w:r>
        <w:rPr>
          <w:rFonts w:ascii="Times New Roman" w:hAnsi="Times New Roman" w:cs="Times New Roman"/>
          <w:sz w:val="24"/>
          <w:szCs w:val="24"/>
        </w:rPr>
        <w:t>With the outbreak of war in 1914, most Irish political factions (advanced nationalists aside) supported the war effort.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During the war, members of the emerging moderate group were prominent in recruiting and efforts at cross-community cooperation. In the aftermath of the Easter Rising, the Irish Conference Committee was formed to advocate for what became the Irish Convention. This was largely an initiative born of networks which had now operated, under changing guises, for about a decade and a half.</w:t>
      </w:r>
    </w:p>
    <w:p w14:paraId="26679608" w14:textId="2177DC1A"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the quotations which open this article suggest, contemporaries made frequent reference to a moderate bloc in Irish politics. (Other terms were also used, such as ‘centrist’, ‘middlemen’ or ‘</w:t>
      </w:r>
      <w:proofErr w:type="spellStart"/>
      <w:r>
        <w:rPr>
          <w:rFonts w:ascii="Times New Roman" w:hAnsi="Times New Roman" w:cs="Times New Roman"/>
          <w:sz w:val="24"/>
          <w:szCs w:val="24"/>
        </w:rPr>
        <w:t>dominionist</w:t>
      </w:r>
      <w:proofErr w:type="spellEnd"/>
      <w:r>
        <w:rPr>
          <w:rFonts w:ascii="Times New Roman" w:hAnsi="Times New Roman" w:cs="Times New Roman"/>
          <w:sz w:val="24"/>
          <w:szCs w:val="24"/>
        </w:rPr>
        <w:t xml:space="preserve">’). For some, such as Horace Plunkett, the deal struck at the Irish Convention (which is discussed below) inaugurated the group: he spoke of the ‘Moderate party that was born at the Convention’, in referring to reformers such as himself who had been moving to home rule since the turn of the century, the Parliamentary Party, and those southern </w:t>
      </w:r>
      <w:r>
        <w:rPr>
          <w:rFonts w:ascii="Times New Roman" w:hAnsi="Times New Roman" w:cs="Times New Roman"/>
          <w:sz w:val="24"/>
          <w:szCs w:val="24"/>
        </w:rPr>
        <w:lastRenderedPageBreak/>
        <w:t>unionists who had finally conceded self-government out of fear of something worse.</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 major disadvantage for Plunkett and his supporters was that they could perceive a much larger group of Irish moderates than were willing to join their movement. The southern unionists were to refuse to re-form the alliance made at the Convention. An even worse blow was the refusal of John Dillon, leader of the IPP, to allow his movement to combine with the IDL. In the aftermath of his party’s landslide defeat to Sinn Féin</w:t>
      </w:r>
      <w:r w:rsidR="00EF776C">
        <w:rPr>
          <w:rFonts w:ascii="Times New Roman" w:hAnsi="Times New Roman" w:cs="Times New Roman"/>
          <w:sz w:val="24"/>
          <w:szCs w:val="24"/>
        </w:rPr>
        <w:t xml:space="preserve"> in 1918</w:t>
      </w:r>
      <w:r>
        <w:rPr>
          <w:rFonts w:ascii="Times New Roman" w:hAnsi="Times New Roman" w:cs="Times New Roman"/>
          <w:sz w:val="24"/>
          <w:szCs w:val="24"/>
        </w:rPr>
        <w:t>, Dillon was determined to remain aloof from politics, in the belief that the newcomers would be discredited and his movement could later return to power.</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But this would not stop a group from the old Parliamentary Party from joining with others in an attempt to save constitutional politics. </w:t>
      </w:r>
    </w:p>
    <w:p w14:paraId="6EF382CD" w14:textId="7C5C3701"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article, then, assesses the reformist gentry, parliamentary and former unionist elements which came together in around 1919 in an effort to prevent partition and secure a large measure of home rule within the Empire. It offers the first sustained analysis of the membership and ideology of the Irish Dominion League, an important moderate minority voice during the revolutionary era. It will statistically examine the League’s membership, as well as attendees at the associated Irish Peace Conference, to establish the political backgrounds, religious denominations and social class of active moderates, and will demonstrate the various means by which they worked as intermediaries between the British administration and the rebels. This is also a story of those who remained aloof, </w:t>
      </w:r>
      <w:r w:rsidR="00F70621">
        <w:rPr>
          <w:rFonts w:ascii="Times New Roman" w:hAnsi="Times New Roman" w:cs="Times New Roman"/>
          <w:sz w:val="24"/>
          <w:szCs w:val="24"/>
        </w:rPr>
        <w:t>such as</w:t>
      </w:r>
      <w:r>
        <w:rPr>
          <w:rFonts w:ascii="Times New Roman" w:hAnsi="Times New Roman" w:cs="Times New Roman"/>
          <w:sz w:val="24"/>
          <w:szCs w:val="24"/>
        </w:rPr>
        <w:t xml:space="preserve"> the southern unionists who attempted to avoid working with moderates and to retain a distinct political identity. </w:t>
      </w:r>
      <w:r w:rsidR="00A50B81">
        <w:rPr>
          <w:rFonts w:ascii="Times New Roman" w:hAnsi="Times New Roman" w:cs="Times New Roman"/>
          <w:sz w:val="24"/>
          <w:szCs w:val="24"/>
        </w:rPr>
        <w:t>This article demonstrates that n</w:t>
      </w:r>
      <w:r>
        <w:rPr>
          <w:rFonts w:ascii="Times New Roman" w:hAnsi="Times New Roman" w:cs="Times New Roman"/>
          <w:sz w:val="24"/>
          <w:szCs w:val="24"/>
        </w:rPr>
        <w:t xml:space="preserve">etworks forged during the closing years of Conservative reform continued to exert an impact on politics into the 1920s. </w:t>
      </w:r>
      <w:r w:rsidR="00A50B81">
        <w:rPr>
          <w:rFonts w:ascii="Times New Roman" w:hAnsi="Times New Roman" w:cs="Times New Roman"/>
          <w:sz w:val="24"/>
          <w:szCs w:val="24"/>
        </w:rPr>
        <w:t>It</w:t>
      </w:r>
      <w:r>
        <w:rPr>
          <w:rFonts w:ascii="Times New Roman" w:hAnsi="Times New Roman" w:cs="Times New Roman"/>
          <w:sz w:val="24"/>
          <w:szCs w:val="24"/>
        </w:rPr>
        <w:t xml:space="preserve"> also expands our understanding of the decline of the IPP by reconstructing how some members sought to reorganise in the aftermath of </w:t>
      </w:r>
      <w:r w:rsidRPr="00F97349">
        <w:rPr>
          <w:rFonts w:ascii="Times New Roman" w:hAnsi="Times New Roman" w:cs="Times New Roman"/>
          <w:sz w:val="24"/>
          <w:szCs w:val="24"/>
        </w:rPr>
        <w:t>collapse. Moving</w:t>
      </w:r>
      <w:r>
        <w:rPr>
          <w:rFonts w:ascii="Times New Roman" w:hAnsi="Times New Roman" w:cs="Times New Roman"/>
          <w:sz w:val="24"/>
          <w:szCs w:val="24"/>
        </w:rPr>
        <w:t xml:space="preserve"> away from a high political approach to the award of dominion status, it will show how a well-connected group of activists campaigned in favour of this solution. Seeing their influence recede amidst </w:t>
      </w:r>
      <w:r w:rsidR="00EF776C">
        <w:rPr>
          <w:rFonts w:ascii="Times New Roman" w:hAnsi="Times New Roman" w:cs="Times New Roman"/>
          <w:sz w:val="24"/>
          <w:szCs w:val="24"/>
        </w:rPr>
        <w:t>the W</w:t>
      </w:r>
      <w:r>
        <w:rPr>
          <w:rFonts w:ascii="Times New Roman" w:hAnsi="Times New Roman" w:cs="Times New Roman"/>
          <w:sz w:val="24"/>
          <w:szCs w:val="24"/>
        </w:rPr>
        <w:t>ar</w:t>
      </w:r>
      <w:r w:rsidR="00EF776C">
        <w:rPr>
          <w:rFonts w:ascii="Times New Roman" w:hAnsi="Times New Roman" w:cs="Times New Roman"/>
          <w:sz w:val="24"/>
          <w:szCs w:val="24"/>
        </w:rPr>
        <w:t xml:space="preserve"> of Independence</w:t>
      </w:r>
      <w:r>
        <w:rPr>
          <w:rFonts w:ascii="Times New Roman" w:hAnsi="Times New Roman" w:cs="Times New Roman"/>
          <w:sz w:val="24"/>
          <w:szCs w:val="24"/>
        </w:rPr>
        <w:t xml:space="preserve">, they </w:t>
      </w:r>
      <w:r w:rsidR="00EF776C">
        <w:rPr>
          <w:rFonts w:ascii="Times New Roman" w:hAnsi="Times New Roman" w:cs="Times New Roman"/>
          <w:sz w:val="24"/>
          <w:szCs w:val="24"/>
        </w:rPr>
        <w:t>set up a new organisation</w:t>
      </w:r>
      <w:r>
        <w:rPr>
          <w:rFonts w:ascii="Times New Roman" w:hAnsi="Times New Roman" w:cs="Times New Roman"/>
          <w:sz w:val="24"/>
          <w:szCs w:val="24"/>
        </w:rPr>
        <w:t xml:space="preserve"> in an effort to reshape the future of the country, only to find that divisions within </w:t>
      </w:r>
      <w:r w:rsidRPr="00F97349">
        <w:rPr>
          <w:rFonts w:ascii="Times New Roman" w:hAnsi="Times New Roman" w:cs="Times New Roman"/>
          <w:sz w:val="24"/>
          <w:szCs w:val="24"/>
        </w:rPr>
        <w:t>the movement,</w:t>
      </w:r>
      <w:r>
        <w:rPr>
          <w:rFonts w:ascii="Times New Roman" w:hAnsi="Times New Roman" w:cs="Times New Roman"/>
          <w:sz w:val="24"/>
          <w:szCs w:val="24"/>
        </w:rPr>
        <w:t xml:space="preserve"> and the changing structure of Irish politics, inhibited the creation of a successful moderate party.</w:t>
      </w:r>
    </w:p>
    <w:p w14:paraId="0EEDE0C5" w14:textId="77777777" w:rsidR="001B747D" w:rsidRDefault="001B747D" w:rsidP="007232AE">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I</w:t>
      </w:r>
    </w:p>
    <w:p w14:paraId="56D4A76D" w14:textId="77777777" w:rsidR="001B747D" w:rsidRDefault="001B747D" w:rsidP="007232AE">
      <w:pPr>
        <w:spacing w:after="0" w:line="360" w:lineRule="auto"/>
        <w:jc w:val="both"/>
        <w:rPr>
          <w:rFonts w:ascii="Times New Roman" w:hAnsi="Times New Roman" w:cs="Times New Roman"/>
          <w:sz w:val="24"/>
          <w:szCs w:val="24"/>
        </w:rPr>
      </w:pPr>
    </w:p>
    <w:p w14:paraId="3727F3D7" w14:textId="220306B5"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spring of 1918, Sir Horace Plunkett seemed most likely to </w:t>
      </w:r>
      <w:r w:rsidRPr="00F97349">
        <w:rPr>
          <w:rFonts w:ascii="Times New Roman" w:hAnsi="Times New Roman" w:cs="Times New Roman"/>
          <w:sz w:val="24"/>
          <w:szCs w:val="24"/>
        </w:rPr>
        <w:t>forge a</w:t>
      </w:r>
      <w:r w:rsidR="00BE2E1B" w:rsidRPr="00F97349">
        <w:rPr>
          <w:rFonts w:ascii="Times New Roman" w:hAnsi="Times New Roman" w:cs="Times New Roman"/>
          <w:sz w:val="24"/>
          <w:szCs w:val="24"/>
        </w:rPr>
        <w:t>n association</w:t>
      </w:r>
      <w:r>
        <w:rPr>
          <w:rFonts w:ascii="Times New Roman" w:hAnsi="Times New Roman" w:cs="Times New Roman"/>
          <w:sz w:val="24"/>
          <w:szCs w:val="24"/>
        </w:rPr>
        <w:t xml:space="preserve"> </w:t>
      </w:r>
      <w:r w:rsidRPr="00F97349">
        <w:rPr>
          <w:rFonts w:ascii="Times New Roman" w:hAnsi="Times New Roman" w:cs="Times New Roman"/>
          <w:sz w:val="24"/>
          <w:szCs w:val="24"/>
        </w:rPr>
        <w:t xml:space="preserve">which would bring together Irish moderates. </w:t>
      </w:r>
      <w:r w:rsidRPr="00F97349">
        <w:rPr>
          <w:rFonts w:ascii="Times New Roman" w:hAnsi="Times New Roman" w:cs="Times New Roman"/>
          <w:sz w:val="24"/>
          <w:szCs w:val="20"/>
        </w:rPr>
        <w:t xml:space="preserve">The younger son of an Irish peer, Plunkett had </w:t>
      </w:r>
      <w:r w:rsidRPr="00F97349">
        <w:rPr>
          <w:rFonts w:ascii="Times New Roman" w:hAnsi="Times New Roman" w:cs="Times New Roman"/>
          <w:sz w:val="24"/>
          <w:szCs w:val="20"/>
        </w:rPr>
        <w:lastRenderedPageBreak/>
        <w:t>been responsible, through his Irish Agricultural Organisation Society (I.A.O.</w:t>
      </w:r>
      <w:r>
        <w:rPr>
          <w:rFonts w:ascii="Times New Roman" w:hAnsi="Times New Roman" w:cs="Times New Roman"/>
          <w:sz w:val="24"/>
          <w:szCs w:val="20"/>
        </w:rPr>
        <w:t>S.), for</w:t>
      </w:r>
      <w:r w:rsidRPr="00A40DD6">
        <w:rPr>
          <w:rFonts w:ascii="Times New Roman" w:hAnsi="Times New Roman" w:cs="Times New Roman"/>
          <w:sz w:val="24"/>
          <w:szCs w:val="20"/>
        </w:rPr>
        <w:t xml:space="preserve"> introducing co-operative agricultural organisation into Ireland</w:t>
      </w:r>
      <w:r>
        <w:rPr>
          <w:rFonts w:ascii="Times New Roman" w:hAnsi="Times New Roman" w:cs="Times New Roman"/>
          <w:sz w:val="24"/>
          <w:szCs w:val="20"/>
        </w:rPr>
        <w:t xml:space="preserve">. </w:t>
      </w:r>
      <w:r>
        <w:rPr>
          <w:rFonts w:ascii="Times New Roman" w:hAnsi="Times New Roman" w:cs="Times New Roman"/>
          <w:sz w:val="24"/>
          <w:szCs w:val="24"/>
        </w:rPr>
        <w:t>Although he had served as unionist member for South C</w:t>
      </w:r>
      <w:r w:rsidRPr="00290394">
        <w:rPr>
          <w:rFonts w:ascii="Times New Roman" w:hAnsi="Times New Roman" w:cs="Times New Roman"/>
          <w:sz w:val="24"/>
          <w:szCs w:val="24"/>
        </w:rPr>
        <w:t>ounty Dub</w:t>
      </w:r>
      <w:r>
        <w:rPr>
          <w:rFonts w:ascii="Times New Roman" w:hAnsi="Times New Roman" w:cs="Times New Roman"/>
          <w:sz w:val="24"/>
          <w:szCs w:val="24"/>
        </w:rPr>
        <w:t>lin from 1892 to 1900,</w:t>
      </w:r>
      <w:r w:rsidRPr="007F586D">
        <w:rPr>
          <w:rFonts w:ascii="Times New Roman" w:hAnsi="Times New Roman" w:cs="Times New Roman"/>
          <w:sz w:val="24"/>
          <w:szCs w:val="24"/>
        </w:rPr>
        <w:t xml:space="preserve"> </w:t>
      </w:r>
      <w:r>
        <w:rPr>
          <w:rFonts w:ascii="Times New Roman" w:hAnsi="Times New Roman" w:cs="Times New Roman"/>
          <w:sz w:val="24"/>
          <w:szCs w:val="24"/>
        </w:rPr>
        <w:t>his views slowly changed: by 1911 he privately supported home rule, and i</w:t>
      </w:r>
      <w:r w:rsidRPr="00290394">
        <w:rPr>
          <w:rFonts w:ascii="Times New Roman" w:hAnsi="Times New Roman" w:cs="Times New Roman"/>
          <w:sz w:val="24"/>
          <w:szCs w:val="24"/>
        </w:rPr>
        <w:t xml:space="preserve">n 1914 </w:t>
      </w:r>
      <w:r>
        <w:rPr>
          <w:rFonts w:ascii="Times New Roman" w:hAnsi="Times New Roman" w:cs="Times New Roman"/>
          <w:sz w:val="24"/>
          <w:szCs w:val="24"/>
        </w:rPr>
        <w:t>he</w:t>
      </w:r>
      <w:r w:rsidRPr="00290394">
        <w:rPr>
          <w:rFonts w:ascii="Times New Roman" w:hAnsi="Times New Roman" w:cs="Times New Roman"/>
          <w:i/>
          <w:sz w:val="24"/>
          <w:szCs w:val="24"/>
        </w:rPr>
        <w:t xml:space="preserve"> </w:t>
      </w:r>
      <w:r>
        <w:rPr>
          <w:rFonts w:ascii="Times New Roman" w:hAnsi="Times New Roman" w:cs="Times New Roman"/>
          <w:sz w:val="24"/>
          <w:szCs w:val="24"/>
        </w:rPr>
        <w:t>publicly suggested</w:t>
      </w:r>
      <w:r w:rsidRPr="00290394">
        <w:rPr>
          <w:rFonts w:ascii="Times New Roman" w:hAnsi="Times New Roman" w:cs="Times New Roman"/>
          <w:sz w:val="24"/>
          <w:szCs w:val="24"/>
        </w:rPr>
        <w:t xml:space="preserve"> implementing home rule for the whole island, but allowing Ulster the right to secede after a stated period.</w:t>
      </w:r>
      <w:r w:rsidRPr="00290394">
        <w:rPr>
          <w:rFonts w:ascii="Times New Roman" w:eastAsia="Calibri" w:hAnsi="Times New Roman" w:cs="Times New Roman"/>
          <w:sz w:val="24"/>
          <w:szCs w:val="24"/>
          <w:vertAlign w:val="superscript"/>
        </w:rPr>
        <w:footnoteReference w:id="21"/>
      </w:r>
      <w:r>
        <w:rPr>
          <w:rFonts w:ascii="Times New Roman" w:hAnsi="Times New Roman" w:cs="Times New Roman"/>
          <w:sz w:val="24"/>
          <w:szCs w:val="24"/>
        </w:rPr>
        <w:t xml:space="preserve"> In the aftermath of the 1916 Rising</w:t>
      </w:r>
      <w:r w:rsidRPr="00A40DD6">
        <w:rPr>
          <w:rFonts w:ascii="Times New Roman" w:hAnsi="Times New Roman" w:cs="Times New Roman"/>
          <w:sz w:val="24"/>
          <w:szCs w:val="20"/>
        </w:rPr>
        <w:t xml:space="preserve"> he </w:t>
      </w:r>
      <w:r>
        <w:rPr>
          <w:rFonts w:ascii="Times New Roman" w:hAnsi="Times New Roman" w:cs="Times New Roman"/>
          <w:sz w:val="24"/>
          <w:szCs w:val="20"/>
        </w:rPr>
        <w:t xml:space="preserve">came to support </w:t>
      </w:r>
      <w:r w:rsidRPr="00A40DD6">
        <w:rPr>
          <w:rFonts w:ascii="Times New Roman" w:hAnsi="Times New Roman" w:cs="Times New Roman"/>
          <w:sz w:val="24"/>
          <w:szCs w:val="20"/>
        </w:rPr>
        <w:t>dominion home rule.</w:t>
      </w:r>
      <w:r w:rsidRPr="00A40DD6">
        <w:rPr>
          <w:rFonts w:ascii="Times New Roman" w:eastAsia="Calibri" w:hAnsi="Times New Roman" w:cs="Times New Roman"/>
          <w:sz w:val="24"/>
          <w:szCs w:val="24"/>
          <w:vertAlign w:val="superscript"/>
        </w:rPr>
        <w:footnoteReference w:id="22"/>
      </w:r>
      <w:r>
        <w:rPr>
          <w:rFonts w:ascii="Times New Roman" w:hAnsi="Times New Roman" w:cs="Times New Roman"/>
          <w:sz w:val="24"/>
          <w:szCs w:val="20"/>
        </w:rPr>
        <w:t xml:space="preserve"> </w:t>
      </w:r>
      <w:r w:rsidRPr="00936C35">
        <w:rPr>
          <w:rFonts w:ascii="Times New Roman" w:hAnsi="Times New Roman" w:cs="Times New Roman"/>
          <w:sz w:val="24"/>
          <w:szCs w:val="20"/>
        </w:rPr>
        <w:t xml:space="preserve">Much of his </w:t>
      </w:r>
      <w:r>
        <w:rPr>
          <w:rFonts w:ascii="Times New Roman" w:hAnsi="Times New Roman" w:cs="Times New Roman"/>
          <w:sz w:val="24"/>
          <w:szCs w:val="20"/>
        </w:rPr>
        <w:t xml:space="preserve">time was </w:t>
      </w:r>
      <w:r>
        <w:rPr>
          <w:rFonts w:ascii="Times New Roman" w:hAnsi="Times New Roman" w:cs="Times New Roman"/>
          <w:sz w:val="24"/>
          <w:szCs w:val="24"/>
        </w:rPr>
        <w:t xml:space="preserve">devoted to efforts to reconcile political factions, religious groups, and social classes through cooperation and economic development. Indeed, contemporaries argued that </w:t>
      </w:r>
      <w:r w:rsidRPr="00936C35">
        <w:rPr>
          <w:rFonts w:ascii="Times New Roman" w:hAnsi="Times New Roman" w:cs="Times New Roman"/>
          <w:sz w:val="24"/>
          <w:szCs w:val="24"/>
        </w:rPr>
        <w:t>his career</w:t>
      </w:r>
      <w:r>
        <w:rPr>
          <w:rFonts w:ascii="Times New Roman" w:hAnsi="Times New Roman" w:cs="Times New Roman"/>
          <w:sz w:val="24"/>
          <w:szCs w:val="24"/>
        </w:rPr>
        <w:t xml:space="preserve"> was defined by attempts to recapture the spirit of the 1895-6 Recess Committee, in which he brought together nationalists and unionists to suggest non-contentious domestic reforms.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Plunkett was proud of his chairmanship of the Irish Convention (1917-18), during which, in a major realignment</w:t>
      </w:r>
      <w:r w:rsidRPr="009533BE">
        <w:rPr>
          <w:rFonts w:ascii="Times New Roman" w:hAnsi="Times New Roman" w:cs="Times New Roman"/>
          <w:b/>
          <w:sz w:val="24"/>
          <w:szCs w:val="24"/>
        </w:rPr>
        <w:t xml:space="preserve">, </w:t>
      </w:r>
      <w:r w:rsidRPr="00366918">
        <w:rPr>
          <w:rFonts w:ascii="Times New Roman" w:hAnsi="Times New Roman" w:cs="Times New Roman"/>
          <w:sz w:val="24"/>
          <w:szCs w:val="24"/>
        </w:rPr>
        <w:t>southern unionists agreed to a far-reaching home rule scheme.</w:t>
      </w:r>
      <w:r w:rsidRPr="00366918">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As Alvin Jackson has shown, even the Ulster unionist delegates appeared to be drawing towards a deal.</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Nationalist desire for fiscal autonomy, and poor leadership by the chair, ultimately led to the failure of the Convention, but a sense that home rulers and southern unionists could work together would endure.  </w:t>
      </w:r>
    </w:p>
    <w:p w14:paraId="12C24085" w14:textId="77777777"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May 1918, the government, seeking to overhaul the Dublin Castle administration, appointed </w:t>
      </w:r>
      <w:r w:rsidRPr="00482053">
        <w:rPr>
          <w:rFonts w:ascii="Times New Roman" w:hAnsi="Times New Roman" w:cs="Times New Roman"/>
          <w:sz w:val="24"/>
          <w:szCs w:val="24"/>
        </w:rPr>
        <w:t>John</w:t>
      </w:r>
      <w:r>
        <w:rPr>
          <w:rFonts w:ascii="Times New Roman" w:hAnsi="Times New Roman" w:cs="Times New Roman"/>
          <w:sz w:val="24"/>
          <w:szCs w:val="24"/>
        </w:rPr>
        <w:t>, Lord</w:t>
      </w:r>
      <w:r w:rsidRPr="00482053">
        <w:rPr>
          <w:rFonts w:ascii="Times New Roman" w:hAnsi="Times New Roman" w:cs="Times New Roman"/>
          <w:sz w:val="24"/>
          <w:szCs w:val="24"/>
        </w:rPr>
        <w:t xml:space="preserve"> French</w:t>
      </w:r>
      <w:r>
        <w:rPr>
          <w:rFonts w:ascii="Times New Roman" w:hAnsi="Times New Roman" w:cs="Times New Roman"/>
          <w:sz w:val="24"/>
          <w:szCs w:val="24"/>
        </w:rPr>
        <w:t xml:space="preserve">, </w:t>
      </w:r>
      <w:r w:rsidRPr="00482053">
        <w:rPr>
          <w:rFonts w:ascii="Times New Roman" w:hAnsi="Times New Roman" w:cs="Times New Roman"/>
          <w:sz w:val="24"/>
          <w:szCs w:val="24"/>
        </w:rPr>
        <w:t xml:space="preserve">the former commander of </w:t>
      </w:r>
      <w:r>
        <w:rPr>
          <w:rFonts w:ascii="Times New Roman" w:hAnsi="Times New Roman" w:cs="Times New Roman"/>
          <w:sz w:val="24"/>
          <w:szCs w:val="24"/>
        </w:rPr>
        <w:t>the British Expeditionary Force, as</w:t>
      </w:r>
      <w:r w:rsidRPr="00482053">
        <w:rPr>
          <w:rFonts w:ascii="Times New Roman" w:hAnsi="Times New Roman" w:cs="Times New Roman"/>
          <w:sz w:val="24"/>
          <w:szCs w:val="24"/>
        </w:rPr>
        <w:t xml:space="preserve"> </w:t>
      </w:r>
      <w:r>
        <w:rPr>
          <w:rFonts w:ascii="Times New Roman" w:hAnsi="Times New Roman" w:cs="Times New Roman"/>
          <w:sz w:val="24"/>
          <w:szCs w:val="24"/>
        </w:rPr>
        <w:t>lord lieutenant, on the understanding that he would lead a ‘quasi-military government’.</w:t>
      </w:r>
      <w:r w:rsidRPr="00A40DD6">
        <w:rPr>
          <w:rFonts w:ascii="Times New Roman" w:hAnsi="Times New Roman" w:cs="Times New Roman"/>
          <w:sz w:val="24"/>
          <w:szCs w:val="20"/>
          <w:vertAlign w:val="superscript"/>
        </w:rPr>
        <w:footnoteReference w:id="26"/>
      </w:r>
      <w:r>
        <w:rPr>
          <w:rFonts w:ascii="Times New Roman" w:hAnsi="Times New Roman" w:cs="Times New Roman"/>
          <w:sz w:val="24"/>
          <w:szCs w:val="24"/>
        </w:rPr>
        <w:t xml:space="preserve"> He intended to bring in conscription combined with home rule. Plunkett argued that tethering conscription with self-government was disastrous, and instead suggested that </w:t>
      </w:r>
      <w:r w:rsidRPr="002F4B52">
        <w:rPr>
          <w:rFonts w:ascii="Times New Roman" w:hAnsi="Times New Roman" w:cs="Times New Roman"/>
          <w:sz w:val="24"/>
          <w:szCs w:val="24"/>
        </w:rPr>
        <w:t>home rule</w:t>
      </w:r>
      <w:r>
        <w:rPr>
          <w:rFonts w:ascii="Times New Roman" w:hAnsi="Times New Roman" w:cs="Times New Roman"/>
          <w:sz w:val="24"/>
          <w:szCs w:val="24"/>
        </w:rPr>
        <w:t xml:space="preserve"> should be immediately introduced on the lines agreed by a majority at the Convention. A home rule parliament would be in a position to encourage recruitment, he believed. His proposal was</w:t>
      </w:r>
      <w:r w:rsidRPr="00A40DD6">
        <w:rPr>
          <w:rFonts w:ascii="Times New Roman" w:hAnsi="Times New Roman" w:cs="Times New Roman"/>
          <w:sz w:val="24"/>
          <w:szCs w:val="24"/>
        </w:rPr>
        <w:t xml:space="preserve"> that the moderate faction </w:t>
      </w:r>
      <w:r>
        <w:rPr>
          <w:rFonts w:ascii="Times New Roman" w:hAnsi="Times New Roman" w:cs="Times New Roman"/>
          <w:sz w:val="24"/>
          <w:szCs w:val="24"/>
        </w:rPr>
        <w:t>at the</w:t>
      </w:r>
      <w:r w:rsidRPr="00A40DD6">
        <w:rPr>
          <w:rFonts w:ascii="Times New Roman" w:hAnsi="Times New Roman" w:cs="Times New Roman"/>
          <w:sz w:val="24"/>
          <w:szCs w:val="24"/>
        </w:rPr>
        <w:t xml:space="preserve"> Convention should be reconstituted as a ‘middle party’ which would seek to persuade </w:t>
      </w:r>
      <w:r>
        <w:rPr>
          <w:rFonts w:ascii="Times New Roman" w:hAnsi="Times New Roman" w:cs="Times New Roman"/>
          <w:sz w:val="24"/>
          <w:szCs w:val="24"/>
        </w:rPr>
        <w:t>Sinn Féin</w:t>
      </w:r>
      <w:r w:rsidRPr="00A40DD6">
        <w:rPr>
          <w:rFonts w:ascii="Times New Roman" w:hAnsi="Times New Roman" w:cs="Times New Roman"/>
          <w:sz w:val="24"/>
          <w:szCs w:val="24"/>
        </w:rPr>
        <w:t xml:space="preserve"> to dilute their demands </w:t>
      </w:r>
      <w:r>
        <w:rPr>
          <w:rFonts w:ascii="Times New Roman" w:hAnsi="Times New Roman" w:cs="Times New Roman"/>
          <w:sz w:val="24"/>
          <w:szCs w:val="24"/>
        </w:rPr>
        <w:t>in order to gain</w:t>
      </w:r>
      <w:r w:rsidRPr="00A40DD6">
        <w:rPr>
          <w:rFonts w:ascii="Times New Roman" w:hAnsi="Times New Roman" w:cs="Times New Roman"/>
          <w:sz w:val="24"/>
          <w:szCs w:val="24"/>
        </w:rPr>
        <w:t xml:space="preserve"> government</w:t>
      </w:r>
      <w:r>
        <w:rPr>
          <w:rFonts w:ascii="Times New Roman" w:hAnsi="Times New Roman" w:cs="Times New Roman"/>
          <w:sz w:val="24"/>
          <w:szCs w:val="24"/>
        </w:rPr>
        <w:t xml:space="preserve"> acceptance</w:t>
      </w:r>
      <w:r w:rsidRPr="00A40DD6">
        <w:rPr>
          <w:rFonts w:ascii="Times New Roman" w:hAnsi="Times New Roman" w:cs="Times New Roman"/>
          <w:sz w:val="24"/>
          <w:szCs w:val="24"/>
        </w:rPr>
        <w:t xml:space="preserve"> </w:t>
      </w:r>
      <w:r>
        <w:rPr>
          <w:rFonts w:ascii="Times New Roman" w:hAnsi="Times New Roman" w:cs="Times New Roman"/>
          <w:sz w:val="24"/>
          <w:szCs w:val="24"/>
        </w:rPr>
        <w:t>of</w:t>
      </w:r>
      <w:r w:rsidRPr="00A40DD6">
        <w:rPr>
          <w:rFonts w:ascii="Times New Roman" w:hAnsi="Times New Roman" w:cs="Times New Roman"/>
          <w:sz w:val="24"/>
          <w:szCs w:val="24"/>
        </w:rPr>
        <w:t xml:space="preserve"> dominion </w:t>
      </w:r>
      <w:r>
        <w:rPr>
          <w:rFonts w:ascii="Times New Roman" w:hAnsi="Times New Roman" w:cs="Times New Roman"/>
          <w:sz w:val="24"/>
          <w:szCs w:val="24"/>
        </w:rPr>
        <w:t>status</w:t>
      </w:r>
      <w:r w:rsidRPr="00A40DD6">
        <w:rPr>
          <w:rFonts w:ascii="Times New Roman" w:hAnsi="Times New Roman" w:cs="Times New Roman"/>
          <w:sz w:val="24"/>
          <w:szCs w:val="24"/>
        </w:rPr>
        <w:t xml:space="preserve">, and to persuade Ulster unionists to </w:t>
      </w:r>
      <w:r>
        <w:rPr>
          <w:rFonts w:ascii="Times New Roman" w:hAnsi="Times New Roman" w:cs="Times New Roman"/>
          <w:sz w:val="24"/>
          <w:szCs w:val="24"/>
        </w:rPr>
        <w:t>enter</w:t>
      </w:r>
      <w:r w:rsidRPr="00A40DD6">
        <w:rPr>
          <w:rFonts w:ascii="Times New Roman" w:hAnsi="Times New Roman" w:cs="Times New Roman"/>
          <w:sz w:val="24"/>
          <w:szCs w:val="24"/>
        </w:rPr>
        <w:t xml:space="preserve"> an all-Ireland parliament.</w:t>
      </w:r>
      <w:r w:rsidRPr="00A40DD6">
        <w:rPr>
          <w:rFonts w:ascii="Times New Roman" w:eastAsia="Calibri" w:hAnsi="Times New Roman" w:cs="Times New Roman"/>
          <w:sz w:val="24"/>
          <w:szCs w:val="24"/>
          <w:vertAlign w:val="superscript"/>
        </w:rPr>
        <w:footnoteReference w:id="27"/>
      </w:r>
      <w:r>
        <w:rPr>
          <w:rFonts w:ascii="Times New Roman" w:hAnsi="Times New Roman" w:cs="Times New Roman"/>
          <w:sz w:val="24"/>
          <w:szCs w:val="24"/>
        </w:rPr>
        <w:t xml:space="preserve"> Plunkett </w:t>
      </w:r>
      <w:r>
        <w:rPr>
          <w:rFonts w:ascii="Times New Roman" w:hAnsi="Times New Roman" w:cs="Times New Roman"/>
          <w:sz w:val="24"/>
          <w:szCs w:val="24"/>
        </w:rPr>
        <w:lastRenderedPageBreak/>
        <w:t xml:space="preserve">spent much of 1918 trying to bring together influential figures </w:t>
      </w:r>
      <w:r w:rsidRPr="00262AB7">
        <w:rPr>
          <w:rFonts w:ascii="Times New Roman" w:hAnsi="Times New Roman" w:cs="Times New Roman"/>
          <w:sz w:val="24"/>
          <w:szCs w:val="24"/>
        </w:rPr>
        <w:t>in pursuit of such a solution. According to a close associate, he had decided to:</w:t>
      </w:r>
    </w:p>
    <w:p w14:paraId="4131F7BF" w14:textId="77777777" w:rsidR="001B747D" w:rsidRPr="00262AB7" w:rsidRDefault="001B747D" w:rsidP="007232AE">
      <w:pPr>
        <w:spacing w:after="0" w:line="360" w:lineRule="auto"/>
        <w:ind w:firstLine="720"/>
        <w:jc w:val="both"/>
        <w:rPr>
          <w:rFonts w:ascii="Times New Roman" w:hAnsi="Times New Roman" w:cs="Times New Roman"/>
          <w:sz w:val="24"/>
          <w:szCs w:val="24"/>
        </w:rPr>
      </w:pPr>
    </w:p>
    <w:p w14:paraId="34FA3487" w14:textId="77777777" w:rsidR="001B747D" w:rsidRDefault="001B747D" w:rsidP="007232AE">
      <w:pPr>
        <w:spacing w:after="0" w:line="360" w:lineRule="auto"/>
        <w:ind w:left="720"/>
        <w:jc w:val="both"/>
        <w:rPr>
          <w:rFonts w:ascii="Times New Roman" w:hAnsi="Times New Roman" w:cs="Times New Roman"/>
          <w:sz w:val="24"/>
          <w:szCs w:val="24"/>
        </w:rPr>
      </w:pPr>
      <w:r w:rsidRPr="00262AB7">
        <w:rPr>
          <w:rFonts w:ascii="Times New Roman" w:hAnsi="Times New Roman" w:cs="Times New Roman"/>
          <w:sz w:val="24"/>
          <w:szCs w:val="24"/>
        </w:rPr>
        <w:t>launch a new organisation more or less on Centre Party lines … his idea roughly is that an organisation of moderate men should be formed who believe (a) that Ireland should have self-gov</w:t>
      </w:r>
      <w:r>
        <w:rPr>
          <w:rFonts w:ascii="Times New Roman" w:hAnsi="Times New Roman" w:cs="Times New Roman"/>
          <w:sz w:val="24"/>
          <w:szCs w:val="24"/>
        </w:rPr>
        <w:t>[</w:t>
      </w:r>
      <w:proofErr w:type="spellStart"/>
      <w:r>
        <w:rPr>
          <w:rFonts w:ascii="Times New Roman" w:hAnsi="Times New Roman" w:cs="Times New Roman"/>
          <w:sz w:val="24"/>
          <w:szCs w:val="24"/>
        </w:rPr>
        <w:t>ernmen</w:t>
      </w:r>
      <w:proofErr w:type="spellEnd"/>
      <w:r>
        <w:rPr>
          <w:rFonts w:ascii="Times New Roman" w:hAnsi="Times New Roman" w:cs="Times New Roman"/>
          <w:sz w:val="24"/>
          <w:szCs w:val="24"/>
        </w:rPr>
        <w:t>]</w:t>
      </w:r>
      <w:r w:rsidRPr="00262AB7">
        <w:rPr>
          <w:rFonts w:ascii="Times New Roman" w:hAnsi="Times New Roman" w:cs="Times New Roman"/>
          <w:sz w:val="24"/>
          <w:szCs w:val="24"/>
        </w:rPr>
        <w:t>t. (b) but not separation nor (c) partition and (d) that she should maintain cordial relations with the people of Great Britain.</w:t>
      </w:r>
      <w:r w:rsidRPr="00262AB7">
        <w:rPr>
          <w:rStyle w:val="FootnoteReference"/>
          <w:rFonts w:ascii="Times New Roman" w:hAnsi="Times New Roman" w:cs="Times New Roman"/>
          <w:sz w:val="24"/>
          <w:szCs w:val="24"/>
        </w:rPr>
        <w:footnoteReference w:id="28"/>
      </w:r>
      <w:r w:rsidRPr="00262AB7">
        <w:rPr>
          <w:rFonts w:ascii="Times New Roman" w:hAnsi="Times New Roman" w:cs="Times New Roman"/>
          <w:sz w:val="24"/>
          <w:szCs w:val="24"/>
        </w:rPr>
        <w:t xml:space="preserve"> </w:t>
      </w:r>
    </w:p>
    <w:p w14:paraId="7DBDE639" w14:textId="77777777" w:rsidR="001B747D" w:rsidRPr="00262AB7" w:rsidRDefault="001B747D" w:rsidP="007232AE">
      <w:pPr>
        <w:spacing w:after="0" w:line="360" w:lineRule="auto"/>
        <w:ind w:left="720"/>
        <w:jc w:val="both"/>
        <w:rPr>
          <w:rFonts w:ascii="Times New Roman" w:hAnsi="Times New Roman" w:cs="Times New Roman"/>
          <w:sz w:val="24"/>
          <w:szCs w:val="24"/>
        </w:rPr>
      </w:pPr>
    </w:p>
    <w:p w14:paraId="793607F9" w14:textId="69250F9D" w:rsidR="001B747D" w:rsidRDefault="001B747D" w:rsidP="007232AE">
      <w:pPr>
        <w:spacing w:after="0" w:line="360" w:lineRule="auto"/>
        <w:jc w:val="both"/>
        <w:rPr>
          <w:rFonts w:ascii="Times New Roman" w:hAnsi="Times New Roman" w:cs="Times New Roman"/>
          <w:sz w:val="24"/>
          <w:szCs w:val="24"/>
        </w:rPr>
      </w:pPr>
      <w:r w:rsidRPr="00262AB7">
        <w:rPr>
          <w:rFonts w:ascii="Times New Roman" w:hAnsi="Times New Roman" w:cs="Times New Roman"/>
          <w:sz w:val="24"/>
          <w:szCs w:val="24"/>
        </w:rPr>
        <w:t>Plunkett, in common with many</w:t>
      </w:r>
      <w:r w:rsidRPr="00A90FDA">
        <w:rPr>
          <w:rFonts w:ascii="Times New Roman" w:hAnsi="Times New Roman" w:cs="Times New Roman"/>
          <w:sz w:val="24"/>
          <w:szCs w:val="24"/>
        </w:rPr>
        <w:t xml:space="preserve"> Protestant unionists who came to endorse home rule, had a horror of partition</w:t>
      </w:r>
      <w:r>
        <w:rPr>
          <w:rFonts w:ascii="Times New Roman" w:hAnsi="Times New Roman" w:cs="Times New Roman"/>
          <w:sz w:val="24"/>
          <w:szCs w:val="24"/>
        </w:rPr>
        <w:t>, believing the</w:t>
      </w:r>
      <w:r w:rsidRPr="00A90FDA">
        <w:rPr>
          <w:rFonts w:ascii="Times New Roman" w:hAnsi="Times New Roman" w:cs="Times New Roman"/>
          <w:sz w:val="24"/>
          <w:szCs w:val="24"/>
        </w:rPr>
        <w:t xml:space="preserve"> division of the island</w:t>
      </w:r>
      <w:r>
        <w:rPr>
          <w:rFonts w:ascii="Times New Roman" w:hAnsi="Times New Roman" w:cs="Times New Roman"/>
          <w:sz w:val="24"/>
          <w:szCs w:val="24"/>
        </w:rPr>
        <w:t xml:space="preserve"> would damage </w:t>
      </w:r>
      <w:r w:rsidRPr="00A90FDA">
        <w:rPr>
          <w:rFonts w:ascii="Times New Roman" w:hAnsi="Times New Roman" w:cs="Times New Roman"/>
          <w:sz w:val="24"/>
          <w:szCs w:val="24"/>
        </w:rPr>
        <w:t>commerce and industry, undermin</w:t>
      </w:r>
      <w:r>
        <w:rPr>
          <w:rFonts w:ascii="Times New Roman" w:hAnsi="Times New Roman" w:cs="Times New Roman"/>
          <w:sz w:val="24"/>
          <w:szCs w:val="24"/>
        </w:rPr>
        <w:t>e</w:t>
      </w:r>
      <w:r w:rsidRPr="00A90FDA">
        <w:rPr>
          <w:rFonts w:ascii="Times New Roman" w:hAnsi="Times New Roman" w:cs="Times New Roman"/>
          <w:sz w:val="24"/>
          <w:szCs w:val="24"/>
        </w:rPr>
        <w:t xml:space="preserve"> Protestant and landed influence in the south,</w:t>
      </w:r>
      <w:r>
        <w:rPr>
          <w:rFonts w:ascii="Times New Roman" w:hAnsi="Times New Roman" w:cs="Times New Roman"/>
          <w:sz w:val="24"/>
          <w:szCs w:val="24"/>
        </w:rPr>
        <w:t xml:space="preserve"> increase sectarianism on both sides,</w:t>
      </w:r>
      <w:r w:rsidRPr="00A90FDA">
        <w:rPr>
          <w:rFonts w:ascii="Times New Roman" w:hAnsi="Times New Roman" w:cs="Times New Roman"/>
          <w:sz w:val="24"/>
          <w:szCs w:val="24"/>
        </w:rPr>
        <w:t xml:space="preserve"> and lead inevitably to a republic. To meet Ulster’s concerns, he </w:t>
      </w:r>
      <w:r>
        <w:rPr>
          <w:rFonts w:ascii="Times New Roman" w:hAnsi="Times New Roman" w:cs="Times New Roman"/>
          <w:sz w:val="24"/>
          <w:szCs w:val="24"/>
        </w:rPr>
        <w:t>suggested</w:t>
      </w:r>
      <w:r w:rsidRPr="00A90FDA">
        <w:rPr>
          <w:rFonts w:ascii="Times New Roman" w:hAnsi="Times New Roman" w:cs="Times New Roman"/>
          <w:sz w:val="24"/>
          <w:szCs w:val="24"/>
        </w:rPr>
        <w:t xml:space="preserve"> a</w:t>
      </w:r>
      <w:r>
        <w:rPr>
          <w:rFonts w:ascii="Times New Roman" w:hAnsi="Times New Roman" w:cs="Times New Roman"/>
          <w:sz w:val="24"/>
          <w:szCs w:val="24"/>
        </w:rPr>
        <w:t xml:space="preserve"> special</w:t>
      </w:r>
      <w:r w:rsidRPr="00A90FDA">
        <w:rPr>
          <w:rFonts w:ascii="Times New Roman" w:hAnsi="Times New Roman" w:cs="Times New Roman"/>
          <w:sz w:val="24"/>
          <w:szCs w:val="24"/>
        </w:rPr>
        <w:t xml:space="preserve"> administrative council for </w:t>
      </w:r>
      <w:r>
        <w:rPr>
          <w:rFonts w:ascii="Times New Roman" w:hAnsi="Times New Roman" w:cs="Times New Roman"/>
          <w:sz w:val="24"/>
          <w:szCs w:val="24"/>
        </w:rPr>
        <w:t>four</w:t>
      </w:r>
      <w:r w:rsidRPr="00A90FDA">
        <w:rPr>
          <w:rFonts w:ascii="Times New Roman" w:hAnsi="Times New Roman" w:cs="Times New Roman"/>
          <w:sz w:val="24"/>
          <w:szCs w:val="24"/>
        </w:rPr>
        <w:t xml:space="preserve"> or </w:t>
      </w:r>
      <w:r>
        <w:rPr>
          <w:rFonts w:ascii="Times New Roman" w:hAnsi="Times New Roman" w:cs="Times New Roman"/>
          <w:sz w:val="24"/>
          <w:szCs w:val="24"/>
        </w:rPr>
        <w:t>six northern</w:t>
      </w:r>
      <w:r w:rsidRPr="00A90FDA">
        <w:rPr>
          <w:rFonts w:ascii="Times New Roman" w:hAnsi="Times New Roman" w:cs="Times New Roman"/>
          <w:sz w:val="24"/>
          <w:szCs w:val="24"/>
        </w:rPr>
        <w:t xml:space="preserve"> counties, or else</w:t>
      </w:r>
      <w:r>
        <w:rPr>
          <w:rFonts w:ascii="Times New Roman" w:hAnsi="Times New Roman" w:cs="Times New Roman"/>
          <w:sz w:val="24"/>
          <w:szCs w:val="24"/>
        </w:rPr>
        <w:t xml:space="preserve"> the initial implementation of home rule, with the right of secession later. The division of the island was unthinkable: </w:t>
      </w:r>
      <w:r w:rsidRPr="00A90FDA">
        <w:rPr>
          <w:rFonts w:ascii="Times New Roman" w:hAnsi="Times New Roman" w:cs="Times New Roman"/>
          <w:sz w:val="24"/>
          <w:szCs w:val="24"/>
        </w:rPr>
        <w:t>‘while there may be many solutions, there is but one Ireland’.</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Plunkett may </w:t>
      </w:r>
      <w:r w:rsidR="00F57D58">
        <w:rPr>
          <w:rFonts w:ascii="Times New Roman" w:hAnsi="Times New Roman" w:cs="Times New Roman"/>
          <w:sz w:val="24"/>
          <w:szCs w:val="24"/>
        </w:rPr>
        <w:t>not have fully understood</w:t>
      </w:r>
      <w:r>
        <w:rPr>
          <w:rFonts w:ascii="Times New Roman" w:hAnsi="Times New Roman" w:cs="Times New Roman"/>
          <w:sz w:val="24"/>
          <w:szCs w:val="24"/>
        </w:rPr>
        <w:t xml:space="preserve"> Ulster unionist fears, but he showed real prescience about the dangers of northern resistance. In late 1921 he would write: ‘</w:t>
      </w:r>
      <w:r w:rsidRPr="00A90FDA">
        <w:rPr>
          <w:rFonts w:ascii="Times New Roman" w:hAnsi="Times New Roman" w:cs="Times New Roman"/>
          <w:sz w:val="24"/>
          <w:szCs w:val="24"/>
        </w:rPr>
        <w:t>the only thing which puzzles me about the attitude of the new rulers in Ireland … is the little attention paid to the Ulster difficulty’.</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ab/>
      </w:r>
      <w:r>
        <w:rPr>
          <w:rFonts w:ascii="Times New Roman" w:hAnsi="Times New Roman" w:cs="Times New Roman"/>
          <w:sz w:val="24"/>
          <w:szCs w:val="24"/>
        </w:rPr>
        <w:tab/>
      </w:r>
    </w:p>
    <w:p w14:paraId="28DCD19F" w14:textId="4DD4ED46" w:rsidR="001B747D" w:rsidRPr="00EC60A8" w:rsidRDefault="001B747D" w:rsidP="007232A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That Plunkett was suited to leading a national movement is dubious. Although well-connected, and much admired within his own circle, contemporaries recognised that he could be vain, obstinate and pedantic. He could </w:t>
      </w:r>
      <w:r w:rsidR="00F57D58">
        <w:rPr>
          <w:rFonts w:ascii="Times New Roman" w:hAnsi="Times New Roman" w:cs="Times New Roman"/>
          <w:sz w:val="24"/>
          <w:szCs w:val="24"/>
        </w:rPr>
        <w:t>overestimate</w:t>
      </w:r>
      <w:r>
        <w:rPr>
          <w:rFonts w:ascii="Times New Roman" w:hAnsi="Times New Roman" w:cs="Times New Roman"/>
          <w:sz w:val="24"/>
          <w:szCs w:val="24"/>
        </w:rPr>
        <w:t xml:space="preserve"> his ability to convince others, and often believed he enjoyed more popular support than was truly the case. In 1904 he badly damaged his reputation among nationalists when he publicly criticised Catholic clergy.</w:t>
      </w:r>
      <w:r w:rsidRPr="00290394">
        <w:rPr>
          <w:rFonts w:ascii="Times New Roman" w:eastAsia="Calibri" w:hAnsi="Times New Roman" w:cs="Times New Roman"/>
          <w:sz w:val="24"/>
          <w:szCs w:val="24"/>
          <w:vertAlign w:val="superscript"/>
        </w:rPr>
        <w:footnoteReference w:id="31"/>
      </w:r>
      <w:r>
        <w:rPr>
          <w:rFonts w:ascii="Times New Roman" w:hAnsi="Times New Roman" w:cs="Times New Roman"/>
          <w:sz w:val="24"/>
          <w:szCs w:val="24"/>
        </w:rPr>
        <w:t xml:space="preserve"> His conversion to home rule alienated southern unionists, whose support he would need to build a broad-based moderate movement. Plunkett’s chairmanship of the Convention has been strongly criticised. Inauspiciously, Lord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the southern unionist leader, blamed him for derailing a vote on a</w:t>
      </w:r>
      <w:r w:rsidRPr="00CC2EF3">
        <w:rPr>
          <w:rFonts w:ascii="Times New Roman" w:hAnsi="Times New Roman" w:cs="Times New Roman"/>
          <w:b/>
          <w:sz w:val="24"/>
          <w:szCs w:val="24"/>
        </w:rPr>
        <w:t xml:space="preserve"> </w:t>
      </w:r>
      <w:r>
        <w:rPr>
          <w:rFonts w:ascii="Times New Roman" w:hAnsi="Times New Roman" w:cs="Times New Roman"/>
          <w:sz w:val="24"/>
          <w:szCs w:val="24"/>
        </w:rPr>
        <w:t>home rule solution in January 1918, thus, he believed, destroying any hope for a settlement.</w:t>
      </w:r>
      <w:r w:rsidRPr="00A40DD6">
        <w:rPr>
          <w:rFonts w:ascii="Times New Roman" w:hAnsi="Times New Roman" w:cs="Times New Roman"/>
          <w:sz w:val="24"/>
          <w:szCs w:val="20"/>
          <w:vertAlign w:val="superscript"/>
        </w:rPr>
        <w:footnoteReference w:id="32"/>
      </w:r>
      <w:r w:rsidRPr="00A40DD6">
        <w:rPr>
          <w:rFonts w:ascii="Times New Roman" w:hAnsi="Times New Roman" w:cs="Times New Roman"/>
          <w:sz w:val="24"/>
          <w:szCs w:val="20"/>
        </w:rPr>
        <w:t xml:space="preserve"> </w:t>
      </w:r>
      <w:r>
        <w:rPr>
          <w:rFonts w:ascii="Times New Roman" w:hAnsi="Times New Roman" w:cs="Times New Roman"/>
          <w:sz w:val="24"/>
          <w:szCs w:val="20"/>
        </w:rPr>
        <w:t>In the words of one authority, Plunkett</w:t>
      </w:r>
      <w:r>
        <w:rPr>
          <w:rFonts w:ascii="Times New Roman" w:hAnsi="Times New Roman" w:cs="Times New Roman"/>
          <w:sz w:val="24"/>
          <w:szCs w:val="24"/>
        </w:rPr>
        <w:t xml:space="preserve"> ‘had, in truth, no talent whatsoever for </w:t>
      </w:r>
      <w:r>
        <w:rPr>
          <w:rFonts w:ascii="Times New Roman" w:hAnsi="Times New Roman" w:cs="Times New Roman"/>
          <w:sz w:val="24"/>
          <w:szCs w:val="24"/>
        </w:rPr>
        <w:lastRenderedPageBreak/>
        <w:t>politics’.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Furthermore, his health was poor. The aftereffects of an X-ray burn left him in constant pain, dependent on morphine, and afflicted with insomnia when he tried to abstain.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It was with a sense of obligation that he entered politics: </w:t>
      </w:r>
      <w:r w:rsidRPr="00115979">
        <w:rPr>
          <w:rFonts w:ascii="Times New Roman" w:hAnsi="Times New Roman" w:cs="Times New Roman"/>
          <w:sz w:val="24"/>
          <w:szCs w:val="24"/>
        </w:rPr>
        <w:t>‘It was a heavy strain on me but I have no option but to do my best … to arouse the dormant majority of Irish citizens to do their part in saving their country from the threatened Bolshevism’.</w:t>
      </w:r>
      <w:r w:rsidRPr="00115979">
        <w:rPr>
          <w:rStyle w:val="FootnoteReference"/>
          <w:rFonts w:ascii="Times New Roman" w:hAnsi="Times New Roman" w:cs="Times New Roman"/>
          <w:sz w:val="24"/>
          <w:szCs w:val="24"/>
        </w:rPr>
        <w:footnoteReference w:id="35"/>
      </w:r>
    </w:p>
    <w:p w14:paraId="3A628579" w14:textId="0DB980B0"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Plunkett was not the only Protestant home ruler planning to launch a moderate movement. With the Ulster Unionist Council’s endorsement of partition, the Irish Convention compact on self-government, and Sinn Féin’s enormous victory in</w:t>
      </w:r>
      <w:r w:rsidR="00A50B81">
        <w:rPr>
          <w:rFonts w:ascii="Times New Roman" w:hAnsi="Times New Roman" w:cs="Times New Roman"/>
          <w:sz w:val="24"/>
          <w:szCs w:val="24"/>
        </w:rPr>
        <w:t xml:space="preserve"> </w:t>
      </w:r>
      <w:r>
        <w:rPr>
          <w:rFonts w:ascii="Times New Roman" w:hAnsi="Times New Roman" w:cs="Times New Roman"/>
          <w:sz w:val="24"/>
          <w:szCs w:val="24"/>
        </w:rPr>
        <w:t xml:space="preserve">1918, there was a sense that southern unionists would cease independent activity and combine forces with representatives of the parliamentary tradition, to campaign for all-Ireland home rule with minority safeguards. Stephen </w:t>
      </w:r>
      <w:r w:rsidRPr="00A40DD6">
        <w:rPr>
          <w:rFonts w:ascii="Times New Roman" w:hAnsi="Times New Roman" w:cs="Times New Roman"/>
          <w:sz w:val="24"/>
          <w:szCs w:val="24"/>
        </w:rPr>
        <w:t>Gwynn</w:t>
      </w:r>
      <w:r>
        <w:rPr>
          <w:rFonts w:ascii="Times New Roman" w:hAnsi="Times New Roman" w:cs="Times New Roman"/>
          <w:sz w:val="24"/>
          <w:szCs w:val="24"/>
        </w:rPr>
        <w:t xml:space="preserve">, the writer and former Irish Parliamentary Party member, wrote to </w:t>
      </w:r>
      <w:r w:rsidRPr="00A40DD6">
        <w:rPr>
          <w:rFonts w:ascii="Times New Roman" w:hAnsi="Times New Roman" w:cs="Times New Roman"/>
          <w:sz w:val="24"/>
          <w:szCs w:val="24"/>
        </w:rPr>
        <w:t xml:space="preserve">Lord </w:t>
      </w:r>
      <w:proofErr w:type="spellStart"/>
      <w:r w:rsidRPr="00A40DD6">
        <w:rPr>
          <w:rFonts w:ascii="Times New Roman" w:hAnsi="Times New Roman" w:cs="Times New Roman"/>
          <w:sz w:val="24"/>
          <w:szCs w:val="24"/>
        </w:rPr>
        <w:t>Midleton</w:t>
      </w:r>
      <w:proofErr w:type="spellEnd"/>
      <w:r w:rsidRPr="00A40DD6">
        <w:rPr>
          <w:rFonts w:ascii="Times New Roman" w:hAnsi="Times New Roman" w:cs="Times New Roman"/>
          <w:sz w:val="24"/>
          <w:szCs w:val="24"/>
        </w:rPr>
        <w:t xml:space="preserve"> seeking his support for a party which would unite moderates and wavering unionists</w:t>
      </w:r>
      <w:r>
        <w:rPr>
          <w:rFonts w:ascii="Times New Roman" w:hAnsi="Times New Roman" w:cs="Times New Roman"/>
          <w:sz w:val="24"/>
          <w:szCs w:val="24"/>
        </w:rPr>
        <w:t xml:space="preserve">. Gwynn, a member of the Church of Ireland, </w:t>
      </w:r>
      <w:r w:rsidRPr="00A40DD6">
        <w:rPr>
          <w:rFonts w:ascii="Times New Roman" w:hAnsi="Times New Roman" w:cs="Times New Roman"/>
          <w:sz w:val="24"/>
          <w:szCs w:val="24"/>
        </w:rPr>
        <w:t>advocate</w:t>
      </w:r>
      <w:r>
        <w:rPr>
          <w:rFonts w:ascii="Times New Roman" w:hAnsi="Times New Roman" w:cs="Times New Roman"/>
          <w:sz w:val="24"/>
          <w:szCs w:val="24"/>
        </w:rPr>
        <w:t>d</w:t>
      </w:r>
      <w:r w:rsidRPr="00A40DD6">
        <w:rPr>
          <w:rFonts w:ascii="Times New Roman" w:hAnsi="Times New Roman" w:cs="Times New Roman"/>
          <w:sz w:val="24"/>
          <w:szCs w:val="24"/>
        </w:rPr>
        <w:t xml:space="preserve"> granting generous concessions to Ulster to avert partition.</w:t>
      </w:r>
      <w:r w:rsidRPr="00A40DD6">
        <w:rPr>
          <w:rFonts w:ascii="Times New Roman" w:eastAsia="Calibri" w:hAnsi="Times New Roman" w:cs="Times New Roman"/>
          <w:sz w:val="24"/>
          <w:szCs w:val="24"/>
          <w:vertAlign w:val="superscript"/>
        </w:rPr>
        <w:footnoteReference w:id="36"/>
      </w:r>
      <w:r w:rsidRPr="00A40DD6">
        <w:rPr>
          <w:rFonts w:ascii="Times New Roman" w:hAnsi="Times New Roman" w:cs="Times New Roman"/>
          <w:sz w:val="24"/>
          <w:szCs w:val="24"/>
        </w:rPr>
        <w:t xml:space="preserve"> </w:t>
      </w:r>
      <w:proofErr w:type="spellStart"/>
      <w:r w:rsidRPr="00A40DD6">
        <w:rPr>
          <w:rFonts w:ascii="Times New Roman" w:hAnsi="Times New Roman" w:cs="Times New Roman"/>
          <w:sz w:val="24"/>
          <w:szCs w:val="24"/>
        </w:rPr>
        <w:t>Midleton</w:t>
      </w:r>
      <w:proofErr w:type="spellEnd"/>
      <w:r w:rsidRPr="00A40DD6">
        <w:rPr>
          <w:rFonts w:ascii="Times New Roman" w:hAnsi="Times New Roman" w:cs="Times New Roman"/>
          <w:sz w:val="24"/>
          <w:szCs w:val="24"/>
        </w:rPr>
        <w:t xml:space="preserve"> rejected </w:t>
      </w:r>
      <w:r>
        <w:rPr>
          <w:rFonts w:ascii="Times New Roman" w:hAnsi="Times New Roman" w:cs="Times New Roman"/>
          <w:sz w:val="24"/>
          <w:szCs w:val="24"/>
        </w:rPr>
        <w:t>Gwynn’s</w:t>
      </w:r>
      <w:r w:rsidRPr="00A40DD6">
        <w:rPr>
          <w:rFonts w:ascii="Times New Roman" w:hAnsi="Times New Roman" w:cs="Times New Roman"/>
          <w:sz w:val="24"/>
          <w:szCs w:val="24"/>
        </w:rPr>
        <w:t xml:space="preserve"> advances, and instead precipitated a split within the </w:t>
      </w:r>
      <w:r>
        <w:rPr>
          <w:rFonts w:ascii="Times New Roman" w:hAnsi="Times New Roman" w:cs="Times New Roman"/>
          <w:sz w:val="24"/>
          <w:szCs w:val="24"/>
        </w:rPr>
        <w:t>Irish Unionist Alliance (</w:t>
      </w:r>
      <w:r w:rsidRPr="00A40DD6">
        <w:rPr>
          <w:rFonts w:ascii="Times New Roman" w:hAnsi="Times New Roman" w:cs="Times New Roman"/>
          <w:sz w:val="24"/>
          <w:szCs w:val="24"/>
        </w:rPr>
        <w:t>IUA</w:t>
      </w:r>
      <w:r>
        <w:rPr>
          <w:rFonts w:ascii="Times New Roman" w:hAnsi="Times New Roman" w:cs="Times New Roman"/>
          <w:sz w:val="24"/>
          <w:szCs w:val="24"/>
        </w:rPr>
        <w:t>)</w:t>
      </w:r>
      <w:r w:rsidRPr="00A40DD6">
        <w:rPr>
          <w:rFonts w:ascii="Times New Roman" w:hAnsi="Times New Roman" w:cs="Times New Roman"/>
          <w:sz w:val="24"/>
          <w:szCs w:val="24"/>
        </w:rPr>
        <w:t>, form</w:t>
      </w:r>
      <w:r>
        <w:rPr>
          <w:rFonts w:ascii="Times New Roman" w:hAnsi="Times New Roman" w:cs="Times New Roman"/>
          <w:sz w:val="24"/>
          <w:szCs w:val="24"/>
        </w:rPr>
        <w:t>ing</w:t>
      </w:r>
      <w:r w:rsidRPr="00A40DD6">
        <w:rPr>
          <w:rFonts w:ascii="Times New Roman" w:hAnsi="Times New Roman" w:cs="Times New Roman"/>
          <w:sz w:val="24"/>
          <w:szCs w:val="24"/>
        </w:rPr>
        <w:t xml:space="preserve"> </w:t>
      </w:r>
      <w:r>
        <w:rPr>
          <w:rFonts w:ascii="Times New Roman" w:hAnsi="Times New Roman" w:cs="Times New Roman"/>
          <w:sz w:val="24"/>
          <w:szCs w:val="24"/>
        </w:rPr>
        <w:t>a new</w:t>
      </w:r>
      <w:r w:rsidRPr="00A40DD6">
        <w:rPr>
          <w:rFonts w:ascii="Times New Roman" w:hAnsi="Times New Roman" w:cs="Times New Roman"/>
          <w:sz w:val="24"/>
          <w:szCs w:val="24"/>
        </w:rPr>
        <w:t xml:space="preserve"> organisation, the Unionist Anti-Partition League (APL).</w:t>
      </w:r>
      <w:r w:rsidRPr="00A40DD6">
        <w:rPr>
          <w:rFonts w:ascii="Times New Roman" w:eastAsia="Calibri" w:hAnsi="Times New Roman" w:cs="Times New Roman"/>
          <w:sz w:val="24"/>
          <w:szCs w:val="24"/>
          <w:vertAlign w:val="superscript"/>
        </w:rPr>
        <w:footnoteReference w:id="37"/>
      </w:r>
      <w:r w:rsidRPr="00A40DD6">
        <w:rPr>
          <w:rFonts w:ascii="Times New Roman" w:hAnsi="Times New Roman" w:cs="Times New Roman"/>
          <w:sz w:val="24"/>
          <w:szCs w:val="24"/>
        </w:rPr>
        <w:t xml:space="preserve"> </w:t>
      </w:r>
      <w:r>
        <w:rPr>
          <w:rFonts w:ascii="Times New Roman" w:hAnsi="Times New Roman" w:cs="Times New Roman"/>
          <w:sz w:val="24"/>
          <w:szCs w:val="24"/>
        </w:rPr>
        <w:t>The rank-and-file majority, known as the ‘die-hards’, retained the IUA name.</w:t>
      </w:r>
      <w:r w:rsidRPr="00A40DD6">
        <w:rPr>
          <w:rFonts w:ascii="Times New Roman" w:hAnsi="Times New Roman" w:cs="Times New Roman"/>
          <w:sz w:val="24"/>
          <w:szCs w:val="24"/>
        </w:rPr>
        <w:t xml:space="preserve"> Most prominent s</w:t>
      </w:r>
      <w:r>
        <w:rPr>
          <w:rFonts w:ascii="Times New Roman" w:hAnsi="Times New Roman" w:cs="Times New Roman"/>
          <w:sz w:val="24"/>
          <w:szCs w:val="24"/>
        </w:rPr>
        <w:t>outhern unionists</w:t>
      </w:r>
      <w:r w:rsidRPr="00A40DD6">
        <w:rPr>
          <w:rFonts w:ascii="Times New Roman" w:hAnsi="Times New Roman" w:cs="Times New Roman"/>
          <w:sz w:val="24"/>
          <w:szCs w:val="24"/>
        </w:rPr>
        <w:t xml:space="preserve"> defected to the new group</w:t>
      </w:r>
      <w:r>
        <w:rPr>
          <w:rFonts w:ascii="Times New Roman" w:hAnsi="Times New Roman" w:cs="Times New Roman"/>
          <w:sz w:val="24"/>
          <w:szCs w:val="24"/>
        </w:rPr>
        <w:t>: the APL’s</w:t>
      </w:r>
      <w:r w:rsidRPr="00A40DD6">
        <w:rPr>
          <w:rFonts w:ascii="Times New Roman" w:hAnsi="Times New Roman" w:cs="Times New Roman"/>
          <w:sz w:val="24"/>
          <w:szCs w:val="24"/>
        </w:rPr>
        <w:t xml:space="preserve"> first </w:t>
      </w:r>
      <w:r>
        <w:rPr>
          <w:rFonts w:ascii="Times New Roman" w:hAnsi="Times New Roman" w:cs="Times New Roman"/>
          <w:sz w:val="24"/>
          <w:szCs w:val="24"/>
        </w:rPr>
        <w:t>meeting</w:t>
      </w:r>
      <w:r w:rsidRPr="00A40DD6">
        <w:rPr>
          <w:rFonts w:ascii="Times New Roman" w:hAnsi="Times New Roman" w:cs="Times New Roman"/>
          <w:sz w:val="24"/>
          <w:szCs w:val="24"/>
        </w:rPr>
        <w:t xml:space="preserve"> was attended by two </w:t>
      </w:r>
      <w:r>
        <w:rPr>
          <w:rFonts w:ascii="Times New Roman" w:hAnsi="Times New Roman" w:cs="Times New Roman"/>
          <w:sz w:val="24"/>
          <w:szCs w:val="24"/>
        </w:rPr>
        <w:t>marquesses</w:t>
      </w:r>
      <w:r w:rsidRPr="00A40DD6">
        <w:rPr>
          <w:rFonts w:ascii="Times New Roman" w:hAnsi="Times New Roman" w:cs="Times New Roman"/>
          <w:sz w:val="24"/>
          <w:szCs w:val="24"/>
        </w:rPr>
        <w:t xml:space="preserve">, nine earls, three viscounts, three barons, four baronets, </w:t>
      </w:r>
      <w:r>
        <w:rPr>
          <w:rFonts w:ascii="Times New Roman" w:hAnsi="Times New Roman" w:cs="Times New Roman"/>
          <w:sz w:val="24"/>
          <w:szCs w:val="24"/>
        </w:rPr>
        <w:t>and numerous</w:t>
      </w:r>
      <w:r w:rsidRPr="00A40DD6">
        <w:rPr>
          <w:rFonts w:ascii="Times New Roman" w:hAnsi="Times New Roman" w:cs="Times New Roman"/>
          <w:sz w:val="24"/>
          <w:szCs w:val="24"/>
        </w:rPr>
        <w:t xml:space="preserve"> country gentlemen.</w:t>
      </w:r>
      <w:r w:rsidRPr="00A40DD6">
        <w:rPr>
          <w:rFonts w:ascii="Times New Roman" w:eastAsia="Calibri" w:hAnsi="Times New Roman" w:cs="Times New Roman"/>
          <w:sz w:val="24"/>
          <w:szCs w:val="24"/>
          <w:vertAlign w:val="superscript"/>
        </w:rPr>
        <w:footnoteReference w:id="38"/>
      </w:r>
      <w:r w:rsidRPr="00A40DD6">
        <w:rPr>
          <w:rFonts w:ascii="Times New Roman" w:hAnsi="Times New Roman" w:cs="Times New Roman"/>
          <w:sz w:val="24"/>
          <w:szCs w:val="24"/>
        </w:rPr>
        <w:t xml:space="preserve"> The APL’s policy, to ‘maintain the Legislative Union of Great Britain and Ireland; to secure Ireland against partition; to safeguard the liberties and interests of Irish Unionists’, resembled the policy of the IUA</w:t>
      </w:r>
      <w:r>
        <w:rPr>
          <w:rFonts w:ascii="Times New Roman" w:hAnsi="Times New Roman" w:cs="Times New Roman"/>
          <w:sz w:val="24"/>
          <w:szCs w:val="24"/>
        </w:rPr>
        <w:t>.</w:t>
      </w:r>
      <w:r w:rsidRPr="00A40DD6">
        <w:rPr>
          <w:rFonts w:ascii="Times New Roman" w:hAnsi="Times New Roman" w:cs="Times New Roman"/>
          <w:sz w:val="24"/>
          <w:szCs w:val="24"/>
        </w:rPr>
        <w:t xml:space="preserve"> </w:t>
      </w:r>
      <w:r>
        <w:rPr>
          <w:rFonts w:ascii="Times New Roman" w:hAnsi="Times New Roman" w:cs="Times New Roman"/>
          <w:sz w:val="24"/>
          <w:szCs w:val="24"/>
        </w:rPr>
        <w:t>H</w:t>
      </w:r>
      <w:r w:rsidRPr="00A40DD6">
        <w:rPr>
          <w:rFonts w:ascii="Times New Roman" w:hAnsi="Times New Roman" w:cs="Times New Roman"/>
          <w:sz w:val="24"/>
          <w:szCs w:val="24"/>
        </w:rPr>
        <w:t xml:space="preserve">owever, </w:t>
      </w:r>
      <w:proofErr w:type="spellStart"/>
      <w:r w:rsidRPr="00A40DD6">
        <w:rPr>
          <w:rFonts w:ascii="Times New Roman" w:hAnsi="Times New Roman" w:cs="Times New Roman"/>
          <w:sz w:val="24"/>
          <w:szCs w:val="24"/>
        </w:rPr>
        <w:t>Midleton’s</w:t>
      </w:r>
      <w:proofErr w:type="spellEnd"/>
      <w:r w:rsidRPr="00A40DD6">
        <w:rPr>
          <w:rFonts w:ascii="Times New Roman" w:hAnsi="Times New Roman" w:cs="Times New Roman"/>
          <w:sz w:val="24"/>
          <w:szCs w:val="24"/>
        </w:rPr>
        <w:t xml:space="preserve"> split from the die-hards implied </w:t>
      </w:r>
      <w:r>
        <w:rPr>
          <w:rFonts w:ascii="Times New Roman" w:hAnsi="Times New Roman" w:cs="Times New Roman"/>
          <w:sz w:val="24"/>
          <w:szCs w:val="24"/>
        </w:rPr>
        <w:t>acceptance of</w:t>
      </w:r>
      <w:r w:rsidRPr="00A40DD6">
        <w:rPr>
          <w:rFonts w:ascii="Times New Roman" w:hAnsi="Times New Roman" w:cs="Times New Roman"/>
          <w:sz w:val="24"/>
          <w:szCs w:val="24"/>
        </w:rPr>
        <w:t xml:space="preserve"> home rule as part of an arrangement to avoid partition.</w:t>
      </w:r>
      <w:r w:rsidRPr="00A40DD6">
        <w:rPr>
          <w:rFonts w:ascii="Times New Roman" w:eastAsia="Calibri" w:hAnsi="Times New Roman" w:cs="Times New Roman"/>
          <w:sz w:val="24"/>
          <w:szCs w:val="24"/>
          <w:vertAlign w:val="superscript"/>
        </w:rPr>
        <w:footnoteReference w:id="39"/>
      </w:r>
      <w:r w:rsidRPr="00A40DD6">
        <w:rPr>
          <w:rFonts w:ascii="Times New Roman" w:hAnsi="Times New Roman" w:cs="Times New Roman"/>
          <w:sz w:val="24"/>
          <w:szCs w:val="24"/>
        </w:rPr>
        <w:t xml:space="preserve"> Undeterred</w:t>
      </w:r>
      <w:r>
        <w:rPr>
          <w:rFonts w:ascii="Times New Roman" w:hAnsi="Times New Roman" w:cs="Times New Roman"/>
          <w:sz w:val="24"/>
          <w:szCs w:val="24"/>
        </w:rPr>
        <w:t xml:space="preserve">, in </w:t>
      </w:r>
      <w:r w:rsidRPr="00A40DD6">
        <w:rPr>
          <w:rFonts w:ascii="Times New Roman" w:hAnsi="Times New Roman" w:cs="Times New Roman"/>
          <w:sz w:val="24"/>
          <w:szCs w:val="24"/>
        </w:rPr>
        <w:t xml:space="preserve">January 1919 Gwynn </w:t>
      </w:r>
      <w:r>
        <w:rPr>
          <w:rFonts w:ascii="Times New Roman" w:hAnsi="Times New Roman" w:cs="Times New Roman"/>
          <w:sz w:val="24"/>
          <w:szCs w:val="24"/>
        </w:rPr>
        <w:t>founded</w:t>
      </w:r>
      <w:r w:rsidRPr="00A40DD6">
        <w:rPr>
          <w:rFonts w:ascii="Times New Roman" w:hAnsi="Times New Roman" w:cs="Times New Roman"/>
          <w:sz w:val="24"/>
          <w:szCs w:val="24"/>
        </w:rPr>
        <w:t xml:space="preserve"> the Irish Centre Party</w:t>
      </w:r>
      <w:r>
        <w:rPr>
          <w:rFonts w:ascii="Times New Roman" w:hAnsi="Times New Roman" w:cs="Times New Roman"/>
          <w:sz w:val="24"/>
          <w:szCs w:val="24"/>
        </w:rPr>
        <w:t>. It advocated a</w:t>
      </w:r>
      <w:r w:rsidRPr="00A40DD6">
        <w:rPr>
          <w:rFonts w:ascii="Times New Roman" w:hAnsi="Times New Roman" w:cs="Times New Roman"/>
          <w:sz w:val="24"/>
          <w:szCs w:val="24"/>
        </w:rPr>
        <w:t xml:space="preserve"> self-governing Ireland within the Empire, with a central parliament </w:t>
      </w:r>
      <w:r>
        <w:rPr>
          <w:rFonts w:ascii="Times New Roman" w:hAnsi="Times New Roman" w:cs="Times New Roman"/>
          <w:sz w:val="24"/>
          <w:szCs w:val="24"/>
        </w:rPr>
        <w:t>managing</w:t>
      </w:r>
      <w:r w:rsidRPr="00A40DD6">
        <w:rPr>
          <w:rFonts w:ascii="Times New Roman" w:hAnsi="Times New Roman" w:cs="Times New Roman"/>
          <w:sz w:val="24"/>
          <w:szCs w:val="24"/>
        </w:rPr>
        <w:t xml:space="preserve"> national affairs and provincial assemblies </w:t>
      </w:r>
      <w:r>
        <w:rPr>
          <w:rFonts w:ascii="Times New Roman" w:hAnsi="Times New Roman" w:cs="Times New Roman"/>
          <w:sz w:val="24"/>
          <w:szCs w:val="24"/>
        </w:rPr>
        <w:t xml:space="preserve">for </w:t>
      </w:r>
      <w:r w:rsidRPr="00A40DD6">
        <w:rPr>
          <w:rFonts w:ascii="Times New Roman" w:hAnsi="Times New Roman" w:cs="Times New Roman"/>
          <w:sz w:val="24"/>
          <w:szCs w:val="24"/>
        </w:rPr>
        <w:t>local affairs.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It also outlined domestic policies in health, housing, </w:t>
      </w:r>
      <w:r>
        <w:rPr>
          <w:rFonts w:ascii="Times New Roman" w:hAnsi="Times New Roman" w:cs="Times New Roman"/>
          <w:sz w:val="24"/>
          <w:szCs w:val="24"/>
        </w:rPr>
        <w:lastRenderedPageBreak/>
        <w:t>and education, as well as protections for minorities.</w:t>
      </w:r>
      <w:r>
        <w:rPr>
          <w:rStyle w:val="FootnoteReference"/>
          <w:rFonts w:ascii="Times New Roman" w:hAnsi="Times New Roman" w:cs="Times New Roman"/>
          <w:sz w:val="24"/>
          <w:szCs w:val="24"/>
        </w:rPr>
        <w:footnoteReference w:id="41"/>
      </w:r>
      <w:r w:rsidRPr="00A40DD6">
        <w:rPr>
          <w:rFonts w:ascii="Times New Roman" w:hAnsi="Times New Roman" w:cs="Times New Roman"/>
          <w:sz w:val="24"/>
          <w:szCs w:val="24"/>
        </w:rPr>
        <w:t xml:space="preserve"> Gwynn received support from several public figures, including the economist C.</w:t>
      </w:r>
      <w:r>
        <w:rPr>
          <w:rFonts w:ascii="Times New Roman" w:hAnsi="Times New Roman" w:cs="Times New Roman"/>
          <w:sz w:val="24"/>
          <w:szCs w:val="24"/>
        </w:rPr>
        <w:t xml:space="preserve"> </w:t>
      </w:r>
      <w:r w:rsidRPr="00A40DD6">
        <w:rPr>
          <w:rFonts w:ascii="Times New Roman" w:hAnsi="Times New Roman" w:cs="Times New Roman"/>
          <w:sz w:val="24"/>
          <w:szCs w:val="24"/>
        </w:rPr>
        <w:t xml:space="preserve">H. Oldham, </w:t>
      </w:r>
      <w:r>
        <w:rPr>
          <w:rFonts w:ascii="Times New Roman" w:hAnsi="Times New Roman" w:cs="Times New Roman"/>
          <w:sz w:val="24"/>
          <w:szCs w:val="24"/>
        </w:rPr>
        <w:t xml:space="preserve">the landowner </w:t>
      </w:r>
      <w:r w:rsidRPr="00A40DD6">
        <w:rPr>
          <w:rFonts w:ascii="Times New Roman" w:hAnsi="Times New Roman" w:cs="Times New Roman"/>
          <w:sz w:val="24"/>
          <w:szCs w:val="24"/>
        </w:rPr>
        <w:t xml:space="preserve">Sir Algernon </w:t>
      </w:r>
      <w:proofErr w:type="spellStart"/>
      <w:r w:rsidRPr="00A40DD6">
        <w:rPr>
          <w:rFonts w:ascii="Times New Roman" w:hAnsi="Times New Roman" w:cs="Times New Roman"/>
          <w:sz w:val="24"/>
          <w:szCs w:val="24"/>
        </w:rPr>
        <w:t>Coo</w:t>
      </w:r>
      <w:r>
        <w:rPr>
          <w:rFonts w:ascii="Times New Roman" w:hAnsi="Times New Roman" w:cs="Times New Roman"/>
          <w:sz w:val="24"/>
          <w:szCs w:val="24"/>
        </w:rPr>
        <w:t>te</w:t>
      </w:r>
      <w:proofErr w:type="spellEnd"/>
      <w:r>
        <w:rPr>
          <w:rFonts w:ascii="Times New Roman" w:hAnsi="Times New Roman" w:cs="Times New Roman"/>
          <w:sz w:val="24"/>
          <w:szCs w:val="24"/>
        </w:rPr>
        <w:t xml:space="preserve">, and General Sir Hubert Gough, former </w:t>
      </w:r>
      <w:r w:rsidRPr="00C255B8">
        <w:rPr>
          <w:rFonts w:ascii="Times New Roman" w:hAnsi="Times New Roman" w:cs="Times New Roman"/>
          <w:sz w:val="24"/>
          <w:szCs w:val="24"/>
        </w:rPr>
        <w:t>commande</w:t>
      </w:r>
      <w:r>
        <w:rPr>
          <w:rFonts w:ascii="Times New Roman" w:hAnsi="Times New Roman" w:cs="Times New Roman"/>
          <w:sz w:val="24"/>
          <w:szCs w:val="24"/>
        </w:rPr>
        <w:t>r of</w:t>
      </w:r>
      <w:r w:rsidRPr="00C255B8">
        <w:rPr>
          <w:rFonts w:ascii="Times New Roman" w:hAnsi="Times New Roman" w:cs="Times New Roman"/>
          <w:sz w:val="24"/>
          <w:szCs w:val="24"/>
        </w:rPr>
        <w:t xml:space="preserve"> the British Fifth Army</w:t>
      </w:r>
      <w:r>
        <w:rPr>
          <w:rFonts w:ascii="Times New Roman" w:hAnsi="Times New Roman" w:cs="Times New Roman"/>
          <w:sz w:val="24"/>
          <w:szCs w:val="24"/>
        </w:rPr>
        <w:t xml:space="preserve">. </w:t>
      </w:r>
    </w:p>
    <w:p w14:paraId="70A73C16" w14:textId="78A734A9" w:rsidR="001B747D" w:rsidRPr="006010D6" w:rsidRDefault="001B747D" w:rsidP="007232AE">
      <w:pPr>
        <w:spacing w:after="0" w:line="360" w:lineRule="auto"/>
        <w:ind w:firstLine="720"/>
        <w:jc w:val="both"/>
        <w:rPr>
          <w:rFonts w:ascii="Times New Roman" w:hAnsi="Times New Roman" w:cs="Times New Roman"/>
          <w:bCs/>
          <w:sz w:val="24"/>
          <w:szCs w:val="24"/>
        </w:rPr>
      </w:pPr>
      <w:r w:rsidRPr="00A40DD6">
        <w:rPr>
          <w:rFonts w:ascii="Times New Roman" w:hAnsi="Times New Roman" w:cs="Times New Roman"/>
          <w:sz w:val="24"/>
          <w:szCs w:val="24"/>
        </w:rPr>
        <w:t>In June 1919 Plunkett founded</w:t>
      </w:r>
      <w:r>
        <w:rPr>
          <w:rFonts w:ascii="Times New Roman" w:hAnsi="Times New Roman" w:cs="Times New Roman"/>
          <w:sz w:val="24"/>
          <w:szCs w:val="24"/>
        </w:rPr>
        <w:t xml:space="preserve"> his own organisation,</w:t>
      </w:r>
      <w:r w:rsidRPr="00A40DD6">
        <w:rPr>
          <w:rFonts w:ascii="Times New Roman" w:hAnsi="Times New Roman" w:cs="Times New Roman"/>
          <w:sz w:val="24"/>
          <w:szCs w:val="24"/>
        </w:rPr>
        <w:t xml:space="preserve"> the Irish Dominion League (IDL).</w:t>
      </w:r>
      <w:r w:rsidRPr="00A40DD6">
        <w:rPr>
          <w:rFonts w:ascii="Times New Roman" w:eastAsia="Calibri" w:hAnsi="Times New Roman" w:cs="Times New Roman"/>
          <w:sz w:val="24"/>
          <w:szCs w:val="24"/>
          <w:vertAlign w:val="superscript"/>
        </w:rPr>
        <w:footnoteReference w:id="42"/>
      </w:r>
      <w:r w:rsidRPr="00A40DD6">
        <w:rPr>
          <w:rFonts w:ascii="Times New Roman" w:hAnsi="Times New Roman" w:cs="Times New Roman"/>
          <w:sz w:val="24"/>
          <w:szCs w:val="24"/>
        </w:rPr>
        <w:t xml:space="preserve"> </w:t>
      </w:r>
      <w:r>
        <w:rPr>
          <w:rFonts w:ascii="Times New Roman" w:hAnsi="Times New Roman" w:cs="Times New Roman"/>
          <w:sz w:val="24"/>
          <w:szCs w:val="24"/>
        </w:rPr>
        <w:t xml:space="preserve">The party’s name reflected the growing post-general election consensus among moderates that the Liberal home rule idea was dead, and that only a degree of independence similar to that of Canada or Australia would be accepted by nationalists. Some senior British parliamentarians had come to recognise this. </w:t>
      </w:r>
      <w:r>
        <w:rPr>
          <w:rFonts w:ascii="Times New Roman" w:hAnsi="Times New Roman" w:cs="Times New Roman"/>
          <w:bCs/>
          <w:sz w:val="24"/>
          <w:szCs w:val="24"/>
        </w:rPr>
        <w:t>Lord Haldane argued in November 1919 that Ireland would never be satisfied with mere home rule, and that dominion status, similar to Canada, should be the basis for settlement.</w:t>
      </w:r>
      <w:r w:rsidRPr="00A40DD6">
        <w:rPr>
          <w:rFonts w:ascii="Times New Roman" w:eastAsia="Calibri" w:hAnsi="Times New Roman" w:cs="Times New Roman"/>
          <w:sz w:val="24"/>
          <w:szCs w:val="24"/>
          <w:vertAlign w:val="superscript"/>
        </w:rPr>
        <w:footnoteReference w:id="43"/>
      </w:r>
      <w:r>
        <w:rPr>
          <w:rFonts w:ascii="Times New Roman" w:hAnsi="Times New Roman" w:cs="Times New Roman"/>
          <w:b/>
          <w:bCs/>
          <w:sz w:val="24"/>
          <w:szCs w:val="24"/>
        </w:rPr>
        <w:t xml:space="preserve"> </w:t>
      </w:r>
      <w:r w:rsidRPr="00ED2ED4">
        <w:rPr>
          <w:rFonts w:ascii="Times New Roman" w:hAnsi="Times New Roman" w:cs="Times New Roman"/>
          <w:bCs/>
          <w:sz w:val="24"/>
          <w:szCs w:val="24"/>
        </w:rPr>
        <w:t>Plunkett’s advocacy o</w:t>
      </w:r>
      <w:r>
        <w:rPr>
          <w:rFonts w:ascii="Times New Roman" w:hAnsi="Times New Roman" w:cs="Times New Roman"/>
          <w:bCs/>
          <w:sz w:val="24"/>
          <w:szCs w:val="24"/>
        </w:rPr>
        <w:t xml:space="preserve">f </w:t>
      </w:r>
      <w:r w:rsidR="00F57D58">
        <w:rPr>
          <w:rFonts w:ascii="Times New Roman" w:hAnsi="Times New Roman" w:cs="Times New Roman"/>
          <w:bCs/>
          <w:sz w:val="24"/>
          <w:szCs w:val="24"/>
        </w:rPr>
        <w:t>d</w:t>
      </w:r>
      <w:r>
        <w:rPr>
          <w:rFonts w:ascii="Times New Roman" w:hAnsi="Times New Roman" w:cs="Times New Roman"/>
          <w:bCs/>
          <w:sz w:val="24"/>
          <w:szCs w:val="24"/>
        </w:rPr>
        <w:t xml:space="preserve">ominion </w:t>
      </w:r>
      <w:r w:rsidR="00F57D58">
        <w:rPr>
          <w:rFonts w:ascii="Times New Roman" w:hAnsi="Times New Roman" w:cs="Times New Roman"/>
          <w:bCs/>
          <w:sz w:val="24"/>
          <w:szCs w:val="24"/>
        </w:rPr>
        <w:t>h</w:t>
      </w:r>
      <w:r>
        <w:rPr>
          <w:rFonts w:ascii="Times New Roman" w:hAnsi="Times New Roman" w:cs="Times New Roman"/>
          <w:bCs/>
          <w:sz w:val="24"/>
          <w:szCs w:val="24"/>
        </w:rPr>
        <w:t xml:space="preserve">ome </w:t>
      </w:r>
      <w:r w:rsidR="00F57D58">
        <w:rPr>
          <w:rFonts w:ascii="Times New Roman" w:hAnsi="Times New Roman" w:cs="Times New Roman"/>
          <w:bCs/>
          <w:sz w:val="24"/>
          <w:szCs w:val="24"/>
        </w:rPr>
        <w:t>r</w:t>
      </w:r>
      <w:r>
        <w:rPr>
          <w:rFonts w:ascii="Times New Roman" w:hAnsi="Times New Roman" w:cs="Times New Roman"/>
          <w:bCs/>
          <w:sz w:val="24"/>
          <w:szCs w:val="24"/>
        </w:rPr>
        <w:t xml:space="preserve">ule was based on political and electoral calculation, rather than ideological commitment; as he put it, </w:t>
      </w:r>
      <w:r>
        <w:rPr>
          <w:rFonts w:ascii="Times New Roman" w:hAnsi="Times New Roman" w:cs="Times New Roman"/>
          <w:sz w:val="24"/>
          <w:szCs w:val="24"/>
        </w:rPr>
        <w:t>he was</w:t>
      </w:r>
      <w:r w:rsidRPr="00E12797">
        <w:rPr>
          <w:rFonts w:ascii="Times New Roman" w:hAnsi="Times New Roman" w:cs="Times New Roman"/>
          <w:sz w:val="24"/>
          <w:szCs w:val="24"/>
        </w:rPr>
        <w:t xml:space="preserve"> ‘</w:t>
      </w:r>
      <w:r>
        <w:rPr>
          <w:rFonts w:ascii="Times New Roman" w:hAnsi="Times New Roman" w:cs="Times New Roman"/>
          <w:sz w:val="24"/>
          <w:szCs w:val="24"/>
        </w:rPr>
        <w:t xml:space="preserve">advocating </w:t>
      </w:r>
      <w:r w:rsidRPr="00E12797">
        <w:rPr>
          <w:rFonts w:ascii="Times New Roman" w:hAnsi="Times New Roman" w:cs="Times New Roman"/>
          <w:sz w:val="24"/>
          <w:szCs w:val="24"/>
        </w:rPr>
        <w:t>the only solution of that eternal Question – the largest measure of autonomy consistent with the military safety of the British Isles and the safeguarding of the Protestant minority in the NE corner’.</w:t>
      </w:r>
      <w:r>
        <w:rPr>
          <w:rStyle w:val="FootnoteReference"/>
          <w:rFonts w:ascii="Times New Roman" w:hAnsi="Times New Roman" w:cs="Times New Roman"/>
          <w:sz w:val="24"/>
          <w:szCs w:val="24"/>
        </w:rPr>
        <w:footnoteReference w:id="44"/>
      </w:r>
      <w:r>
        <w:rPr>
          <w:rFonts w:ascii="Times New Roman" w:hAnsi="Times New Roman" w:cs="Times New Roman"/>
          <w:bCs/>
          <w:sz w:val="24"/>
          <w:szCs w:val="24"/>
        </w:rPr>
        <w:t xml:space="preserve"> He acknowledged an intellectual debt to Erskine Childers’ </w:t>
      </w:r>
      <w:r>
        <w:rPr>
          <w:rFonts w:ascii="Times New Roman" w:hAnsi="Times New Roman" w:cs="Times New Roman"/>
          <w:bCs/>
          <w:i/>
          <w:sz w:val="24"/>
          <w:szCs w:val="24"/>
        </w:rPr>
        <w:t xml:space="preserve">The framework of home rule </w:t>
      </w:r>
      <w:r>
        <w:rPr>
          <w:rFonts w:ascii="Times New Roman" w:hAnsi="Times New Roman" w:cs="Times New Roman"/>
          <w:bCs/>
          <w:sz w:val="24"/>
          <w:szCs w:val="24"/>
        </w:rPr>
        <w:t>(1911), for expounding the benefits of this solution: Plunkett was merely the ‘godfather’ of dominion status; Childers was the father.</w:t>
      </w:r>
      <w:r>
        <w:rPr>
          <w:rStyle w:val="FootnoteReference"/>
          <w:rFonts w:ascii="Times New Roman" w:hAnsi="Times New Roman" w:cs="Times New Roman"/>
          <w:bCs/>
          <w:sz w:val="24"/>
          <w:szCs w:val="24"/>
        </w:rPr>
        <w:footnoteReference w:id="45"/>
      </w:r>
    </w:p>
    <w:p w14:paraId="5AB8FC9F" w14:textId="6409EE03" w:rsidR="001B747D" w:rsidRPr="004472CF" w:rsidRDefault="001B747D" w:rsidP="007232AE">
      <w:pPr>
        <w:spacing w:after="0" w:line="360" w:lineRule="auto"/>
        <w:ind w:firstLine="720"/>
        <w:jc w:val="both"/>
        <w:rPr>
          <w:rFonts w:ascii="Times New Roman" w:hAnsi="Times New Roman" w:cs="Times New Roman"/>
          <w:sz w:val="24"/>
          <w:szCs w:val="24"/>
        </w:rPr>
      </w:pPr>
      <w:r w:rsidRPr="00ED2ED4">
        <w:rPr>
          <w:rFonts w:ascii="Times New Roman" w:hAnsi="Times New Roman" w:cs="Times New Roman"/>
          <w:bCs/>
          <w:sz w:val="24"/>
          <w:szCs w:val="24"/>
        </w:rPr>
        <w:t>The</w:t>
      </w:r>
      <w:r>
        <w:rPr>
          <w:rFonts w:ascii="Times New Roman" w:hAnsi="Times New Roman" w:cs="Times New Roman"/>
          <w:bCs/>
          <w:sz w:val="24"/>
          <w:szCs w:val="24"/>
        </w:rPr>
        <w:t xml:space="preserve"> victory of Sinn Féin and the destruction of the IPP may have perturbed moderates, but the fact that the old party still took 220,000 votes suggested a new movement had potential. For Plunkett, the collapse in law and order and the potential victory of ‘</w:t>
      </w:r>
      <w:r w:rsidRPr="00ED2ED4">
        <w:rPr>
          <w:rFonts w:ascii="Times New Roman" w:hAnsi="Times New Roman" w:cs="Times New Roman"/>
          <w:bCs/>
          <w:sz w:val="24"/>
          <w:szCs w:val="24"/>
        </w:rPr>
        <w:t>Northern &amp; Southern extremes</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6"/>
      </w:r>
      <w:r>
        <w:rPr>
          <w:rFonts w:ascii="Times New Roman" w:hAnsi="Times New Roman" w:cs="Times New Roman"/>
          <w:bCs/>
          <w:sz w:val="24"/>
          <w:szCs w:val="24"/>
        </w:rPr>
        <w:t xml:space="preserve"> informed his decision: </w:t>
      </w:r>
      <w:r w:rsidRPr="00E12797">
        <w:rPr>
          <w:rFonts w:ascii="Times New Roman" w:hAnsi="Times New Roman" w:cs="Times New Roman"/>
          <w:sz w:val="24"/>
          <w:szCs w:val="24"/>
        </w:rPr>
        <w:t>‘A moderate party must I think be formed on progressive Home Rule lines’.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Describing a discussion with a friend, Plunkett wrote,</w:t>
      </w:r>
      <w:r w:rsidRPr="00152F5B">
        <w:rPr>
          <w:rFonts w:ascii="Times New Roman" w:hAnsi="Times New Roman" w:cs="Times New Roman"/>
          <w:sz w:val="24"/>
          <w:szCs w:val="24"/>
        </w:rPr>
        <w:t xml:space="preserve"> ‘He says, and I agree, that the chief thing to do at the moment is to show that an Irish Parliament would not be dominated by Sinn </w:t>
      </w:r>
      <w:proofErr w:type="spellStart"/>
      <w:r w:rsidRPr="00152F5B">
        <w:rPr>
          <w:rFonts w:ascii="Times New Roman" w:hAnsi="Times New Roman" w:cs="Times New Roman"/>
          <w:sz w:val="24"/>
          <w:szCs w:val="24"/>
        </w:rPr>
        <w:t>Féiners</w:t>
      </w:r>
      <w:proofErr w:type="spellEnd"/>
      <w:r w:rsidRPr="00152F5B">
        <w:rPr>
          <w:rFonts w:ascii="Times New Roman" w:hAnsi="Times New Roman" w:cs="Times New Roman"/>
          <w:sz w:val="24"/>
          <w:szCs w:val="24"/>
        </w:rPr>
        <w:t>. That’s the job of the Irish Dominion League’.</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Other moderates could see the potential for a new movement. </w:t>
      </w:r>
      <w:r w:rsidRPr="00E12797">
        <w:rPr>
          <w:rFonts w:ascii="Times New Roman" w:hAnsi="Times New Roman" w:cs="Times New Roman"/>
          <w:sz w:val="24"/>
          <w:szCs w:val="24"/>
        </w:rPr>
        <w:t>Gwynn wr</w:t>
      </w:r>
      <w:r>
        <w:rPr>
          <w:rFonts w:ascii="Times New Roman" w:hAnsi="Times New Roman" w:cs="Times New Roman"/>
          <w:sz w:val="24"/>
          <w:szCs w:val="24"/>
        </w:rPr>
        <w:t>ote</w:t>
      </w:r>
      <w:r w:rsidRPr="00E12797">
        <w:rPr>
          <w:rFonts w:ascii="Times New Roman" w:hAnsi="Times New Roman" w:cs="Times New Roman"/>
          <w:sz w:val="24"/>
          <w:szCs w:val="24"/>
        </w:rPr>
        <w:t xml:space="preserve">: ‘The vast majority of those who voted for Republicans at the last election did not understand what they were doing. They thought [?] they were putting up a bargaining demand … They did not foresee war, [and] did </w:t>
      </w:r>
      <w:r w:rsidRPr="00E12797">
        <w:rPr>
          <w:rFonts w:ascii="Times New Roman" w:hAnsi="Times New Roman" w:cs="Times New Roman"/>
          <w:sz w:val="24"/>
          <w:szCs w:val="24"/>
        </w:rPr>
        <w:lastRenderedPageBreak/>
        <w:t>not want war’.</w:t>
      </w:r>
      <w:r>
        <w:rPr>
          <w:rStyle w:val="FootnoteReference"/>
          <w:rFonts w:ascii="Times New Roman" w:hAnsi="Times New Roman" w:cs="Times New Roman"/>
          <w:sz w:val="24"/>
          <w:szCs w:val="24"/>
        </w:rPr>
        <w:footnoteReference w:id="49"/>
      </w:r>
      <w:r w:rsidRPr="00E12797">
        <w:rPr>
          <w:rFonts w:ascii="Times New Roman" w:hAnsi="Times New Roman" w:cs="Times New Roman"/>
          <w:sz w:val="24"/>
          <w:szCs w:val="24"/>
        </w:rPr>
        <w:t xml:space="preserve"> </w:t>
      </w:r>
      <w:r w:rsidRPr="00BA1AB6">
        <w:rPr>
          <w:rFonts w:ascii="Times New Roman" w:hAnsi="Times New Roman" w:cs="Times New Roman"/>
          <w:sz w:val="24"/>
          <w:szCs w:val="24"/>
        </w:rPr>
        <w:t>Warre B. Wells</w:t>
      </w:r>
      <w:r w:rsidR="001400FD">
        <w:rPr>
          <w:rFonts w:ascii="Times New Roman" w:hAnsi="Times New Roman" w:cs="Times New Roman"/>
          <w:sz w:val="24"/>
          <w:szCs w:val="24"/>
        </w:rPr>
        <w:t xml:space="preserve">, a Dublin-born journalist who was prominent in </w:t>
      </w:r>
      <w:r w:rsidR="00450077">
        <w:rPr>
          <w:rFonts w:ascii="Times New Roman" w:hAnsi="Times New Roman" w:cs="Times New Roman"/>
          <w:sz w:val="24"/>
          <w:szCs w:val="24"/>
        </w:rPr>
        <w:t>moderate circles,</w:t>
      </w:r>
      <w:r>
        <w:rPr>
          <w:rFonts w:ascii="Times New Roman" w:hAnsi="Times New Roman" w:cs="Times New Roman"/>
          <w:sz w:val="24"/>
          <w:szCs w:val="24"/>
        </w:rPr>
        <w:t xml:space="preserve"> hoped to ‘d</w:t>
      </w:r>
      <w:r w:rsidRPr="00BA1AB6">
        <w:rPr>
          <w:rFonts w:ascii="Times New Roman" w:hAnsi="Times New Roman" w:cs="Times New Roman"/>
          <w:sz w:val="24"/>
          <w:szCs w:val="24"/>
        </w:rPr>
        <w:t>etach the right wing of S</w:t>
      </w:r>
      <w:r>
        <w:rPr>
          <w:rFonts w:ascii="Times New Roman" w:hAnsi="Times New Roman" w:cs="Times New Roman"/>
          <w:sz w:val="24"/>
          <w:szCs w:val="24"/>
        </w:rPr>
        <w:t xml:space="preserve">inn </w:t>
      </w:r>
      <w:r w:rsidRPr="00BA1AB6">
        <w:rPr>
          <w:rFonts w:ascii="Times New Roman" w:hAnsi="Times New Roman" w:cs="Times New Roman"/>
          <w:sz w:val="24"/>
          <w:szCs w:val="24"/>
        </w:rPr>
        <w:t>F</w:t>
      </w:r>
      <w:r>
        <w:rPr>
          <w:rFonts w:ascii="Times New Roman" w:hAnsi="Times New Roman" w:cs="Times New Roman"/>
          <w:sz w:val="24"/>
          <w:szCs w:val="24"/>
        </w:rPr>
        <w:t>éin’ while impressing ‘the Englisher with our sweet reasonableness’.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p>
    <w:p w14:paraId="05C03782" w14:textId="7295809D" w:rsidR="001B747D" w:rsidRDefault="001B747D" w:rsidP="007232AE">
      <w:pPr>
        <w:spacing w:after="0" w:line="360" w:lineRule="auto"/>
        <w:ind w:firstLine="720"/>
        <w:jc w:val="both"/>
        <w:rPr>
          <w:rFonts w:ascii="Times New Roman" w:hAnsi="Times New Roman" w:cs="Times New Roman"/>
          <w:sz w:val="24"/>
          <w:szCs w:val="24"/>
        </w:rPr>
      </w:pPr>
      <w:r w:rsidRPr="00BA1AB6">
        <w:rPr>
          <w:rFonts w:ascii="Times New Roman" w:hAnsi="Times New Roman" w:cs="Times New Roman"/>
          <w:sz w:val="24"/>
          <w:szCs w:val="24"/>
        </w:rPr>
        <w:t xml:space="preserve">The creation of the IDL prompted negotiations with Gwynn and </w:t>
      </w:r>
      <w:proofErr w:type="spellStart"/>
      <w:r w:rsidRPr="00BA1AB6">
        <w:rPr>
          <w:rFonts w:ascii="Times New Roman" w:hAnsi="Times New Roman" w:cs="Times New Roman"/>
          <w:sz w:val="24"/>
          <w:szCs w:val="24"/>
        </w:rPr>
        <w:t>Midleton</w:t>
      </w:r>
      <w:proofErr w:type="spellEnd"/>
      <w:r w:rsidRPr="00BA1AB6">
        <w:rPr>
          <w:rFonts w:ascii="Times New Roman" w:hAnsi="Times New Roman" w:cs="Times New Roman"/>
          <w:sz w:val="24"/>
          <w:szCs w:val="24"/>
        </w:rPr>
        <w:t xml:space="preserve"> about joining forces. Gwynn, delighted </w:t>
      </w:r>
      <w:r>
        <w:rPr>
          <w:rFonts w:ascii="Times New Roman" w:hAnsi="Times New Roman" w:cs="Times New Roman"/>
          <w:sz w:val="24"/>
          <w:szCs w:val="24"/>
        </w:rPr>
        <w:t xml:space="preserve">with the boost for </w:t>
      </w:r>
      <w:r w:rsidRPr="00BA1AB6">
        <w:rPr>
          <w:rFonts w:ascii="Times New Roman" w:hAnsi="Times New Roman" w:cs="Times New Roman"/>
          <w:sz w:val="24"/>
          <w:szCs w:val="24"/>
        </w:rPr>
        <w:t>moderate politics, subsumed his Irish Centre Party into the IDL. However, differences of opinion between the two men became apparent over Ulster. Plunkett disliked Gwynn’s proposal that Ulster should be given special status under home rule. This disagreement prefigured Gwynn’s later split from the IDL.</w:t>
      </w:r>
      <w:r w:rsidRPr="00A40DD6">
        <w:rPr>
          <w:rFonts w:eastAsia="Calibri"/>
          <w:vertAlign w:val="superscript"/>
        </w:rPr>
        <w:footnoteReference w:id="51"/>
      </w:r>
      <w:r>
        <w:rPr>
          <w:rFonts w:ascii="Times New Roman" w:hAnsi="Times New Roman" w:cs="Times New Roman"/>
          <w:sz w:val="24"/>
          <w:szCs w:val="24"/>
        </w:rPr>
        <w:t xml:space="preserve"> Lord </w:t>
      </w: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supporters, </w:t>
      </w:r>
      <w:r w:rsidRPr="0059686B">
        <w:rPr>
          <w:rFonts w:ascii="Times New Roman" w:hAnsi="Times New Roman" w:cs="Times New Roman"/>
          <w:sz w:val="24"/>
          <w:szCs w:val="24"/>
        </w:rPr>
        <w:t>although</w:t>
      </w:r>
      <w:r>
        <w:rPr>
          <w:rFonts w:ascii="Times New Roman" w:hAnsi="Times New Roman" w:cs="Times New Roman"/>
          <w:sz w:val="24"/>
          <w:szCs w:val="24"/>
        </w:rPr>
        <w:t xml:space="preserve"> they entered discussions, ultimately declined the merge the APL with the League.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He hinted at constitutional flexibility, but there was an air of unreality about Lord </w:t>
      </w: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actions. Splitting southern unionism and forming a new organisation reduced, rather than enhanced, his influence. However,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was unwilling to declare his adherence to the home rule principle, and make common cause with the moderates. </w:t>
      </w:r>
      <w:r w:rsidRPr="00BA1AB6">
        <w:rPr>
          <w:rFonts w:ascii="Times New Roman" w:hAnsi="Times New Roman" w:cs="Times New Roman"/>
          <w:sz w:val="24"/>
          <w:szCs w:val="24"/>
        </w:rPr>
        <w:t xml:space="preserve">This </w:t>
      </w:r>
      <w:r>
        <w:rPr>
          <w:rFonts w:ascii="Times New Roman" w:hAnsi="Times New Roman" w:cs="Times New Roman"/>
          <w:sz w:val="24"/>
          <w:szCs w:val="24"/>
        </w:rPr>
        <w:t>decision</w:t>
      </w:r>
      <w:r w:rsidRPr="00BA1AB6">
        <w:rPr>
          <w:rFonts w:ascii="Times New Roman" w:hAnsi="Times New Roman" w:cs="Times New Roman"/>
          <w:sz w:val="24"/>
          <w:szCs w:val="24"/>
        </w:rPr>
        <w:t xml:space="preserve"> contributed to the </w:t>
      </w:r>
      <w:proofErr w:type="spellStart"/>
      <w:r w:rsidRPr="00BA1AB6">
        <w:rPr>
          <w:rFonts w:ascii="Times New Roman" w:hAnsi="Times New Roman" w:cs="Times New Roman"/>
          <w:sz w:val="24"/>
          <w:szCs w:val="24"/>
        </w:rPr>
        <w:t>sidelining</w:t>
      </w:r>
      <w:proofErr w:type="spellEnd"/>
      <w:r w:rsidRPr="00BA1AB6">
        <w:rPr>
          <w:rFonts w:ascii="Times New Roman" w:hAnsi="Times New Roman" w:cs="Times New Roman"/>
          <w:sz w:val="24"/>
          <w:szCs w:val="24"/>
        </w:rPr>
        <w:t xml:space="preserve"> of non-Sinn Féin </w:t>
      </w:r>
      <w:r>
        <w:rPr>
          <w:rFonts w:ascii="Times New Roman" w:hAnsi="Times New Roman" w:cs="Times New Roman"/>
          <w:sz w:val="24"/>
          <w:szCs w:val="24"/>
        </w:rPr>
        <w:t xml:space="preserve">and </w:t>
      </w:r>
      <w:r w:rsidRPr="00BA1AB6">
        <w:rPr>
          <w:rFonts w:ascii="Times New Roman" w:hAnsi="Times New Roman" w:cs="Times New Roman"/>
          <w:sz w:val="24"/>
          <w:szCs w:val="24"/>
        </w:rPr>
        <w:t>Ulster unionist voices in negotiations with the British government</w:t>
      </w:r>
      <w:r>
        <w:rPr>
          <w:rFonts w:ascii="Times New Roman" w:hAnsi="Times New Roman" w:cs="Times New Roman"/>
          <w:sz w:val="24"/>
          <w:szCs w:val="24"/>
        </w:rPr>
        <w:t xml:space="preserve"> in 1921</w:t>
      </w:r>
      <w:r w:rsidR="005311C9">
        <w:rPr>
          <w:rFonts w:ascii="Times New Roman" w:hAnsi="Times New Roman" w:cs="Times New Roman"/>
          <w:sz w:val="24"/>
          <w:szCs w:val="24"/>
        </w:rPr>
        <w:t xml:space="preserve">. </w:t>
      </w:r>
      <w:r>
        <w:rPr>
          <w:rFonts w:ascii="Times New Roman" w:hAnsi="Times New Roman" w:cs="Times New Roman"/>
          <w:sz w:val="24"/>
          <w:szCs w:val="24"/>
        </w:rPr>
        <w:t xml:space="preserve">Moderates, who had much in common socially with </w:t>
      </w: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supporters, and shared many of their perspectives, were dismayed</w:t>
      </w:r>
      <w:r w:rsidR="00AC763C">
        <w:rPr>
          <w:rFonts w:ascii="Times New Roman" w:hAnsi="Times New Roman" w:cs="Times New Roman"/>
          <w:sz w:val="24"/>
          <w:szCs w:val="24"/>
        </w:rPr>
        <w:t xml:space="preserve"> by </w:t>
      </w:r>
      <w:proofErr w:type="spellStart"/>
      <w:r w:rsidR="00AC763C">
        <w:rPr>
          <w:rFonts w:ascii="Times New Roman" w:hAnsi="Times New Roman" w:cs="Times New Roman"/>
          <w:sz w:val="24"/>
          <w:szCs w:val="24"/>
        </w:rPr>
        <w:t>Midleton’s</w:t>
      </w:r>
      <w:proofErr w:type="spellEnd"/>
      <w:r w:rsidR="00AC763C">
        <w:rPr>
          <w:rFonts w:ascii="Times New Roman" w:hAnsi="Times New Roman" w:cs="Times New Roman"/>
          <w:sz w:val="24"/>
          <w:szCs w:val="24"/>
        </w:rPr>
        <w:t xml:space="preserve"> actions,</w:t>
      </w:r>
      <w:r>
        <w:rPr>
          <w:rFonts w:ascii="Times New Roman" w:hAnsi="Times New Roman" w:cs="Times New Roman"/>
          <w:sz w:val="24"/>
          <w:szCs w:val="24"/>
        </w:rPr>
        <w:t xml:space="preserve"> and t</w:t>
      </w:r>
      <w:r w:rsidRPr="000C234F">
        <w:rPr>
          <w:rFonts w:ascii="Times New Roman" w:hAnsi="Times New Roman" w:cs="Times New Roman"/>
          <w:sz w:val="24"/>
          <w:szCs w:val="24"/>
        </w:rPr>
        <w:t xml:space="preserve">he </w:t>
      </w:r>
      <w:r>
        <w:rPr>
          <w:rFonts w:ascii="Times New Roman" w:hAnsi="Times New Roman" w:cs="Times New Roman"/>
          <w:sz w:val="24"/>
          <w:szCs w:val="24"/>
        </w:rPr>
        <w:t xml:space="preserve">Irish Dominion League would be consistently critical of the APL. </w:t>
      </w:r>
      <w:r w:rsidRPr="000C234F">
        <w:rPr>
          <w:rFonts w:ascii="Times New Roman" w:hAnsi="Times New Roman" w:cs="Times New Roman"/>
          <w:sz w:val="24"/>
          <w:szCs w:val="24"/>
        </w:rPr>
        <w:t xml:space="preserve">They were particularly scathing about </w:t>
      </w:r>
      <w:r>
        <w:rPr>
          <w:rFonts w:ascii="Times New Roman" w:hAnsi="Times New Roman" w:cs="Times New Roman"/>
          <w:sz w:val="24"/>
          <w:szCs w:val="24"/>
        </w:rPr>
        <w:t>their</w:t>
      </w:r>
      <w:r w:rsidRPr="000C234F">
        <w:rPr>
          <w:rFonts w:ascii="Times New Roman" w:hAnsi="Times New Roman" w:cs="Times New Roman"/>
          <w:sz w:val="24"/>
          <w:szCs w:val="24"/>
        </w:rPr>
        <w:t xml:space="preserve"> continued communications with </w:t>
      </w:r>
      <w:r>
        <w:rPr>
          <w:rFonts w:ascii="Times New Roman" w:hAnsi="Times New Roman" w:cs="Times New Roman"/>
          <w:sz w:val="24"/>
          <w:szCs w:val="24"/>
        </w:rPr>
        <w:t>Ulster unionists:</w:t>
      </w:r>
    </w:p>
    <w:p w14:paraId="3A1E1E3D" w14:textId="77777777" w:rsidR="001B747D" w:rsidRPr="000C234F" w:rsidRDefault="001B747D" w:rsidP="007232AE">
      <w:pPr>
        <w:spacing w:after="0" w:line="360" w:lineRule="auto"/>
        <w:ind w:firstLine="720"/>
        <w:jc w:val="both"/>
        <w:rPr>
          <w:rFonts w:ascii="Times New Roman" w:hAnsi="Times New Roman" w:cs="Times New Roman"/>
          <w:sz w:val="24"/>
          <w:szCs w:val="24"/>
        </w:rPr>
      </w:pPr>
    </w:p>
    <w:p w14:paraId="307AE3DA" w14:textId="77777777" w:rsidR="001B747D" w:rsidRDefault="001B747D" w:rsidP="007232AE">
      <w:pPr>
        <w:spacing w:after="0" w:line="360" w:lineRule="auto"/>
        <w:ind w:left="720"/>
        <w:jc w:val="both"/>
        <w:rPr>
          <w:rFonts w:ascii="Times New Roman" w:hAnsi="Times New Roman" w:cs="Times New Roman"/>
          <w:sz w:val="24"/>
          <w:szCs w:val="24"/>
        </w:rPr>
      </w:pPr>
      <w:r w:rsidRPr="0019261F">
        <w:rPr>
          <w:rFonts w:ascii="Times New Roman" w:hAnsi="Times New Roman" w:cs="Times New Roman"/>
          <w:sz w:val="24"/>
          <w:szCs w:val="24"/>
        </w:rPr>
        <w:t xml:space="preserve">Are the Southern Unionists disposed to lick the hand that spurns them [the Ulster unionists], to listen to the voice which can offer them no comfort than that they abandon their homes, their professions, their industries, and flee into the safety of the Ark of the broken Covenant from the deluge to come?... [The] Anti-Partition League tells us unnecessarily what [Lord </w:t>
      </w:r>
      <w:proofErr w:type="spellStart"/>
      <w:r w:rsidRPr="0019261F">
        <w:rPr>
          <w:rFonts w:ascii="Times New Roman" w:hAnsi="Times New Roman" w:cs="Times New Roman"/>
          <w:sz w:val="24"/>
          <w:szCs w:val="24"/>
        </w:rPr>
        <w:t>Midleton</w:t>
      </w:r>
      <w:proofErr w:type="spellEnd"/>
      <w:r w:rsidRPr="0019261F">
        <w:rPr>
          <w:rFonts w:ascii="Times New Roman" w:hAnsi="Times New Roman" w:cs="Times New Roman"/>
          <w:sz w:val="24"/>
          <w:szCs w:val="24"/>
        </w:rPr>
        <w:t>] and his friends are against.</w:t>
      </w:r>
      <w:r w:rsidRPr="0019261F">
        <w:rPr>
          <w:rFonts w:ascii="Times New Roman" w:eastAsia="Calibri" w:hAnsi="Times New Roman" w:cs="Times New Roman"/>
          <w:sz w:val="24"/>
          <w:szCs w:val="24"/>
          <w:vertAlign w:val="superscript"/>
        </w:rPr>
        <w:footnoteReference w:id="53"/>
      </w:r>
      <w:r w:rsidRPr="0019261F">
        <w:rPr>
          <w:rFonts w:ascii="Times New Roman" w:hAnsi="Times New Roman" w:cs="Times New Roman"/>
          <w:sz w:val="24"/>
          <w:szCs w:val="24"/>
        </w:rPr>
        <w:t xml:space="preserve">    </w:t>
      </w:r>
    </w:p>
    <w:p w14:paraId="7583E5ED" w14:textId="77777777" w:rsidR="001B747D" w:rsidRPr="0019261F" w:rsidRDefault="001B747D" w:rsidP="007232AE">
      <w:pPr>
        <w:spacing w:after="0" w:line="360" w:lineRule="auto"/>
        <w:ind w:left="720"/>
        <w:jc w:val="both"/>
        <w:rPr>
          <w:rFonts w:ascii="Times New Roman" w:hAnsi="Times New Roman" w:cs="Times New Roman"/>
          <w:sz w:val="24"/>
          <w:szCs w:val="24"/>
        </w:rPr>
      </w:pPr>
      <w:r w:rsidRPr="0019261F">
        <w:rPr>
          <w:rFonts w:ascii="Times New Roman" w:hAnsi="Times New Roman" w:cs="Times New Roman"/>
          <w:sz w:val="24"/>
          <w:szCs w:val="24"/>
        </w:rPr>
        <w:t xml:space="preserve">  </w:t>
      </w:r>
    </w:p>
    <w:p w14:paraId="6018BD17" w14:textId="77777777" w:rsidR="001B747D" w:rsidRPr="0070286C"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A40DD6">
        <w:rPr>
          <w:rFonts w:ascii="Times New Roman" w:hAnsi="Times New Roman" w:cs="Times New Roman"/>
          <w:sz w:val="24"/>
          <w:szCs w:val="24"/>
        </w:rPr>
        <w:t>he I</w:t>
      </w:r>
      <w:r>
        <w:rPr>
          <w:rFonts w:ascii="Times New Roman" w:hAnsi="Times New Roman" w:cs="Times New Roman"/>
          <w:sz w:val="24"/>
          <w:szCs w:val="24"/>
        </w:rPr>
        <w:t xml:space="preserve">rish </w:t>
      </w:r>
      <w:r w:rsidRPr="00A40DD6">
        <w:rPr>
          <w:rFonts w:ascii="Times New Roman" w:hAnsi="Times New Roman" w:cs="Times New Roman"/>
          <w:sz w:val="24"/>
          <w:szCs w:val="24"/>
        </w:rPr>
        <w:t>D</w:t>
      </w:r>
      <w:r>
        <w:rPr>
          <w:rFonts w:ascii="Times New Roman" w:hAnsi="Times New Roman" w:cs="Times New Roman"/>
          <w:sz w:val="24"/>
          <w:szCs w:val="24"/>
        </w:rPr>
        <w:t xml:space="preserve">ominion </w:t>
      </w:r>
      <w:r w:rsidRPr="00A40DD6">
        <w:rPr>
          <w:rFonts w:ascii="Times New Roman" w:hAnsi="Times New Roman" w:cs="Times New Roman"/>
          <w:sz w:val="24"/>
          <w:szCs w:val="24"/>
        </w:rPr>
        <w:t>L</w:t>
      </w:r>
      <w:r>
        <w:rPr>
          <w:rFonts w:ascii="Times New Roman" w:hAnsi="Times New Roman" w:cs="Times New Roman"/>
          <w:sz w:val="24"/>
          <w:szCs w:val="24"/>
        </w:rPr>
        <w:t>eague</w:t>
      </w:r>
      <w:r w:rsidRPr="00A40DD6">
        <w:rPr>
          <w:rFonts w:ascii="Times New Roman" w:hAnsi="Times New Roman" w:cs="Times New Roman"/>
          <w:sz w:val="24"/>
          <w:szCs w:val="24"/>
        </w:rPr>
        <w:t xml:space="preserve"> was the culmination of the old dream of a moderate party that would unite </w:t>
      </w:r>
      <w:r>
        <w:rPr>
          <w:rFonts w:ascii="Times New Roman" w:hAnsi="Times New Roman" w:cs="Times New Roman"/>
          <w:sz w:val="24"/>
          <w:szCs w:val="24"/>
        </w:rPr>
        <w:t xml:space="preserve">former </w:t>
      </w:r>
      <w:r w:rsidRPr="00A40DD6">
        <w:rPr>
          <w:rFonts w:ascii="Times New Roman" w:hAnsi="Times New Roman" w:cs="Times New Roman"/>
          <w:sz w:val="24"/>
          <w:szCs w:val="24"/>
        </w:rPr>
        <w:t>unionists (such as Plunkett)</w:t>
      </w:r>
      <w:r>
        <w:rPr>
          <w:rFonts w:ascii="Times New Roman" w:hAnsi="Times New Roman" w:cs="Times New Roman"/>
          <w:sz w:val="24"/>
          <w:szCs w:val="24"/>
        </w:rPr>
        <w:t xml:space="preserve"> and</w:t>
      </w:r>
      <w:r w:rsidRPr="00A40DD6">
        <w:rPr>
          <w:rFonts w:ascii="Times New Roman" w:hAnsi="Times New Roman" w:cs="Times New Roman"/>
          <w:sz w:val="24"/>
          <w:szCs w:val="24"/>
        </w:rPr>
        <w:t xml:space="preserve"> constitutional nationalists (such as Gwynn) in a single vehicle that would seek rapprochement with Ulster unionists and negotiate self-government.</w:t>
      </w:r>
      <w:r>
        <w:rPr>
          <w:rFonts w:ascii="Times New Roman" w:hAnsi="Times New Roman" w:cs="Times New Roman"/>
          <w:sz w:val="24"/>
          <w:szCs w:val="24"/>
        </w:rPr>
        <w:t xml:space="preserve"> </w:t>
      </w:r>
      <w:r w:rsidRPr="00A40DD6">
        <w:rPr>
          <w:rFonts w:ascii="Times New Roman" w:hAnsi="Times New Roman" w:cs="Times New Roman"/>
          <w:sz w:val="24"/>
          <w:szCs w:val="24"/>
        </w:rPr>
        <w:t>In June 1919 the IDL issued its manifesto</w:t>
      </w:r>
      <w:r>
        <w:rPr>
          <w:rFonts w:ascii="Times New Roman" w:hAnsi="Times New Roman" w:cs="Times New Roman"/>
          <w:sz w:val="24"/>
          <w:szCs w:val="24"/>
        </w:rPr>
        <w:t>,</w:t>
      </w:r>
      <w:r w:rsidRPr="00A40DD6">
        <w:rPr>
          <w:rFonts w:ascii="Times New Roman" w:hAnsi="Times New Roman" w:cs="Times New Roman"/>
          <w:sz w:val="24"/>
          <w:szCs w:val="24"/>
        </w:rPr>
        <w:t xml:space="preserve"> </w:t>
      </w:r>
      <w:r>
        <w:rPr>
          <w:rFonts w:ascii="Times New Roman" w:hAnsi="Times New Roman" w:cs="Times New Roman"/>
          <w:sz w:val="24"/>
          <w:szCs w:val="24"/>
        </w:rPr>
        <w:t>which</w:t>
      </w:r>
      <w:r w:rsidRPr="00A40DD6">
        <w:rPr>
          <w:rFonts w:ascii="Times New Roman" w:hAnsi="Times New Roman" w:cs="Times New Roman"/>
          <w:sz w:val="24"/>
          <w:szCs w:val="24"/>
        </w:rPr>
        <w:t xml:space="preserve"> </w:t>
      </w:r>
      <w:r>
        <w:rPr>
          <w:rFonts w:ascii="Times New Roman" w:hAnsi="Times New Roman" w:cs="Times New Roman"/>
          <w:sz w:val="24"/>
          <w:szCs w:val="24"/>
        </w:rPr>
        <w:t>sought</w:t>
      </w:r>
      <w:r w:rsidRPr="00A40DD6">
        <w:rPr>
          <w:rFonts w:ascii="Times New Roman" w:hAnsi="Times New Roman" w:cs="Times New Roman"/>
          <w:sz w:val="24"/>
          <w:szCs w:val="24"/>
        </w:rPr>
        <w:t xml:space="preserve"> dominion status within the Empire </w:t>
      </w:r>
      <w:r>
        <w:rPr>
          <w:rFonts w:ascii="Times New Roman" w:hAnsi="Times New Roman" w:cs="Times New Roman"/>
          <w:sz w:val="24"/>
          <w:szCs w:val="24"/>
        </w:rPr>
        <w:t xml:space="preserve">with </w:t>
      </w:r>
      <w:r w:rsidRPr="00A40DD6">
        <w:rPr>
          <w:rFonts w:ascii="Times New Roman" w:hAnsi="Times New Roman" w:cs="Times New Roman"/>
          <w:sz w:val="24"/>
          <w:szCs w:val="24"/>
        </w:rPr>
        <w:t xml:space="preserve">the degree of self-government enjoyed by Canada. Ireland would be </w:t>
      </w:r>
      <w:r w:rsidRPr="00A40DD6">
        <w:rPr>
          <w:rFonts w:ascii="Times New Roman" w:hAnsi="Times New Roman" w:cs="Times New Roman"/>
          <w:sz w:val="24"/>
          <w:szCs w:val="24"/>
        </w:rPr>
        <w:lastRenderedPageBreak/>
        <w:t>represented in the League of Nations</w:t>
      </w:r>
      <w:r>
        <w:rPr>
          <w:rFonts w:ascii="Times New Roman" w:hAnsi="Times New Roman" w:cs="Times New Roman"/>
          <w:sz w:val="24"/>
          <w:szCs w:val="24"/>
        </w:rPr>
        <w:t xml:space="preserve"> and at imperial conferences</w:t>
      </w:r>
      <w:r w:rsidRPr="00A40DD6">
        <w:rPr>
          <w:rFonts w:ascii="Times New Roman" w:hAnsi="Times New Roman" w:cs="Times New Roman"/>
          <w:sz w:val="24"/>
          <w:szCs w:val="24"/>
        </w:rPr>
        <w:t xml:space="preserve">, and would send no representatives to Westminster. </w:t>
      </w:r>
      <w:r>
        <w:rPr>
          <w:rFonts w:ascii="Times New Roman" w:hAnsi="Times New Roman" w:cs="Times New Roman"/>
          <w:sz w:val="24"/>
          <w:szCs w:val="24"/>
        </w:rPr>
        <w:t xml:space="preserve">It would have control of customs and excise and would seek a free trade agreement with Britain. </w:t>
      </w:r>
      <w:r w:rsidRPr="003D559D">
        <w:rPr>
          <w:rFonts w:ascii="Times New Roman" w:hAnsi="Times New Roman" w:cs="Times New Roman"/>
          <w:sz w:val="24"/>
          <w:szCs w:val="24"/>
        </w:rPr>
        <w:t xml:space="preserve">Military and naval </w:t>
      </w:r>
      <w:r>
        <w:rPr>
          <w:rFonts w:ascii="Times New Roman" w:hAnsi="Times New Roman" w:cs="Times New Roman"/>
          <w:sz w:val="24"/>
          <w:szCs w:val="24"/>
        </w:rPr>
        <w:t xml:space="preserve">defence ‘of the whole of these islands would remain, as now, under a single central control’, but only the Irish parliament could impose conscription. </w:t>
      </w:r>
      <w:r w:rsidRPr="00A40DD6">
        <w:rPr>
          <w:rFonts w:ascii="Times New Roman" w:hAnsi="Times New Roman" w:cs="Times New Roman"/>
          <w:sz w:val="24"/>
          <w:szCs w:val="24"/>
        </w:rPr>
        <w:t>Minority, signifying Protestant and unionist</w:t>
      </w:r>
      <w:r>
        <w:rPr>
          <w:rFonts w:ascii="Times New Roman" w:hAnsi="Times New Roman" w:cs="Times New Roman"/>
          <w:sz w:val="24"/>
          <w:szCs w:val="24"/>
        </w:rPr>
        <w:t>,</w:t>
      </w:r>
      <w:r w:rsidRPr="00A40DD6">
        <w:rPr>
          <w:rFonts w:ascii="Times New Roman" w:hAnsi="Times New Roman" w:cs="Times New Roman"/>
          <w:sz w:val="24"/>
          <w:szCs w:val="24"/>
        </w:rPr>
        <w:t xml:space="preserve"> rights would be safeguarded, and the Ulster unionists were exhorted to state their terms for agreeing to an all-Ireland </w:t>
      </w:r>
      <w:r>
        <w:rPr>
          <w:rFonts w:ascii="Times New Roman" w:hAnsi="Times New Roman" w:cs="Times New Roman"/>
          <w:sz w:val="24"/>
          <w:szCs w:val="24"/>
        </w:rPr>
        <w:t>parliament</w:t>
      </w:r>
      <w:r w:rsidRPr="00A40DD6">
        <w:rPr>
          <w:rFonts w:ascii="Times New Roman" w:hAnsi="Times New Roman" w:cs="Times New Roman"/>
          <w:sz w:val="24"/>
          <w:szCs w:val="24"/>
        </w:rPr>
        <w:t>.</w:t>
      </w:r>
      <w:r w:rsidRPr="00A40DD6">
        <w:rPr>
          <w:rFonts w:ascii="Times New Roman" w:eastAsia="Calibri" w:hAnsi="Times New Roman" w:cs="Times New Roman"/>
          <w:sz w:val="24"/>
          <w:szCs w:val="24"/>
          <w:vertAlign w:val="superscript"/>
        </w:rPr>
        <w:footnoteReference w:id="54"/>
      </w:r>
      <w:r>
        <w:rPr>
          <w:rFonts w:ascii="Times New Roman" w:hAnsi="Times New Roman" w:cs="Times New Roman"/>
          <w:sz w:val="24"/>
          <w:szCs w:val="24"/>
        </w:rPr>
        <w:t xml:space="preserve"> Ultimately, the League sought ‘</w:t>
      </w:r>
      <w:r w:rsidRPr="0070286C">
        <w:rPr>
          <w:rFonts w:ascii="Times New Roman" w:hAnsi="Times New Roman" w:cs="Times New Roman"/>
          <w:sz w:val="24"/>
          <w:szCs w:val="24"/>
        </w:rPr>
        <w:t>to afford the means for Irish people of all shades of political convictions and antecedents to combine in advocacy of Dominion status for Ireland as the only possible arrangement by which the antagonisms between Ireland and Great Britain and between North-East Ulster and Ireland could be amicably adjusted.’</w:t>
      </w:r>
      <w:r>
        <w:rPr>
          <w:rStyle w:val="FootnoteReference"/>
          <w:rFonts w:ascii="Times New Roman" w:hAnsi="Times New Roman" w:cs="Times New Roman"/>
          <w:sz w:val="24"/>
          <w:szCs w:val="24"/>
        </w:rPr>
        <w:footnoteReference w:id="55"/>
      </w:r>
      <w:r w:rsidRPr="0070286C">
        <w:rPr>
          <w:rFonts w:ascii="Times New Roman" w:hAnsi="Times New Roman" w:cs="Times New Roman"/>
          <w:sz w:val="24"/>
          <w:szCs w:val="24"/>
        </w:rPr>
        <w:t xml:space="preserve"> </w:t>
      </w:r>
    </w:p>
    <w:p w14:paraId="301B0F45" w14:textId="77777777" w:rsidR="001B747D" w:rsidRDefault="001B747D" w:rsidP="007232AE">
      <w:pPr>
        <w:spacing w:after="0" w:line="360" w:lineRule="auto"/>
        <w:ind w:firstLine="720"/>
        <w:jc w:val="both"/>
        <w:rPr>
          <w:rFonts w:ascii="Times New Roman" w:hAnsi="Times New Roman" w:cs="Times New Roman"/>
          <w:sz w:val="24"/>
          <w:szCs w:val="24"/>
        </w:rPr>
      </w:pPr>
      <w:r w:rsidRPr="00573D21">
        <w:rPr>
          <w:rFonts w:ascii="Times New Roman" w:hAnsi="Times New Roman" w:cs="Times New Roman"/>
          <w:sz w:val="24"/>
          <w:szCs w:val="24"/>
        </w:rPr>
        <w:t>Reaction was negative</w:t>
      </w:r>
      <w:r>
        <w:rPr>
          <w:rFonts w:ascii="Times New Roman" w:hAnsi="Times New Roman" w:cs="Times New Roman"/>
          <w:sz w:val="24"/>
          <w:szCs w:val="24"/>
        </w:rPr>
        <w:t xml:space="preserve">, and suggested neither unionists nor Sinn </w:t>
      </w:r>
      <w:proofErr w:type="spellStart"/>
      <w:r>
        <w:rPr>
          <w:rFonts w:ascii="Times New Roman" w:hAnsi="Times New Roman" w:cs="Times New Roman"/>
          <w:sz w:val="24"/>
          <w:szCs w:val="24"/>
        </w:rPr>
        <w:t>Féiners</w:t>
      </w:r>
      <w:proofErr w:type="spellEnd"/>
      <w:r>
        <w:rPr>
          <w:rFonts w:ascii="Times New Roman" w:hAnsi="Times New Roman" w:cs="Times New Roman"/>
          <w:sz w:val="24"/>
          <w:szCs w:val="24"/>
        </w:rPr>
        <w:t xml:space="preserve"> were, as yet, open to a dominion settlement.</w:t>
      </w:r>
      <w:r w:rsidRPr="00573D21">
        <w:rPr>
          <w:rFonts w:ascii="Times New Roman" w:hAnsi="Times New Roman" w:cs="Times New Roman"/>
          <w:sz w:val="24"/>
          <w:szCs w:val="24"/>
        </w:rPr>
        <w:t xml:space="preserve"> The </w:t>
      </w:r>
      <w:r>
        <w:rPr>
          <w:rFonts w:ascii="Times New Roman" w:hAnsi="Times New Roman" w:cs="Times New Roman"/>
          <w:sz w:val="24"/>
          <w:szCs w:val="24"/>
        </w:rPr>
        <w:t xml:space="preserve">Ulster unionist </w:t>
      </w:r>
      <w:r w:rsidRPr="00573D21">
        <w:rPr>
          <w:rFonts w:ascii="Times New Roman" w:hAnsi="Times New Roman" w:cs="Times New Roman"/>
          <w:i/>
          <w:sz w:val="24"/>
          <w:szCs w:val="24"/>
        </w:rPr>
        <w:t xml:space="preserve">Belfast News-Letter </w:t>
      </w:r>
      <w:r w:rsidRPr="00573D21">
        <w:rPr>
          <w:rFonts w:ascii="Times New Roman" w:hAnsi="Times New Roman" w:cs="Times New Roman"/>
          <w:sz w:val="24"/>
          <w:szCs w:val="24"/>
        </w:rPr>
        <w:t>described Plunkett as an ‘altogether impracticable [</w:t>
      </w:r>
      <w:r w:rsidRPr="0070286C">
        <w:rPr>
          <w:rFonts w:ascii="Times New Roman" w:hAnsi="Times New Roman" w:cs="Times New Roman"/>
          <w:i/>
          <w:sz w:val="24"/>
          <w:szCs w:val="24"/>
        </w:rPr>
        <w:t>sic</w:t>
      </w:r>
      <w:r w:rsidRPr="00573D21">
        <w:rPr>
          <w:rFonts w:ascii="Times New Roman" w:hAnsi="Times New Roman" w:cs="Times New Roman"/>
          <w:sz w:val="24"/>
          <w:szCs w:val="24"/>
        </w:rPr>
        <w:t>] politician’ and a ‘miserable weathercock of a public man’.</w:t>
      </w:r>
      <w:r w:rsidRPr="00A40DD6">
        <w:rPr>
          <w:rFonts w:eastAsia="Calibri"/>
          <w:vertAlign w:val="superscript"/>
        </w:rPr>
        <w:footnoteReference w:id="56"/>
      </w:r>
      <w:r w:rsidRPr="00573D21">
        <w:rPr>
          <w:rFonts w:ascii="Times New Roman" w:hAnsi="Times New Roman" w:cs="Times New Roman"/>
          <w:sz w:val="24"/>
          <w:szCs w:val="24"/>
        </w:rPr>
        <w:t xml:space="preserve"> </w:t>
      </w:r>
      <w:r>
        <w:rPr>
          <w:rFonts w:ascii="Times New Roman" w:hAnsi="Times New Roman" w:cs="Times New Roman"/>
          <w:sz w:val="24"/>
          <w:szCs w:val="24"/>
        </w:rPr>
        <w:t>Plunkett recorded that Edward Carson, in a 12 July speech, ‘</w:t>
      </w:r>
      <w:r w:rsidRPr="00382C13">
        <w:rPr>
          <w:rFonts w:ascii="Times New Roman" w:hAnsi="Times New Roman" w:cs="Times New Roman"/>
          <w:sz w:val="24"/>
          <w:szCs w:val="24"/>
        </w:rPr>
        <w:t>made a violent attack on the</w:t>
      </w:r>
      <w:r>
        <w:rPr>
          <w:rFonts w:ascii="Times New Roman" w:hAnsi="Times New Roman" w:cs="Times New Roman"/>
          <w:sz w:val="24"/>
          <w:szCs w:val="24"/>
        </w:rPr>
        <w:t xml:space="preserve"> </w:t>
      </w:r>
      <w:r w:rsidRPr="00382C13">
        <w:rPr>
          <w:rFonts w:ascii="Times New Roman" w:hAnsi="Times New Roman" w:cs="Times New Roman"/>
          <w:sz w:val="24"/>
          <w:szCs w:val="24"/>
        </w:rPr>
        <w:t>Irish Dominion League &amp; on me personally which I think will be</w:t>
      </w:r>
      <w:r>
        <w:rPr>
          <w:rFonts w:ascii="Times New Roman" w:hAnsi="Times New Roman" w:cs="Times New Roman"/>
          <w:sz w:val="24"/>
          <w:szCs w:val="24"/>
        </w:rPr>
        <w:t xml:space="preserve"> </w:t>
      </w:r>
      <w:r w:rsidRPr="00382C13">
        <w:rPr>
          <w:rFonts w:ascii="Times New Roman" w:hAnsi="Times New Roman" w:cs="Times New Roman"/>
          <w:sz w:val="24"/>
          <w:szCs w:val="24"/>
        </w:rPr>
        <w:t>helpful</w:t>
      </w:r>
      <w:r>
        <w:rPr>
          <w:rFonts w:ascii="Times New Roman" w:hAnsi="Times New Roman" w:cs="Times New Roman"/>
          <w:sz w:val="24"/>
          <w:szCs w:val="24"/>
        </w:rPr>
        <w:t>’</w:t>
      </w:r>
      <w:r w:rsidRPr="00382C13">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In the south, the die-hard </w:t>
      </w:r>
      <w:r w:rsidRPr="00573D21">
        <w:rPr>
          <w:rFonts w:ascii="Times New Roman" w:hAnsi="Times New Roman" w:cs="Times New Roman"/>
          <w:sz w:val="24"/>
          <w:szCs w:val="24"/>
        </w:rPr>
        <w:t>IUA condemned the L</w:t>
      </w:r>
      <w:r>
        <w:rPr>
          <w:rFonts w:ascii="Times New Roman" w:hAnsi="Times New Roman" w:cs="Times New Roman"/>
          <w:sz w:val="24"/>
          <w:szCs w:val="24"/>
        </w:rPr>
        <w:t>eague</w:t>
      </w:r>
      <w:r w:rsidRPr="00573D21">
        <w:rPr>
          <w:rFonts w:ascii="Times New Roman" w:hAnsi="Times New Roman" w:cs="Times New Roman"/>
          <w:sz w:val="24"/>
          <w:szCs w:val="24"/>
        </w:rPr>
        <w:t>.</w:t>
      </w:r>
      <w:r w:rsidRPr="00A40DD6">
        <w:rPr>
          <w:rFonts w:eastAsia="Calibri"/>
          <w:vertAlign w:val="superscript"/>
        </w:rPr>
        <w:footnoteReference w:id="58"/>
      </w:r>
      <w:r w:rsidRPr="00573D21">
        <w:rPr>
          <w:rFonts w:ascii="Times New Roman" w:hAnsi="Times New Roman" w:cs="Times New Roman"/>
          <w:sz w:val="24"/>
          <w:szCs w:val="24"/>
        </w:rPr>
        <w:t xml:space="preserve"> </w:t>
      </w:r>
      <w:r w:rsidRPr="00382C13">
        <w:rPr>
          <w:rFonts w:ascii="Times New Roman" w:hAnsi="Times New Roman" w:cs="Times New Roman"/>
          <w:sz w:val="24"/>
          <w:szCs w:val="24"/>
        </w:rPr>
        <w:t>Éamon de Valera</w:t>
      </w:r>
      <w:r>
        <w:rPr>
          <w:rFonts w:ascii="Times New Roman" w:hAnsi="Times New Roman" w:cs="Times New Roman"/>
          <w:sz w:val="24"/>
          <w:szCs w:val="24"/>
        </w:rPr>
        <w:t>, who was touring the U.S., alleged that the League was inspired by Lloyd George.</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Pr="00573D21">
        <w:rPr>
          <w:rFonts w:ascii="Times New Roman" w:hAnsi="Times New Roman" w:cs="Times New Roman"/>
          <w:sz w:val="24"/>
          <w:szCs w:val="24"/>
        </w:rPr>
        <w:t>Arthur Griffith denounced Plunkett and his associates as ‘British agents’.</w:t>
      </w:r>
      <w:r w:rsidRPr="00A40DD6">
        <w:rPr>
          <w:rFonts w:eastAsia="Calibri"/>
          <w:vertAlign w:val="superscript"/>
        </w:rPr>
        <w:footnoteReference w:id="60"/>
      </w:r>
      <w:r w:rsidRPr="00573D21">
        <w:rPr>
          <w:rFonts w:ascii="Times New Roman" w:hAnsi="Times New Roman" w:cs="Times New Roman"/>
          <w:sz w:val="24"/>
          <w:szCs w:val="24"/>
        </w:rPr>
        <w:t xml:space="preserve"> </w:t>
      </w:r>
      <w:r>
        <w:rPr>
          <w:rFonts w:ascii="Times New Roman" w:hAnsi="Times New Roman" w:cs="Times New Roman"/>
          <w:sz w:val="24"/>
          <w:szCs w:val="24"/>
        </w:rPr>
        <w:t>Representatives of the parliamentary tradition were less hostile. John Dillon, leader of the defeated IPP, had grown to respect Plunkett and his support would have been a coup for the League. But, for reasons  already noted, he declined to sign the manifesto.</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Joseph Devlin, the northern nationalist leader, was friendly when he met with Plunkett, but was privately scathing about the new organisation’s chances.</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t>
      </w:r>
      <w:r w:rsidRPr="00573D21">
        <w:rPr>
          <w:rFonts w:ascii="Times New Roman" w:hAnsi="Times New Roman" w:cs="Times New Roman"/>
          <w:sz w:val="24"/>
          <w:szCs w:val="24"/>
        </w:rPr>
        <w:t xml:space="preserve">The League made some concession to advanced nationalist opinion by declaring its manifesto represented the ‘irreducible </w:t>
      </w:r>
      <w:r w:rsidRPr="00573D21">
        <w:rPr>
          <w:rFonts w:ascii="Times New Roman" w:hAnsi="Times New Roman" w:cs="Times New Roman"/>
          <w:i/>
          <w:sz w:val="24"/>
          <w:szCs w:val="24"/>
        </w:rPr>
        <w:t>minimum</w:t>
      </w:r>
      <w:r w:rsidRPr="00573D21">
        <w:rPr>
          <w:rFonts w:ascii="Times New Roman" w:hAnsi="Times New Roman" w:cs="Times New Roman"/>
          <w:sz w:val="24"/>
          <w:szCs w:val="24"/>
        </w:rPr>
        <w:t>’ of the Irish national demand.</w:t>
      </w:r>
      <w:r w:rsidRPr="00A40DD6">
        <w:rPr>
          <w:rFonts w:eastAsia="Calibri"/>
          <w:vertAlign w:val="superscript"/>
        </w:rPr>
        <w:footnoteReference w:id="63"/>
      </w:r>
      <w:r w:rsidRPr="00573D21">
        <w:rPr>
          <w:rFonts w:ascii="Times New Roman" w:hAnsi="Times New Roman" w:cs="Times New Roman"/>
          <w:sz w:val="24"/>
          <w:szCs w:val="24"/>
        </w:rPr>
        <w:t xml:space="preserve"> </w:t>
      </w:r>
      <w:r>
        <w:rPr>
          <w:rFonts w:ascii="Times New Roman" w:hAnsi="Times New Roman" w:cs="Times New Roman"/>
          <w:sz w:val="24"/>
          <w:szCs w:val="24"/>
        </w:rPr>
        <w:t>However, a</w:t>
      </w:r>
      <w:r w:rsidRPr="00573D21">
        <w:rPr>
          <w:rFonts w:ascii="Times New Roman" w:hAnsi="Times New Roman" w:cs="Times New Roman"/>
          <w:sz w:val="24"/>
          <w:szCs w:val="24"/>
        </w:rPr>
        <w:t xml:space="preserve">s Colin Reid states, this formulation put the </w:t>
      </w:r>
      <w:r>
        <w:rPr>
          <w:rFonts w:ascii="Times New Roman" w:hAnsi="Times New Roman" w:cs="Times New Roman"/>
          <w:sz w:val="24"/>
          <w:szCs w:val="24"/>
        </w:rPr>
        <w:t>movement</w:t>
      </w:r>
      <w:r w:rsidRPr="00573D21">
        <w:rPr>
          <w:rFonts w:ascii="Times New Roman" w:hAnsi="Times New Roman" w:cs="Times New Roman"/>
          <w:sz w:val="24"/>
          <w:szCs w:val="24"/>
        </w:rPr>
        <w:t xml:space="preserve"> in a poor bargaining position in contrast to Sinn Féin, who </w:t>
      </w:r>
      <w:r w:rsidRPr="00573D21">
        <w:rPr>
          <w:rFonts w:ascii="Times New Roman" w:hAnsi="Times New Roman" w:cs="Times New Roman"/>
          <w:sz w:val="24"/>
          <w:szCs w:val="24"/>
        </w:rPr>
        <w:lastRenderedPageBreak/>
        <w:t>demanded a republic.</w:t>
      </w:r>
      <w:r w:rsidRPr="00A40DD6">
        <w:rPr>
          <w:rFonts w:eastAsia="Calibri"/>
          <w:vertAlign w:val="superscript"/>
        </w:rPr>
        <w:footnoteReference w:id="64"/>
      </w:r>
      <w:r w:rsidRPr="00573D21">
        <w:rPr>
          <w:rFonts w:ascii="Times New Roman" w:hAnsi="Times New Roman" w:cs="Times New Roman"/>
          <w:sz w:val="24"/>
          <w:szCs w:val="24"/>
        </w:rPr>
        <w:t xml:space="preserve"> </w:t>
      </w:r>
      <w:r>
        <w:rPr>
          <w:rFonts w:ascii="Times New Roman" w:hAnsi="Times New Roman" w:cs="Times New Roman"/>
          <w:sz w:val="24"/>
          <w:szCs w:val="24"/>
        </w:rPr>
        <w:t>Plunkett, who was in contact with moderate-minded figures within Sinn</w:t>
      </w:r>
      <w:r w:rsidRPr="0070286C">
        <w:rPr>
          <w:rFonts w:ascii="Times New Roman" w:hAnsi="Times New Roman" w:cs="Times New Roman"/>
          <w:sz w:val="24"/>
          <w:szCs w:val="24"/>
        </w:rPr>
        <w:t xml:space="preserve"> </w:t>
      </w:r>
      <w:r w:rsidRPr="005025DF">
        <w:rPr>
          <w:rFonts w:ascii="Times New Roman" w:hAnsi="Times New Roman" w:cs="Times New Roman"/>
          <w:sz w:val="24"/>
          <w:szCs w:val="24"/>
        </w:rPr>
        <w:t>Féin</w:t>
      </w:r>
      <w:r>
        <w:rPr>
          <w:rFonts w:ascii="Times New Roman" w:hAnsi="Times New Roman" w:cs="Times New Roman"/>
          <w:sz w:val="24"/>
          <w:szCs w:val="24"/>
        </w:rPr>
        <w:t>, believed that the majority of the party would accept dominion status if it embraced the whole of Ireland</w:t>
      </w:r>
      <w:r w:rsidRPr="0070286C">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r w:rsidRPr="0070286C">
        <w:rPr>
          <w:rFonts w:ascii="Times New Roman" w:hAnsi="Times New Roman" w:cs="Times New Roman"/>
          <w:sz w:val="24"/>
          <w:szCs w:val="24"/>
        </w:rPr>
        <w:t xml:space="preserve"> </w:t>
      </w:r>
    </w:p>
    <w:p w14:paraId="1925A3D5" w14:textId="4DBB16DD" w:rsidR="001B747D" w:rsidRDefault="001B747D" w:rsidP="007232AE">
      <w:pPr>
        <w:spacing w:after="0" w:line="360" w:lineRule="auto"/>
        <w:ind w:firstLine="426"/>
        <w:jc w:val="both"/>
        <w:rPr>
          <w:rFonts w:ascii="Times New Roman" w:hAnsi="Times New Roman" w:cs="Times New Roman"/>
          <w:sz w:val="24"/>
          <w:szCs w:val="24"/>
        </w:rPr>
      </w:pPr>
      <w:r w:rsidRPr="00A40DD6">
        <w:rPr>
          <w:rFonts w:ascii="Times New Roman" w:hAnsi="Times New Roman" w:cs="Times New Roman"/>
          <w:sz w:val="24"/>
          <w:szCs w:val="24"/>
        </w:rPr>
        <w:t>The L</w:t>
      </w:r>
      <w:r>
        <w:rPr>
          <w:rFonts w:ascii="Times New Roman" w:hAnsi="Times New Roman" w:cs="Times New Roman"/>
          <w:sz w:val="24"/>
          <w:szCs w:val="24"/>
        </w:rPr>
        <w:t>eague</w:t>
      </w:r>
      <w:r w:rsidRPr="00A40DD6">
        <w:rPr>
          <w:rFonts w:ascii="Times New Roman" w:hAnsi="Times New Roman" w:cs="Times New Roman"/>
          <w:sz w:val="24"/>
          <w:szCs w:val="24"/>
        </w:rPr>
        <w:t xml:space="preserve"> did not develop a conventional party structure</w:t>
      </w:r>
      <w:r>
        <w:rPr>
          <w:rFonts w:ascii="Times New Roman" w:hAnsi="Times New Roman" w:cs="Times New Roman"/>
          <w:sz w:val="24"/>
          <w:szCs w:val="24"/>
        </w:rPr>
        <w:t xml:space="preserve"> and</w:t>
      </w:r>
      <w:r w:rsidRPr="00A40DD6">
        <w:rPr>
          <w:rFonts w:ascii="Times New Roman" w:hAnsi="Times New Roman" w:cs="Times New Roman"/>
          <w:sz w:val="24"/>
          <w:szCs w:val="24"/>
        </w:rPr>
        <w:t xml:space="preserve"> it never sought to build a national branch network.</w:t>
      </w:r>
      <w:r>
        <w:rPr>
          <w:rFonts w:ascii="Times New Roman" w:hAnsi="Times New Roman" w:cs="Times New Roman"/>
          <w:sz w:val="24"/>
          <w:szCs w:val="24"/>
        </w:rPr>
        <w:t xml:space="preserve"> Indeed, following Sinn Féin’s election victory, and with much of the country under growing republican control, they would have been ill-advised to do so.</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Instead, the organisation took on two related tasks: firstly, by means of private persuasion, to </w:t>
      </w:r>
      <w:r w:rsidRPr="00A40DD6">
        <w:rPr>
          <w:rFonts w:ascii="Times New Roman" w:hAnsi="Times New Roman" w:cs="Times New Roman"/>
          <w:sz w:val="24"/>
          <w:szCs w:val="24"/>
        </w:rPr>
        <w:t>convince the British government to concede dominion home rule</w:t>
      </w:r>
      <w:r>
        <w:rPr>
          <w:rFonts w:ascii="Times New Roman" w:hAnsi="Times New Roman" w:cs="Times New Roman"/>
          <w:sz w:val="24"/>
          <w:szCs w:val="24"/>
        </w:rPr>
        <w:t>; and secondly, through propaganda, to convince the British and Irish public to support such a scheme.</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Their intention, ultimately, was to place themselves in a position to act as an intermediary between government and Sinn Féin. In pursuit of these goals, the League published at least thirteen </w:t>
      </w:r>
      <w:r w:rsidR="00AC763C">
        <w:rPr>
          <w:rFonts w:ascii="Times New Roman" w:hAnsi="Times New Roman" w:cs="Times New Roman"/>
          <w:sz w:val="24"/>
          <w:szCs w:val="24"/>
        </w:rPr>
        <w:t xml:space="preserve">different </w:t>
      </w:r>
      <w:r>
        <w:rPr>
          <w:rFonts w:ascii="Times New Roman" w:hAnsi="Times New Roman" w:cs="Times New Roman"/>
          <w:sz w:val="24"/>
          <w:szCs w:val="24"/>
        </w:rPr>
        <w:t xml:space="preserve">pamphlets, and Plunkett sought to convince influential figures to support a Dominion scheme.  </w:t>
      </w:r>
    </w:p>
    <w:p w14:paraId="540AED15" w14:textId="77777777" w:rsidR="001B747D" w:rsidRDefault="001B747D" w:rsidP="007232AE">
      <w:pPr>
        <w:spacing w:after="0" w:line="360" w:lineRule="auto"/>
        <w:ind w:firstLine="426"/>
        <w:jc w:val="both"/>
        <w:rPr>
          <w:rFonts w:ascii="Times New Roman" w:hAnsi="Times New Roman" w:cs="Times New Roman"/>
          <w:sz w:val="24"/>
          <w:szCs w:val="24"/>
        </w:rPr>
      </w:pPr>
    </w:p>
    <w:p w14:paraId="42361C24" w14:textId="77777777" w:rsidR="001B747D" w:rsidRDefault="001B747D" w:rsidP="007232AE">
      <w:pPr>
        <w:spacing w:after="0" w:line="360" w:lineRule="auto"/>
        <w:ind w:firstLine="426"/>
        <w:jc w:val="center"/>
        <w:rPr>
          <w:rFonts w:ascii="Times New Roman" w:hAnsi="Times New Roman" w:cs="Times New Roman"/>
          <w:sz w:val="24"/>
          <w:szCs w:val="24"/>
        </w:rPr>
      </w:pPr>
      <w:r>
        <w:rPr>
          <w:rFonts w:ascii="Times New Roman" w:hAnsi="Times New Roman" w:cs="Times New Roman"/>
          <w:sz w:val="24"/>
          <w:szCs w:val="24"/>
        </w:rPr>
        <w:t>II</w:t>
      </w:r>
    </w:p>
    <w:p w14:paraId="30E25EEE" w14:textId="4EC7007C" w:rsidR="001B747D" w:rsidRDefault="001B747D" w:rsidP="007232AE">
      <w:pPr>
        <w:spacing w:after="0" w:line="360" w:lineRule="auto"/>
        <w:ind w:firstLine="426"/>
        <w:jc w:val="both"/>
        <w:rPr>
          <w:rFonts w:ascii="Times New Roman" w:hAnsi="Times New Roman" w:cs="Times New Roman"/>
          <w:sz w:val="24"/>
          <w:szCs w:val="24"/>
        </w:rPr>
      </w:pPr>
      <w:r w:rsidRPr="00C716F1">
        <w:rPr>
          <w:rFonts w:ascii="Times New Roman" w:hAnsi="Times New Roman" w:cs="Times New Roman"/>
          <w:sz w:val="24"/>
          <w:szCs w:val="24"/>
        </w:rPr>
        <w:t xml:space="preserve">The demand for dominion home rule represented a half-way house around which moderates of </w:t>
      </w:r>
      <w:r>
        <w:rPr>
          <w:rFonts w:ascii="Times New Roman" w:hAnsi="Times New Roman" w:cs="Times New Roman"/>
          <w:sz w:val="24"/>
          <w:szCs w:val="24"/>
        </w:rPr>
        <w:t>varying political backgrounds</w:t>
      </w:r>
      <w:r w:rsidRPr="00C716F1">
        <w:rPr>
          <w:rFonts w:ascii="Times New Roman" w:hAnsi="Times New Roman" w:cs="Times New Roman"/>
          <w:sz w:val="24"/>
          <w:szCs w:val="24"/>
        </w:rPr>
        <w:t xml:space="preserve"> could coalesce.</w:t>
      </w:r>
      <w:r>
        <w:rPr>
          <w:rFonts w:ascii="Times New Roman" w:hAnsi="Times New Roman" w:cs="Times New Roman"/>
          <w:sz w:val="24"/>
          <w:szCs w:val="24"/>
        </w:rPr>
        <w:t xml:space="preserve"> Two of Plunkett’s leading associates were </w:t>
      </w:r>
      <w:r w:rsidRPr="00526542">
        <w:rPr>
          <w:rFonts w:ascii="Times New Roman" w:hAnsi="Times New Roman" w:cs="Times New Roman"/>
          <w:sz w:val="24"/>
          <w:szCs w:val="24"/>
        </w:rPr>
        <w:t>Thomas Spring Rice, 2</w:t>
      </w:r>
      <w:r w:rsidRPr="00526542">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526542">
        <w:rPr>
          <w:rFonts w:ascii="Times New Roman" w:hAnsi="Times New Roman" w:cs="Times New Roman"/>
          <w:sz w:val="24"/>
          <w:szCs w:val="24"/>
        </w:rPr>
        <w:t>Baron Monteagle</w:t>
      </w:r>
      <w:r>
        <w:rPr>
          <w:rFonts w:ascii="Times New Roman" w:hAnsi="Times New Roman" w:cs="Times New Roman"/>
          <w:sz w:val="24"/>
          <w:szCs w:val="24"/>
        </w:rPr>
        <w:t xml:space="preserve"> of Brandon, and Captain Henry Harrison. Lord Monteagle was a popular Limerick landowner and close associate of Plunkett in the IAOS. Harrison, a former Irish Party MP, had fought in the war and had recently, alongside </w:t>
      </w:r>
      <w:r w:rsidRPr="00290394">
        <w:rPr>
          <w:rFonts w:ascii="Times New Roman" w:hAnsi="Times New Roman" w:cs="Times New Roman"/>
          <w:sz w:val="24"/>
          <w:szCs w:val="24"/>
        </w:rPr>
        <w:t>Stephen Gwynn</w:t>
      </w:r>
      <w:r>
        <w:rPr>
          <w:rFonts w:ascii="Times New Roman" w:hAnsi="Times New Roman" w:cs="Times New Roman"/>
          <w:sz w:val="24"/>
          <w:szCs w:val="24"/>
        </w:rPr>
        <w:t>,</w:t>
      </w:r>
      <w:r w:rsidRPr="00290394">
        <w:rPr>
          <w:rFonts w:ascii="Times New Roman" w:hAnsi="Times New Roman" w:cs="Times New Roman"/>
          <w:sz w:val="24"/>
          <w:szCs w:val="24"/>
        </w:rPr>
        <w:t xml:space="preserve"> organised a </w:t>
      </w:r>
      <w:r>
        <w:rPr>
          <w:rFonts w:ascii="Times New Roman" w:hAnsi="Times New Roman" w:cs="Times New Roman"/>
          <w:sz w:val="24"/>
          <w:szCs w:val="24"/>
        </w:rPr>
        <w:t xml:space="preserve">military officers’ </w:t>
      </w:r>
      <w:r w:rsidRPr="00290394">
        <w:rPr>
          <w:rFonts w:ascii="Times New Roman" w:hAnsi="Times New Roman" w:cs="Times New Roman"/>
          <w:sz w:val="24"/>
          <w:szCs w:val="24"/>
        </w:rPr>
        <w:t xml:space="preserve">petition </w:t>
      </w:r>
      <w:r>
        <w:rPr>
          <w:rFonts w:ascii="Times New Roman" w:hAnsi="Times New Roman" w:cs="Times New Roman"/>
          <w:sz w:val="24"/>
          <w:szCs w:val="24"/>
        </w:rPr>
        <w:t>to the K</w:t>
      </w:r>
      <w:r w:rsidRPr="00290394">
        <w:rPr>
          <w:rFonts w:ascii="Times New Roman" w:hAnsi="Times New Roman" w:cs="Times New Roman"/>
          <w:sz w:val="24"/>
          <w:szCs w:val="24"/>
        </w:rPr>
        <w:t xml:space="preserve">ing, which called for Ireland’s claim to </w:t>
      </w:r>
      <w:r>
        <w:rPr>
          <w:rFonts w:ascii="Times New Roman" w:hAnsi="Times New Roman" w:cs="Times New Roman"/>
          <w:sz w:val="24"/>
          <w:szCs w:val="24"/>
        </w:rPr>
        <w:t>self-determination</w:t>
      </w:r>
      <w:r w:rsidRPr="00290394">
        <w:rPr>
          <w:rFonts w:ascii="Times New Roman" w:hAnsi="Times New Roman" w:cs="Times New Roman"/>
          <w:sz w:val="24"/>
          <w:szCs w:val="24"/>
        </w:rPr>
        <w:t xml:space="preserve"> to be referred to the Paris conference.</w:t>
      </w:r>
      <w:r w:rsidRPr="00290394">
        <w:rPr>
          <w:rFonts w:ascii="Times New Roman" w:eastAsia="Calibri" w:hAnsi="Times New Roman" w:cs="Times New Roman"/>
          <w:sz w:val="24"/>
          <w:szCs w:val="24"/>
          <w:vertAlign w:val="superscript"/>
        </w:rPr>
        <w:footnoteReference w:id="68"/>
      </w:r>
      <w:r>
        <w:rPr>
          <w:rFonts w:ascii="Times New Roman" w:hAnsi="Times New Roman" w:cs="Times New Roman"/>
          <w:sz w:val="24"/>
          <w:szCs w:val="24"/>
        </w:rPr>
        <w:t xml:space="preserve"> From 1920 he served as secretary to the League.</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Prominent figures who supported the party included the landowner </w:t>
      </w:r>
      <w:r w:rsidRPr="00C716F1">
        <w:rPr>
          <w:rFonts w:ascii="Times New Roman" w:hAnsi="Times New Roman" w:cs="Times New Roman"/>
          <w:sz w:val="24"/>
          <w:szCs w:val="24"/>
        </w:rPr>
        <w:t>Sir Nugent Talbot Everard</w:t>
      </w:r>
      <w:r>
        <w:rPr>
          <w:rFonts w:ascii="Times New Roman" w:hAnsi="Times New Roman" w:cs="Times New Roman"/>
          <w:sz w:val="24"/>
          <w:szCs w:val="24"/>
        </w:rPr>
        <w:t>, surgeon</w:t>
      </w:r>
      <w:r w:rsidRPr="00C716F1">
        <w:rPr>
          <w:rFonts w:ascii="Times New Roman" w:hAnsi="Times New Roman" w:cs="Times New Roman"/>
          <w:sz w:val="24"/>
          <w:szCs w:val="24"/>
        </w:rPr>
        <w:t xml:space="preserve"> Sir Thomas Myles,</w:t>
      </w:r>
      <w:r>
        <w:rPr>
          <w:rFonts w:ascii="Times New Roman" w:hAnsi="Times New Roman" w:cs="Times New Roman"/>
          <w:sz w:val="24"/>
          <w:szCs w:val="24"/>
        </w:rPr>
        <w:t xml:space="preserve"> artist </w:t>
      </w:r>
      <w:proofErr w:type="spellStart"/>
      <w:r w:rsidRPr="00C716F1">
        <w:rPr>
          <w:rFonts w:ascii="Times New Roman" w:hAnsi="Times New Roman" w:cs="Times New Roman"/>
          <w:sz w:val="24"/>
          <w:szCs w:val="24"/>
        </w:rPr>
        <w:t>Dermod</w:t>
      </w:r>
      <w:proofErr w:type="spellEnd"/>
      <w:r w:rsidRPr="00C716F1">
        <w:rPr>
          <w:rFonts w:ascii="Times New Roman" w:hAnsi="Times New Roman" w:cs="Times New Roman"/>
          <w:sz w:val="24"/>
          <w:szCs w:val="24"/>
        </w:rPr>
        <w:t xml:space="preserve"> O’Brien,</w:t>
      </w:r>
      <w:r>
        <w:rPr>
          <w:rFonts w:ascii="Times New Roman" w:hAnsi="Times New Roman" w:cs="Times New Roman"/>
          <w:sz w:val="24"/>
          <w:szCs w:val="24"/>
        </w:rPr>
        <w:t xml:space="preserve"> historian and women’s rights campaigner Mary Hayden, army officer and writer </w:t>
      </w:r>
      <w:r w:rsidRPr="001D58B3">
        <w:rPr>
          <w:rFonts w:ascii="Times New Roman" w:hAnsi="Times New Roman" w:cs="Times New Roman"/>
          <w:sz w:val="24"/>
          <w:szCs w:val="24"/>
        </w:rPr>
        <w:t>Richard Pope-Hennessy</w:t>
      </w:r>
      <w:r>
        <w:rPr>
          <w:rFonts w:ascii="Times New Roman" w:hAnsi="Times New Roman" w:cs="Times New Roman"/>
          <w:sz w:val="24"/>
          <w:szCs w:val="24"/>
        </w:rPr>
        <w:t xml:space="preserve">, and lawyer </w:t>
      </w:r>
      <w:r w:rsidRPr="00762953">
        <w:rPr>
          <w:rFonts w:ascii="Times New Roman" w:hAnsi="Times New Roman" w:cs="Times New Roman"/>
          <w:sz w:val="24"/>
          <w:szCs w:val="24"/>
        </w:rPr>
        <w:t>A.</w:t>
      </w:r>
      <w:r>
        <w:rPr>
          <w:rFonts w:ascii="Times New Roman" w:hAnsi="Times New Roman" w:cs="Times New Roman"/>
          <w:sz w:val="24"/>
          <w:szCs w:val="24"/>
        </w:rPr>
        <w:t xml:space="preserve"> </w:t>
      </w:r>
      <w:r w:rsidRPr="00762953">
        <w:rPr>
          <w:rFonts w:ascii="Times New Roman" w:hAnsi="Times New Roman" w:cs="Times New Roman"/>
          <w:sz w:val="24"/>
          <w:szCs w:val="24"/>
        </w:rPr>
        <w:t>M. Sullivan</w:t>
      </w:r>
      <w:r>
        <w:rPr>
          <w:rFonts w:ascii="Times New Roman" w:hAnsi="Times New Roman" w:cs="Times New Roman"/>
          <w:sz w:val="24"/>
          <w:szCs w:val="24"/>
        </w:rPr>
        <w:t>. T</w:t>
      </w:r>
      <w:r w:rsidRPr="00C716F1">
        <w:rPr>
          <w:rFonts w:ascii="Times New Roman" w:hAnsi="Times New Roman" w:cs="Times New Roman"/>
          <w:sz w:val="24"/>
          <w:szCs w:val="24"/>
        </w:rPr>
        <w:t xml:space="preserve">he League had </w:t>
      </w:r>
      <w:r>
        <w:rPr>
          <w:rFonts w:ascii="Times New Roman" w:hAnsi="Times New Roman" w:cs="Times New Roman"/>
          <w:sz w:val="24"/>
          <w:szCs w:val="24"/>
        </w:rPr>
        <w:t xml:space="preserve"> about </w:t>
      </w:r>
      <w:r w:rsidRPr="00C716F1">
        <w:rPr>
          <w:rFonts w:ascii="Times New Roman" w:hAnsi="Times New Roman" w:cs="Times New Roman"/>
          <w:sz w:val="24"/>
          <w:szCs w:val="24"/>
        </w:rPr>
        <w:t>200 members</w:t>
      </w:r>
      <w:r>
        <w:rPr>
          <w:rFonts w:ascii="Times New Roman" w:hAnsi="Times New Roman" w:cs="Times New Roman"/>
          <w:sz w:val="24"/>
          <w:szCs w:val="24"/>
        </w:rPr>
        <w:t>.</w:t>
      </w:r>
      <w:r w:rsidRPr="00A40DD6">
        <w:rPr>
          <w:rFonts w:eastAsia="Calibri"/>
          <w:vertAlign w:val="superscript"/>
        </w:rPr>
        <w:footnoteReference w:id="70"/>
      </w:r>
      <w:r>
        <w:rPr>
          <w:rFonts w:ascii="Times New Roman" w:hAnsi="Times New Roman" w:cs="Times New Roman"/>
          <w:sz w:val="24"/>
          <w:szCs w:val="24"/>
        </w:rPr>
        <w:t xml:space="preserve"> Using newspaper reports and other sources, I have identified </w:t>
      </w:r>
      <w:r w:rsidRPr="00C716F1">
        <w:rPr>
          <w:rFonts w:ascii="Times New Roman" w:hAnsi="Times New Roman" w:cs="Times New Roman"/>
          <w:sz w:val="24"/>
          <w:szCs w:val="24"/>
        </w:rPr>
        <w:t xml:space="preserve">165 members or active supporters </w:t>
      </w:r>
      <w:r>
        <w:rPr>
          <w:rFonts w:ascii="Times New Roman" w:hAnsi="Times New Roman" w:cs="Times New Roman"/>
          <w:sz w:val="24"/>
          <w:szCs w:val="24"/>
        </w:rPr>
        <w:t xml:space="preserve">, representing </w:t>
      </w:r>
      <w:r w:rsidRPr="00C716F1">
        <w:rPr>
          <w:rFonts w:ascii="Times New Roman" w:hAnsi="Times New Roman" w:cs="Times New Roman"/>
          <w:sz w:val="24"/>
          <w:szCs w:val="24"/>
        </w:rPr>
        <w:t xml:space="preserve">a </w:t>
      </w:r>
      <w:r w:rsidRPr="00C716F1">
        <w:rPr>
          <w:rFonts w:ascii="Times New Roman" w:hAnsi="Times New Roman" w:cs="Times New Roman"/>
          <w:sz w:val="24"/>
          <w:szCs w:val="24"/>
        </w:rPr>
        <w:lastRenderedPageBreak/>
        <w:t>substantial survey of the movement</w:t>
      </w:r>
      <w:r>
        <w:rPr>
          <w:rFonts w:ascii="Times New Roman" w:hAnsi="Times New Roman" w:cs="Times New Roman"/>
          <w:sz w:val="24"/>
          <w:szCs w:val="24"/>
        </w:rPr>
        <w:t xml:space="preserve"> (table 1)</w:t>
      </w:r>
      <w:r w:rsidRPr="00C716F1">
        <w:rPr>
          <w:rFonts w:ascii="Times New Roman" w:hAnsi="Times New Roman" w:cs="Times New Roman"/>
          <w:sz w:val="24"/>
          <w:szCs w:val="24"/>
        </w:rPr>
        <w:t xml:space="preserve">. </w:t>
      </w:r>
      <w:r>
        <w:rPr>
          <w:rFonts w:ascii="Times New Roman" w:hAnsi="Times New Roman" w:cs="Times New Roman"/>
          <w:sz w:val="24"/>
          <w:szCs w:val="24"/>
        </w:rPr>
        <w:t>There possible, the table also indicates religious back</w:t>
      </w:r>
      <w:r w:rsidR="00836B29">
        <w:rPr>
          <w:rFonts w:ascii="Times New Roman" w:hAnsi="Times New Roman" w:cs="Times New Roman"/>
          <w:sz w:val="24"/>
          <w:szCs w:val="24"/>
        </w:rPr>
        <w:t>g</w:t>
      </w:r>
      <w:r>
        <w:rPr>
          <w:rFonts w:ascii="Times New Roman" w:hAnsi="Times New Roman" w:cs="Times New Roman"/>
          <w:sz w:val="24"/>
          <w:szCs w:val="24"/>
        </w:rPr>
        <w:t>round and primary occupation.</w:t>
      </w:r>
    </w:p>
    <w:p w14:paraId="77609FBB" w14:textId="77777777" w:rsidR="001B747D" w:rsidRDefault="001B747D" w:rsidP="007232AE">
      <w:pPr>
        <w:spacing w:after="0" w:line="360" w:lineRule="auto"/>
        <w:ind w:firstLine="426"/>
        <w:jc w:val="both"/>
        <w:rPr>
          <w:rFonts w:ascii="Times New Roman" w:hAnsi="Times New Roman" w:cs="Times New Roman"/>
          <w:sz w:val="24"/>
          <w:szCs w:val="24"/>
        </w:rPr>
      </w:pPr>
    </w:p>
    <w:p w14:paraId="50DCCFE1" w14:textId="77777777" w:rsidR="001B747D" w:rsidRPr="00490C63" w:rsidRDefault="001B747D" w:rsidP="007232AE">
      <w:pPr>
        <w:spacing w:after="0" w:line="360" w:lineRule="auto"/>
        <w:jc w:val="both"/>
        <w:rPr>
          <w:rFonts w:ascii="Times New Roman" w:hAnsi="Times New Roman" w:cs="Times New Roman"/>
          <w:b/>
          <w:sz w:val="24"/>
          <w:szCs w:val="20"/>
          <w:lang w:val="en-GB"/>
        </w:rPr>
      </w:pPr>
      <w:r w:rsidRPr="00490C63">
        <w:rPr>
          <w:rFonts w:ascii="Times New Roman" w:hAnsi="Times New Roman" w:cs="Times New Roman"/>
          <w:b/>
          <w:sz w:val="24"/>
          <w:szCs w:val="20"/>
          <w:lang w:val="en-GB"/>
        </w:rPr>
        <w:t>Table 1 – Occupation of members of the Irish Dominion League</w:t>
      </w:r>
    </w:p>
    <w:tbl>
      <w:tblPr>
        <w:tblStyle w:val="TableGrid"/>
        <w:tblW w:w="0" w:type="auto"/>
        <w:jc w:val="center"/>
        <w:tblLook w:val="04A0" w:firstRow="1" w:lastRow="0" w:firstColumn="1" w:lastColumn="0" w:noHBand="0" w:noVBand="1"/>
      </w:tblPr>
      <w:tblGrid>
        <w:gridCol w:w="2935"/>
        <w:gridCol w:w="982"/>
        <w:gridCol w:w="1250"/>
        <w:gridCol w:w="1200"/>
        <w:gridCol w:w="1016"/>
        <w:gridCol w:w="1627"/>
      </w:tblGrid>
      <w:tr w:rsidR="001B747D" w:rsidRPr="00490C63" w14:paraId="29360583" w14:textId="77777777" w:rsidTr="001400FD">
        <w:trPr>
          <w:jc w:val="center"/>
        </w:trPr>
        <w:tc>
          <w:tcPr>
            <w:tcW w:w="2998" w:type="dxa"/>
          </w:tcPr>
          <w:p w14:paraId="421FC9D3" w14:textId="77777777" w:rsidR="001B747D" w:rsidRPr="00490C63" w:rsidRDefault="001B747D" w:rsidP="007232AE">
            <w:pPr>
              <w:spacing w:line="360" w:lineRule="auto"/>
              <w:jc w:val="both"/>
              <w:rPr>
                <w:b/>
                <w:sz w:val="20"/>
              </w:rPr>
            </w:pPr>
            <w:r w:rsidRPr="00490C63">
              <w:rPr>
                <w:b/>
                <w:sz w:val="20"/>
              </w:rPr>
              <w:t>Occupation</w:t>
            </w:r>
          </w:p>
        </w:tc>
        <w:tc>
          <w:tcPr>
            <w:tcW w:w="1001" w:type="dxa"/>
          </w:tcPr>
          <w:p w14:paraId="588E6A62" w14:textId="77777777" w:rsidR="001B747D" w:rsidRPr="00490C63" w:rsidRDefault="001B747D" w:rsidP="007232AE">
            <w:pPr>
              <w:spacing w:line="360" w:lineRule="auto"/>
              <w:jc w:val="both"/>
              <w:rPr>
                <w:b/>
                <w:sz w:val="20"/>
              </w:rPr>
            </w:pPr>
            <w:r w:rsidRPr="00490C63">
              <w:rPr>
                <w:b/>
                <w:sz w:val="20"/>
              </w:rPr>
              <w:t>#</w:t>
            </w:r>
          </w:p>
        </w:tc>
        <w:tc>
          <w:tcPr>
            <w:tcW w:w="1158" w:type="dxa"/>
          </w:tcPr>
          <w:p w14:paraId="6A941D6C" w14:textId="6C740F07" w:rsidR="001B747D" w:rsidRDefault="00AC763C" w:rsidP="007232AE">
            <w:pPr>
              <w:spacing w:line="360" w:lineRule="auto"/>
              <w:jc w:val="both"/>
              <w:rPr>
                <w:b/>
                <w:sz w:val="20"/>
              </w:rPr>
            </w:pPr>
            <w:r>
              <w:rPr>
                <w:b/>
                <w:sz w:val="20"/>
              </w:rPr>
              <w:t>Has g</w:t>
            </w:r>
            <w:r w:rsidR="001B747D">
              <w:rPr>
                <w:b/>
                <w:sz w:val="20"/>
              </w:rPr>
              <w:t>entry background</w:t>
            </w:r>
          </w:p>
        </w:tc>
        <w:tc>
          <w:tcPr>
            <w:tcW w:w="1206" w:type="dxa"/>
            <w:tcBorders>
              <w:right w:val="nil"/>
            </w:tcBorders>
          </w:tcPr>
          <w:p w14:paraId="4F39A0AF" w14:textId="77777777" w:rsidR="001B747D" w:rsidRPr="00490C63" w:rsidRDefault="001B747D" w:rsidP="007232AE">
            <w:pPr>
              <w:spacing w:line="360" w:lineRule="auto"/>
              <w:jc w:val="both"/>
              <w:rPr>
                <w:b/>
                <w:sz w:val="20"/>
              </w:rPr>
            </w:pPr>
            <w:r>
              <w:rPr>
                <w:b/>
                <w:sz w:val="20"/>
              </w:rPr>
              <w:t xml:space="preserve"> </w:t>
            </w:r>
          </w:p>
        </w:tc>
        <w:tc>
          <w:tcPr>
            <w:tcW w:w="1020" w:type="dxa"/>
            <w:tcBorders>
              <w:left w:val="nil"/>
              <w:right w:val="nil"/>
            </w:tcBorders>
          </w:tcPr>
          <w:p w14:paraId="70D63B5A" w14:textId="77777777" w:rsidR="001B747D" w:rsidRPr="00490C63" w:rsidRDefault="001B747D" w:rsidP="007232AE">
            <w:pPr>
              <w:spacing w:line="360" w:lineRule="auto"/>
              <w:jc w:val="both"/>
              <w:rPr>
                <w:b/>
                <w:sz w:val="20"/>
              </w:rPr>
            </w:pPr>
            <w:r>
              <w:rPr>
                <w:b/>
                <w:sz w:val="20"/>
              </w:rPr>
              <w:t xml:space="preserve">Religion </w:t>
            </w:r>
          </w:p>
        </w:tc>
        <w:tc>
          <w:tcPr>
            <w:tcW w:w="1627" w:type="dxa"/>
            <w:tcBorders>
              <w:left w:val="nil"/>
            </w:tcBorders>
          </w:tcPr>
          <w:p w14:paraId="65AFED78" w14:textId="77777777" w:rsidR="001B747D" w:rsidRPr="00490C63" w:rsidRDefault="001B747D" w:rsidP="007232AE">
            <w:pPr>
              <w:spacing w:line="360" w:lineRule="auto"/>
              <w:jc w:val="both"/>
              <w:rPr>
                <w:b/>
                <w:sz w:val="20"/>
              </w:rPr>
            </w:pPr>
          </w:p>
        </w:tc>
      </w:tr>
      <w:tr w:rsidR="001B747D" w:rsidRPr="00490C63" w14:paraId="1B9373DF" w14:textId="77777777" w:rsidTr="001400FD">
        <w:trPr>
          <w:jc w:val="center"/>
        </w:trPr>
        <w:tc>
          <w:tcPr>
            <w:tcW w:w="2998" w:type="dxa"/>
          </w:tcPr>
          <w:p w14:paraId="187E422B" w14:textId="77777777" w:rsidR="001B747D" w:rsidRPr="00490C63" w:rsidRDefault="001B747D" w:rsidP="007232AE">
            <w:pPr>
              <w:spacing w:line="360" w:lineRule="auto"/>
              <w:jc w:val="both"/>
              <w:rPr>
                <w:b/>
                <w:sz w:val="20"/>
              </w:rPr>
            </w:pPr>
          </w:p>
        </w:tc>
        <w:tc>
          <w:tcPr>
            <w:tcW w:w="1001" w:type="dxa"/>
          </w:tcPr>
          <w:p w14:paraId="3EBD1B5A" w14:textId="77777777" w:rsidR="001B747D" w:rsidRPr="00490C63" w:rsidRDefault="001B747D" w:rsidP="007232AE">
            <w:pPr>
              <w:spacing w:line="360" w:lineRule="auto"/>
              <w:jc w:val="both"/>
              <w:rPr>
                <w:b/>
                <w:sz w:val="20"/>
              </w:rPr>
            </w:pPr>
          </w:p>
        </w:tc>
        <w:tc>
          <w:tcPr>
            <w:tcW w:w="1158" w:type="dxa"/>
          </w:tcPr>
          <w:p w14:paraId="77CF1A38" w14:textId="77777777" w:rsidR="001B747D" w:rsidRDefault="001B747D" w:rsidP="007232AE">
            <w:pPr>
              <w:spacing w:line="360" w:lineRule="auto"/>
              <w:jc w:val="both"/>
              <w:rPr>
                <w:i/>
                <w:sz w:val="20"/>
              </w:rPr>
            </w:pPr>
          </w:p>
        </w:tc>
        <w:tc>
          <w:tcPr>
            <w:tcW w:w="1206" w:type="dxa"/>
          </w:tcPr>
          <w:p w14:paraId="5F2DBDF8" w14:textId="77777777" w:rsidR="001B747D" w:rsidRPr="000151D9" w:rsidRDefault="001B747D" w:rsidP="007232AE">
            <w:pPr>
              <w:spacing w:line="360" w:lineRule="auto"/>
              <w:jc w:val="both"/>
              <w:rPr>
                <w:i/>
                <w:sz w:val="20"/>
              </w:rPr>
            </w:pPr>
            <w:r>
              <w:rPr>
                <w:i/>
                <w:sz w:val="20"/>
              </w:rPr>
              <w:t>Protestant</w:t>
            </w:r>
          </w:p>
        </w:tc>
        <w:tc>
          <w:tcPr>
            <w:tcW w:w="1020" w:type="dxa"/>
          </w:tcPr>
          <w:p w14:paraId="78DDB506" w14:textId="77777777" w:rsidR="001B747D" w:rsidRPr="000151D9" w:rsidRDefault="001B747D" w:rsidP="007232AE">
            <w:pPr>
              <w:spacing w:line="360" w:lineRule="auto"/>
              <w:jc w:val="both"/>
              <w:rPr>
                <w:i/>
                <w:sz w:val="20"/>
              </w:rPr>
            </w:pPr>
            <w:r>
              <w:rPr>
                <w:i/>
                <w:sz w:val="20"/>
              </w:rPr>
              <w:t>Catholic</w:t>
            </w:r>
          </w:p>
        </w:tc>
        <w:tc>
          <w:tcPr>
            <w:tcW w:w="1627" w:type="dxa"/>
          </w:tcPr>
          <w:p w14:paraId="6C769087" w14:textId="77777777" w:rsidR="001B747D" w:rsidRPr="000151D9" w:rsidRDefault="001B747D" w:rsidP="007232AE">
            <w:pPr>
              <w:spacing w:line="360" w:lineRule="auto"/>
              <w:jc w:val="both"/>
              <w:rPr>
                <w:i/>
                <w:sz w:val="20"/>
              </w:rPr>
            </w:pPr>
            <w:r>
              <w:rPr>
                <w:i/>
                <w:sz w:val="20"/>
              </w:rPr>
              <w:t>Unknown/refused</w:t>
            </w:r>
          </w:p>
        </w:tc>
      </w:tr>
      <w:tr w:rsidR="001B747D" w:rsidRPr="00490C63" w14:paraId="500138F8" w14:textId="77777777" w:rsidTr="001400FD">
        <w:trPr>
          <w:jc w:val="center"/>
        </w:trPr>
        <w:tc>
          <w:tcPr>
            <w:tcW w:w="2998" w:type="dxa"/>
          </w:tcPr>
          <w:p w14:paraId="02D0E9FD" w14:textId="77777777" w:rsidR="001B747D" w:rsidRPr="00490C63" w:rsidRDefault="001B747D" w:rsidP="007232AE">
            <w:pPr>
              <w:spacing w:line="360" w:lineRule="auto"/>
              <w:jc w:val="both"/>
              <w:rPr>
                <w:sz w:val="20"/>
              </w:rPr>
            </w:pPr>
            <w:r w:rsidRPr="00490C63">
              <w:rPr>
                <w:sz w:val="20"/>
              </w:rPr>
              <w:t>Barrister</w:t>
            </w:r>
          </w:p>
        </w:tc>
        <w:tc>
          <w:tcPr>
            <w:tcW w:w="1001" w:type="dxa"/>
          </w:tcPr>
          <w:p w14:paraId="23AD3653" w14:textId="77777777" w:rsidR="001B747D" w:rsidRPr="00490C63" w:rsidRDefault="001B747D" w:rsidP="007232AE">
            <w:pPr>
              <w:spacing w:line="360" w:lineRule="auto"/>
              <w:jc w:val="both"/>
              <w:rPr>
                <w:sz w:val="20"/>
              </w:rPr>
            </w:pPr>
            <w:r>
              <w:rPr>
                <w:sz w:val="20"/>
              </w:rPr>
              <w:t>12</w:t>
            </w:r>
          </w:p>
        </w:tc>
        <w:tc>
          <w:tcPr>
            <w:tcW w:w="1158" w:type="dxa"/>
          </w:tcPr>
          <w:p w14:paraId="4709D676" w14:textId="77777777" w:rsidR="001B747D" w:rsidRDefault="001B747D" w:rsidP="007232AE">
            <w:pPr>
              <w:spacing w:line="360" w:lineRule="auto"/>
              <w:jc w:val="both"/>
              <w:rPr>
                <w:sz w:val="20"/>
              </w:rPr>
            </w:pPr>
            <w:r>
              <w:rPr>
                <w:sz w:val="20"/>
              </w:rPr>
              <w:t>1</w:t>
            </w:r>
          </w:p>
        </w:tc>
        <w:tc>
          <w:tcPr>
            <w:tcW w:w="1206" w:type="dxa"/>
          </w:tcPr>
          <w:p w14:paraId="5F754235" w14:textId="77777777" w:rsidR="001B747D" w:rsidRDefault="001B747D" w:rsidP="007232AE">
            <w:pPr>
              <w:spacing w:line="360" w:lineRule="auto"/>
              <w:jc w:val="both"/>
              <w:rPr>
                <w:sz w:val="20"/>
              </w:rPr>
            </w:pPr>
            <w:r>
              <w:rPr>
                <w:sz w:val="20"/>
              </w:rPr>
              <w:t>4</w:t>
            </w:r>
          </w:p>
        </w:tc>
        <w:tc>
          <w:tcPr>
            <w:tcW w:w="1020" w:type="dxa"/>
          </w:tcPr>
          <w:p w14:paraId="3079E730" w14:textId="77777777" w:rsidR="001B747D" w:rsidRDefault="001B747D" w:rsidP="007232AE">
            <w:pPr>
              <w:spacing w:line="360" w:lineRule="auto"/>
              <w:jc w:val="both"/>
              <w:rPr>
                <w:sz w:val="20"/>
              </w:rPr>
            </w:pPr>
            <w:r>
              <w:rPr>
                <w:sz w:val="20"/>
              </w:rPr>
              <w:t>8</w:t>
            </w:r>
          </w:p>
        </w:tc>
        <w:tc>
          <w:tcPr>
            <w:tcW w:w="1627" w:type="dxa"/>
          </w:tcPr>
          <w:p w14:paraId="4FA6E08C" w14:textId="77777777" w:rsidR="001B747D" w:rsidRDefault="001B747D" w:rsidP="007232AE">
            <w:pPr>
              <w:spacing w:line="360" w:lineRule="auto"/>
              <w:jc w:val="both"/>
              <w:rPr>
                <w:sz w:val="20"/>
              </w:rPr>
            </w:pPr>
            <w:r>
              <w:rPr>
                <w:sz w:val="20"/>
              </w:rPr>
              <w:t>-</w:t>
            </w:r>
          </w:p>
        </w:tc>
      </w:tr>
      <w:tr w:rsidR="001B747D" w:rsidRPr="00490C63" w14:paraId="044A3DB6" w14:textId="77777777" w:rsidTr="001400FD">
        <w:trPr>
          <w:jc w:val="center"/>
        </w:trPr>
        <w:tc>
          <w:tcPr>
            <w:tcW w:w="2998" w:type="dxa"/>
          </w:tcPr>
          <w:p w14:paraId="59F36154" w14:textId="77777777" w:rsidR="001B747D" w:rsidRPr="00490C63" w:rsidRDefault="001B747D" w:rsidP="007232AE">
            <w:pPr>
              <w:spacing w:line="360" w:lineRule="auto"/>
              <w:jc w:val="both"/>
              <w:rPr>
                <w:sz w:val="20"/>
              </w:rPr>
            </w:pPr>
            <w:r w:rsidRPr="00490C63">
              <w:rPr>
                <w:sz w:val="20"/>
              </w:rPr>
              <w:t>Business</w:t>
            </w:r>
            <w:r>
              <w:rPr>
                <w:sz w:val="20"/>
              </w:rPr>
              <w:t xml:space="preserve"> or trade</w:t>
            </w:r>
          </w:p>
        </w:tc>
        <w:tc>
          <w:tcPr>
            <w:tcW w:w="1001" w:type="dxa"/>
          </w:tcPr>
          <w:p w14:paraId="68E9A82F" w14:textId="77777777" w:rsidR="001B747D" w:rsidRPr="00490C63" w:rsidRDefault="001B747D" w:rsidP="007232AE">
            <w:pPr>
              <w:spacing w:line="360" w:lineRule="auto"/>
              <w:jc w:val="both"/>
              <w:rPr>
                <w:sz w:val="20"/>
              </w:rPr>
            </w:pPr>
            <w:r w:rsidRPr="00490C63">
              <w:rPr>
                <w:sz w:val="20"/>
              </w:rPr>
              <w:t>2</w:t>
            </w:r>
            <w:r>
              <w:rPr>
                <w:sz w:val="20"/>
              </w:rPr>
              <w:t>0</w:t>
            </w:r>
          </w:p>
        </w:tc>
        <w:tc>
          <w:tcPr>
            <w:tcW w:w="1158" w:type="dxa"/>
          </w:tcPr>
          <w:p w14:paraId="66E5F6A7" w14:textId="77777777" w:rsidR="001B747D" w:rsidRPr="00490C63" w:rsidRDefault="001B747D" w:rsidP="007232AE">
            <w:pPr>
              <w:spacing w:line="360" w:lineRule="auto"/>
              <w:jc w:val="both"/>
              <w:rPr>
                <w:sz w:val="20"/>
              </w:rPr>
            </w:pPr>
            <w:r>
              <w:rPr>
                <w:sz w:val="20"/>
              </w:rPr>
              <w:t>-</w:t>
            </w:r>
          </w:p>
        </w:tc>
        <w:tc>
          <w:tcPr>
            <w:tcW w:w="1206" w:type="dxa"/>
          </w:tcPr>
          <w:p w14:paraId="1F344DDF" w14:textId="77777777" w:rsidR="001B747D" w:rsidRPr="00490C63" w:rsidRDefault="001B747D" w:rsidP="007232AE">
            <w:pPr>
              <w:spacing w:line="360" w:lineRule="auto"/>
              <w:jc w:val="both"/>
              <w:rPr>
                <w:sz w:val="20"/>
              </w:rPr>
            </w:pPr>
            <w:r>
              <w:rPr>
                <w:sz w:val="20"/>
              </w:rPr>
              <w:t>8</w:t>
            </w:r>
          </w:p>
        </w:tc>
        <w:tc>
          <w:tcPr>
            <w:tcW w:w="1020" w:type="dxa"/>
          </w:tcPr>
          <w:p w14:paraId="349C1863" w14:textId="77777777" w:rsidR="001B747D" w:rsidRPr="00490C63" w:rsidRDefault="001B747D" w:rsidP="007232AE">
            <w:pPr>
              <w:spacing w:line="360" w:lineRule="auto"/>
              <w:jc w:val="both"/>
              <w:rPr>
                <w:sz w:val="20"/>
              </w:rPr>
            </w:pPr>
            <w:r>
              <w:rPr>
                <w:sz w:val="20"/>
              </w:rPr>
              <w:t>9</w:t>
            </w:r>
          </w:p>
        </w:tc>
        <w:tc>
          <w:tcPr>
            <w:tcW w:w="1627" w:type="dxa"/>
          </w:tcPr>
          <w:p w14:paraId="63606687" w14:textId="77777777" w:rsidR="001B747D" w:rsidRPr="00490C63" w:rsidRDefault="001B747D" w:rsidP="007232AE">
            <w:pPr>
              <w:spacing w:line="360" w:lineRule="auto"/>
              <w:jc w:val="both"/>
              <w:rPr>
                <w:sz w:val="20"/>
              </w:rPr>
            </w:pPr>
            <w:r>
              <w:rPr>
                <w:sz w:val="20"/>
              </w:rPr>
              <w:t>3</w:t>
            </w:r>
          </w:p>
        </w:tc>
      </w:tr>
      <w:tr w:rsidR="001B747D" w:rsidRPr="00490C63" w14:paraId="2FB49A6B" w14:textId="77777777" w:rsidTr="001400FD">
        <w:trPr>
          <w:jc w:val="center"/>
        </w:trPr>
        <w:tc>
          <w:tcPr>
            <w:tcW w:w="2998" w:type="dxa"/>
          </w:tcPr>
          <w:p w14:paraId="2F2E1B7A" w14:textId="77777777" w:rsidR="001B747D" w:rsidRPr="00490C63" w:rsidRDefault="001B747D" w:rsidP="007232AE">
            <w:pPr>
              <w:spacing w:line="360" w:lineRule="auto"/>
              <w:jc w:val="both"/>
              <w:rPr>
                <w:sz w:val="20"/>
              </w:rPr>
            </w:pPr>
            <w:r w:rsidRPr="00490C63">
              <w:rPr>
                <w:sz w:val="20"/>
              </w:rPr>
              <w:t xml:space="preserve">Catholic priest </w:t>
            </w:r>
          </w:p>
        </w:tc>
        <w:tc>
          <w:tcPr>
            <w:tcW w:w="1001" w:type="dxa"/>
          </w:tcPr>
          <w:p w14:paraId="16E0DF2E" w14:textId="77777777" w:rsidR="001B747D" w:rsidRPr="00490C63" w:rsidRDefault="001B747D" w:rsidP="007232AE">
            <w:pPr>
              <w:spacing w:line="360" w:lineRule="auto"/>
              <w:jc w:val="both"/>
              <w:rPr>
                <w:sz w:val="20"/>
              </w:rPr>
            </w:pPr>
            <w:r w:rsidRPr="00490C63">
              <w:rPr>
                <w:sz w:val="20"/>
              </w:rPr>
              <w:t>2</w:t>
            </w:r>
          </w:p>
        </w:tc>
        <w:tc>
          <w:tcPr>
            <w:tcW w:w="1158" w:type="dxa"/>
          </w:tcPr>
          <w:p w14:paraId="4BDEA29B" w14:textId="77777777" w:rsidR="001B747D" w:rsidRPr="00490C63" w:rsidRDefault="001B747D" w:rsidP="007232AE">
            <w:pPr>
              <w:spacing w:line="360" w:lineRule="auto"/>
              <w:jc w:val="both"/>
              <w:rPr>
                <w:sz w:val="20"/>
              </w:rPr>
            </w:pPr>
            <w:r>
              <w:rPr>
                <w:sz w:val="20"/>
              </w:rPr>
              <w:t>-</w:t>
            </w:r>
          </w:p>
        </w:tc>
        <w:tc>
          <w:tcPr>
            <w:tcW w:w="1206" w:type="dxa"/>
          </w:tcPr>
          <w:p w14:paraId="3710E54F" w14:textId="77777777" w:rsidR="001B747D" w:rsidRPr="00490C63" w:rsidRDefault="001B747D" w:rsidP="007232AE">
            <w:pPr>
              <w:spacing w:line="360" w:lineRule="auto"/>
              <w:jc w:val="both"/>
              <w:rPr>
                <w:sz w:val="20"/>
              </w:rPr>
            </w:pPr>
            <w:r>
              <w:rPr>
                <w:sz w:val="20"/>
              </w:rPr>
              <w:t>-</w:t>
            </w:r>
          </w:p>
        </w:tc>
        <w:tc>
          <w:tcPr>
            <w:tcW w:w="1020" w:type="dxa"/>
          </w:tcPr>
          <w:p w14:paraId="1E39C8BD" w14:textId="77777777" w:rsidR="001B747D" w:rsidRPr="00490C63" w:rsidRDefault="001B747D" w:rsidP="007232AE">
            <w:pPr>
              <w:spacing w:line="360" w:lineRule="auto"/>
              <w:jc w:val="both"/>
              <w:rPr>
                <w:sz w:val="20"/>
              </w:rPr>
            </w:pPr>
            <w:r>
              <w:rPr>
                <w:sz w:val="20"/>
              </w:rPr>
              <w:t>2</w:t>
            </w:r>
          </w:p>
        </w:tc>
        <w:tc>
          <w:tcPr>
            <w:tcW w:w="1627" w:type="dxa"/>
          </w:tcPr>
          <w:p w14:paraId="29D6C79D" w14:textId="77777777" w:rsidR="001B747D" w:rsidRPr="00490C63" w:rsidRDefault="001B747D" w:rsidP="007232AE">
            <w:pPr>
              <w:spacing w:line="360" w:lineRule="auto"/>
              <w:jc w:val="both"/>
              <w:rPr>
                <w:sz w:val="20"/>
              </w:rPr>
            </w:pPr>
            <w:r>
              <w:rPr>
                <w:sz w:val="20"/>
              </w:rPr>
              <w:t>-</w:t>
            </w:r>
          </w:p>
        </w:tc>
      </w:tr>
      <w:tr w:rsidR="001B747D" w:rsidRPr="00490C63" w14:paraId="06D453E8" w14:textId="77777777" w:rsidTr="001400FD">
        <w:trPr>
          <w:jc w:val="center"/>
        </w:trPr>
        <w:tc>
          <w:tcPr>
            <w:tcW w:w="2998" w:type="dxa"/>
          </w:tcPr>
          <w:p w14:paraId="3E94C02E" w14:textId="77777777" w:rsidR="001B747D" w:rsidRPr="00490C63" w:rsidRDefault="001B747D" w:rsidP="007232AE">
            <w:pPr>
              <w:spacing w:line="360" w:lineRule="auto"/>
              <w:jc w:val="both"/>
              <w:rPr>
                <w:sz w:val="20"/>
              </w:rPr>
            </w:pPr>
            <w:r>
              <w:rPr>
                <w:sz w:val="20"/>
              </w:rPr>
              <w:t>Engineer</w:t>
            </w:r>
          </w:p>
        </w:tc>
        <w:tc>
          <w:tcPr>
            <w:tcW w:w="1001" w:type="dxa"/>
          </w:tcPr>
          <w:p w14:paraId="6B9D7F39" w14:textId="77777777" w:rsidR="001B747D" w:rsidRPr="00490C63" w:rsidRDefault="001B747D" w:rsidP="007232AE">
            <w:pPr>
              <w:spacing w:line="360" w:lineRule="auto"/>
              <w:jc w:val="both"/>
              <w:rPr>
                <w:sz w:val="20"/>
              </w:rPr>
            </w:pPr>
            <w:r>
              <w:rPr>
                <w:sz w:val="20"/>
              </w:rPr>
              <w:t>4</w:t>
            </w:r>
          </w:p>
        </w:tc>
        <w:tc>
          <w:tcPr>
            <w:tcW w:w="1158" w:type="dxa"/>
          </w:tcPr>
          <w:p w14:paraId="142697BC" w14:textId="77777777" w:rsidR="001B747D" w:rsidRDefault="001B747D" w:rsidP="007232AE">
            <w:pPr>
              <w:spacing w:line="360" w:lineRule="auto"/>
              <w:jc w:val="both"/>
              <w:rPr>
                <w:sz w:val="20"/>
              </w:rPr>
            </w:pPr>
            <w:r>
              <w:rPr>
                <w:sz w:val="20"/>
              </w:rPr>
              <w:t>-</w:t>
            </w:r>
          </w:p>
        </w:tc>
        <w:tc>
          <w:tcPr>
            <w:tcW w:w="1206" w:type="dxa"/>
          </w:tcPr>
          <w:p w14:paraId="2797BBAC" w14:textId="77777777" w:rsidR="001B747D" w:rsidRDefault="001B747D" w:rsidP="007232AE">
            <w:pPr>
              <w:spacing w:line="360" w:lineRule="auto"/>
              <w:jc w:val="both"/>
              <w:rPr>
                <w:sz w:val="20"/>
              </w:rPr>
            </w:pPr>
            <w:r>
              <w:rPr>
                <w:sz w:val="20"/>
              </w:rPr>
              <w:t>1</w:t>
            </w:r>
          </w:p>
        </w:tc>
        <w:tc>
          <w:tcPr>
            <w:tcW w:w="1020" w:type="dxa"/>
          </w:tcPr>
          <w:p w14:paraId="03078E0E" w14:textId="77777777" w:rsidR="001B747D" w:rsidRDefault="001B747D" w:rsidP="007232AE">
            <w:pPr>
              <w:spacing w:line="360" w:lineRule="auto"/>
              <w:jc w:val="both"/>
              <w:rPr>
                <w:sz w:val="20"/>
              </w:rPr>
            </w:pPr>
            <w:r>
              <w:rPr>
                <w:sz w:val="20"/>
              </w:rPr>
              <w:t>2</w:t>
            </w:r>
          </w:p>
        </w:tc>
        <w:tc>
          <w:tcPr>
            <w:tcW w:w="1627" w:type="dxa"/>
          </w:tcPr>
          <w:p w14:paraId="53E15706" w14:textId="77777777" w:rsidR="001B747D" w:rsidRDefault="001B747D" w:rsidP="007232AE">
            <w:pPr>
              <w:spacing w:line="360" w:lineRule="auto"/>
              <w:jc w:val="both"/>
              <w:rPr>
                <w:sz w:val="20"/>
              </w:rPr>
            </w:pPr>
            <w:r>
              <w:rPr>
                <w:sz w:val="20"/>
              </w:rPr>
              <w:t>1</w:t>
            </w:r>
          </w:p>
        </w:tc>
      </w:tr>
      <w:tr w:rsidR="001B747D" w:rsidRPr="00490C63" w14:paraId="00093349" w14:textId="77777777" w:rsidTr="001400FD">
        <w:trPr>
          <w:jc w:val="center"/>
        </w:trPr>
        <w:tc>
          <w:tcPr>
            <w:tcW w:w="2998" w:type="dxa"/>
          </w:tcPr>
          <w:p w14:paraId="1AA3A3C8" w14:textId="77777777" w:rsidR="001B747D" w:rsidRPr="00490C63" w:rsidRDefault="001B747D" w:rsidP="007232AE">
            <w:pPr>
              <w:spacing w:line="360" w:lineRule="auto"/>
              <w:jc w:val="both"/>
              <w:rPr>
                <w:sz w:val="20"/>
              </w:rPr>
            </w:pPr>
            <w:r w:rsidRPr="00490C63">
              <w:rPr>
                <w:sz w:val="20"/>
              </w:rPr>
              <w:t>Farmer</w:t>
            </w:r>
          </w:p>
        </w:tc>
        <w:tc>
          <w:tcPr>
            <w:tcW w:w="1001" w:type="dxa"/>
          </w:tcPr>
          <w:p w14:paraId="12CEE17D" w14:textId="77777777" w:rsidR="001B747D" w:rsidRPr="00490C63" w:rsidRDefault="001B747D" w:rsidP="007232AE">
            <w:pPr>
              <w:spacing w:line="360" w:lineRule="auto"/>
              <w:jc w:val="both"/>
              <w:rPr>
                <w:sz w:val="20"/>
              </w:rPr>
            </w:pPr>
            <w:r w:rsidRPr="00490C63">
              <w:rPr>
                <w:sz w:val="20"/>
              </w:rPr>
              <w:t>4</w:t>
            </w:r>
          </w:p>
        </w:tc>
        <w:tc>
          <w:tcPr>
            <w:tcW w:w="1158" w:type="dxa"/>
          </w:tcPr>
          <w:p w14:paraId="25AD23DF" w14:textId="77777777" w:rsidR="001B747D" w:rsidRPr="00490C63" w:rsidRDefault="001B747D" w:rsidP="007232AE">
            <w:pPr>
              <w:spacing w:line="360" w:lineRule="auto"/>
              <w:jc w:val="both"/>
              <w:rPr>
                <w:sz w:val="20"/>
              </w:rPr>
            </w:pPr>
            <w:r>
              <w:rPr>
                <w:sz w:val="20"/>
              </w:rPr>
              <w:t>1</w:t>
            </w:r>
          </w:p>
        </w:tc>
        <w:tc>
          <w:tcPr>
            <w:tcW w:w="1206" w:type="dxa"/>
          </w:tcPr>
          <w:p w14:paraId="7E45E2F9" w14:textId="77777777" w:rsidR="001B747D" w:rsidRPr="00490C63" w:rsidRDefault="001B747D" w:rsidP="007232AE">
            <w:pPr>
              <w:spacing w:line="360" w:lineRule="auto"/>
              <w:jc w:val="both"/>
              <w:rPr>
                <w:sz w:val="20"/>
              </w:rPr>
            </w:pPr>
            <w:r>
              <w:rPr>
                <w:sz w:val="20"/>
              </w:rPr>
              <w:t>2</w:t>
            </w:r>
          </w:p>
        </w:tc>
        <w:tc>
          <w:tcPr>
            <w:tcW w:w="1020" w:type="dxa"/>
          </w:tcPr>
          <w:p w14:paraId="5A2156CD" w14:textId="77777777" w:rsidR="001B747D" w:rsidRPr="00490C63" w:rsidRDefault="001B747D" w:rsidP="007232AE">
            <w:pPr>
              <w:spacing w:line="360" w:lineRule="auto"/>
              <w:jc w:val="both"/>
              <w:rPr>
                <w:sz w:val="20"/>
              </w:rPr>
            </w:pPr>
            <w:r>
              <w:rPr>
                <w:sz w:val="20"/>
              </w:rPr>
              <w:t>2</w:t>
            </w:r>
          </w:p>
        </w:tc>
        <w:tc>
          <w:tcPr>
            <w:tcW w:w="1627" w:type="dxa"/>
          </w:tcPr>
          <w:p w14:paraId="4C0BE97D" w14:textId="77777777" w:rsidR="001B747D" w:rsidRPr="00490C63" w:rsidRDefault="001B747D" w:rsidP="007232AE">
            <w:pPr>
              <w:spacing w:line="360" w:lineRule="auto"/>
              <w:jc w:val="both"/>
              <w:rPr>
                <w:sz w:val="20"/>
              </w:rPr>
            </w:pPr>
            <w:r>
              <w:rPr>
                <w:sz w:val="20"/>
              </w:rPr>
              <w:t>-</w:t>
            </w:r>
          </w:p>
        </w:tc>
      </w:tr>
      <w:tr w:rsidR="001B747D" w:rsidRPr="00490C63" w14:paraId="1294AEB5" w14:textId="77777777" w:rsidTr="001400FD">
        <w:trPr>
          <w:jc w:val="center"/>
        </w:trPr>
        <w:tc>
          <w:tcPr>
            <w:tcW w:w="2998" w:type="dxa"/>
          </w:tcPr>
          <w:p w14:paraId="7C0126F2" w14:textId="77777777" w:rsidR="001B747D" w:rsidRPr="00490C63" w:rsidRDefault="001B747D" w:rsidP="007232AE">
            <w:pPr>
              <w:spacing w:line="360" w:lineRule="auto"/>
              <w:jc w:val="both"/>
              <w:rPr>
                <w:sz w:val="20"/>
              </w:rPr>
            </w:pPr>
            <w:r w:rsidRPr="00490C63">
              <w:rPr>
                <w:sz w:val="20"/>
              </w:rPr>
              <w:t>Landowner</w:t>
            </w:r>
          </w:p>
        </w:tc>
        <w:tc>
          <w:tcPr>
            <w:tcW w:w="1001" w:type="dxa"/>
          </w:tcPr>
          <w:p w14:paraId="5340114B" w14:textId="77777777" w:rsidR="001B747D" w:rsidRPr="00490C63" w:rsidRDefault="001B747D" w:rsidP="007232AE">
            <w:pPr>
              <w:spacing w:line="360" w:lineRule="auto"/>
              <w:jc w:val="both"/>
              <w:rPr>
                <w:sz w:val="20"/>
              </w:rPr>
            </w:pPr>
            <w:r w:rsidRPr="00490C63">
              <w:rPr>
                <w:sz w:val="20"/>
              </w:rPr>
              <w:t>1</w:t>
            </w:r>
            <w:r>
              <w:rPr>
                <w:sz w:val="20"/>
              </w:rPr>
              <w:t>6</w:t>
            </w:r>
          </w:p>
        </w:tc>
        <w:tc>
          <w:tcPr>
            <w:tcW w:w="1158" w:type="dxa"/>
          </w:tcPr>
          <w:p w14:paraId="5BE449C7" w14:textId="77777777" w:rsidR="001B747D" w:rsidRPr="00490C63" w:rsidRDefault="001B747D" w:rsidP="007232AE">
            <w:pPr>
              <w:spacing w:line="360" w:lineRule="auto"/>
              <w:jc w:val="both"/>
              <w:rPr>
                <w:sz w:val="20"/>
              </w:rPr>
            </w:pPr>
            <w:r>
              <w:rPr>
                <w:sz w:val="20"/>
              </w:rPr>
              <w:t>16</w:t>
            </w:r>
          </w:p>
        </w:tc>
        <w:tc>
          <w:tcPr>
            <w:tcW w:w="1206" w:type="dxa"/>
          </w:tcPr>
          <w:p w14:paraId="5FEF47D5" w14:textId="77777777" w:rsidR="001B747D" w:rsidRPr="00490C63" w:rsidRDefault="001B747D" w:rsidP="007232AE">
            <w:pPr>
              <w:spacing w:line="360" w:lineRule="auto"/>
              <w:jc w:val="both"/>
              <w:rPr>
                <w:sz w:val="20"/>
              </w:rPr>
            </w:pPr>
            <w:r>
              <w:rPr>
                <w:sz w:val="20"/>
              </w:rPr>
              <w:t>7</w:t>
            </w:r>
          </w:p>
        </w:tc>
        <w:tc>
          <w:tcPr>
            <w:tcW w:w="1020" w:type="dxa"/>
          </w:tcPr>
          <w:p w14:paraId="79A3AFD6" w14:textId="77777777" w:rsidR="001B747D" w:rsidRPr="00490C63" w:rsidRDefault="001B747D" w:rsidP="007232AE">
            <w:pPr>
              <w:spacing w:line="360" w:lineRule="auto"/>
              <w:jc w:val="both"/>
              <w:rPr>
                <w:sz w:val="20"/>
              </w:rPr>
            </w:pPr>
            <w:r>
              <w:rPr>
                <w:sz w:val="20"/>
              </w:rPr>
              <w:t>9</w:t>
            </w:r>
          </w:p>
        </w:tc>
        <w:tc>
          <w:tcPr>
            <w:tcW w:w="1627" w:type="dxa"/>
          </w:tcPr>
          <w:p w14:paraId="179D8F71" w14:textId="77777777" w:rsidR="001B747D" w:rsidRPr="00490C63" w:rsidRDefault="001B747D" w:rsidP="007232AE">
            <w:pPr>
              <w:spacing w:line="360" w:lineRule="auto"/>
              <w:jc w:val="both"/>
              <w:rPr>
                <w:sz w:val="20"/>
              </w:rPr>
            </w:pPr>
            <w:r>
              <w:rPr>
                <w:sz w:val="20"/>
              </w:rPr>
              <w:t>-</w:t>
            </w:r>
          </w:p>
        </w:tc>
      </w:tr>
      <w:tr w:rsidR="001B747D" w:rsidRPr="00490C63" w14:paraId="27F8E803" w14:textId="77777777" w:rsidTr="001400FD">
        <w:trPr>
          <w:jc w:val="center"/>
        </w:trPr>
        <w:tc>
          <w:tcPr>
            <w:tcW w:w="2998" w:type="dxa"/>
          </w:tcPr>
          <w:p w14:paraId="6CFF0242" w14:textId="77777777" w:rsidR="001B747D" w:rsidRPr="00490C63" w:rsidRDefault="001B747D" w:rsidP="007232AE">
            <w:pPr>
              <w:spacing w:line="360" w:lineRule="auto"/>
              <w:jc w:val="both"/>
              <w:rPr>
                <w:sz w:val="20"/>
              </w:rPr>
            </w:pPr>
            <w:r w:rsidRPr="00490C63">
              <w:rPr>
                <w:sz w:val="20"/>
              </w:rPr>
              <w:t>Military officer</w:t>
            </w:r>
          </w:p>
        </w:tc>
        <w:tc>
          <w:tcPr>
            <w:tcW w:w="1001" w:type="dxa"/>
          </w:tcPr>
          <w:p w14:paraId="0E069A23" w14:textId="77777777" w:rsidR="001B747D" w:rsidRPr="00490C63" w:rsidRDefault="001B747D" w:rsidP="007232AE">
            <w:pPr>
              <w:spacing w:line="360" w:lineRule="auto"/>
              <w:jc w:val="both"/>
              <w:rPr>
                <w:sz w:val="20"/>
              </w:rPr>
            </w:pPr>
            <w:r w:rsidRPr="00490C63">
              <w:rPr>
                <w:sz w:val="20"/>
              </w:rPr>
              <w:t>21</w:t>
            </w:r>
          </w:p>
        </w:tc>
        <w:tc>
          <w:tcPr>
            <w:tcW w:w="1158" w:type="dxa"/>
          </w:tcPr>
          <w:p w14:paraId="2E53E371" w14:textId="77777777" w:rsidR="001B747D" w:rsidRPr="00490C63" w:rsidRDefault="001B747D" w:rsidP="007232AE">
            <w:pPr>
              <w:spacing w:line="360" w:lineRule="auto"/>
              <w:jc w:val="both"/>
              <w:rPr>
                <w:sz w:val="20"/>
              </w:rPr>
            </w:pPr>
            <w:r>
              <w:rPr>
                <w:sz w:val="20"/>
              </w:rPr>
              <w:t>14</w:t>
            </w:r>
          </w:p>
        </w:tc>
        <w:tc>
          <w:tcPr>
            <w:tcW w:w="1206" w:type="dxa"/>
          </w:tcPr>
          <w:p w14:paraId="63493EC4" w14:textId="77777777" w:rsidR="001B747D" w:rsidRPr="00490C63" w:rsidRDefault="001B747D" w:rsidP="007232AE">
            <w:pPr>
              <w:spacing w:line="360" w:lineRule="auto"/>
              <w:jc w:val="both"/>
              <w:rPr>
                <w:sz w:val="20"/>
              </w:rPr>
            </w:pPr>
            <w:r>
              <w:rPr>
                <w:sz w:val="20"/>
              </w:rPr>
              <w:t>10</w:t>
            </w:r>
          </w:p>
        </w:tc>
        <w:tc>
          <w:tcPr>
            <w:tcW w:w="1020" w:type="dxa"/>
          </w:tcPr>
          <w:p w14:paraId="0BF9C171" w14:textId="77777777" w:rsidR="001B747D" w:rsidRPr="00490C63" w:rsidRDefault="001B747D" w:rsidP="007232AE">
            <w:pPr>
              <w:spacing w:line="360" w:lineRule="auto"/>
              <w:jc w:val="both"/>
              <w:rPr>
                <w:sz w:val="20"/>
              </w:rPr>
            </w:pPr>
            <w:r>
              <w:rPr>
                <w:sz w:val="20"/>
              </w:rPr>
              <w:t>5</w:t>
            </w:r>
          </w:p>
        </w:tc>
        <w:tc>
          <w:tcPr>
            <w:tcW w:w="1627" w:type="dxa"/>
          </w:tcPr>
          <w:p w14:paraId="077ED689" w14:textId="77777777" w:rsidR="001B747D" w:rsidRPr="00490C63" w:rsidRDefault="001B747D" w:rsidP="007232AE">
            <w:pPr>
              <w:spacing w:line="360" w:lineRule="auto"/>
              <w:jc w:val="both"/>
              <w:rPr>
                <w:sz w:val="20"/>
              </w:rPr>
            </w:pPr>
            <w:r>
              <w:rPr>
                <w:sz w:val="20"/>
              </w:rPr>
              <w:t>6</w:t>
            </w:r>
          </w:p>
        </w:tc>
      </w:tr>
      <w:tr w:rsidR="001B747D" w:rsidRPr="00490C63" w14:paraId="3CB1B443" w14:textId="77777777" w:rsidTr="001400FD">
        <w:trPr>
          <w:jc w:val="center"/>
        </w:trPr>
        <w:tc>
          <w:tcPr>
            <w:tcW w:w="2998" w:type="dxa"/>
          </w:tcPr>
          <w:p w14:paraId="12E9954E" w14:textId="77777777" w:rsidR="001B747D" w:rsidRPr="00490C63" w:rsidRDefault="001B747D" w:rsidP="007232AE">
            <w:pPr>
              <w:spacing w:line="360" w:lineRule="auto"/>
              <w:jc w:val="both"/>
              <w:rPr>
                <w:sz w:val="20"/>
              </w:rPr>
            </w:pPr>
            <w:r w:rsidRPr="00490C63">
              <w:rPr>
                <w:sz w:val="20"/>
              </w:rPr>
              <w:t>Physician</w:t>
            </w:r>
          </w:p>
        </w:tc>
        <w:tc>
          <w:tcPr>
            <w:tcW w:w="1001" w:type="dxa"/>
          </w:tcPr>
          <w:p w14:paraId="26119F7D" w14:textId="77777777" w:rsidR="001B747D" w:rsidRPr="00490C63" w:rsidRDefault="001B747D" w:rsidP="007232AE">
            <w:pPr>
              <w:spacing w:line="360" w:lineRule="auto"/>
              <w:jc w:val="both"/>
              <w:rPr>
                <w:sz w:val="20"/>
              </w:rPr>
            </w:pPr>
            <w:r w:rsidRPr="00490C63">
              <w:rPr>
                <w:sz w:val="20"/>
              </w:rPr>
              <w:t>1</w:t>
            </w:r>
            <w:r>
              <w:rPr>
                <w:sz w:val="20"/>
              </w:rPr>
              <w:t>5</w:t>
            </w:r>
          </w:p>
        </w:tc>
        <w:tc>
          <w:tcPr>
            <w:tcW w:w="1158" w:type="dxa"/>
          </w:tcPr>
          <w:p w14:paraId="0D204333" w14:textId="77777777" w:rsidR="001B747D" w:rsidRPr="00490C63" w:rsidRDefault="001B747D" w:rsidP="007232AE">
            <w:pPr>
              <w:spacing w:line="360" w:lineRule="auto"/>
              <w:jc w:val="both"/>
              <w:rPr>
                <w:sz w:val="20"/>
              </w:rPr>
            </w:pPr>
            <w:r>
              <w:rPr>
                <w:sz w:val="20"/>
              </w:rPr>
              <w:t>-</w:t>
            </w:r>
          </w:p>
        </w:tc>
        <w:tc>
          <w:tcPr>
            <w:tcW w:w="1206" w:type="dxa"/>
          </w:tcPr>
          <w:p w14:paraId="29BEA544" w14:textId="77777777" w:rsidR="001B747D" w:rsidRPr="00490C63" w:rsidRDefault="001B747D" w:rsidP="007232AE">
            <w:pPr>
              <w:spacing w:line="360" w:lineRule="auto"/>
              <w:jc w:val="both"/>
              <w:rPr>
                <w:sz w:val="20"/>
              </w:rPr>
            </w:pPr>
            <w:r>
              <w:rPr>
                <w:sz w:val="20"/>
              </w:rPr>
              <w:t>8</w:t>
            </w:r>
          </w:p>
        </w:tc>
        <w:tc>
          <w:tcPr>
            <w:tcW w:w="1020" w:type="dxa"/>
          </w:tcPr>
          <w:p w14:paraId="11D6DBDA" w14:textId="77777777" w:rsidR="001B747D" w:rsidRPr="00490C63" w:rsidRDefault="001B747D" w:rsidP="007232AE">
            <w:pPr>
              <w:spacing w:line="360" w:lineRule="auto"/>
              <w:jc w:val="both"/>
              <w:rPr>
                <w:sz w:val="20"/>
              </w:rPr>
            </w:pPr>
            <w:r>
              <w:rPr>
                <w:sz w:val="20"/>
              </w:rPr>
              <w:t>5</w:t>
            </w:r>
          </w:p>
        </w:tc>
        <w:tc>
          <w:tcPr>
            <w:tcW w:w="1627" w:type="dxa"/>
          </w:tcPr>
          <w:p w14:paraId="7ABCEBDF" w14:textId="77777777" w:rsidR="001B747D" w:rsidRPr="00490C63" w:rsidRDefault="001B747D" w:rsidP="007232AE">
            <w:pPr>
              <w:spacing w:line="360" w:lineRule="auto"/>
              <w:jc w:val="both"/>
              <w:rPr>
                <w:sz w:val="20"/>
              </w:rPr>
            </w:pPr>
            <w:r>
              <w:rPr>
                <w:sz w:val="20"/>
              </w:rPr>
              <w:t>2</w:t>
            </w:r>
          </w:p>
        </w:tc>
      </w:tr>
      <w:tr w:rsidR="001B747D" w:rsidRPr="00490C63" w14:paraId="2CF1A2F6" w14:textId="77777777" w:rsidTr="001400FD">
        <w:trPr>
          <w:jc w:val="center"/>
        </w:trPr>
        <w:tc>
          <w:tcPr>
            <w:tcW w:w="2998" w:type="dxa"/>
          </w:tcPr>
          <w:p w14:paraId="085D37B3" w14:textId="77777777" w:rsidR="001B747D" w:rsidRPr="00490C63" w:rsidRDefault="001B747D" w:rsidP="007232AE">
            <w:pPr>
              <w:spacing w:line="360" w:lineRule="auto"/>
              <w:jc w:val="both"/>
              <w:rPr>
                <w:sz w:val="20"/>
              </w:rPr>
            </w:pPr>
            <w:r w:rsidRPr="00490C63">
              <w:rPr>
                <w:sz w:val="20"/>
              </w:rPr>
              <w:t>Professor</w:t>
            </w:r>
          </w:p>
        </w:tc>
        <w:tc>
          <w:tcPr>
            <w:tcW w:w="1001" w:type="dxa"/>
          </w:tcPr>
          <w:p w14:paraId="7B2E7AD5" w14:textId="77777777" w:rsidR="001B747D" w:rsidRPr="00490C63" w:rsidRDefault="001B747D" w:rsidP="007232AE">
            <w:pPr>
              <w:spacing w:line="360" w:lineRule="auto"/>
              <w:jc w:val="both"/>
              <w:rPr>
                <w:sz w:val="20"/>
              </w:rPr>
            </w:pPr>
            <w:r w:rsidRPr="00490C63">
              <w:rPr>
                <w:sz w:val="20"/>
              </w:rPr>
              <w:t>11</w:t>
            </w:r>
          </w:p>
        </w:tc>
        <w:tc>
          <w:tcPr>
            <w:tcW w:w="1158" w:type="dxa"/>
          </w:tcPr>
          <w:p w14:paraId="412B2F0C" w14:textId="77777777" w:rsidR="001B747D" w:rsidRPr="00490C63" w:rsidRDefault="001B747D" w:rsidP="007232AE">
            <w:pPr>
              <w:spacing w:line="360" w:lineRule="auto"/>
              <w:jc w:val="both"/>
              <w:rPr>
                <w:sz w:val="20"/>
              </w:rPr>
            </w:pPr>
            <w:r>
              <w:rPr>
                <w:sz w:val="20"/>
              </w:rPr>
              <w:t>1</w:t>
            </w:r>
          </w:p>
        </w:tc>
        <w:tc>
          <w:tcPr>
            <w:tcW w:w="1206" w:type="dxa"/>
          </w:tcPr>
          <w:p w14:paraId="30B8A7F7" w14:textId="77777777" w:rsidR="001B747D" w:rsidRPr="00490C63" w:rsidRDefault="001B747D" w:rsidP="007232AE">
            <w:pPr>
              <w:spacing w:line="360" w:lineRule="auto"/>
              <w:jc w:val="both"/>
              <w:rPr>
                <w:sz w:val="20"/>
              </w:rPr>
            </w:pPr>
            <w:r>
              <w:rPr>
                <w:sz w:val="20"/>
              </w:rPr>
              <w:t>5</w:t>
            </w:r>
          </w:p>
        </w:tc>
        <w:tc>
          <w:tcPr>
            <w:tcW w:w="1020" w:type="dxa"/>
          </w:tcPr>
          <w:p w14:paraId="371088F2" w14:textId="77777777" w:rsidR="001B747D" w:rsidRPr="00490C63" w:rsidRDefault="001B747D" w:rsidP="007232AE">
            <w:pPr>
              <w:spacing w:line="360" w:lineRule="auto"/>
              <w:jc w:val="both"/>
              <w:rPr>
                <w:sz w:val="20"/>
              </w:rPr>
            </w:pPr>
            <w:r>
              <w:rPr>
                <w:sz w:val="20"/>
              </w:rPr>
              <w:t>6</w:t>
            </w:r>
          </w:p>
        </w:tc>
        <w:tc>
          <w:tcPr>
            <w:tcW w:w="1627" w:type="dxa"/>
          </w:tcPr>
          <w:p w14:paraId="10627A11" w14:textId="77777777" w:rsidR="001B747D" w:rsidRPr="00490C63" w:rsidRDefault="001B747D" w:rsidP="007232AE">
            <w:pPr>
              <w:spacing w:line="360" w:lineRule="auto"/>
              <w:jc w:val="both"/>
              <w:rPr>
                <w:sz w:val="20"/>
              </w:rPr>
            </w:pPr>
            <w:r>
              <w:rPr>
                <w:sz w:val="20"/>
              </w:rPr>
              <w:t>-</w:t>
            </w:r>
          </w:p>
        </w:tc>
      </w:tr>
      <w:tr w:rsidR="001B747D" w:rsidRPr="00490C63" w14:paraId="6358B257" w14:textId="77777777" w:rsidTr="001400FD">
        <w:trPr>
          <w:jc w:val="center"/>
        </w:trPr>
        <w:tc>
          <w:tcPr>
            <w:tcW w:w="2998" w:type="dxa"/>
          </w:tcPr>
          <w:p w14:paraId="4D058777" w14:textId="77777777" w:rsidR="001B747D" w:rsidRPr="00490C63" w:rsidRDefault="001B747D" w:rsidP="007232AE">
            <w:pPr>
              <w:spacing w:line="360" w:lineRule="auto"/>
              <w:jc w:val="both"/>
              <w:rPr>
                <w:sz w:val="20"/>
              </w:rPr>
            </w:pPr>
            <w:r w:rsidRPr="00490C63">
              <w:rPr>
                <w:sz w:val="20"/>
              </w:rPr>
              <w:t>Protestant clergy</w:t>
            </w:r>
          </w:p>
        </w:tc>
        <w:tc>
          <w:tcPr>
            <w:tcW w:w="1001" w:type="dxa"/>
          </w:tcPr>
          <w:p w14:paraId="682AC0BC" w14:textId="77777777" w:rsidR="001B747D" w:rsidRPr="00490C63" w:rsidRDefault="001B747D" w:rsidP="007232AE">
            <w:pPr>
              <w:spacing w:line="360" w:lineRule="auto"/>
              <w:jc w:val="both"/>
              <w:rPr>
                <w:sz w:val="20"/>
              </w:rPr>
            </w:pPr>
            <w:r w:rsidRPr="00490C63">
              <w:rPr>
                <w:sz w:val="20"/>
              </w:rPr>
              <w:t>3</w:t>
            </w:r>
          </w:p>
        </w:tc>
        <w:tc>
          <w:tcPr>
            <w:tcW w:w="1158" w:type="dxa"/>
          </w:tcPr>
          <w:p w14:paraId="4B30EAB3" w14:textId="77777777" w:rsidR="001B747D" w:rsidRPr="00490C63" w:rsidRDefault="001B747D" w:rsidP="007232AE">
            <w:pPr>
              <w:spacing w:line="360" w:lineRule="auto"/>
              <w:jc w:val="both"/>
              <w:rPr>
                <w:sz w:val="20"/>
              </w:rPr>
            </w:pPr>
            <w:r>
              <w:rPr>
                <w:sz w:val="20"/>
              </w:rPr>
              <w:t>-</w:t>
            </w:r>
          </w:p>
        </w:tc>
        <w:tc>
          <w:tcPr>
            <w:tcW w:w="1206" w:type="dxa"/>
          </w:tcPr>
          <w:p w14:paraId="2EA8BF47" w14:textId="77777777" w:rsidR="001B747D" w:rsidRPr="00490C63" w:rsidRDefault="001B747D" w:rsidP="007232AE">
            <w:pPr>
              <w:spacing w:line="360" w:lineRule="auto"/>
              <w:jc w:val="both"/>
              <w:rPr>
                <w:sz w:val="20"/>
              </w:rPr>
            </w:pPr>
            <w:r>
              <w:rPr>
                <w:sz w:val="20"/>
              </w:rPr>
              <w:t>3</w:t>
            </w:r>
          </w:p>
        </w:tc>
        <w:tc>
          <w:tcPr>
            <w:tcW w:w="1020" w:type="dxa"/>
          </w:tcPr>
          <w:p w14:paraId="1ABED000" w14:textId="77777777" w:rsidR="001B747D" w:rsidRPr="00490C63" w:rsidRDefault="001B747D" w:rsidP="007232AE">
            <w:pPr>
              <w:spacing w:line="360" w:lineRule="auto"/>
              <w:jc w:val="both"/>
              <w:rPr>
                <w:sz w:val="20"/>
              </w:rPr>
            </w:pPr>
            <w:r>
              <w:rPr>
                <w:sz w:val="20"/>
              </w:rPr>
              <w:t>-</w:t>
            </w:r>
          </w:p>
        </w:tc>
        <w:tc>
          <w:tcPr>
            <w:tcW w:w="1627" w:type="dxa"/>
          </w:tcPr>
          <w:p w14:paraId="253E553C" w14:textId="77777777" w:rsidR="001B747D" w:rsidRPr="00490C63" w:rsidRDefault="001B747D" w:rsidP="007232AE">
            <w:pPr>
              <w:spacing w:line="360" w:lineRule="auto"/>
              <w:jc w:val="both"/>
              <w:rPr>
                <w:sz w:val="20"/>
              </w:rPr>
            </w:pPr>
            <w:r>
              <w:rPr>
                <w:sz w:val="20"/>
              </w:rPr>
              <w:t>-</w:t>
            </w:r>
          </w:p>
        </w:tc>
      </w:tr>
      <w:tr w:rsidR="001B747D" w:rsidRPr="00490C63" w14:paraId="2C92A1FB" w14:textId="77777777" w:rsidTr="001400FD">
        <w:trPr>
          <w:jc w:val="center"/>
        </w:trPr>
        <w:tc>
          <w:tcPr>
            <w:tcW w:w="2998" w:type="dxa"/>
          </w:tcPr>
          <w:p w14:paraId="5CBEA1C0" w14:textId="77777777" w:rsidR="001B747D" w:rsidRPr="00490C63" w:rsidRDefault="001B747D" w:rsidP="007232AE">
            <w:pPr>
              <w:spacing w:line="360" w:lineRule="auto"/>
              <w:jc w:val="both"/>
              <w:rPr>
                <w:sz w:val="20"/>
              </w:rPr>
            </w:pPr>
            <w:r w:rsidRPr="00490C63">
              <w:rPr>
                <w:sz w:val="20"/>
              </w:rPr>
              <w:t>Senior political or administrative</w:t>
            </w:r>
          </w:p>
        </w:tc>
        <w:tc>
          <w:tcPr>
            <w:tcW w:w="1001" w:type="dxa"/>
          </w:tcPr>
          <w:p w14:paraId="18501D0B" w14:textId="77777777" w:rsidR="001B747D" w:rsidRPr="00490C63" w:rsidRDefault="001B747D" w:rsidP="007232AE">
            <w:pPr>
              <w:spacing w:line="360" w:lineRule="auto"/>
              <w:jc w:val="both"/>
              <w:rPr>
                <w:sz w:val="20"/>
              </w:rPr>
            </w:pPr>
            <w:r>
              <w:rPr>
                <w:sz w:val="20"/>
              </w:rPr>
              <w:t>6</w:t>
            </w:r>
          </w:p>
        </w:tc>
        <w:tc>
          <w:tcPr>
            <w:tcW w:w="1158" w:type="dxa"/>
          </w:tcPr>
          <w:p w14:paraId="5476DDC0" w14:textId="77777777" w:rsidR="001B747D" w:rsidRDefault="001B747D" w:rsidP="007232AE">
            <w:pPr>
              <w:spacing w:line="360" w:lineRule="auto"/>
              <w:jc w:val="both"/>
              <w:rPr>
                <w:sz w:val="20"/>
              </w:rPr>
            </w:pPr>
            <w:r>
              <w:rPr>
                <w:sz w:val="20"/>
              </w:rPr>
              <w:t>2</w:t>
            </w:r>
          </w:p>
        </w:tc>
        <w:tc>
          <w:tcPr>
            <w:tcW w:w="1206" w:type="dxa"/>
          </w:tcPr>
          <w:p w14:paraId="6F25F5C6" w14:textId="77777777" w:rsidR="001B747D" w:rsidRDefault="001B747D" w:rsidP="007232AE">
            <w:pPr>
              <w:spacing w:line="360" w:lineRule="auto"/>
              <w:jc w:val="both"/>
              <w:rPr>
                <w:sz w:val="20"/>
              </w:rPr>
            </w:pPr>
            <w:r>
              <w:rPr>
                <w:sz w:val="20"/>
              </w:rPr>
              <w:t>4</w:t>
            </w:r>
          </w:p>
        </w:tc>
        <w:tc>
          <w:tcPr>
            <w:tcW w:w="1020" w:type="dxa"/>
          </w:tcPr>
          <w:p w14:paraId="1E52A3C5" w14:textId="77777777" w:rsidR="001B747D" w:rsidRDefault="001B747D" w:rsidP="007232AE">
            <w:pPr>
              <w:spacing w:line="360" w:lineRule="auto"/>
              <w:jc w:val="both"/>
              <w:rPr>
                <w:sz w:val="20"/>
              </w:rPr>
            </w:pPr>
            <w:r>
              <w:rPr>
                <w:sz w:val="20"/>
              </w:rPr>
              <w:t>1</w:t>
            </w:r>
          </w:p>
        </w:tc>
        <w:tc>
          <w:tcPr>
            <w:tcW w:w="1627" w:type="dxa"/>
          </w:tcPr>
          <w:p w14:paraId="63617356" w14:textId="77777777" w:rsidR="001B747D" w:rsidRDefault="001B747D" w:rsidP="007232AE">
            <w:pPr>
              <w:spacing w:line="360" w:lineRule="auto"/>
              <w:jc w:val="both"/>
              <w:rPr>
                <w:sz w:val="20"/>
              </w:rPr>
            </w:pPr>
            <w:r>
              <w:rPr>
                <w:sz w:val="20"/>
              </w:rPr>
              <w:t>1</w:t>
            </w:r>
          </w:p>
        </w:tc>
      </w:tr>
      <w:tr w:rsidR="001B747D" w:rsidRPr="00490C63" w14:paraId="1DA60273" w14:textId="77777777" w:rsidTr="001400FD">
        <w:trPr>
          <w:jc w:val="center"/>
        </w:trPr>
        <w:tc>
          <w:tcPr>
            <w:tcW w:w="2998" w:type="dxa"/>
          </w:tcPr>
          <w:p w14:paraId="105CD7B4" w14:textId="77777777" w:rsidR="001B747D" w:rsidRPr="00490C63" w:rsidRDefault="001B747D" w:rsidP="007232AE">
            <w:pPr>
              <w:spacing w:line="360" w:lineRule="auto"/>
              <w:jc w:val="both"/>
              <w:rPr>
                <w:sz w:val="20"/>
              </w:rPr>
            </w:pPr>
            <w:r w:rsidRPr="00490C63">
              <w:rPr>
                <w:sz w:val="20"/>
              </w:rPr>
              <w:t>Solicitor</w:t>
            </w:r>
          </w:p>
        </w:tc>
        <w:tc>
          <w:tcPr>
            <w:tcW w:w="1001" w:type="dxa"/>
          </w:tcPr>
          <w:p w14:paraId="54CBCCBC" w14:textId="77777777" w:rsidR="001B747D" w:rsidRPr="00490C63" w:rsidRDefault="001B747D" w:rsidP="007232AE">
            <w:pPr>
              <w:spacing w:line="360" w:lineRule="auto"/>
              <w:jc w:val="both"/>
              <w:rPr>
                <w:sz w:val="20"/>
              </w:rPr>
            </w:pPr>
            <w:r>
              <w:rPr>
                <w:sz w:val="20"/>
              </w:rPr>
              <w:t>8</w:t>
            </w:r>
          </w:p>
        </w:tc>
        <w:tc>
          <w:tcPr>
            <w:tcW w:w="1158" w:type="dxa"/>
          </w:tcPr>
          <w:p w14:paraId="297A38EA" w14:textId="77777777" w:rsidR="001B747D" w:rsidRDefault="001B747D" w:rsidP="007232AE">
            <w:pPr>
              <w:spacing w:line="360" w:lineRule="auto"/>
              <w:jc w:val="both"/>
              <w:rPr>
                <w:sz w:val="20"/>
              </w:rPr>
            </w:pPr>
            <w:r>
              <w:rPr>
                <w:sz w:val="20"/>
              </w:rPr>
              <w:t>-</w:t>
            </w:r>
          </w:p>
        </w:tc>
        <w:tc>
          <w:tcPr>
            <w:tcW w:w="1206" w:type="dxa"/>
          </w:tcPr>
          <w:p w14:paraId="50E64312" w14:textId="77777777" w:rsidR="001B747D" w:rsidRDefault="001B747D" w:rsidP="007232AE">
            <w:pPr>
              <w:spacing w:line="360" w:lineRule="auto"/>
              <w:jc w:val="both"/>
              <w:rPr>
                <w:sz w:val="20"/>
              </w:rPr>
            </w:pPr>
            <w:r>
              <w:rPr>
                <w:sz w:val="20"/>
              </w:rPr>
              <w:t>1</w:t>
            </w:r>
          </w:p>
        </w:tc>
        <w:tc>
          <w:tcPr>
            <w:tcW w:w="1020" w:type="dxa"/>
          </w:tcPr>
          <w:p w14:paraId="2CA7F01E" w14:textId="77777777" w:rsidR="001B747D" w:rsidRDefault="001B747D" w:rsidP="007232AE">
            <w:pPr>
              <w:spacing w:line="360" w:lineRule="auto"/>
              <w:jc w:val="both"/>
              <w:rPr>
                <w:sz w:val="20"/>
              </w:rPr>
            </w:pPr>
            <w:r>
              <w:rPr>
                <w:sz w:val="20"/>
              </w:rPr>
              <w:t>7</w:t>
            </w:r>
          </w:p>
        </w:tc>
        <w:tc>
          <w:tcPr>
            <w:tcW w:w="1627" w:type="dxa"/>
          </w:tcPr>
          <w:p w14:paraId="41B37BED" w14:textId="77777777" w:rsidR="001B747D" w:rsidRDefault="001B747D" w:rsidP="007232AE">
            <w:pPr>
              <w:spacing w:line="360" w:lineRule="auto"/>
              <w:jc w:val="both"/>
              <w:rPr>
                <w:sz w:val="20"/>
              </w:rPr>
            </w:pPr>
            <w:r>
              <w:rPr>
                <w:sz w:val="20"/>
              </w:rPr>
              <w:t>-</w:t>
            </w:r>
          </w:p>
        </w:tc>
      </w:tr>
      <w:tr w:rsidR="001B747D" w:rsidRPr="00490C63" w14:paraId="61FABBDB" w14:textId="77777777" w:rsidTr="001400FD">
        <w:trPr>
          <w:jc w:val="center"/>
        </w:trPr>
        <w:tc>
          <w:tcPr>
            <w:tcW w:w="2998" w:type="dxa"/>
          </w:tcPr>
          <w:p w14:paraId="04B8B6F8" w14:textId="77777777" w:rsidR="001B747D" w:rsidRPr="00490C63" w:rsidRDefault="001B747D" w:rsidP="007232AE">
            <w:pPr>
              <w:spacing w:line="360" w:lineRule="auto"/>
              <w:jc w:val="both"/>
              <w:rPr>
                <w:sz w:val="20"/>
              </w:rPr>
            </w:pPr>
            <w:r>
              <w:rPr>
                <w:sz w:val="20"/>
              </w:rPr>
              <w:t>Teacher</w:t>
            </w:r>
          </w:p>
        </w:tc>
        <w:tc>
          <w:tcPr>
            <w:tcW w:w="1001" w:type="dxa"/>
          </w:tcPr>
          <w:p w14:paraId="3D4FFC9E" w14:textId="77777777" w:rsidR="001B747D" w:rsidRPr="00490C63" w:rsidRDefault="001B747D" w:rsidP="007232AE">
            <w:pPr>
              <w:spacing w:line="360" w:lineRule="auto"/>
              <w:jc w:val="both"/>
              <w:rPr>
                <w:sz w:val="20"/>
              </w:rPr>
            </w:pPr>
            <w:r>
              <w:rPr>
                <w:sz w:val="20"/>
              </w:rPr>
              <w:t>2</w:t>
            </w:r>
          </w:p>
        </w:tc>
        <w:tc>
          <w:tcPr>
            <w:tcW w:w="1158" w:type="dxa"/>
          </w:tcPr>
          <w:p w14:paraId="409B1FE7" w14:textId="77777777" w:rsidR="001B747D" w:rsidRDefault="001B747D" w:rsidP="007232AE">
            <w:pPr>
              <w:spacing w:line="360" w:lineRule="auto"/>
              <w:jc w:val="both"/>
              <w:rPr>
                <w:sz w:val="20"/>
              </w:rPr>
            </w:pPr>
            <w:r>
              <w:rPr>
                <w:sz w:val="20"/>
              </w:rPr>
              <w:t>-</w:t>
            </w:r>
          </w:p>
        </w:tc>
        <w:tc>
          <w:tcPr>
            <w:tcW w:w="1206" w:type="dxa"/>
          </w:tcPr>
          <w:p w14:paraId="1A23A6FB" w14:textId="77777777" w:rsidR="001B747D" w:rsidRDefault="001B747D" w:rsidP="007232AE">
            <w:pPr>
              <w:spacing w:line="360" w:lineRule="auto"/>
              <w:jc w:val="both"/>
              <w:rPr>
                <w:sz w:val="20"/>
              </w:rPr>
            </w:pPr>
            <w:r>
              <w:rPr>
                <w:sz w:val="20"/>
              </w:rPr>
              <w:t>1</w:t>
            </w:r>
          </w:p>
        </w:tc>
        <w:tc>
          <w:tcPr>
            <w:tcW w:w="1020" w:type="dxa"/>
          </w:tcPr>
          <w:p w14:paraId="64C9984A" w14:textId="77777777" w:rsidR="001B747D" w:rsidRDefault="001B747D" w:rsidP="007232AE">
            <w:pPr>
              <w:spacing w:line="360" w:lineRule="auto"/>
              <w:jc w:val="both"/>
              <w:rPr>
                <w:sz w:val="20"/>
              </w:rPr>
            </w:pPr>
            <w:r>
              <w:rPr>
                <w:sz w:val="20"/>
              </w:rPr>
              <w:t>1</w:t>
            </w:r>
          </w:p>
        </w:tc>
        <w:tc>
          <w:tcPr>
            <w:tcW w:w="1627" w:type="dxa"/>
          </w:tcPr>
          <w:p w14:paraId="24E43610" w14:textId="77777777" w:rsidR="001B747D" w:rsidRDefault="001B747D" w:rsidP="007232AE">
            <w:pPr>
              <w:spacing w:line="360" w:lineRule="auto"/>
              <w:jc w:val="both"/>
              <w:rPr>
                <w:sz w:val="20"/>
              </w:rPr>
            </w:pPr>
            <w:r>
              <w:rPr>
                <w:sz w:val="20"/>
              </w:rPr>
              <w:t>-</w:t>
            </w:r>
          </w:p>
        </w:tc>
      </w:tr>
      <w:tr w:rsidR="001B747D" w:rsidRPr="00490C63" w14:paraId="0D9BC34F" w14:textId="77777777" w:rsidTr="001400FD">
        <w:trPr>
          <w:jc w:val="center"/>
        </w:trPr>
        <w:tc>
          <w:tcPr>
            <w:tcW w:w="2998" w:type="dxa"/>
          </w:tcPr>
          <w:p w14:paraId="6B05BBAA" w14:textId="77777777" w:rsidR="001B747D" w:rsidRPr="00490C63" w:rsidRDefault="001B747D" w:rsidP="007232AE">
            <w:pPr>
              <w:spacing w:line="360" w:lineRule="auto"/>
              <w:jc w:val="both"/>
              <w:rPr>
                <w:sz w:val="20"/>
              </w:rPr>
            </w:pPr>
            <w:r w:rsidRPr="00490C63">
              <w:rPr>
                <w:sz w:val="20"/>
              </w:rPr>
              <w:t>Writer or journalist</w:t>
            </w:r>
          </w:p>
        </w:tc>
        <w:tc>
          <w:tcPr>
            <w:tcW w:w="1001" w:type="dxa"/>
          </w:tcPr>
          <w:p w14:paraId="55FD534E" w14:textId="77777777" w:rsidR="001B747D" w:rsidRPr="00490C63" w:rsidRDefault="001B747D" w:rsidP="007232AE">
            <w:pPr>
              <w:spacing w:line="360" w:lineRule="auto"/>
              <w:jc w:val="both"/>
              <w:rPr>
                <w:sz w:val="20"/>
              </w:rPr>
            </w:pPr>
            <w:r w:rsidRPr="00490C63">
              <w:rPr>
                <w:sz w:val="20"/>
              </w:rPr>
              <w:t>8</w:t>
            </w:r>
          </w:p>
        </w:tc>
        <w:tc>
          <w:tcPr>
            <w:tcW w:w="1158" w:type="dxa"/>
          </w:tcPr>
          <w:p w14:paraId="7271BC90" w14:textId="77777777" w:rsidR="001B747D" w:rsidRPr="00490C63" w:rsidRDefault="001B747D" w:rsidP="007232AE">
            <w:pPr>
              <w:spacing w:line="360" w:lineRule="auto"/>
              <w:jc w:val="both"/>
              <w:rPr>
                <w:sz w:val="20"/>
              </w:rPr>
            </w:pPr>
            <w:r>
              <w:rPr>
                <w:sz w:val="20"/>
              </w:rPr>
              <w:t>1</w:t>
            </w:r>
          </w:p>
        </w:tc>
        <w:tc>
          <w:tcPr>
            <w:tcW w:w="1206" w:type="dxa"/>
          </w:tcPr>
          <w:p w14:paraId="105BC95D" w14:textId="77777777" w:rsidR="001B747D" w:rsidRPr="00490C63" w:rsidRDefault="001B747D" w:rsidP="007232AE">
            <w:pPr>
              <w:spacing w:line="360" w:lineRule="auto"/>
              <w:jc w:val="both"/>
              <w:rPr>
                <w:sz w:val="20"/>
              </w:rPr>
            </w:pPr>
            <w:r>
              <w:rPr>
                <w:sz w:val="20"/>
              </w:rPr>
              <w:t>4</w:t>
            </w:r>
          </w:p>
        </w:tc>
        <w:tc>
          <w:tcPr>
            <w:tcW w:w="1020" w:type="dxa"/>
          </w:tcPr>
          <w:p w14:paraId="2C48C1BD" w14:textId="77777777" w:rsidR="001B747D" w:rsidRPr="00490C63" w:rsidRDefault="001B747D" w:rsidP="007232AE">
            <w:pPr>
              <w:spacing w:line="360" w:lineRule="auto"/>
              <w:jc w:val="both"/>
              <w:rPr>
                <w:sz w:val="20"/>
              </w:rPr>
            </w:pPr>
            <w:r>
              <w:rPr>
                <w:sz w:val="20"/>
              </w:rPr>
              <w:t>2</w:t>
            </w:r>
          </w:p>
        </w:tc>
        <w:tc>
          <w:tcPr>
            <w:tcW w:w="1627" w:type="dxa"/>
          </w:tcPr>
          <w:p w14:paraId="7E3D380A" w14:textId="77777777" w:rsidR="001B747D" w:rsidRPr="00490C63" w:rsidRDefault="001B747D" w:rsidP="007232AE">
            <w:pPr>
              <w:spacing w:line="360" w:lineRule="auto"/>
              <w:jc w:val="both"/>
              <w:rPr>
                <w:sz w:val="20"/>
              </w:rPr>
            </w:pPr>
            <w:r>
              <w:rPr>
                <w:sz w:val="20"/>
              </w:rPr>
              <w:t>2</w:t>
            </w:r>
          </w:p>
        </w:tc>
      </w:tr>
      <w:tr w:rsidR="001B747D" w:rsidRPr="00490C63" w14:paraId="64A1972F" w14:textId="77777777" w:rsidTr="001400FD">
        <w:trPr>
          <w:jc w:val="center"/>
        </w:trPr>
        <w:tc>
          <w:tcPr>
            <w:tcW w:w="2998" w:type="dxa"/>
          </w:tcPr>
          <w:p w14:paraId="2BA061ED" w14:textId="77777777" w:rsidR="001B747D" w:rsidRPr="00490C63" w:rsidRDefault="001B747D" w:rsidP="007232AE">
            <w:pPr>
              <w:spacing w:line="360" w:lineRule="auto"/>
              <w:jc w:val="both"/>
              <w:rPr>
                <w:sz w:val="20"/>
              </w:rPr>
            </w:pPr>
            <w:r w:rsidRPr="00490C63">
              <w:rPr>
                <w:sz w:val="20"/>
              </w:rPr>
              <w:t>Other occupation</w:t>
            </w:r>
          </w:p>
        </w:tc>
        <w:tc>
          <w:tcPr>
            <w:tcW w:w="1001" w:type="dxa"/>
          </w:tcPr>
          <w:p w14:paraId="42D98BBA" w14:textId="77777777" w:rsidR="001B747D" w:rsidRPr="00490C63" w:rsidRDefault="001B747D" w:rsidP="007232AE">
            <w:pPr>
              <w:spacing w:line="360" w:lineRule="auto"/>
              <w:jc w:val="both"/>
              <w:rPr>
                <w:sz w:val="20"/>
              </w:rPr>
            </w:pPr>
            <w:r>
              <w:rPr>
                <w:sz w:val="20"/>
              </w:rPr>
              <w:t>12</w:t>
            </w:r>
          </w:p>
        </w:tc>
        <w:tc>
          <w:tcPr>
            <w:tcW w:w="1158" w:type="dxa"/>
          </w:tcPr>
          <w:p w14:paraId="2ED2351D" w14:textId="77777777" w:rsidR="001B747D" w:rsidRPr="00490C63" w:rsidRDefault="001B747D" w:rsidP="007232AE">
            <w:pPr>
              <w:spacing w:line="360" w:lineRule="auto"/>
              <w:jc w:val="both"/>
              <w:rPr>
                <w:sz w:val="20"/>
              </w:rPr>
            </w:pPr>
            <w:r>
              <w:rPr>
                <w:sz w:val="20"/>
              </w:rPr>
              <w:t>5</w:t>
            </w:r>
          </w:p>
        </w:tc>
        <w:tc>
          <w:tcPr>
            <w:tcW w:w="1206" w:type="dxa"/>
          </w:tcPr>
          <w:p w14:paraId="514C6B82" w14:textId="77777777" w:rsidR="001B747D" w:rsidRPr="00490C63" w:rsidRDefault="001B747D" w:rsidP="007232AE">
            <w:pPr>
              <w:spacing w:line="360" w:lineRule="auto"/>
              <w:jc w:val="both"/>
              <w:rPr>
                <w:sz w:val="20"/>
              </w:rPr>
            </w:pPr>
            <w:r>
              <w:rPr>
                <w:sz w:val="20"/>
              </w:rPr>
              <w:t>9</w:t>
            </w:r>
          </w:p>
        </w:tc>
        <w:tc>
          <w:tcPr>
            <w:tcW w:w="1020" w:type="dxa"/>
          </w:tcPr>
          <w:p w14:paraId="7BC5291F" w14:textId="77777777" w:rsidR="001B747D" w:rsidRPr="00490C63" w:rsidRDefault="001B747D" w:rsidP="007232AE">
            <w:pPr>
              <w:spacing w:line="360" w:lineRule="auto"/>
              <w:jc w:val="both"/>
              <w:rPr>
                <w:sz w:val="20"/>
              </w:rPr>
            </w:pPr>
            <w:r>
              <w:rPr>
                <w:sz w:val="20"/>
              </w:rPr>
              <w:t>2</w:t>
            </w:r>
          </w:p>
        </w:tc>
        <w:tc>
          <w:tcPr>
            <w:tcW w:w="1627" w:type="dxa"/>
          </w:tcPr>
          <w:p w14:paraId="55C794BA" w14:textId="77777777" w:rsidR="001B747D" w:rsidRPr="00490C63" w:rsidRDefault="001B747D" w:rsidP="007232AE">
            <w:pPr>
              <w:spacing w:line="360" w:lineRule="auto"/>
              <w:jc w:val="both"/>
              <w:rPr>
                <w:sz w:val="20"/>
              </w:rPr>
            </w:pPr>
            <w:r>
              <w:rPr>
                <w:sz w:val="20"/>
              </w:rPr>
              <w:t>1</w:t>
            </w:r>
          </w:p>
        </w:tc>
      </w:tr>
      <w:tr w:rsidR="001B747D" w:rsidRPr="00490C63" w14:paraId="53733B91" w14:textId="77777777" w:rsidTr="001400FD">
        <w:trPr>
          <w:jc w:val="center"/>
        </w:trPr>
        <w:tc>
          <w:tcPr>
            <w:tcW w:w="2998" w:type="dxa"/>
          </w:tcPr>
          <w:p w14:paraId="2631CA55" w14:textId="77777777" w:rsidR="001B747D" w:rsidRPr="00490C63" w:rsidRDefault="001B747D" w:rsidP="007232AE">
            <w:pPr>
              <w:spacing w:line="360" w:lineRule="auto"/>
              <w:jc w:val="both"/>
              <w:rPr>
                <w:b/>
                <w:sz w:val="20"/>
              </w:rPr>
            </w:pPr>
            <w:r w:rsidRPr="00490C63">
              <w:rPr>
                <w:b/>
                <w:sz w:val="20"/>
              </w:rPr>
              <w:t>TOTAL</w:t>
            </w:r>
          </w:p>
        </w:tc>
        <w:tc>
          <w:tcPr>
            <w:tcW w:w="1001" w:type="dxa"/>
          </w:tcPr>
          <w:p w14:paraId="5F2BD3B4" w14:textId="77777777" w:rsidR="001B747D" w:rsidRPr="00490C63" w:rsidRDefault="001B747D" w:rsidP="007232AE">
            <w:pPr>
              <w:spacing w:line="360" w:lineRule="auto"/>
              <w:jc w:val="both"/>
              <w:rPr>
                <w:b/>
                <w:sz w:val="20"/>
              </w:rPr>
            </w:pPr>
            <w:r>
              <w:rPr>
                <w:b/>
                <w:sz w:val="20"/>
              </w:rPr>
              <w:t>144</w:t>
            </w:r>
          </w:p>
        </w:tc>
        <w:tc>
          <w:tcPr>
            <w:tcW w:w="1158" w:type="dxa"/>
          </w:tcPr>
          <w:p w14:paraId="2F657C67" w14:textId="77777777" w:rsidR="001B747D" w:rsidRDefault="001B747D" w:rsidP="007232AE">
            <w:pPr>
              <w:spacing w:line="360" w:lineRule="auto"/>
              <w:jc w:val="both"/>
              <w:rPr>
                <w:b/>
                <w:sz w:val="20"/>
              </w:rPr>
            </w:pPr>
            <w:r>
              <w:rPr>
                <w:b/>
                <w:sz w:val="20"/>
              </w:rPr>
              <w:t>41</w:t>
            </w:r>
          </w:p>
        </w:tc>
        <w:tc>
          <w:tcPr>
            <w:tcW w:w="1206" w:type="dxa"/>
            <w:shd w:val="clear" w:color="auto" w:fill="EEECE1" w:themeFill="background2"/>
          </w:tcPr>
          <w:p w14:paraId="6362575A" w14:textId="77777777" w:rsidR="001B747D" w:rsidRPr="002121E0" w:rsidRDefault="001B747D" w:rsidP="007232AE">
            <w:pPr>
              <w:spacing w:line="360" w:lineRule="auto"/>
              <w:jc w:val="both"/>
              <w:rPr>
                <w:b/>
                <w:color w:val="EEECE1" w:themeColor="background2"/>
                <w:sz w:val="20"/>
              </w:rPr>
            </w:pPr>
          </w:p>
        </w:tc>
        <w:tc>
          <w:tcPr>
            <w:tcW w:w="1020" w:type="dxa"/>
            <w:shd w:val="clear" w:color="auto" w:fill="EEECE1" w:themeFill="background2"/>
          </w:tcPr>
          <w:p w14:paraId="4EBE1307" w14:textId="77777777" w:rsidR="001B747D" w:rsidRPr="002121E0" w:rsidRDefault="001B747D" w:rsidP="007232AE">
            <w:pPr>
              <w:spacing w:line="360" w:lineRule="auto"/>
              <w:jc w:val="both"/>
              <w:rPr>
                <w:b/>
                <w:color w:val="EEECE1" w:themeColor="background2"/>
                <w:sz w:val="20"/>
              </w:rPr>
            </w:pPr>
          </w:p>
        </w:tc>
        <w:tc>
          <w:tcPr>
            <w:tcW w:w="1627" w:type="dxa"/>
            <w:shd w:val="clear" w:color="auto" w:fill="EEECE1" w:themeFill="background2"/>
          </w:tcPr>
          <w:p w14:paraId="6CECCCA1" w14:textId="77777777" w:rsidR="001B747D" w:rsidRPr="002121E0" w:rsidRDefault="001B747D" w:rsidP="007232AE">
            <w:pPr>
              <w:spacing w:line="360" w:lineRule="auto"/>
              <w:jc w:val="both"/>
              <w:rPr>
                <w:b/>
                <w:color w:val="EEECE1" w:themeColor="background2"/>
                <w:sz w:val="20"/>
              </w:rPr>
            </w:pPr>
          </w:p>
        </w:tc>
      </w:tr>
    </w:tbl>
    <w:p w14:paraId="06C105EB" w14:textId="54B8D728" w:rsidR="001B747D" w:rsidRPr="00320F93" w:rsidRDefault="001B747D" w:rsidP="007232AE">
      <w:pPr>
        <w:pStyle w:val="FootnoteText"/>
        <w:spacing w:line="360" w:lineRule="auto"/>
        <w:jc w:val="both"/>
      </w:pPr>
      <w:r w:rsidRPr="00490C63">
        <w:rPr>
          <w:i/>
        </w:rPr>
        <w:t>Source:</w:t>
      </w:r>
      <w:r>
        <w:rPr>
          <w:i/>
          <w:sz w:val="24"/>
          <w:szCs w:val="24"/>
        </w:rPr>
        <w:t xml:space="preserve"> </w:t>
      </w:r>
      <w:r>
        <w:t xml:space="preserve">Members of IDL derived from: </w:t>
      </w:r>
      <w:r w:rsidRPr="00FE3D4D">
        <w:rPr>
          <w:i/>
        </w:rPr>
        <w:t>Irish Statesman,</w:t>
      </w:r>
      <w:r>
        <w:t xml:space="preserve"> 28 June, 5, 19 July, 9 Aug</w:t>
      </w:r>
      <w:r w:rsidR="005E1CC0">
        <w:t>.</w:t>
      </w:r>
      <w:r>
        <w:t>, 11, 25 Oct</w:t>
      </w:r>
      <w:r w:rsidR="005E1CC0">
        <w:t>.</w:t>
      </w:r>
      <w:r>
        <w:t>, 29 Nov</w:t>
      </w:r>
      <w:r w:rsidR="005E1CC0">
        <w:t>.</w:t>
      </w:r>
      <w:r>
        <w:t>, 20 Dec</w:t>
      </w:r>
      <w:r w:rsidR="005E1CC0">
        <w:t>.</w:t>
      </w:r>
      <w:r>
        <w:t xml:space="preserve"> 1919, 17, 20, 31 Jan</w:t>
      </w:r>
      <w:r w:rsidR="005E1CC0">
        <w:t>.</w:t>
      </w:r>
      <w:r>
        <w:t>, 28 Feb</w:t>
      </w:r>
      <w:r w:rsidR="005E1CC0">
        <w:t>.</w:t>
      </w:r>
      <w:r>
        <w:t>, 13 Mar</w:t>
      </w:r>
      <w:r w:rsidR="005E1CC0">
        <w:t>.</w:t>
      </w:r>
      <w:r>
        <w:t xml:space="preserve"> 1920; </w:t>
      </w:r>
      <w:r w:rsidRPr="00144626">
        <w:rPr>
          <w:i/>
        </w:rPr>
        <w:t>Freeman’s Journal</w:t>
      </w:r>
      <w:r>
        <w:rPr>
          <w:i/>
        </w:rPr>
        <w:t xml:space="preserve"> </w:t>
      </w:r>
      <w:r>
        <w:t>(</w:t>
      </w:r>
      <w:r>
        <w:rPr>
          <w:i/>
        </w:rPr>
        <w:t>FJ</w:t>
      </w:r>
      <w:r>
        <w:t>)</w:t>
      </w:r>
      <w:r w:rsidRPr="00FE3D4D">
        <w:rPr>
          <w:i/>
        </w:rPr>
        <w:t>,</w:t>
      </w:r>
      <w:r>
        <w:t xml:space="preserve"> 30 June, 1 July, 27 No</w:t>
      </w:r>
      <w:r w:rsidR="005E1CC0">
        <w:t>v.</w:t>
      </w:r>
      <w:r>
        <w:t xml:space="preserve"> 1919, 6 Sept</w:t>
      </w:r>
      <w:r w:rsidR="005E1CC0">
        <w:t>.</w:t>
      </w:r>
      <w:r>
        <w:t xml:space="preserve"> 1920, 31 Mar</w:t>
      </w:r>
      <w:r w:rsidR="005E1CC0">
        <w:t>.</w:t>
      </w:r>
      <w:r>
        <w:t xml:space="preserve"> 1921; </w:t>
      </w:r>
      <w:r>
        <w:rPr>
          <w:i/>
        </w:rPr>
        <w:t>Irish Independent</w:t>
      </w:r>
      <w:r w:rsidRPr="00FE3D4D">
        <w:rPr>
          <w:i/>
        </w:rPr>
        <w:t>,</w:t>
      </w:r>
      <w:r>
        <w:t xml:space="preserve"> 11 Feb</w:t>
      </w:r>
      <w:r w:rsidR="005E1CC0">
        <w:t>.</w:t>
      </w:r>
      <w:r>
        <w:t xml:space="preserve"> 1921, 21 Apr</w:t>
      </w:r>
      <w:r w:rsidR="005E1CC0">
        <w:t>.</w:t>
      </w:r>
      <w:r>
        <w:t xml:space="preserve"> 1924; </w:t>
      </w:r>
      <w:r>
        <w:rPr>
          <w:i/>
        </w:rPr>
        <w:t xml:space="preserve">IT, </w:t>
      </w:r>
      <w:r>
        <w:t>5 Mar</w:t>
      </w:r>
      <w:r w:rsidR="005E1CC0">
        <w:t>.</w:t>
      </w:r>
      <w:r>
        <w:t>, 24 Nov</w:t>
      </w:r>
      <w:r w:rsidR="005E1CC0">
        <w:t>.</w:t>
      </w:r>
      <w:r>
        <w:t xml:space="preserve"> 1920. Members of the Irish Centre Party have also been included in this analysis, as Stephen Gwynn stated that ‘few, if any’ members of the Irish Centre Party refused to join the IDL following the merger (</w:t>
      </w:r>
      <w:r>
        <w:rPr>
          <w:i/>
        </w:rPr>
        <w:t xml:space="preserve">Irish Statesman, </w:t>
      </w:r>
      <w:r>
        <w:t xml:space="preserve">5 July 1919); and a substantial proportion of former Centre Party members (including most prominent figures) have been verified as later being active in the IDL. Members of Irish Centre Party (43 in total) derived from: </w:t>
      </w:r>
      <w:r>
        <w:rPr>
          <w:i/>
        </w:rPr>
        <w:t>IT</w:t>
      </w:r>
      <w:r w:rsidRPr="00F35B81">
        <w:rPr>
          <w:i/>
        </w:rPr>
        <w:t>,</w:t>
      </w:r>
      <w:r>
        <w:t xml:space="preserve"> 24, 25 Jan</w:t>
      </w:r>
      <w:r w:rsidR="005E1CC0">
        <w:t>.</w:t>
      </w:r>
      <w:r>
        <w:t>, 3, 17 Feb</w:t>
      </w:r>
      <w:r w:rsidR="005E1CC0">
        <w:t>.</w:t>
      </w:r>
      <w:r>
        <w:t>, 18 Mar</w:t>
      </w:r>
      <w:r w:rsidR="005E1CC0">
        <w:t>.</w:t>
      </w:r>
      <w:r>
        <w:t xml:space="preserve"> 1919; </w:t>
      </w:r>
      <w:r w:rsidRPr="00F35B81">
        <w:rPr>
          <w:i/>
        </w:rPr>
        <w:t>Weekly Irish Times</w:t>
      </w:r>
      <w:r>
        <w:t>, 1 Feb</w:t>
      </w:r>
      <w:r w:rsidR="005E1CC0">
        <w:t>.</w:t>
      </w:r>
      <w:r>
        <w:t xml:space="preserve"> 1919. Further biographical data derived from a variety of sources, including: Census of Ireland, 1901, and Census of Ireland, 1911 [available online]; civil birth, marriage, and death records [available online at irishgenealogy.ie]; J. McGuire and J. Quinn, eds., </w:t>
      </w:r>
      <w:r w:rsidRPr="00181E20">
        <w:rPr>
          <w:i/>
        </w:rPr>
        <w:t>Dictionary of Irish Biography</w:t>
      </w:r>
      <w:r>
        <w:t xml:space="preserve"> (Cambridge, 2009); </w:t>
      </w:r>
      <w:r w:rsidRPr="00D61CCC">
        <w:rPr>
          <w:i/>
        </w:rPr>
        <w:t>Thom’s Irish almanac and official directory</w:t>
      </w:r>
      <w:r>
        <w:t xml:space="preserve"> [Dublin: published annually]; </w:t>
      </w:r>
      <w:r w:rsidRPr="00D61CCC">
        <w:rPr>
          <w:i/>
        </w:rPr>
        <w:t>Thom’s Irish who’s who</w:t>
      </w:r>
      <w:r>
        <w:t xml:space="preserve"> (Dublin, 1923); Bernard Burke, </w:t>
      </w:r>
      <w:r w:rsidRPr="00D61CCC">
        <w:rPr>
          <w:i/>
        </w:rPr>
        <w:t xml:space="preserve">A genealogical and heraldic history of the landed gentry of Ireland: </w:t>
      </w:r>
      <w:r w:rsidRPr="00F0330E">
        <w:rPr>
          <w:i/>
        </w:rPr>
        <w:t>new edition</w:t>
      </w:r>
      <w:r>
        <w:t xml:space="preserve"> (London, 1912); and press obituaries.  </w:t>
      </w:r>
    </w:p>
    <w:p w14:paraId="360CAC7D" w14:textId="77777777" w:rsidR="001B747D" w:rsidRDefault="001B747D" w:rsidP="007232AE">
      <w:pPr>
        <w:spacing w:after="0" w:line="360" w:lineRule="auto"/>
        <w:jc w:val="both"/>
        <w:rPr>
          <w:rFonts w:ascii="Times New Roman" w:hAnsi="Times New Roman" w:cs="Times New Roman"/>
          <w:sz w:val="24"/>
          <w:szCs w:val="24"/>
        </w:rPr>
      </w:pPr>
    </w:p>
    <w:p w14:paraId="1F420005" w14:textId="5222EDE6"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Raw figures for profession suggests that the largest category of members were in business. However, when one accounts for landed gentry background, a different pattern emerges. With a total of forty one, the largest representation came from the southern gentry and aristocracy, a </w:t>
      </w:r>
      <w:r w:rsidRPr="001F21A0">
        <w:rPr>
          <w:rFonts w:ascii="Times New Roman" w:hAnsi="Times New Roman" w:cs="Times New Roman"/>
          <w:sz w:val="24"/>
          <w:szCs w:val="24"/>
        </w:rPr>
        <w:t xml:space="preserve">group </w:t>
      </w:r>
      <w:r>
        <w:rPr>
          <w:rFonts w:ascii="Times New Roman" w:hAnsi="Times New Roman" w:cs="Times New Roman"/>
          <w:sz w:val="24"/>
          <w:szCs w:val="24"/>
        </w:rPr>
        <w:t>of which had slowly come to endorse Irish self-government since the turn of the century. There were five</w:t>
      </w:r>
      <w:r w:rsidRPr="00C716F1">
        <w:rPr>
          <w:rFonts w:ascii="Times New Roman" w:hAnsi="Times New Roman" w:cs="Times New Roman"/>
          <w:sz w:val="24"/>
          <w:szCs w:val="24"/>
        </w:rPr>
        <w:t xml:space="preserve"> peers </w:t>
      </w:r>
      <w:r>
        <w:rPr>
          <w:rFonts w:ascii="Times New Roman" w:hAnsi="Times New Roman" w:cs="Times New Roman"/>
          <w:sz w:val="24"/>
          <w:szCs w:val="24"/>
        </w:rPr>
        <w:t>and</w:t>
      </w:r>
      <w:r w:rsidRPr="00C716F1">
        <w:rPr>
          <w:rFonts w:ascii="Times New Roman" w:hAnsi="Times New Roman" w:cs="Times New Roman"/>
          <w:sz w:val="24"/>
          <w:szCs w:val="24"/>
        </w:rPr>
        <w:t xml:space="preserve"> </w:t>
      </w:r>
      <w:r>
        <w:rPr>
          <w:rFonts w:ascii="Times New Roman" w:hAnsi="Times New Roman" w:cs="Times New Roman"/>
          <w:sz w:val="24"/>
          <w:szCs w:val="24"/>
        </w:rPr>
        <w:t>six</w:t>
      </w:r>
      <w:r w:rsidRPr="00C716F1">
        <w:rPr>
          <w:rFonts w:ascii="Times New Roman" w:hAnsi="Times New Roman" w:cs="Times New Roman"/>
          <w:sz w:val="24"/>
          <w:szCs w:val="24"/>
        </w:rPr>
        <w:t xml:space="preserve"> baronets</w:t>
      </w:r>
      <w:r w:rsidR="00A50B81">
        <w:rPr>
          <w:rFonts w:ascii="Times New Roman" w:hAnsi="Times New Roman" w:cs="Times New Roman"/>
          <w:sz w:val="24"/>
          <w:szCs w:val="24"/>
        </w:rPr>
        <w:t>,</w:t>
      </w:r>
      <w:r>
        <w:rPr>
          <w:rFonts w:ascii="Times New Roman" w:hAnsi="Times New Roman" w:cs="Times New Roman"/>
          <w:sz w:val="24"/>
          <w:szCs w:val="24"/>
        </w:rPr>
        <w:t xml:space="preserve"> at least sixteen members were magistrates</w:t>
      </w:r>
      <w:r w:rsidR="00A50B81">
        <w:rPr>
          <w:rFonts w:ascii="Times New Roman" w:hAnsi="Times New Roman" w:cs="Times New Roman"/>
          <w:sz w:val="24"/>
          <w:szCs w:val="24"/>
        </w:rPr>
        <w:t>,</w:t>
      </w:r>
      <w:r>
        <w:rPr>
          <w:rFonts w:ascii="Times New Roman" w:hAnsi="Times New Roman" w:cs="Times New Roman"/>
          <w:sz w:val="24"/>
          <w:szCs w:val="24"/>
        </w:rPr>
        <w:t xml:space="preserve"> and five were deputy lieutenants of counties. There were twenty one retired or serving military officers. </w:t>
      </w:r>
      <w:r w:rsidRPr="00C716F1">
        <w:rPr>
          <w:rFonts w:ascii="Times New Roman" w:hAnsi="Times New Roman" w:cs="Times New Roman"/>
          <w:sz w:val="24"/>
          <w:szCs w:val="24"/>
        </w:rPr>
        <w:t xml:space="preserve">The presence of </w:t>
      </w:r>
      <w:r>
        <w:rPr>
          <w:rFonts w:ascii="Times New Roman" w:hAnsi="Times New Roman" w:cs="Times New Roman"/>
          <w:sz w:val="24"/>
          <w:szCs w:val="24"/>
        </w:rPr>
        <w:t xml:space="preserve">twelve </w:t>
      </w:r>
      <w:r w:rsidRPr="00C716F1">
        <w:rPr>
          <w:rFonts w:ascii="Times New Roman" w:hAnsi="Times New Roman" w:cs="Times New Roman"/>
          <w:sz w:val="24"/>
          <w:szCs w:val="24"/>
        </w:rPr>
        <w:t xml:space="preserve">Catholic gentry, including Lords </w:t>
      </w:r>
      <w:proofErr w:type="spellStart"/>
      <w:r w:rsidRPr="00C716F1">
        <w:rPr>
          <w:rFonts w:ascii="Times New Roman" w:hAnsi="Times New Roman" w:cs="Times New Roman"/>
          <w:sz w:val="24"/>
          <w:szCs w:val="24"/>
        </w:rPr>
        <w:t>Fingall</w:t>
      </w:r>
      <w:proofErr w:type="spellEnd"/>
      <w:r w:rsidRPr="00C716F1">
        <w:rPr>
          <w:rFonts w:ascii="Times New Roman" w:hAnsi="Times New Roman" w:cs="Times New Roman"/>
          <w:sz w:val="24"/>
          <w:szCs w:val="24"/>
        </w:rPr>
        <w:t xml:space="preserve"> and </w:t>
      </w:r>
      <w:proofErr w:type="spellStart"/>
      <w:r w:rsidRPr="00C716F1">
        <w:rPr>
          <w:rFonts w:ascii="Times New Roman" w:hAnsi="Times New Roman" w:cs="Times New Roman"/>
          <w:sz w:val="24"/>
          <w:szCs w:val="24"/>
        </w:rPr>
        <w:t>ffrench</w:t>
      </w:r>
      <w:proofErr w:type="spellEnd"/>
      <w:r w:rsidRPr="00C716F1">
        <w:rPr>
          <w:rFonts w:ascii="Times New Roman" w:hAnsi="Times New Roman" w:cs="Times New Roman"/>
          <w:sz w:val="24"/>
          <w:szCs w:val="24"/>
        </w:rPr>
        <w:t xml:space="preserve">, underlines the disproportionate sympathy </w:t>
      </w:r>
      <w:r>
        <w:rPr>
          <w:rFonts w:ascii="Times New Roman" w:hAnsi="Times New Roman" w:cs="Times New Roman"/>
          <w:sz w:val="24"/>
          <w:szCs w:val="24"/>
        </w:rPr>
        <w:t>for self-government</w:t>
      </w:r>
      <w:r w:rsidRPr="00C716F1">
        <w:rPr>
          <w:rFonts w:ascii="Times New Roman" w:hAnsi="Times New Roman" w:cs="Times New Roman"/>
          <w:sz w:val="24"/>
          <w:szCs w:val="24"/>
        </w:rPr>
        <w:t xml:space="preserve"> this group showed by comparison with their Church of Ireland counterparts.</w:t>
      </w:r>
      <w:r>
        <w:rPr>
          <w:rFonts w:ascii="Times New Roman" w:hAnsi="Times New Roman" w:cs="Times New Roman"/>
          <w:sz w:val="24"/>
          <w:szCs w:val="24"/>
        </w:rPr>
        <w:t xml:space="preserve"> The League sought the support of the </w:t>
      </w:r>
      <w:r w:rsidRPr="00E12797">
        <w:rPr>
          <w:rFonts w:ascii="Times New Roman" w:hAnsi="Times New Roman" w:cs="Times New Roman"/>
          <w:sz w:val="24"/>
          <w:szCs w:val="24"/>
        </w:rPr>
        <w:t xml:space="preserve">well-to-do and professional classes, </w:t>
      </w:r>
      <w:r>
        <w:rPr>
          <w:rFonts w:ascii="Times New Roman" w:hAnsi="Times New Roman" w:cs="Times New Roman"/>
          <w:sz w:val="24"/>
          <w:szCs w:val="24"/>
        </w:rPr>
        <w:t>and approached business for funds.</w:t>
      </w:r>
      <w:r>
        <w:rPr>
          <w:rStyle w:val="FootnoteReference"/>
          <w:rFonts w:ascii="Times New Roman" w:hAnsi="Times New Roman" w:cs="Times New Roman"/>
          <w:sz w:val="24"/>
          <w:szCs w:val="24"/>
        </w:rPr>
        <w:footnoteReference w:id="71"/>
      </w:r>
      <w:r w:rsidRPr="00E12797">
        <w:rPr>
          <w:rFonts w:ascii="Times New Roman" w:hAnsi="Times New Roman" w:cs="Times New Roman"/>
          <w:sz w:val="24"/>
          <w:szCs w:val="24"/>
        </w:rPr>
        <w:t xml:space="preserve"> </w:t>
      </w:r>
      <w:r>
        <w:rPr>
          <w:rFonts w:ascii="Times New Roman" w:hAnsi="Times New Roman" w:cs="Times New Roman"/>
          <w:sz w:val="24"/>
          <w:szCs w:val="24"/>
        </w:rPr>
        <w:t xml:space="preserve">A total of twenty businessmen (quite evenly divided between Catholic and Protestant) joined, perhaps due to fears about the breakdown of law and order and a sense that partition would damage trade. The higher professions, such as barristers, physicians and professors were well represented, with neither Protestants nor Catholics predominating (although there were far more Catholic solicitors).   </w:t>
      </w:r>
    </w:p>
    <w:p w14:paraId="420773AB" w14:textId="77777777" w:rsidR="001B747D" w:rsidRDefault="001B747D" w:rsidP="007232AE">
      <w:pPr>
        <w:spacing w:after="0" w:line="360" w:lineRule="auto"/>
        <w:jc w:val="both"/>
        <w:rPr>
          <w:rFonts w:ascii="Times New Roman" w:hAnsi="Times New Roman" w:cs="Times New Roman"/>
          <w:b/>
          <w:sz w:val="24"/>
          <w:szCs w:val="20"/>
          <w:lang w:val="en-GB"/>
        </w:rPr>
      </w:pPr>
    </w:p>
    <w:p w14:paraId="32ED3546" w14:textId="77777777" w:rsidR="001B747D" w:rsidRPr="00F0330E" w:rsidRDefault="001B747D" w:rsidP="007232AE">
      <w:pPr>
        <w:spacing w:after="0" w:line="360" w:lineRule="auto"/>
        <w:jc w:val="both"/>
        <w:rPr>
          <w:rFonts w:ascii="Times New Roman" w:hAnsi="Times New Roman" w:cs="Times New Roman"/>
          <w:b/>
          <w:sz w:val="24"/>
          <w:szCs w:val="20"/>
          <w:lang w:val="en-GB"/>
        </w:rPr>
      </w:pPr>
      <w:r w:rsidRPr="00F0330E">
        <w:rPr>
          <w:rFonts w:ascii="Times New Roman" w:hAnsi="Times New Roman" w:cs="Times New Roman"/>
          <w:b/>
          <w:sz w:val="24"/>
          <w:szCs w:val="20"/>
          <w:lang w:val="en-GB"/>
        </w:rPr>
        <w:t>Table 2 – Denomination of members of the Irish Dominion League</w:t>
      </w:r>
    </w:p>
    <w:tbl>
      <w:tblPr>
        <w:tblStyle w:val="TableGrid1"/>
        <w:tblW w:w="0" w:type="auto"/>
        <w:jc w:val="center"/>
        <w:tblLook w:val="04A0" w:firstRow="1" w:lastRow="0" w:firstColumn="1" w:lastColumn="0" w:noHBand="0" w:noVBand="1"/>
      </w:tblPr>
      <w:tblGrid>
        <w:gridCol w:w="3080"/>
        <w:gridCol w:w="3081"/>
      </w:tblGrid>
      <w:tr w:rsidR="001B747D" w:rsidRPr="00F0330E" w14:paraId="3FD0D0C6" w14:textId="77777777" w:rsidTr="001400FD">
        <w:trPr>
          <w:jc w:val="center"/>
        </w:trPr>
        <w:tc>
          <w:tcPr>
            <w:tcW w:w="3080" w:type="dxa"/>
          </w:tcPr>
          <w:p w14:paraId="51218337" w14:textId="77777777" w:rsidR="001B747D" w:rsidRPr="00F0330E" w:rsidRDefault="001B747D" w:rsidP="007232AE">
            <w:pPr>
              <w:spacing w:line="360" w:lineRule="auto"/>
              <w:jc w:val="both"/>
              <w:rPr>
                <w:b/>
                <w:sz w:val="20"/>
              </w:rPr>
            </w:pPr>
            <w:r w:rsidRPr="00F0330E">
              <w:rPr>
                <w:b/>
                <w:sz w:val="20"/>
              </w:rPr>
              <w:t>Denomination</w:t>
            </w:r>
          </w:p>
        </w:tc>
        <w:tc>
          <w:tcPr>
            <w:tcW w:w="3081" w:type="dxa"/>
          </w:tcPr>
          <w:p w14:paraId="0DB3A515" w14:textId="77777777" w:rsidR="001B747D" w:rsidRPr="00F0330E" w:rsidRDefault="001B747D" w:rsidP="007232AE">
            <w:pPr>
              <w:spacing w:line="360" w:lineRule="auto"/>
              <w:jc w:val="both"/>
              <w:rPr>
                <w:b/>
                <w:sz w:val="20"/>
              </w:rPr>
            </w:pPr>
            <w:r w:rsidRPr="00F0330E">
              <w:rPr>
                <w:b/>
                <w:sz w:val="20"/>
              </w:rPr>
              <w:t>#</w:t>
            </w:r>
          </w:p>
        </w:tc>
      </w:tr>
      <w:tr w:rsidR="001B747D" w:rsidRPr="00F0330E" w14:paraId="30EF282D" w14:textId="77777777" w:rsidTr="001400FD">
        <w:trPr>
          <w:jc w:val="center"/>
        </w:trPr>
        <w:tc>
          <w:tcPr>
            <w:tcW w:w="3080" w:type="dxa"/>
          </w:tcPr>
          <w:p w14:paraId="48E613F8" w14:textId="598855A7" w:rsidR="001B747D" w:rsidRPr="00F0330E" w:rsidRDefault="00E744C7" w:rsidP="007232AE">
            <w:pPr>
              <w:spacing w:line="360" w:lineRule="auto"/>
              <w:jc w:val="both"/>
              <w:rPr>
                <w:sz w:val="20"/>
              </w:rPr>
            </w:pPr>
            <w:r>
              <w:rPr>
                <w:sz w:val="20"/>
              </w:rPr>
              <w:t>Anglican</w:t>
            </w:r>
          </w:p>
        </w:tc>
        <w:tc>
          <w:tcPr>
            <w:tcW w:w="3081" w:type="dxa"/>
          </w:tcPr>
          <w:p w14:paraId="3D98FB58" w14:textId="77777777" w:rsidR="001B747D" w:rsidRPr="00F0330E" w:rsidRDefault="001B747D" w:rsidP="007232AE">
            <w:pPr>
              <w:spacing w:line="360" w:lineRule="auto"/>
              <w:jc w:val="both"/>
              <w:rPr>
                <w:sz w:val="20"/>
              </w:rPr>
            </w:pPr>
            <w:r w:rsidRPr="00F0330E">
              <w:rPr>
                <w:sz w:val="20"/>
              </w:rPr>
              <w:t>5</w:t>
            </w:r>
            <w:r>
              <w:rPr>
                <w:sz w:val="20"/>
              </w:rPr>
              <w:t>0</w:t>
            </w:r>
          </w:p>
        </w:tc>
      </w:tr>
      <w:tr w:rsidR="001B747D" w:rsidRPr="00F0330E" w14:paraId="59AA82A1" w14:textId="77777777" w:rsidTr="001400FD">
        <w:trPr>
          <w:jc w:val="center"/>
        </w:trPr>
        <w:tc>
          <w:tcPr>
            <w:tcW w:w="3080" w:type="dxa"/>
          </w:tcPr>
          <w:p w14:paraId="61E50B94" w14:textId="77777777" w:rsidR="001B747D" w:rsidRPr="00F0330E" w:rsidRDefault="001B747D" w:rsidP="007232AE">
            <w:pPr>
              <w:spacing w:line="360" w:lineRule="auto"/>
              <w:jc w:val="both"/>
              <w:rPr>
                <w:sz w:val="20"/>
              </w:rPr>
            </w:pPr>
            <w:r w:rsidRPr="00F0330E">
              <w:rPr>
                <w:sz w:val="20"/>
              </w:rPr>
              <w:t xml:space="preserve">Catholic </w:t>
            </w:r>
          </w:p>
        </w:tc>
        <w:tc>
          <w:tcPr>
            <w:tcW w:w="3081" w:type="dxa"/>
          </w:tcPr>
          <w:p w14:paraId="2AFA26AD" w14:textId="77777777" w:rsidR="001B747D" w:rsidRPr="00F0330E" w:rsidRDefault="001B747D" w:rsidP="007232AE">
            <w:pPr>
              <w:spacing w:line="360" w:lineRule="auto"/>
              <w:jc w:val="both"/>
              <w:rPr>
                <w:sz w:val="20"/>
              </w:rPr>
            </w:pPr>
            <w:r w:rsidRPr="00F0330E">
              <w:rPr>
                <w:sz w:val="20"/>
              </w:rPr>
              <w:t>6</w:t>
            </w:r>
            <w:r>
              <w:rPr>
                <w:sz w:val="20"/>
              </w:rPr>
              <w:t>4</w:t>
            </w:r>
          </w:p>
        </w:tc>
      </w:tr>
      <w:tr w:rsidR="001B747D" w:rsidRPr="00F0330E" w14:paraId="0CE4222D" w14:textId="77777777" w:rsidTr="001400FD">
        <w:trPr>
          <w:jc w:val="center"/>
        </w:trPr>
        <w:tc>
          <w:tcPr>
            <w:tcW w:w="3080" w:type="dxa"/>
          </w:tcPr>
          <w:p w14:paraId="7D6234C6" w14:textId="77777777" w:rsidR="001B747D" w:rsidRPr="00F0330E" w:rsidRDefault="001B747D" w:rsidP="007232AE">
            <w:pPr>
              <w:spacing w:line="360" w:lineRule="auto"/>
              <w:jc w:val="both"/>
              <w:rPr>
                <w:sz w:val="20"/>
              </w:rPr>
            </w:pPr>
            <w:r w:rsidRPr="00F0330E">
              <w:rPr>
                <w:sz w:val="20"/>
              </w:rPr>
              <w:t>Presbyterian</w:t>
            </w:r>
          </w:p>
        </w:tc>
        <w:tc>
          <w:tcPr>
            <w:tcW w:w="3081" w:type="dxa"/>
          </w:tcPr>
          <w:p w14:paraId="3B8F8B69" w14:textId="77777777" w:rsidR="001B747D" w:rsidRPr="00F0330E" w:rsidRDefault="001B747D" w:rsidP="007232AE">
            <w:pPr>
              <w:spacing w:line="360" w:lineRule="auto"/>
              <w:jc w:val="both"/>
              <w:rPr>
                <w:sz w:val="20"/>
              </w:rPr>
            </w:pPr>
            <w:r w:rsidRPr="00F0330E">
              <w:rPr>
                <w:sz w:val="20"/>
              </w:rPr>
              <w:t>5</w:t>
            </w:r>
          </w:p>
        </w:tc>
      </w:tr>
      <w:tr w:rsidR="001B747D" w:rsidRPr="00F0330E" w14:paraId="2731A836" w14:textId="77777777" w:rsidTr="001400FD">
        <w:trPr>
          <w:jc w:val="center"/>
        </w:trPr>
        <w:tc>
          <w:tcPr>
            <w:tcW w:w="3080" w:type="dxa"/>
          </w:tcPr>
          <w:p w14:paraId="26FFC276" w14:textId="77777777" w:rsidR="001B747D" w:rsidRPr="00F0330E" w:rsidRDefault="001B747D" w:rsidP="007232AE">
            <w:pPr>
              <w:spacing w:line="360" w:lineRule="auto"/>
              <w:jc w:val="both"/>
              <w:rPr>
                <w:sz w:val="20"/>
              </w:rPr>
            </w:pPr>
            <w:r w:rsidRPr="00F0330E">
              <w:rPr>
                <w:sz w:val="20"/>
              </w:rPr>
              <w:t>Methodist</w:t>
            </w:r>
          </w:p>
        </w:tc>
        <w:tc>
          <w:tcPr>
            <w:tcW w:w="3081" w:type="dxa"/>
          </w:tcPr>
          <w:p w14:paraId="3CD3DF7E" w14:textId="77777777" w:rsidR="001B747D" w:rsidRPr="00F0330E" w:rsidRDefault="001B747D" w:rsidP="007232AE">
            <w:pPr>
              <w:spacing w:line="360" w:lineRule="auto"/>
              <w:jc w:val="both"/>
              <w:rPr>
                <w:sz w:val="20"/>
              </w:rPr>
            </w:pPr>
            <w:r w:rsidRPr="00F0330E">
              <w:rPr>
                <w:sz w:val="20"/>
              </w:rPr>
              <w:t>7</w:t>
            </w:r>
          </w:p>
        </w:tc>
      </w:tr>
      <w:tr w:rsidR="001B747D" w:rsidRPr="00F0330E" w14:paraId="1455F00B" w14:textId="77777777" w:rsidTr="001400FD">
        <w:trPr>
          <w:jc w:val="center"/>
        </w:trPr>
        <w:tc>
          <w:tcPr>
            <w:tcW w:w="3080" w:type="dxa"/>
          </w:tcPr>
          <w:p w14:paraId="370EE560" w14:textId="77777777" w:rsidR="001B747D" w:rsidRPr="00F0330E" w:rsidRDefault="001B747D" w:rsidP="007232AE">
            <w:pPr>
              <w:spacing w:line="360" w:lineRule="auto"/>
              <w:jc w:val="both"/>
              <w:rPr>
                <w:sz w:val="20"/>
              </w:rPr>
            </w:pPr>
            <w:r w:rsidRPr="00F0330E">
              <w:rPr>
                <w:sz w:val="20"/>
              </w:rPr>
              <w:t>Protestant (unidentified church)</w:t>
            </w:r>
          </w:p>
        </w:tc>
        <w:tc>
          <w:tcPr>
            <w:tcW w:w="3081" w:type="dxa"/>
          </w:tcPr>
          <w:p w14:paraId="518271D6" w14:textId="77777777" w:rsidR="001B747D" w:rsidRPr="00F0330E" w:rsidRDefault="001B747D" w:rsidP="007232AE">
            <w:pPr>
              <w:spacing w:line="360" w:lineRule="auto"/>
              <w:jc w:val="both"/>
              <w:rPr>
                <w:sz w:val="20"/>
              </w:rPr>
            </w:pPr>
            <w:r w:rsidRPr="00F0330E">
              <w:rPr>
                <w:sz w:val="20"/>
              </w:rPr>
              <w:t>2</w:t>
            </w:r>
          </w:p>
        </w:tc>
      </w:tr>
      <w:tr w:rsidR="001B747D" w:rsidRPr="00F0330E" w14:paraId="4CE2C765" w14:textId="77777777" w:rsidTr="001400FD">
        <w:trPr>
          <w:jc w:val="center"/>
        </w:trPr>
        <w:tc>
          <w:tcPr>
            <w:tcW w:w="3080" w:type="dxa"/>
          </w:tcPr>
          <w:p w14:paraId="3FE68C8B" w14:textId="77777777" w:rsidR="001B747D" w:rsidRPr="00F0330E" w:rsidRDefault="001B747D" w:rsidP="007232AE">
            <w:pPr>
              <w:spacing w:line="360" w:lineRule="auto"/>
              <w:jc w:val="both"/>
              <w:rPr>
                <w:sz w:val="20"/>
              </w:rPr>
            </w:pPr>
            <w:r w:rsidRPr="00F0330E">
              <w:rPr>
                <w:sz w:val="20"/>
              </w:rPr>
              <w:t>Other Protestant</w:t>
            </w:r>
          </w:p>
        </w:tc>
        <w:tc>
          <w:tcPr>
            <w:tcW w:w="3081" w:type="dxa"/>
          </w:tcPr>
          <w:p w14:paraId="0AAA9355" w14:textId="77777777" w:rsidR="001B747D" w:rsidRPr="00F0330E" w:rsidRDefault="001B747D" w:rsidP="007232AE">
            <w:pPr>
              <w:spacing w:line="360" w:lineRule="auto"/>
              <w:jc w:val="both"/>
              <w:rPr>
                <w:sz w:val="20"/>
              </w:rPr>
            </w:pPr>
            <w:r w:rsidRPr="00F0330E">
              <w:rPr>
                <w:sz w:val="20"/>
              </w:rPr>
              <w:t>3</w:t>
            </w:r>
          </w:p>
        </w:tc>
      </w:tr>
      <w:tr w:rsidR="001B747D" w:rsidRPr="00F0330E" w14:paraId="145CCD31" w14:textId="77777777" w:rsidTr="001400FD">
        <w:trPr>
          <w:jc w:val="center"/>
        </w:trPr>
        <w:tc>
          <w:tcPr>
            <w:tcW w:w="3080" w:type="dxa"/>
          </w:tcPr>
          <w:p w14:paraId="33084B47" w14:textId="77777777" w:rsidR="001B747D" w:rsidRPr="00F0330E" w:rsidRDefault="001B747D" w:rsidP="007232AE">
            <w:pPr>
              <w:spacing w:line="360" w:lineRule="auto"/>
              <w:jc w:val="both"/>
              <w:rPr>
                <w:sz w:val="20"/>
              </w:rPr>
            </w:pPr>
            <w:r w:rsidRPr="00F0330E">
              <w:rPr>
                <w:sz w:val="20"/>
              </w:rPr>
              <w:t>Refused to disclose</w:t>
            </w:r>
          </w:p>
        </w:tc>
        <w:tc>
          <w:tcPr>
            <w:tcW w:w="3081" w:type="dxa"/>
          </w:tcPr>
          <w:p w14:paraId="603CB79C" w14:textId="77777777" w:rsidR="001B747D" w:rsidRPr="00F0330E" w:rsidRDefault="001B747D" w:rsidP="007232AE">
            <w:pPr>
              <w:spacing w:line="360" w:lineRule="auto"/>
              <w:jc w:val="both"/>
              <w:rPr>
                <w:sz w:val="20"/>
              </w:rPr>
            </w:pPr>
            <w:r w:rsidRPr="00F0330E">
              <w:rPr>
                <w:sz w:val="20"/>
              </w:rPr>
              <w:t>1</w:t>
            </w:r>
          </w:p>
        </w:tc>
      </w:tr>
      <w:tr w:rsidR="001B747D" w:rsidRPr="00F0330E" w14:paraId="7AF71F3B" w14:textId="77777777" w:rsidTr="001400FD">
        <w:trPr>
          <w:jc w:val="center"/>
        </w:trPr>
        <w:tc>
          <w:tcPr>
            <w:tcW w:w="3080" w:type="dxa"/>
          </w:tcPr>
          <w:p w14:paraId="47388B65" w14:textId="77777777" w:rsidR="001B747D" w:rsidRPr="00F0330E" w:rsidRDefault="001B747D" w:rsidP="007232AE">
            <w:pPr>
              <w:spacing w:line="360" w:lineRule="auto"/>
              <w:jc w:val="both"/>
              <w:rPr>
                <w:b/>
                <w:sz w:val="20"/>
              </w:rPr>
            </w:pPr>
            <w:r w:rsidRPr="00F0330E">
              <w:rPr>
                <w:b/>
                <w:sz w:val="20"/>
              </w:rPr>
              <w:t>TOTAL</w:t>
            </w:r>
          </w:p>
        </w:tc>
        <w:tc>
          <w:tcPr>
            <w:tcW w:w="3081" w:type="dxa"/>
          </w:tcPr>
          <w:p w14:paraId="5F487D2D" w14:textId="77777777" w:rsidR="001B747D" w:rsidRPr="00F0330E" w:rsidRDefault="001B747D" w:rsidP="007232AE">
            <w:pPr>
              <w:spacing w:line="360" w:lineRule="auto"/>
              <w:jc w:val="both"/>
              <w:rPr>
                <w:b/>
                <w:sz w:val="20"/>
              </w:rPr>
            </w:pPr>
            <w:r w:rsidRPr="00F0330E">
              <w:rPr>
                <w:b/>
                <w:sz w:val="20"/>
              </w:rPr>
              <w:t>13</w:t>
            </w:r>
            <w:r>
              <w:rPr>
                <w:b/>
                <w:sz w:val="20"/>
              </w:rPr>
              <w:t>2</w:t>
            </w:r>
          </w:p>
        </w:tc>
      </w:tr>
    </w:tbl>
    <w:p w14:paraId="75760C3F" w14:textId="77777777" w:rsidR="001B747D" w:rsidRPr="003E7229" w:rsidRDefault="001B747D" w:rsidP="007232AE">
      <w:pPr>
        <w:spacing w:after="0" w:line="360" w:lineRule="auto"/>
        <w:jc w:val="both"/>
        <w:rPr>
          <w:rFonts w:ascii="Times New Roman" w:hAnsi="Times New Roman" w:cs="Times New Roman"/>
          <w:sz w:val="20"/>
          <w:szCs w:val="20"/>
        </w:rPr>
      </w:pPr>
      <w:r>
        <w:rPr>
          <w:rFonts w:ascii="Times New Roman" w:hAnsi="Times New Roman" w:cs="Times New Roman"/>
          <w:i/>
          <w:sz w:val="20"/>
          <w:szCs w:val="20"/>
        </w:rPr>
        <w:t>Note</w:t>
      </w:r>
      <w:r w:rsidRPr="003E7229">
        <w:rPr>
          <w:rFonts w:ascii="Times New Roman" w:hAnsi="Times New Roman" w:cs="Times New Roman"/>
          <w:i/>
          <w:sz w:val="20"/>
          <w:szCs w:val="20"/>
        </w:rPr>
        <w:t xml:space="preserve">: </w:t>
      </w:r>
      <w:r w:rsidRPr="003E7229">
        <w:rPr>
          <w:rFonts w:ascii="Times New Roman" w:hAnsi="Times New Roman" w:cs="Times New Roman"/>
          <w:sz w:val="20"/>
          <w:szCs w:val="20"/>
        </w:rPr>
        <w:t xml:space="preserve">For the sources and method used to generate this data, see above, note to </w:t>
      </w:r>
      <w:r>
        <w:rPr>
          <w:rFonts w:ascii="Times New Roman" w:hAnsi="Times New Roman" w:cs="Times New Roman"/>
          <w:sz w:val="20"/>
          <w:szCs w:val="20"/>
        </w:rPr>
        <w:t>T</w:t>
      </w:r>
      <w:r w:rsidRPr="003E7229">
        <w:rPr>
          <w:rFonts w:ascii="Times New Roman" w:hAnsi="Times New Roman" w:cs="Times New Roman"/>
          <w:sz w:val="20"/>
          <w:szCs w:val="20"/>
        </w:rPr>
        <w:t>able 1</w:t>
      </w:r>
    </w:p>
    <w:p w14:paraId="4CC0C9CB" w14:textId="77777777" w:rsidR="001B747D" w:rsidRDefault="001B747D" w:rsidP="007232AE">
      <w:pPr>
        <w:spacing w:after="0" w:line="360" w:lineRule="auto"/>
        <w:jc w:val="both"/>
        <w:rPr>
          <w:rFonts w:ascii="Times New Roman" w:hAnsi="Times New Roman" w:cs="Times New Roman"/>
          <w:sz w:val="24"/>
          <w:szCs w:val="24"/>
        </w:rPr>
      </w:pPr>
    </w:p>
    <w:p w14:paraId="1B0A42CC" w14:textId="77777777" w:rsidR="001B747D" w:rsidRPr="008800A4"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seen in table 2, t</w:t>
      </w:r>
      <w:r w:rsidRPr="00C716F1">
        <w:rPr>
          <w:rFonts w:ascii="Times New Roman" w:hAnsi="Times New Roman" w:cs="Times New Roman"/>
          <w:sz w:val="24"/>
          <w:szCs w:val="24"/>
        </w:rPr>
        <w:t>he religious denomination of 1</w:t>
      </w:r>
      <w:r>
        <w:rPr>
          <w:rFonts w:ascii="Times New Roman" w:hAnsi="Times New Roman" w:cs="Times New Roman"/>
          <w:sz w:val="24"/>
          <w:szCs w:val="24"/>
        </w:rPr>
        <w:t>32</w:t>
      </w:r>
      <w:r w:rsidRPr="00C716F1">
        <w:rPr>
          <w:rFonts w:ascii="Times New Roman" w:hAnsi="Times New Roman" w:cs="Times New Roman"/>
          <w:sz w:val="24"/>
          <w:szCs w:val="24"/>
        </w:rPr>
        <w:t xml:space="preserve"> members </w:t>
      </w:r>
      <w:r>
        <w:rPr>
          <w:rFonts w:ascii="Times New Roman" w:hAnsi="Times New Roman" w:cs="Times New Roman"/>
          <w:sz w:val="24"/>
          <w:szCs w:val="24"/>
        </w:rPr>
        <w:t>has been traced</w:t>
      </w:r>
      <w:r w:rsidRPr="00C716F1">
        <w:rPr>
          <w:rFonts w:ascii="Times New Roman" w:hAnsi="Times New Roman" w:cs="Times New Roman"/>
          <w:sz w:val="24"/>
          <w:szCs w:val="24"/>
        </w:rPr>
        <w:t xml:space="preserve">. </w:t>
      </w:r>
      <w:r>
        <w:rPr>
          <w:rFonts w:ascii="Times New Roman" w:hAnsi="Times New Roman" w:cs="Times New Roman"/>
          <w:sz w:val="24"/>
          <w:szCs w:val="24"/>
        </w:rPr>
        <w:t xml:space="preserve">The sixty four </w:t>
      </w:r>
      <w:r w:rsidRPr="00C716F1">
        <w:rPr>
          <w:rFonts w:ascii="Times New Roman" w:hAnsi="Times New Roman" w:cs="Times New Roman"/>
          <w:sz w:val="24"/>
          <w:szCs w:val="24"/>
        </w:rPr>
        <w:t xml:space="preserve">Catholics </w:t>
      </w:r>
      <w:r>
        <w:rPr>
          <w:rFonts w:ascii="Times New Roman" w:hAnsi="Times New Roman" w:cs="Times New Roman"/>
          <w:sz w:val="24"/>
          <w:szCs w:val="24"/>
        </w:rPr>
        <w:t>were</w:t>
      </w:r>
      <w:r w:rsidRPr="00C716F1">
        <w:rPr>
          <w:rFonts w:ascii="Times New Roman" w:hAnsi="Times New Roman" w:cs="Times New Roman"/>
          <w:sz w:val="24"/>
          <w:szCs w:val="24"/>
        </w:rPr>
        <w:t xml:space="preserve"> a slight m</w:t>
      </w:r>
      <w:r>
        <w:rPr>
          <w:rFonts w:ascii="Times New Roman" w:hAnsi="Times New Roman" w:cs="Times New Roman"/>
          <w:sz w:val="24"/>
          <w:szCs w:val="24"/>
        </w:rPr>
        <w:t>inority</w:t>
      </w:r>
      <w:r w:rsidRPr="00C716F1">
        <w:rPr>
          <w:rFonts w:ascii="Times New Roman" w:hAnsi="Times New Roman" w:cs="Times New Roman"/>
          <w:sz w:val="24"/>
          <w:szCs w:val="24"/>
        </w:rPr>
        <w:t xml:space="preserve"> of</w:t>
      </w:r>
      <w:r>
        <w:rPr>
          <w:rFonts w:ascii="Times New Roman" w:hAnsi="Times New Roman" w:cs="Times New Roman"/>
          <w:sz w:val="24"/>
          <w:szCs w:val="24"/>
        </w:rPr>
        <w:t xml:space="preserve"> identifiable</w:t>
      </w:r>
      <w:r w:rsidRPr="00C716F1">
        <w:rPr>
          <w:rFonts w:ascii="Times New Roman" w:hAnsi="Times New Roman" w:cs="Times New Roman"/>
          <w:sz w:val="24"/>
          <w:szCs w:val="24"/>
        </w:rPr>
        <w:t xml:space="preserve"> members, a</w:t>
      </w:r>
      <w:r>
        <w:rPr>
          <w:rFonts w:ascii="Times New Roman" w:hAnsi="Times New Roman" w:cs="Times New Roman"/>
          <w:sz w:val="24"/>
          <w:szCs w:val="24"/>
        </w:rPr>
        <w:t>mounting to about 48 per cent</w:t>
      </w:r>
      <w:r w:rsidRPr="00C716F1">
        <w:rPr>
          <w:rFonts w:ascii="Times New Roman" w:hAnsi="Times New Roman" w:cs="Times New Roman"/>
          <w:sz w:val="24"/>
          <w:szCs w:val="24"/>
        </w:rPr>
        <w:t xml:space="preserve">. </w:t>
      </w:r>
      <w:r>
        <w:rPr>
          <w:rFonts w:ascii="Times New Roman" w:hAnsi="Times New Roman" w:cs="Times New Roman"/>
          <w:sz w:val="24"/>
          <w:szCs w:val="24"/>
        </w:rPr>
        <w:t>Anglicans</w:t>
      </w:r>
      <w:r w:rsidRPr="00C716F1">
        <w:rPr>
          <w:rFonts w:ascii="Times New Roman" w:hAnsi="Times New Roman" w:cs="Times New Roman"/>
          <w:sz w:val="24"/>
          <w:szCs w:val="24"/>
        </w:rPr>
        <w:t xml:space="preserve"> predominated among the 6</w:t>
      </w:r>
      <w:r>
        <w:rPr>
          <w:rFonts w:ascii="Times New Roman" w:hAnsi="Times New Roman" w:cs="Times New Roman"/>
          <w:sz w:val="24"/>
          <w:szCs w:val="24"/>
        </w:rPr>
        <w:t>7</w:t>
      </w:r>
      <w:r w:rsidRPr="00C716F1">
        <w:rPr>
          <w:rFonts w:ascii="Times New Roman" w:hAnsi="Times New Roman" w:cs="Times New Roman"/>
          <w:sz w:val="24"/>
          <w:szCs w:val="24"/>
        </w:rPr>
        <w:t xml:space="preserve"> members of Protestant churches,</w:t>
      </w:r>
      <w:r>
        <w:rPr>
          <w:rFonts w:ascii="Times New Roman" w:hAnsi="Times New Roman" w:cs="Times New Roman"/>
          <w:sz w:val="24"/>
          <w:szCs w:val="24"/>
        </w:rPr>
        <w:t xml:space="preserve"> and there were small numbers of Methodists, Presbyterians and others. With about half of all members, Protestants were overrepresented in relation to their numbers in the three southern provinces. Indeed, f</w:t>
      </w:r>
      <w:r w:rsidRPr="00C716F1">
        <w:rPr>
          <w:rFonts w:ascii="Times New Roman" w:hAnsi="Times New Roman" w:cs="Times New Roman"/>
          <w:sz w:val="24"/>
          <w:szCs w:val="24"/>
        </w:rPr>
        <w:t xml:space="preserve">rom </w:t>
      </w:r>
      <w:r w:rsidRPr="00C716F1">
        <w:rPr>
          <w:rFonts w:ascii="Times New Roman" w:hAnsi="Times New Roman" w:cs="Times New Roman"/>
          <w:sz w:val="24"/>
          <w:szCs w:val="24"/>
        </w:rPr>
        <w:lastRenderedPageBreak/>
        <w:t xml:space="preserve">1919 the </w:t>
      </w:r>
      <w:r>
        <w:rPr>
          <w:rFonts w:ascii="Times New Roman" w:hAnsi="Times New Roman" w:cs="Times New Roman"/>
          <w:sz w:val="24"/>
          <w:szCs w:val="24"/>
        </w:rPr>
        <w:t>League</w:t>
      </w:r>
      <w:r w:rsidRPr="00C716F1">
        <w:rPr>
          <w:rFonts w:ascii="Times New Roman" w:hAnsi="Times New Roman" w:cs="Times New Roman"/>
          <w:sz w:val="24"/>
          <w:szCs w:val="24"/>
        </w:rPr>
        <w:t xml:space="preserve"> became the principal vehicle for</w:t>
      </w:r>
      <w:r>
        <w:rPr>
          <w:rFonts w:ascii="Times New Roman" w:hAnsi="Times New Roman" w:cs="Times New Roman"/>
          <w:sz w:val="24"/>
          <w:szCs w:val="24"/>
        </w:rPr>
        <w:t xml:space="preserve"> those Protestants who had come to support self-government within the Empire, although its public statements</w:t>
      </w:r>
      <w:r w:rsidRPr="00A40DD6">
        <w:rPr>
          <w:rFonts w:ascii="Times New Roman" w:hAnsi="Times New Roman" w:cs="Times New Roman"/>
          <w:sz w:val="24"/>
          <w:szCs w:val="24"/>
        </w:rPr>
        <w:t xml:space="preserve"> generally avoided reference to safeguards for </w:t>
      </w:r>
      <w:r>
        <w:rPr>
          <w:rFonts w:ascii="Times New Roman" w:hAnsi="Times New Roman" w:cs="Times New Roman"/>
          <w:sz w:val="24"/>
          <w:szCs w:val="24"/>
        </w:rPr>
        <w:t>their community</w:t>
      </w:r>
      <w:r w:rsidRPr="00A40DD6">
        <w:rPr>
          <w:rFonts w:ascii="Times New Roman" w:hAnsi="Times New Roman" w:cs="Times New Roman"/>
          <w:sz w:val="24"/>
          <w:szCs w:val="24"/>
        </w:rPr>
        <w:t xml:space="preserve">, </w:t>
      </w:r>
      <w:r>
        <w:rPr>
          <w:rFonts w:ascii="Times New Roman" w:hAnsi="Times New Roman" w:cs="Times New Roman"/>
          <w:sz w:val="24"/>
          <w:szCs w:val="24"/>
        </w:rPr>
        <w:t>instead</w:t>
      </w:r>
      <w:r w:rsidRPr="00A40DD6">
        <w:rPr>
          <w:rFonts w:ascii="Times New Roman" w:hAnsi="Times New Roman" w:cs="Times New Roman"/>
          <w:sz w:val="24"/>
          <w:szCs w:val="24"/>
        </w:rPr>
        <w:t xml:space="preserve"> </w:t>
      </w:r>
      <w:r>
        <w:rPr>
          <w:rFonts w:ascii="Times New Roman" w:hAnsi="Times New Roman" w:cs="Times New Roman"/>
          <w:sz w:val="24"/>
          <w:szCs w:val="24"/>
        </w:rPr>
        <w:t>referring</w:t>
      </w:r>
      <w:r w:rsidRPr="00A40DD6">
        <w:rPr>
          <w:rFonts w:ascii="Times New Roman" w:hAnsi="Times New Roman" w:cs="Times New Roman"/>
          <w:sz w:val="24"/>
          <w:szCs w:val="24"/>
        </w:rPr>
        <w:t xml:space="preserve"> more vaguely </w:t>
      </w:r>
      <w:r>
        <w:rPr>
          <w:rFonts w:ascii="Times New Roman" w:hAnsi="Times New Roman" w:cs="Times New Roman"/>
          <w:sz w:val="24"/>
          <w:szCs w:val="24"/>
        </w:rPr>
        <w:t>to</w:t>
      </w:r>
      <w:r w:rsidRPr="00A40DD6">
        <w:rPr>
          <w:rFonts w:ascii="Times New Roman" w:hAnsi="Times New Roman" w:cs="Times New Roman"/>
          <w:sz w:val="24"/>
          <w:szCs w:val="24"/>
        </w:rPr>
        <w:t xml:space="preserve"> ‘minorities’.</w:t>
      </w:r>
      <w:r w:rsidRPr="00A40DD6">
        <w:rPr>
          <w:rFonts w:ascii="Times New Roman" w:eastAsia="Calibri" w:hAnsi="Times New Roman" w:cs="Times New Roman"/>
          <w:sz w:val="24"/>
          <w:szCs w:val="24"/>
          <w:vertAlign w:val="superscript"/>
        </w:rPr>
        <w:footnoteReference w:id="72"/>
      </w:r>
    </w:p>
    <w:p w14:paraId="73B13B9C" w14:textId="76D9F3C8"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IDL members had an average age of 52 in 1919. Members</w:t>
      </w:r>
      <w:r w:rsidRPr="00C716F1">
        <w:rPr>
          <w:rFonts w:ascii="Times New Roman" w:hAnsi="Times New Roman" w:cs="Times New Roman"/>
          <w:sz w:val="24"/>
          <w:szCs w:val="24"/>
        </w:rPr>
        <w:t xml:space="preserve"> who were younger than 30 were a distinct rarity, and there were </w:t>
      </w:r>
      <w:r>
        <w:rPr>
          <w:rFonts w:ascii="Times New Roman" w:hAnsi="Times New Roman" w:cs="Times New Roman"/>
          <w:sz w:val="24"/>
          <w:szCs w:val="24"/>
        </w:rPr>
        <w:t>many</w:t>
      </w:r>
      <w:r w:rsidRPr="00C716F1">
        <w:rPr>
          <w:rFonts w:ascii="Times New Roman" w:hAnsi="Times New Roman" w:cs="Times New Roman"/>
          <w:sz w:val="24"/>
          <w:szCs w:val="24"/>
        </w:rPr>
        <w:t xml:space="preserve"> septuagenarian</w:t>
      </w:r>
      <w:r>
        <w:rPr>
          <w:rFonts w:ascii="Times New Roman" w:hAnsi="Times New Roman" w:cs="Times New Roman"/>
          <w:sz w:val="24"/>
          <w:szCs w:val="24"/>
        </w:rPr>
        <w:t xml:space="preserve"> supporters</w:t>
      </w:r>
      <w:r w:rsidRPr="00C716F1">
        <w:rPr>
          <w:rFonts w:ascii="Times New Roman" w:hAnsi="Times New Roman" w:cs="Times New Roman"/>
          <w:sz w:val="24"/>
          <w:szCs w:val="24"/>
        </w:rPr>
        <w:t>.</w:t>
      </w:r>
      <w:r>
        <w:rPr>
          <w:rFonts w:ascii="Times New Roman" w:hAnsi="Times New Roman" w:cs="Times New Roman"/>
          <w:sz w:val="24"/>
          <w:szCs w:val="24"/>
        </w:rPr>
        <w:t xml:space="preserve"> This is slightly older than members of the IPP, who had an average age of 43.2 in 1892, rising to 50.4 in 1910.</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A more instructive comparison may be with members of the first </w:t>
      </w:r>
      <w:proofErr w:type="spellStart"/>
      <w:r>
        <w:rPr>
          <w:rFonts w:ascii="Times New Roman" w:hAnsi="Times New Roman" w:cs="Times New Roman"/>
          <w:sz w:val="24"/>
          <w:szCs w:val="24"/>
        </w:rPr>
        <w:t>Dáil</w:t>
      </w:r>
      <w:proofErr w:type="spellEnd"/>
      <w:r>
        <w:rPr>
          <w:rFonts w:ascii="Times New Roman" w:hAnsi="Times New Roman" w:cs="Times New Roman"/>
          <w:sz w:val="24"/>
          <w:szCs w:val="24"/>
        </w:rPr>
        <w:t>, 33 per cent of whom were aged under 35, a considerably younger profile than that of the IDL.</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t>
      </w:r>
      <w:r w:rsidRPr="00C716F1">
        <w:rPr>
          <w:rFonts w:ascii="Times New Roman" w:hAnsi="Times New Roman" w:cs="Times New Roman"/>
          <w:sz w:val="24"/>
          <w:szCs w:val="24"/>
        </w:rPr>
        <w:t>The failure of the moderate</w:t>
      </w:r>
      <w:r>
        <w:rPr>
          <w:rFonts w:ascii="Times New Roman" w:hAnsi="Times New Roman" w:cs="Times New Roman"/>
          <w:sz w:val="24"/>
          <w:szCs w:val="24"/>
        </w:rPr>
        <w:t xml:space="preserve"> movement </w:t>
      </w:r>
      <w:r w:rsidRPr="00C716F1">
        <w:rPr>
          <w:rFonts w:ascii="Times New Roman" w:hAnsi="Times New Roman" w:cs="Times New Roman"/>
          <w:sz w:val="24"/>
          <w:szCs w:val="24"/>
        </w:rPr>
        <w:t xml:space="preserve">to attract many younger </w:t>
      </w:r>
      <w:r>
        <w:rPr>
          <w:rFonts w:ascii="Times New Roman" w:hAnsi="Times New Roman" w:cs="Times New Roman"/>
          <w:sz w:val="24"/>
          <w:szCs w:val="24"/>
        </w:rPr>
        <w:t>members</w:t>
      </w:r>
      <w:r w:rsidRPr="00C716F1">
        <w:rPr>
          <w:rFonts w:ascii="Times New Roman" w:hAnsi="Times New Roman" w:cs="Times New Roman"/>
          <w:sz w:val="24"/>
          <w:szCs w:val="24"/>
        </w:rPr>
        <w:t xml:space="preserve"> militate</w:t>
      </w:r>
      <w:r>
        <w:rPr>
          <w:rFonts w:ascii="Times New Roman" w:hAnsi="Times New Roman" w:cs="Times New Roman"/>
          <w:sz w:val="24"/>
          <w:szCs w:val="24"/>
        </w:rPr>
        <w:t>d</w:t>
      </w:r>
      <w:r w:rsidRPr="00C716F1">
        <w:rPr>
          <w:rFonts w:ascii="Times New Roman" w:hAnsi="Times New Roman" w:cs="Times New Roman"/>
          <w:sz w:val="24"/>
          <w:szCs w:val="24"/>
        </w:rPr>
        <w:t xml:space="preserve"> against it, and demonstrates the extent to which the initiative had moved towards advanced nationalis</w:t>
      </w:r>
      <w:r>
        <w:rPr>
          <w:rFonts w:ascii="Times New Roman" w:hAnsi="Times New Roman" w:cs="Times New Roman"/>
          <w:sz w:val="24"/>
          <w:szCs w:val="24"/>
        </w:rPr>
        <w:t>m</w:t>
      </w:r>
      <w:r w:rsidRPr="00C716F1">
        <w:rPr>
          <w:rFonts w:ascii="Times New Roman" w:hAnsi="Times New Roman" w:cs="Times New Roman"/>
          <w:sz w:val="24"/>
          <w:szCs w:val="24"/>
        </w:rPr>
        <w:t>.</w:t>
      </w:r>
      <w:r>
        <w:rPr>
          <w:rFonts w:ascii="Times New Roman" w:hAnsi="Times New Roman" w:cs="Times New Roman"/>
          <w:sz w:val="24"/>
          <w:szCs w:val="24"/>
        </w:rPr>
        <w:t xml:space="preserve"> Geographically, a</w:t>
      </w:r>
      <w:r w:rsidRPr="00C716F1">
        <w:rPr>
          <w:rFonts w:ascii="Times New Roman" w:hAnsi="Times New Roman" w:cs="Times New Roman"/>
          <w:sz w:val="24"/>
          <w:szCs w:val="24"/>
        </w:rPr>
        <w:t>bout 50</w:t>
      </w:r>
      <w:r>
        <w:rPr>
          <w:rFonts w:ascii="Times New Roman" w:hAnsi="Times New Roman" w:cs="Times New Roman"/>
          <w:sz w:val="24"/>
          <w:szCs w:val="24"/>
        </w:rPr>
        <w:t xml:space="preserve"> per cent</w:t>
      </w:r>
      <w:r w:rsidRPr="00C716F1">
        <w:rPr>
          <w:rFonts w:ascii="Times New Roman" w:hAnsi="Times New Roman" w:cs="Times New Roman"/>
          <w:sz w:val="24"/>
          <w:szCs w:val="24"/>
        </w:rPr>
        <w:t xml:space="preserve"> of members resided in Dublin, with the rest spread quite evenly throughout Connaught, Munster, and non-metropolitan Leinster</w:t>
      </w:r>
      <w:r>
        <w:rPr>
          <w:rFonts w:ascii="Times New Roman" w:hAnsi="Times New Roman" w:cs="Times New Roman"/>
          <w:sz w:val="24"/>
          <w:szCs w:val="24"/>
        </w:rPr>
        <w:t xml:space="preserve">: Ulster-domiciled members were very rare. There were fourteen women members, amounting to about 8 per cent of total, including the novelist </w:t>
      </w:r>
      <w:r w:rsidRPr="00F87C59">
        <w:rPr>
          <w:rFonts w:ascii="Times New Roman" w:hAnsi="Times New Roman" w:cs="Times New Roman"/>
          <w:sz w:val="24"/>
          <w:szCs w:val="24"/>
        </w:rPr>
        <w:t>Katharine</w:t>
      </w:r>
      <w:r>
        <w:rPr>
          <w:rFonts w:ascii="Times New Roman" w:hAnsi="Times New Roman" w:cs="Times New Roman"/>
          <w:sz w:val="24"/>
          <w:szCs w:val="24"/>
        </w:rPr>
        <w:t xml:space="preserve"> Tynan, the artist </w:t>
      </w:r>
      <w:r w:rsidRPr="00262481">
        <w:rPr>
          <w:rFonts w:ascii="Times New Roman" w:hAnsi="Times New Roman" w:cs="Times New Roman"/>
          <w:sz w:val="24"/>
          <w:szCs w:val="24"/>
        </w:rPr>
        <w:t>Sophia St John Whitty,</w:t>
      </w:r>
      <w:r>
        <w:rPr>
          <w:rFonts w:ascii="Times New Roman" w:hAnsi="Times New Roman" w:cs="Times New Roman"/>
          <w:sz w:val="24"/>
          <w:szCs w:val="24"/>
        </w:rPr>
        <w:t xml:space="preserve"> and Margaret Cunningham, the first warden of Trinity Hall</w:t>
      </w:r>
      <w:r w:rsidR="00E744C7">
        <w:rPr>
          <w:rFonts w:ascii="Times New Roman" w:hAnsi="Times New Roman" w:cs="Times New Roman"/>
          <w:sz w:val="24"/>
          <w:szCs w:val="24"/>
        </w:rPr>
        <w:t>, the Trinity College Dublin</w:t>
      </w:r>
      <w:r w:rsidR="004C5447">
        <w:rPr>
          <w:rFonts w:ascii="Times New Roman" w:hAnsi="Times New Roman" w:cs="Times New Roman"/>
          <w:sz w:val="24"/>
          <w:szCs w:val="24"/>
        </w:rPr>
        <w:t xml:space="preserve"> women’s hall of residence. </w:t>
      </w:r>
    </w:p>
    <w:p w14:paraId="7148D604" w14:textId="77777777" w:rsidR="001B747D" w:rsidRDefault="001B747D" w:rsidP="007232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 the failure of John Dillon to declare for the League was a severe setback, the party did gain some support from the right of the old Parliamentary Party. A total of nine former home rule MPs joined.</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However, four of these members predated the Edwardian Party, with George Browne leaving parliament as far back as 1880. Of those who served more recently, few had been influential: for example, </w:t>
      </w:r>
      <w:r w:rsidRPr="008A4263">
        <w:rPr>
          <w:rFonts w:ascii="Times New Roman" w:hAnsi="Times New Roman" w:cs="Times New Roman"/>
          <w:sz w:val="24"/>
          <w:szCs w:val="24"/>
        </w:rPr>
        <w:t xml:space="preserve">John </w:t>
      </w:r>
      <w:proofErr w:type="spellStart"/>
      <w:r w:rsidRPr="008A4263">
        <w:rPr>
          <w:rFonts w:ascii="Times New Roman" w:hAnsi="Times New Roman" w:cs="Times New Roman"/>
          <w:sz w:val="24"/>
          <w:szCs w:val="24"/>
        </w:rPr>
        <w:t>Lymbrick</w:t>
      </w:r>
      <w:proofErr w:type="spellEnd"/>
      <w:r w:rsidRPr="008A4263">
        <w:rPr>
          <w:rFonts w:ascii="Times New Roman" w:hAnsi="Times New Roman" w:cs="Times New Roman"/>
          <w:sz w:val="24"/>
          <w:szCs w:val="24"/>
        </w:rPr>
        <w:t xml:space="preserve"> </w:t>
      </w:r>
      <w:proofErr w:type="spellStart"/>
      <w:r w:rsidRPr="008A4263">
        <w:rPr>
          <w:rFonts w:ascii="Times New Roman" w:hAnsi="Times New Roman" w:cs="Times New Roman"/>
          <w:sz w:val="24"/>
          <w:szCs w:val="24"/>
        </w:rPr>
        <w:t>Esmonde</w:t>
      </w:r>
      <w:proofErr w:type="spellEnd"/>
      <w:r>
        <w:rPr>
          <w:rFonts w:ascii="Times New Roman" w:hAnsi="Times New Roman" w:cs="Times New Roman"/>
          <w:sz w:val="24"/>
          <w:szCs w:val="24"/>
        </w:rPr>
        <w:t xml:space="preserve"> had served for only three years, 1915‒18, and P. J. Brady had never achieved prominence. Only Stephen Gwynn had been a significant figure in the Redmond era, although he had recently broken with the Party. Dillon’s desire that the Party should remain strategically aloof from politics appears to have been persuasive. However, among Catholic supporters of the IDL at least ten had been IPP supporters or activists, including Francis Cruise O’Brien, formerly a leading figure in the </w:t>
      </w:r>
      <w:r w:rsidRPr="00F176D0">
        <w:rPr>
          <w:rFonts w:ascii="Times New Roman" w:hAnsi="Times New Roman" w:cs="Times New Roman"/>
          <w:sz w:val="24"/>
          <w:szCs w:val="24"/>
        </w:rPr>
        <w:t>Young Ireland Branch of the United Irish League</w:t>
      </w:r>
      <w:r>
        <w:rPr>
          <w:rFonts w:ascii="Times New Roman" w:hAnsi="Times New Roman" w:cs="Times New Roman"/>
          <w:sz w:val="24"/>
          <w:szCs w:val="24"/>
        </w:rPr>
        <w:t xml:space="preserve">, </w:t>
      </w:r>
      <w:r w:rsidRPr="007937C1">
        <w:rPr>
          <w:rFonts w:ascii="Times New Roman" w:hAnsi="Times New Roman" w:cs="Times New Roman"/>
          <w:sz w:val="24"/>
          <w:szCs w:val="24"/>
        </w:rPr>
        <w:t>Arthur William Conway, a</w:t>
      </w:r>
      <w:r>
        <w:rPr>
          <w:rFonts w:ascii="Times New Roman" w:hAnsi="Times New Roman" w:cs="Times New Roman"/>
          <w:sz w:val="24"/>
          <w:szCs w:val="24"/>
        </w:rPr>
        <w:t xml:space="preserve"> Party</w:t>
      </w:r>
      <w:r w:rsidRPr="007937C1">
        <w:rPr>
          <w:rFonts w:ascii="Times New Roman" w:hAnsi="Times New Roman" w:cs="Times New Roman"/>
          <w:sz w:val="24"/>
          <w:szCs w:val="24"/>
        </w:rPr>
        <w:t xml:space="preserve"> candidate in 1918</w:t>
      </w:r>
      <w:r>
        <w:rPr>
          <w:rFonts w:ascii="Times New Roman" w:hAnsi="Times New Roman" w:cs="Times New Roman"/>
          <w:sz w:val="24"/>
          <w:szCs w:val="24"/>
        </w:rPr>
        <w:t xml:space="preserve">, and </w:t>
      </w:r>
      <w:r w:rsidRPr="007937C1">
        <w:rPr>
          <w:rFonts w:ascii="Times New Roman" w:hAnsi="Times New Roman" w:cs="Times New Roman"/>
          <w:sz w:val="24"/>
          <w:szCs w:val="24"/>
        </w:rPr>
        <w:t xml:space="preserve">Mary Sheehy Kettle, </w:t>
      </w:r>
      <w:r>
        <w:rPr>
          <w:rFonts w:ascii="Times New Roman" w:hAnsi="Times New Roman" w:cs="Times New Roman"/>
          <w:sz w:val="24"/>
          <w:szCs w:val="24"/>
        </w:rPr>
        <w:t xml:space="preserve">the </w:t>
      </w:r>
      <w:r w:rsidRPr="007937C1">
        <w:rPr>
          <w:rFonts w:ascii="Times New Roman" w:hAnsi="Times New Roman" w:cs="Times New Roman"/>
          <w:sz w:val="24"/>
          <w:szCs w:val="24"/>
        </w:rPr>
        <w:t>widow of Tom Kettle</w:t>
      </w:r>
      <w:r>
        <w:rPr>
          <w:rFonts w:ascii="Times New Roman" w:hAnsi="Times New Roman" w:cs="Times New Roman"/>
          <w:sz w:val="24"/>
          <w:szCs w:val="24"/>
        </w:rPr>
        <w:t xml:space="preserve">. </w:t>
      </w:r>
    </w:p>
    <w:p w14:paraId="12474B85" w14:textId="77777777" w:rsidR="001B747D" w:rsidRDefault="001B747D" w:rsidP="007232AE">
      <w:pPr>
        <w:spacing w:after="0" w:line="360" w:lineRule="auto"/>
        <w:ind w:firstLine="720"/>
        <w:jc w:val="both"/>
        <w:rPr>
          <w:rFonts w:ascii="Times New Roman" w:hAnsi="Times New Roman" w:cs="Times New Roman"/>
          <w:sz w:val="24"/>
          <w:szCs w:val="24"/>
        </w:rPr>
      </w:pPr>
      <w:r w:rsidRPr="001F21A0">
        <w:rPr>
          <w:rFonts w:ascii="Times New Roman" w:hAnsi="Times New Roman" w:cs="Times New Roman"/>
          <w:sz w:val="24"/>
          <w:szCs w:val="24"/>
        </w:rPr>
        <w:t xml:space="preserve"> There was substantial membership</w:t>
      </w:r>
      <w:r>
        <w:rPr>
          <w:rFonts w:ascii="Times New Roman" w:hAnsi="Times New Roman" w:cs="Times New Roman"/>
          <w:sz w:val="24"/>
          <w:szCs w:val="24"/>
        </w:rPr>
        <w:t xml:space="preserve"> from the overlapping networks of reformist gentry and Protestant home rulers that had been active since the turn of the century.</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Nine members, </w:t>
      </w:r>
      <w:r>
        <w:rPr>
          <w:rFonts w:ascii="Times New Roman" w:hAnsi="Times New Roman" w:cs="Times New Roman"/>
          <w:sz w:val="24"/>
          <w:szCs w:val="24"/>
        </w:rPr>
        <w:lastRenderedPageBreak/>
        <w:t xml:space="preserve">including Lord Monteagle, Sir Algernon </w:t>
      </w:r>
      <w:proofErr w:type="spellStart"/>
      <w:r>
        <w:rPr>
          <w:rFonts w:ascii="Times New Roman" w:hAnsi="Times New Roman" w:cs="Times New Roman"/>
          <w:sz w:val="24"/>
          <w:szCs w:val="24"/>
        </w:rPr>
        <w:t>Coote</w:t>
      </w:r>
      <w:proofErr w:type="spellEnd"/>
      <w:r>
        <w:rPr>
          <w:rFonts w:ascii="Times New Roman" w:hAnsi="Times New Roman" w:cs="Times New Roman"/>
          <w:sz w:val="24"/>
          <w:szCs w:val="24"/>
        </w:rPr>
        <w:t xml:space="preserve">, and Major Gerald </w:t>
      </w:r>
      <w:proofErr w:type="spellStart"/>
      <w:r>
        <w:rPr>
          <w:rFonts w:ascii="Times New Roman" w:hAnsi="Times New Roman" w:cs="Times New Roman"/>
          <w:sz w:val="24"/>
          <w:szCs w:val="24"/>
        </w:rPr>
        <w:t>Dease</w:t>
      </w:r>
      <w:proofErr w:type="spellEnd"/>
      <w:r>
        <w:rPr>
          <w:rFonts w:ascii="Times New Roman" w:hAnsi="Times New Roman" w:cs="Times New Roman"/>
          <w:sz w:val="24"/>
          <w:szCs w:val="24"/>
        </w:rPr>
        <w:t>, were former members of the Irish Reform Association (Lord Dunraven does not appear to have joined). Twelve had been active in the main Protestant home rule organisation, the Irish Protest Committee, founded in late 1912.</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A total of seven had been members of the Irish Conference Committee.</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p>
    <w:p w14:paraId="5428EEBA"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is a common belief that many, or most, members of the IDL were former unionists. An impression</w:t>
      </w:r>
      <w:r>
        <w:rPr>
          <w:rFonts w:ascii="Times New Roman" w:hAnsi="Times New Roman" w:cs="Times New Roman"/>
          <w:b/>
          <w:sz w:val="24"/>
          <w:szCs w:val="24"/>
        </w:rPr>
        <w:t xml:space="preserve"> </w:t>
      </w:r>
      <w:r>
        <w:rPr>
          <w:rFonts w:ascii="Times New Roman" w:hAnsi="Times New Roman" w:cs="Times New Roman"/>
          <w:sz w:val="24"/>
          <w:szCs w:val="24"/>
        </w:rPr>
        <w:t xml:space="preserve">has emerged of southern unionists slowly coming to realise the vulnerability of their position, and drawing towards dominion home rule. There is some truth in this — Plunkett and Monteagle, for example, had been active in unionist politics — but the extent of side switching should be re-evaluated. The Irish Unionist Alliance published an annual list of national and local office-holders. Of the c.950 office-holders in 1912‒13, only two — Sir George Errington and Major </w:t>
      </w:r>
      <w:r w:rsidRPr="00762953">
        <w:rPr>
          <w:rFonts w:ascii="Times New Roman" w:hAnsi="Times New Roman" w:cs="Times New Roman"/>
          <w:sz w:val="24"/>
          <w:szCs w:val="24"/>
        </w:rPr>
        <w:t>G</w:t>
      </w:r>
      <w:r>
        <w:rPr>
          <w:rFonts w:ascii="Times New Roman" w:hAnsi="Times New Roman" w:cs="Times New Roman"/>
          <w:sz w:val="24"/>
          <w:szCs w:val="24"/>
        </w:rPr>
        <w:t xml:space="preserve">eorge </w:t>
      </w:r>
      <w:r w:rsidRPr="00762953">
        <w:rPr>
          <w:rFonts w:ascii="Times New Roman" w:hAnsi="Times New Roman" w:cs="Times New Roman"/>
          <w:sz w:val="24"/>
          <w:szCs w:val="24"/>
        </w:rPr>
        <w:t>B. O’Connor</w:t>
      </w:r>
      <w:r>
        <w:rPr>
          <w:rFonts w:ascii="Times New Roman" w:hAnsi="Times New Roman" w:cs="Times New Roman"/>
          <w:sz w:val="24"/>
          <w:szCs w:val="24"/>
        </w:rPr>
        <w:t xml:space="preserve"> — defected to the Irish Dominion League in 1919‒20.</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The lack of defections between the home rule crisis and beginning of the War of Independence is striking. There were former unionists in the League, but it appears that the point at which individuals changed sides in any numbers was c.1904, with the creation of the Irish Reform Association. The evidence suggests that southern unionism, although divided between die-hards and Lord </w:t>
      </w: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more pragmatic supporters, retained a distinctive political culture, whose members were unwilling to cooperate with even conservative-minded advocates of self-government. </w:t>
      </w:r>
    </w:p>
    <w:p w14:paraId="415B455D" w14:textId="77777777" w:rsidR="001B747D" w:rsidRDefault="001B747D" w:rsidP="007232AE">
      <w:pPr>
        <w:spacing w:after="0" w:line="360" w:lineRule="auto"/>
        <w:ind w:firstLine="720"/>
        <w:jc w:val="both"/>
        <w:rPr>
          <w:rFonts w:ascii="Times New Roman" w:hAnsi="Times New Roman" w:cs="Times New Roman"/>
          <w:sz w:val="24"/>
          <w:szCs w:val="24"/>
        </w:rPr>
      </w:pPr>
      <w:r w:rsidRPr="00A40DD6">
        <w:rPr>
          <w:rFonts w:ascii="Times New Roman" w:hAnsi="Times New Roman" w:cs="Times New Roman"/>
          <w:sz w:val="24"/>
          <w:szCs w:val="24"/>
        </w:rPr>
        <w:t xml:space="preserve">The League included </w:t>
      </w:r>
      <w:r>
        <w:rPr>
          <w:rFonts w:ascii="Times New Roman" w:hAnsi="Times New Roman" w:cs="Times New Roman"/>
          <w:sz w:val="24"/>
          <w:szCs w:val="24"/>
        </w:rPr>
        <w:t>many</w:t>
      </w:r>
      <w:r w:rsidRPr="00A40DD6">
        <w:rPr>
          <w:rFonts w:ascii="Times New Roman" w:hAnsi="Times New Roman" w:cs="Times New Roman"/>
          <w:sz w:val="24"/>
          <w:szCs w:val="24"/>
        </w:rPr>
        <w:t xml:space="preserve"> well-known individuals whose long-standing support for home rule within the Empire is well-documented. The views of ordinary </w:t>
      </w:r>
      <w:r>
        <w:rPr>
          <w:rFonts w:ascii="Times New Roman" w:hAnsi="Times New Roman" w:cs="Times New Roman"/>
          <w:sz w:val="24"/>
          <w:szCs w:val="24"/>
        </w:rPr>
        <w:t>members</w:t>
      </w:r>
      <w:r w:rsidRPr="00A40DD6">
        <w:rPr>
          <w:rFonts w:ascii="Times New Roman" w:hAnsi="Times New Roman" w:cs="Times New Roman"/>
          <w:sz w:val="24"/>
          <w:szCs w:val="24"/>
        </w:rPr>
        <w:t xml:space="preserve"> are more difficult to discern. </w:t>
      </w:r>
      <w:r>
        <w:rPr>
          <w:rFonts w:ascii="Times New Roman" w:hAnsi="Times New Roman" w:cs="Times New Roman"/>
          <w:sz w:val="24"/>
          <w:szCs w:val="24"/>
        </w:rPr>
        <w:t>F</w:t>
      </w:r>
      <w:r w:rsidRPr="00A40DD6">
        <w:rPr>
          <w:rFonts w:ascii="Times New Roman" w:hAnsi="Times New Roman" w:cs="Times New Roman"/>
          <w:sz w:val="24"/>
          <w:szCs w:val="24"/>
        </w:rPr>
        <w:t xml:space="preserve">or many, support for dominion home rule </w:t>
      </w:r>
      <w:r>
        <w:rPr>
          <w:rFonts w:ascii="Times New Roman" w:hAnsi="Times New Roman" w:cs="Times New Roman"/>
          <w:sz w:val="24"/>
          <w:szCs w:val="24"/>
        </w:rPr>
        <w:t xml:space="preserve">appears to have been </w:t>
      </w:r>
      <w:r w:rsidRPr="00A40DD6">
        <w:rPr>
          <w:rFonts w:ascii="Times New Roman" w:hAnsi="Times New Roman" w:cs="Times New Roman"/>
          <w:sz w:val="24"/>
          <w:szCs w:val="24"/>
        </w:rPr>
        <w:t>a pragmatic response to parliamentary arithmetic, the threat of partition, and republican violence. Agnes Martin, a housewife from Dublin, may have been typical. She supported dominion home rule, she said</w:t>
      </w:r>
      <w:r w:rsidRPr="000700C7">
        <w:rPr>
          <w:rFonts w:ascii="Times New Roman" w:hAnsi="Times New Roman" w:cs="Times New Roman"/>
          <w:sz w:val="24"/>
          <w:szCs w:val="24"/>
        </w:rPr>
        <w:t xml:space="preserve"> </w:t>
      </w:r>
      <w:r>
        <w:rPr>
          <w:rFonts w:ascii="Times New Roman" w:hAnsi="Times New Roman" w:cs="Times New Roman"/>
          <w:sz w:val="24"/>
          <w:szCs w:val="24"/>
        </w:rPr>
        <w:t xml:space="preserve">in the League’s official journal, the </w:t>
      </w:r>
      <w:r>
        <w:rPr>
          <w:rFonts w:ascii="Times New Roman" w:hAnsi="Times New Roman" w:cs="Times New Roman"/>
          <w:i/>
          <w:sz w:val="24"/>
          <w:szCs w:val="24"/>
        </w:rPr>
        <w:t>Irish Statesman</w:t>
      </w:r>
      <w:r w:rsidRPr="00A40DD6">
        <w:rPr>
          <w:rFonts w:ascii="Times New Roman" w:hAnsi="Times New Roman" w:cs="Times New Roman"/>
          <w:sz w:val="24"/>
          <w:szCs w:val="24"/>
        </w:rPr>
        <w:t xml:space="preserve">, as the best way to avoid succumbing to the ‘forces of anarchy and disorder which are threatening the stability and almost the civilisation of the country’. Fidelity to the </w:t>
      </w:r>
      <w:r>
        <w:rPr>
          <w:rFonts w:ascii="Times New Roman" w:hAnsi="Times New Roman" w:cs="Times New Roman"/>
          <w:sz w:val="24"/>
          <w:szCs w:val="24"/>
        </w:rPr>
        <w:t>c</w:t>
      </w:r>
      <w:r w:rsidRPr="00A40DD6">
        <w:rPr>
          <w:rFonts w:ascii="Times New Roman" w:hAnsi="Times New Roman" w:cs="Times New Roman"/>
          <w:sz w:val="24"/>
          <w:szCs w:val="24"/>
        </w:rPr>
        <w:t>rown was paramount in deter</w:t>
      </w:r>
      <w:r>
        <w:rPr>
          <w:rFonts w:ascii="Times New Roman" w:hAnsi="Times New Roman" w:cs="Times New Roman"/>
          <w:sz w:val="24"/>
          <w:szCs w:val="24"/>
        </w:rPr>
        <w:t>mining her politics: Martin said</w:t>
      </w:r>
      <w:r w:rsidRPr="00A40DD6">
        <w:rPr>
          <w:rFonts w:ascii="Times New Roman" w:hAnsi="Times New Roman" w:cs="Times New Roman"/>
          <w:sz w:val="24"/>
          <w:szCs w:val="24"/>
        </w:rPr>
        <w:t xml:space="preserve"> her </w:t>
      </w:r>
      <w:r>
        <w:rPr>
          <w:rFonts w:ascii="Times New Roman" w:hAnsi="Times New Roman" w:cs="Times New Roman"/>
          <w:sz w:val="24"/>
          <w:szCs w:val="24"/>
        </w:rPr>
        <w:t>l</w:t>
      </w:r>
      <w:r w:rsidRPr="00A40DD6">
        <w:rPr>
          <w:rFonts w:ascii="Times New Roman" w:hAnsi="Times New Roman" w:cs="Times New Roman"/>
          <w:sz w:val="24"/>
          <w:szCs w:val="24"/>
        </w:rPr>
        <w:t>oyalty is ‘in the foreground’.</w:t>
      </w:r>
      <w:r w:rsidRPr="00A40DD6">
        <w:rPr>
          <w:rFonts w:ascii="Times New Roman" w:eastAsia="Calibri" w:hAnsi="Times New Roman" w:cs="Times New Roman"/>
          <w:sz w:val="24"/>
          <w:szCs w:val="24"/>
          <w:vertAlign w:val="superscript"/>
        </w:rPr>
        <w:footnoteReference w:id="80"/>
      </w:r>
      <w:r w:rsidRPr="00A40DD6">
        <w:rPr>
          <w:rFonts w:ascii="Times New Roman" w:hAnsi="Times New Roman" w:cs="Times New Roman"/>
          <w:sz w:val="24"/>
          <w:szCs w:val="24"/>
        </w:rPr>
        <w:t xml:space="preserve"> </w:t>
      </w:r>
    </w:p>
    <w:p w14:paraId="6580DAEC" w14:textId="6FBDED18" w:rsidR="001B747D" w:rsidRDefault="001B747D" w:rsidP="007232A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appointment of Lord French as lord lieutenant in May 1918 coincided with the continued progression of Walter Long to a position of unique authority, as the cabinet’s expert </w:t>
      </w:r>
      <w:r>
        <w:rPr>
          <w:rFonts w:ascii="Times New Roman" w:hAnsi="Times New Roman" w:cs="Times New Roman"/>
          <w:sz w:val="24"/>
          <w:szCs w:val="24"/>
        </w:rPr>
        <w:lastRenderedPageBreak/>
        <w:t xml:space="preserve">on Ireland. French and Long were of a like mind: they were both federalist home rulers, albeit with a conviction that self-government could only be yielded once law and order had been restored. They held that disorder was provoked by a small group of troublemakers, and that a stern policy would lead to the tranquil conditions required to implement home rule. French applied a hard-line, ultimately self-defeating policy of coercion. </w:t>
      </w:r>
      <w:r w:rsidRPr="00762953">
        <w:rPr>
          <w:rFonts w:ascii="Times New Roman" w:hAnsi="Times New Roman" w:cs="Times New Roman"/>
          <w:sz w:val="24"/>
          <w:szCs w:val="24"/>
        </w:rPr>
        <w:t xml:space="preserve">The IDL played a key role in publicising </w:t>
      </w:r>
      <w:r>
        <w:rPr>
          <w:rFonts w:ascii="Times New Roman" w:hAnsi="Times New Roman" w:cs="Times New Roman"/>
          <w:sz w:val="24"/>
          <w:szCs w:val="24"/>
        </w:rPr>
        <w:t>what they saw as misgovernment</w:t>
      </w:r>
      <w:r w:rsidRPr="00762953">
        <w:rPr>
          <w:rFonts w:ascii="Times New Roman" w:hAnsi="Times New Roman" w:cs="Times New Roman"/>
          <w:sz w:val="24"/>
          <w:szCs w:val="24"/>
        </w:rPr>
        <w:t xml:space="preserve"> in Ireland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Plunkett argued against reprisals, stating that ‘Nothing but disaster lies this way’, and that the ‘remedy is worse than the disease’.</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The League’s journal, the </w:t>
      </w:r>
      <w:r>
        <w:rPr>
          <w:rFonts w:ascii="Times New Roman" w:hAnsi="Times New Roman" w:cs="Times New Roman"/>
          <w:i/>
          <w:sz w:val="24"/>
          <w:szCs w:val="24"/>
        </w:rPr>
        <w:t xml:space="preserve">Irish Statesman, </w:t>
      </w:r>
      <w:r>
        <w:rPr>
          <w:rFonts w:ascii="Times New Roman" w:hAnsi="Times New Roman" w:cs="Times New Roman"/>
          <w:sz w:val="24"/>
          <w:szCs w:val="24"/>
        </w:rPr>
        <w:t>publicised its views. E</w:t>
      </w:r>
      <w:r w:rsidRPr="00762953">
        <w:rPr>
          <w:rFonts w:ascii="Times New Roman" w:hAnsi="Times New Roman" w:cs="Times New Roman"/>
          <w:sz w:val="24"/>
          <w:szCs w:val="24"/>
        </w:rPr>
        <w:t xml:space="preserve">dited by Warre B. Wells, </w:t>
      </w:r>
      <w:r>
        <w:rPr>
          <w:rFonts w:ascii="Times New Roman" w:hAnsi="Times New Roman" w:cs="Times New Roman"/>
          <w:sz w:val="24"/>
          <w:szCs w:val="24"/>
        </w:rPr>
        <w:t xml:space="preserve">its </w:t>
      </w:r>
      <w:r w:rsidRPr="00762953">
        <w:rPr>
          <w:rFonts w:ascii="Times New Roman" w:hAnsi="Times New Roman" w:cs="Times New Roman"/>
          <w:sz w:val="24"/>
          <w:szCs w:val="24"/>
        </w:rPr>
        <w:t>contributors included Stephen Gwynn, George Bernard Shaw and Lennox Robinson.</w:t>
      </w:r>
      <w:r>
        <w:rPr>
          <w:rFonts w:ascii="Times New Roman" w:hAnsi="Times New Roman" w:cs="Times New Roman"/>
          <w:sz w:val="24"/>
          <w:szCs w:val="24"/>
        </w:rPr>
        <w:t xml:space="preserve"> The </w:t>
      </w:r>
      <w:r>
        <w:rPr>
          <w:rFonts w:ascii="Times New Roman" w:hAnsi="Times New Roman" w:cs="Times New Roman"/>
          <w:i/>
          <w:sz w:val="24"/>
          <w:szCs w:val="24"/>
        </w:rPr>
        <w:t xml:space="preserve">Statesman </w:t>
      </w:r>
      <w:r>
        <w:rPr>
          <w:rFonts w:ascii="Times New Roman" w:hAnsi="Times New Roman" w:cs="Times New Roman"/>
          <w:sz w:val="24"/>
          <w:szCs w:val="24"/>
        </w:rPr>
        <w:t>consistently denounced</w:t>
      </w:r>
      <w:r w:rsidRPr="00762953">
        <w:rPr>
          <w:rFonts w:ascii="Times New Roman" w:hAnsi="Times New Roman" w:cs="Times New Roman"/>
          <w:sz w:val="24"/>
          <w:szCs w:val="24"/>
        </w:rPr>
        <w:t xml:space="preserve"> </w:t>
      </w:r>
      <w:r>
        <w:rPr>
          <w:rFonts w:ascii="Times New Roman" w:hAnsi="Times New Roman" w:cs="Times New Roman"/>
          <w:sz w:val="24"/>
          <w:szCs w:val="24"/>
        </w:rPr>
        <w:t>British policy in Ireland</w:t>
      </w:r>
      <w:r w:rsidRPr="00762953">
        <w:rPr>
          <w:rFonts w:ascii="Times New Roman" w:hAnsi="Times New Roman" w:cs="Times New Roman"/>
          <w:sz w:val="24"/>
          <w:szCs w:val="24"/>
        </w:rPr>
        <w:t>.</w:t>
      </w:r>
      <w:r w:rsidRPr="00A40DD6">
        <w:rPr>
          <w:rFonts w:eastAsia="Calibri"/>
          <w:vertAlign w:val="superscript"/>
        </w:rPr>
        <w:footnoteReference w:id="83"/>
      </w:r>
      <w:r>
        <w:rPr>
          <w:rFonts w:ascii="Times New Roman" w:hAnsi="Times New Roman" w:cs="Times New Roman"/>
          <w:sz w:val="24"/>
          <w:szCs w:val="24"/>
        </w:rPr>
        <w:t xml:space="preserve"> </w:t>
      </w:r>
      <w:r w:rsidRPr="00762953">
        <w:rPr>
          <w:rFonts w:ascii="Times New Roman" w:hAnsi="Times New Roman" w:cs="Times New Roman"/>
          <w:sz w:val="24"/>
          <w:szCs w:val="24"/>
        </w:rPr>
        <w:t>It was also critical of republican violence, especially attacks on police, but shrewdly implied that these actions were a reaction to British misrule.</w:t>
      </w:r>
      <w:r w:rsidRPr="00A40DD6">
        <w:rPr>
          <w:rFonts w:eastAsia="Calibri"/>
          <w:vertAlign w:val="superscript"/>
        </w:rPr>
        <w:footnoteReference w:id="84"/>
      </w:r>
      <w:r w:rsidRPr="00762953">
        <w:rPr>
          <w:rFonts w:ascii="Times New Roman" w:hAnsi="Times New Roman" w:cs="Times New Roman"/>
          <w:sz w:val="24"/>
          <w:szCs w:val="24"/>
        </w:rPr>
        <w:t xml:space="preserve"> </w:t>
      </w:r>
      <w:r>
        <w:rPr>
          <w:rFonts w:ascii="Times New Roman" w:hAnsi="Times New Roman" w:cs="Times New Roman"/>
          <w:sz w:val="24"/>
          <w:szCs w:val="24"/>
        </w:rPr>
        <w:t xml:space="preserve">As the war dragged on, </w:t>
      </w:r>
      <w:r w:rsidR="00623932">
        <w:rPr>
          <w:rFonts w:ascii="Times New Roman" w:hAnsi="Times New Roman" w:cs="Times New Roman"/>
          <w:sz w:val="24"/>
          <w:szCs w:val="24"/>
        </w:rPr>
        <w:t>Plunkett feared the</w:t>
      </w:r>
      <w:r>
        <w:rPr>
          <w:rFonts w:ascii="Times New Roman" w:hAnsi="Times New Roman" w:cs="Times New Roman"/>
          <w:sz w:val="24"/>
          <w:szCs w:val="24"/>
        </w:rPr>
        <w:t xml:space="preserve"> </w:t>
      </w:r>
      <w:r>
        <w:rPr>
          <w:rFonts w:ascii="Times New Roman" w:hAnsi="Times New Roman" w:cs="Times New Roman"/>
          <w:i/>
          <w:sz w:val="24"/>
          <w:szCs w:val="24"/>
        </w:rPr>
        <w:t xml:space="preserve">Statesman </w:t>
      </w:r>
      <w:r w:rsidR="00623932">
        <w:rPr>
          <w:rFonts w:ascii="Times New Roman" w:hAnsi="Times New Roman" w:cs="Times New Roman"/>
          <w:sz w:val="24"/>
          <w:szCs w:val="24"/>
        </w:rPr>
        <w:t>was beginning to flirt with</w:t>
      </w:r>
      <w:r>
        <w:rPr>
          <w:rFonts w:ascii="Times New Roman" w:hAnsi="Times New Roman" w:cs="Times New Roman"/>
          <w:sz w:val="24"/>
          <w:szCs w:val="24"/>
        </w:rPr>
        <w:t xml:space="preserve"> Sinn Féin: this, alongside the paper’s financial losses, unnerved </w:t>
      </w:r>
      <w:r w:rsidR="00623932">
        <w:rPr>
          <w:rFonts w:ascii="Times New Roman" w:hAnsi="Times New Roman" w:cs="Times New Roman"/>
          <w:sz w:val="24"/>
          <w:szCs w:val="24"/>
        </w:rPr>
        <w:t>him</w:t>
      </w:r>
      <w:r>
        <w:rPr>
          <w:rFonts w:ascii="Times New Roman" w:hAnsi="Times New Roman" w:cs="Times New Roman"/>
          <w:sz w:val="24"/>
          <w:szCs w:val="24"/>
        </w:rPr>
        <w:t xml:space="preserve">, </w:t>
      </w:r>
      <w:r w:rsidR="00623932">
        <w:rPr>
          <w:rFonts w:ascii="Times New Roman" w:hAnsi="Times New Roman" w:cs="Times New Roman"/>
          <w:sz w:val="24"/>
          <w:szCs w:val="24"/>
        </w:rPr>
        <w:t>and he</w:t>
      </w:r>
      <w:r>
        <w:rPr>
          <w:rFonts w:ascii="Times New Roman" w:hAnsi="Times New Roman" w:cs="Times New Roman"/>
          <w:sz w:val="24"/>
          <w:szCs w:val="24"/>
        </w:rPr>
        <w:t xml:space="preserve"> stopped subsidising it, leading to </w:t>
      </w:r>
      <w:r w:rsidR="00623932">
        <w:rPr>
          <w:rFonts w:ascii="Times New Roman" w:hAnsi="Times New Roman" w:cs="Times New Roman"/>
          <w:sz w:val="24"/>
          <w:szCs w:val="24"/>
        </w:rPr>
        <w:t xml:space="preserve">the paper’s </w:t>
      </w:r>
      <w:r>
        <w:rPr>
          <w:rFonts w:ascii="Times New Roman" w:hAnsi="Times New Roman" w:cs="Times New Roman"/>
          <w:sz w:val="24"/>
          <w:szCs w:val="24"/>
        </w:rPr>
        <w:t>collapse</w:t>
      </w:r>
      <w:r w:rsidR="00AD29B0">
        <w:rPr>
          <w:rFonts w:ascii="Times New Roman" w:hAnsi="Times New Roman" w:cs="Times New Roman"/>
          <w:sz w:val="24"/>
          <w:szCs w:val="24"/>
        </w:rPr>
        <w:t xml:space="preserve"> in mid-1920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t>
      </w:r>
      <w:r w:rsidRPr="001F21A0">
        <w:rPr>
          <w:rFonts w:ascii="Times New Roman" w:hAnsi="Times New Roman" w:cs="Times New Roman"/>
          <w:sz w:val="24"/>
          <w:szCs w:val="24"/>
        </w:rPr>
        <w:t>Indeed,</w:t>
      </w:r>
      <w:r>
        <w:rPr>
          <w:rFonts w:ascii="Times New Roman" w:hAnsi="Times New Roman" w:cs="Times New Roman"/>
          <w:sz w:val="24"/>
          <w:szCs w:val="24"/>
        </w:rPr>
        <w:t xml:space="preserve"> by </w:t>
      </w:r>
      <w:r w:rsidR="00AD29B0">
        <w:rPr>
          <w:rFonts w:ascii="Times New Roman" w:hAnsi="Times New Roman" w:cs="Times New Roman"/>
          <w:sz w:val="24"/>
          <w:szCs w:val="24"/>
        </w:rPr>
        <w:t>this year</w:t>
      </w:r>
      <w:r>
        <w:rPr>
          <w:rFonts w:ascii="Times New Roman" w:hAnsi="Times New Roman" w:cs="Times New Roman"/>
          <w:sz w:val="24"/>
          <w:szCs w:val="24"/>
        </w:rPr>
        <w:t xml:space="preserve"> there was a sense that some League members were drifting towards a more radical solution to the Irish situation. One prominent member</w:t>
      </w:r>
      <w:r w:rsidRPr="00A40DD6">
        <w:rPr>
          <w:rFonts w:ascii="Times New Roman" w:hAnsi="Times New Roman" w:cs="Times New Roman"/>
          <w:sz w:val="24"/>
          <w:szCs w:val="24"/>
        </w:rPr>
        <w:t xml:space="preserve"> proposed the League should sponsor a ‘public protest, putting the Protestant nationalists in evidence’, which would present a petition on </w:t>
      </w:r>
      <w:r>
        <w:rPr>
          <w:rFonts w:ascii="Times New Roman" w:hAnsi="Times New Roman" w:cs="Times New Roman"/>
          <w:sz w:val="24"/>
          <w:szCs w:val="24"/>
        </w:rPr>
        <w:t>d</w:t>
      </w:r>
      <w:r w:rsidRPr="00A40DD6">
        <w:rPr>
          <w:rFonts w:ascii="Times New Roman" w:hAnsi="Times New Roman" w:cs="Times New Roman"/>
          <w:sz w:val="24"/>
          <w:szCs w:val="24"/>
        </w:rPr>
        <w:t xml:space="preserve">ominion </w:t>
      </w:r>
      <w:r>
        <w:rPr>
          <w:rFonts w:ascii="Times New Roman" w:hAnsi="Times New Roman" w:cs="Times New Roman"/>
          <w:sz w:val="24"/>
          <w:szCs w:val="24"/>
        </w:rPr>
        <w:t>h</w:t>
      </w:r>
      <w:r w:rsidRPr="00A40DD6">
        <w:rPr>
          <w:rFonts w:ascii="Times New Roman" w:hAnsi="Times New Roman" w:cs="Times New Roman"/>
          <w:sz w:val="24"/>
          <w:szCs w:val="24"/>
        </w:rPr>
        <w:t xml:space="preserve">ome </w:t>
      </w:r>
      <w:r>
        <w:rPr>
          <w:rFonts w:ascii="Times New Roman" w:hAnsi="Times New Roman" w:cs="Times New Roman"/>
          <w:sz w:val="24"/>
          <w:szCs w:val="24"/>
        </w:rPr>
        <w:t>r</w:t>
      </w:r>
      <w:r w:rsidRPr="00A40DD6">
        <w:rPr>
          <w:rFonts w:ascii="Times New Roman" w:hAnsi="Times New Roman" w:cs="Times New Roman"/>
          <w:sz w:val="24"/>
          <w:szCs w:val="24"/>
        </w:rPr>
        <w:t>ule to the King. Henry Harrison was receptive to the idea, and stated that he had consider</w:t>
      </w:r>
      <w:r>
        <w:rPr>
          <w:rFonts w:ascii="Times New Roman" w:hAnsi="Times New Roman" w:cs="Times New Roman"/>
          <w:sz w:val="24"/>
          <w:szCs w:val="24"/>
        </w:rPr>
        <w:t>ed</w:t>
      </w:r>
      <w:r w:rsidRPr="00A40DD6">
        <w:rPr>
          <w:rFonts w:ascii="Times New Roman" w:hAnsi="Times New Roman" w:cs="Times New Roman"/>
          <w:sz w:val="24"/>
          <w:szCs w:val="24"/>
        </w:rPr>
        <w:t xml:space="preserve"> instituting such a protest, but feared Protestant </w:t>
      </w:r>
      <w:r>
        <w:rPr>
          <w:rFonts w:ascii="Times New Roman" w:hAnsi="Times New Roman" w:cs="Times New Roman"/>
          <w:sz w:val="24"/>
          <w:szCs w:val="24"/>
        </w:rPr>
        <w:t xml:space="preserve">supporters </w:t>
      </w:r>
      <w:r w:rsidRPr="00A40DD6">
        <w:rPr>
          <w:rFonts w:ascii="Times New Roman" w:hAnsi="Times New Roman" w:cs="Times New Roman"/>
          <w:sz w:val="24"/>
          <w:szCs w:val="24"/>
        </w:rPr>
        <w:t>had been radicalised: ‘in the present temper of our people I doubt whether a petition to the King would unite all our possible signatories’.</w:t>
      </w:r>
      <w:r w:rsidRPr="00A40DD6">
        <w:rPr>
          <w:rFonts w:ascii="Times New Roman" w:eastAsia="Calibri" w:hAnsi="Times New Roman" w:cs="Times New Roman"/>
          <w:sz w:val="24"/>
          <w:szCs w:val="24"/>
          <w:vertAlign w:val="superscript"/>
        </w:rPr>
        <w:footnoteReference w:id="86"/>
      </w:r>
      <w:r w:rsidRPr="00A40DD6">
        <w:t xml:space="preserve"> </w:t>
      </w:r>
      <w:r w:rsidRPr="00A40DD6">
        <w:rPr>
          <w:rFonts w:ascii="Times New Roman" w:hAnsi="Times New Roman" w:cs="Times New Roman"/>
          <w:sz w:val="24"/>
          <w:szCs w:val="24"/>
        </w:rPr>
        <w:t xml:space="preserve">    </w:t>
      </w:r>
    </w:p>
    <w:p w14:paraId="1B5B7D48" w14:textId="77777777" w:rsidR="001B747D" w:rsidRDefault="001B747D" w:rsidP="007232A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 October 1919, Walter Long was deputed to draw up plans for self-government. Long, a former chief secretary and leader of the IUA, was close to southern unionists. He </w:t>
      </w:r>
      <w:r w:rsidRPr="002E4550">
        <w:rPr>
          <w:rFonts w:ascii="Times New Roman" w:hAnsi="Times New Roman" w:cs="Times New Roman"/>
          <w:sz w:val="24"/>
          <w:szCs w:val="24"/>
        </w:rPr>
        <w:t>disliked the dominion idea, which he felt would lead to a republic, and</w:t>
      </w:r>
      <w:r>
        <w:rPr>
          <w:rFonts w:ascii="Times New Roman" w:hAnsi="Times New Roman" w:cs="Times New Roman"/>
          <w:sz w:val="24"/>
          <w:szCs w:val="24"/>
        </w:rPr>
        <w:t xml:space="preserve"> preferred to implement a federal scheme. The Government of Ireland Bill </w:t>
      </w:r>
      <w:r w:rsidRPr="002E4550">
        <w:rPr>
          <w:rFonts w:ascii="Times New Roman" w:hAnsi="Times New Roman" w:cs="Times New Roman"/>
          <w:sz w:val="24"/>
          <w:szCs w:val="24"/>
        </w:rPr>
        <w:t xml:space="preserve">proposed the </w:t>
      </w:r>
      <w:r>
        <w:rPr>
          <w:rFonts w:ascii="Times New Roman" w:hAnsi="Times New Roman" w:cs="Times New Roman"/>
          <w:sz w:val="24"/>
          <w:szCs w:val="24"/>
        </w:rPr>
        <w:t>partition of Ireland into two states, Northern Ireland and Southern Ireland</w:t>
      </w:r>
      <w:r w:rsidRPr="002E4550">
        <w:rPr>
          <w:rFonts w:ascii="Times New Roman" w:hAnsi="Times New Roman" w:cs="Times New Roman"/>
          <w:sz w:val="24"/>
          <w:szCs w:val="24"/>
        </w:rPr>
        <w:t xml:space="preserve">, joined by a common Council. By mutual consent, </w:t>
      </w:r>
      <w:r>
        <w:rPr>
          <w:rFonts w:ascii="Times New Roman" w:hAnsi="Times New Roman" w:cs="Times New Roman"/>
          <w:sz w:val="24"/>
          <w:szCs w:val="24"/>
        </w:rPr>
        <w:t>the new parliaments</w:t>
      </w:r>
      <w:r w:rsidRPr="002E4550">
        <w:rPr>
          <w:rFonts w:ascii="Times New Roman" w:hAnsi="Times New Roman" w:cs="Times New Roman"/>
          <w:sz w:val="24"/>
          <w:szCs w:val="24"/>
        </w:rPr>
        <w:t xml:space="preserve"> could grant greater power to the Council</w:t>
      </w:r>
      <w:r>
        <w:rPr>
          <w:rFonts w:ascii="Times New Roman" w:hAnsi="Times New Roman" w:cs="Times New Roman"/>
          <w:sz w:val="24"/>
          <w:szCs w:val="24"/>
        </w:rPr>
        <w:t xml:space="preserve"> of Ireland</w:t>
      </w:r>
      <w:r w:rsidRPr="002E4550">
        <w:rPr>
          <w:rFonts w:ascii="Times New Roman" w:hAnsi="Times New Roman" w:cs="Times New Roman"/>
          <w:sz w:val="24"/>
          <w:szCs w:val="24"/>
        </w:rPr>
        <w:t xml:space="preserve">, </w:t>
      </w:r>
      <w:r>
        <w:rPr>
          <w:rFonts w:ascii="Times New Roman" w:hAnsi="Times New Roman" w:cs="Times New Roman"/>
          <w:sz w:val="24"/>
          <w:szCs w:val="24"/>
        </w:rPr>
        <w:t>eventually leading to</w:t>
      </w:r>
      <w:r w:rsidRPr="002E4550">
        <w:rPr>
          <w:rFonts w:ascii="Times New Roman" w:hAnsi="Times New Roman" w:cs="Times New Roman"/>
          <w:sz w:val="24"/>
          <w:szCs w:val="24"/>
        </w:rPr>
        <w:t xml:space="preserve"> reunion, which Long, with the southern unionists in mind, </w:t>
      </w:r>
      <w:r>
        <w:rPr>
          <w:rFonts w:ascii="Times New Roman" w:hAnsi="Times New Roman" w:cs="Times New Roman"/>
          <w:sz w:val="24"/>
          <w:szCs w:val="24"/>
        </w:rPr>
        <w:t>was hoping for</w:t>
      </w:r>
      <w:r w:rsidRPr="002E4550">
        <w:rPr>
          <w:rFonts w:ascii="Times New Roman" w:hAnsi="Times New Roman" w:cs="Times New Roman"/>
          <w:sz w:val="24"/>
          <w:szCs w:val="24"/>
        </w:rPr>
        <w:t>.</w:t>
      </w:r>
      <w:r>
        <w:rPr>
          <w:rFonts w:ascii="Times New Roman" w:hAnsi="Times New Roman" w:cs="Times New Roman"/>
          <w:sz w:val="24"/>
          <w:szCs w:val="24"/>
        </w:rPr>
        <w:t xml:space="preserve"> Irish representatives </w:t>
      </w:r>
      <w:r>
        <w:rPr>
          <w:rFonts w:ascii="Times New Roman" w:hAnsi="Times New Roman" w:cs="Times New Roman"/>
          <w:sz w:val="24"/>
          <w:szCs w:val="24"/>
        </w:rPr>
        <w:lastRenderedPageBreak/>
        <w:t>would continue to sit in Westminster, allowing for the future reorganisation of the United Kingdom on federal lines.</w:t>
      </w:r>
      <w:r w:rsidRPr="00D74982">
        <w:rPr>
          <w:rFonts w:eastAsia="Calibri"/>
          <w:vertAlign w:val="superscript"/>
        </w:rPr>
        <w:footnoteReference w:id="87"/>
      </w:r>
      <w:r>
        <w:rPr>
          <w:rFonts w:ascii="Times New Roman" w:hAnsi="Times New Roman" w:cs="Times New Roman"/>
          <w:sz w:val="24"/>
          <w:szCs w:val="24"/>
        </w:rPr>
        <w:t xml:space="preserve"> </w:t>
      </w:r>
      <w:r w:rsidRPr="002E4550">
        <w:rPr>
          <w:rFonts w:ascii="Times New Roman" w:hAnsi="Times New Roman" w:cs="Times New Roman"/>
          <w:sz w:val="24"/>
          <w:szCs w:val="24"/>
        </w:rPr>
        <w:t xml:space="preserve">The </w:t>
      </w:r>
      <w:r>
        <w:rPr>
          <w:rFonts w:ascii="Times New Roman" w:hAnsi="Times New Roman" w:cs="Times New Roman"/>
          <w:sz w:val="24"/>
          <w:szCs w:val="24"/>
        </w:rPr>
        <w:t>League reacted with</w:t>
      </w:r>
      <w:r w:rsidRPr="002E4550">
        <w:rPr>
          <w:rFonts w:ascii="Times New Roman" w:hAnsi="Times New Roman" w:cs="Times New Roman"/>
          <w:sz w:val="24"/>
          <w:szCs w:val="24"/>
        </w:rPr>
        <w:t xml:space="preserve"> </w:t>
      </w:r>
      <w:r>
        <w:rPr>
          <w:rFonts w:ascii="Times New Roman" w:hAnsi="Times New Roman" w:cs="Times New Roman"/>
          <w:sz w:val="24"/>
          <w:szCs w:val="24"/>
        </w:rPr>
        <w:t>horror to the bill.</w:t>
      </w:r>
      <w:r w:rsidRPr="002E4550">
        <w:rPr>
          <w:rFonts w:ascii="Times New Roman" w:hAnsi="Times New Roman" w:cs="Times New Roman"/>
          <w:sz w:val="24"/>
          <w:szCs w:val="24"/>
        </w:rPr>
        <w:t xml:space="preserve"> Partition meant the ‘casting off by the Ulster Protestants of their co-religionists in the South and West’.</w:t>
      </w:r>
      <w:r w:rsidRPr="00A40DD6">
        <w:rPr>
          <w:rFonts w:eastAsia="Calibri"/>
          <w:vertAlign w:val="superscript"/>
        </w:rPr>
        <w:footnoteReference w:id="88"/>
      </w:r>
      <w:r>
        <w:rPr>
          <w:rFonts w:ascii="Times New Roman" w:hAnsi="Times New Roman" w:cs="Times New Roman"/>
          <w:sz w:val="24"/>
          <w:szCs w:val="24"/>
        </w:rPr>
        <w:t xml:space="preserve"> Plunkett believed the bill would lead to rebellion.</w:t>
      </w:r>
      <w:r>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At an</w:t>
      </w:r>
      <w:r w:rsidRPr="002E4550">
        <w:rPr>
          <w:rFonts w:ascii="Times New Roman" w:hAnsi="Times New Roman" w:cs="Times New Roman"/>
          <w:sz w:val="24"/>
          <w:szCs w:val="24"/>
        </w:rPr>
        <w:t xml:space="preserve"> APL </w:t>
      </w:r>
      <w:r>
        <w:rPr>
          <w:rFonts w:ascii="Times New Roman" w:hAnsi="Times New Roman" w:cs="Times New Roman"/>
          <w:sz w:val="24"/>
          <w:szCs w:val="24"/>
        </w:rPr>
        <w:t xml:space="preserve">meeting </w:t>
      </w:r>
      <w:r w:rsidRPr="002E4550">
        <w:rPr>
          <w:rFonts w:ascii="Times New Roman" w:hAnsi="Times New Roman" w:cs="Times New Roman"/>
          <w:sz w:val="24"/>
          <w:szCs w:val="24"/>
        </w:rPr>
        <w:t>in mid-April 1920</w:t>
      </w:r>
      <w:r>
        <w:rPr>
          <w:rFonts w:ascii="Times New Roman" w:hAnsi="Times New Roman" w:cs="Times New Roman"/>
          <w:sz w:val="24"/>
          <w:szCs w:val="24"/>
        </w:rPr>
        <w:t xml:space="preserve">, members continued their desultory progress towards an endorsement of home rule: </w:t>
      </w:r>
      <w:proofErr w:type="spellStart"/>
      <w:r w:rsidRPr="002E4550">
        <w:rPr>
          <w:rFonts w:ascii="Times New Roman" w:hAnsi="Times New Roman" w:cs="Times New Roman"/>
          <w:sz w:val="24"/>
          <w:szCs w:val="24"/>
        </w:rPr>
        <w:t>Midleton</w:t>
      </w:r>
      <w:proofErr w:type="spellEnd"/>
      <w:r w:rsidRPr="002E4550">
        <w:rPr>
          <w:rFonts w:ascii="Times New Roman" w:hAnsi="Times New Roman" w:cs="Times New Roman"/>
          <w:sz w:val="24"/>
          <w:szCs w:val="24"/>
        </w:rPr>
        <w:t xml:space="preserve"> outlined amendments including the replacement of the proposed Council of Ireland with an all-Ireland second chamber composed of nominated members. The </w:t>
      </w:r>
      <w:r w:rsidRPr="002E4550">
        <w:rPr>
          <w:rFonts w:ascii="Times New Roman" w:hAnsi="Times New Roman" w:cs="Times New Roman"/>
          <w:i/>
          <w:sz w:val="24"/>
          <w:szCs w:val="24"/>
        </w:rPr>
        <w:t xml:space="preserve">Irish Statesman </w:t>
      </w:r>
      <w:r w:rsidRPr="002E4550">
        <w:rPr>
          <w:rFonts w:ascii="Times New Roman" w:hAnsi="Times New Roman" w:cs="Times New Roman"/>
          <w:sz w:val="24"/>
          <w:szCs w:val="24"/>
        </w:rPr>
        <w:t xml:space="preserve">welcomed this development, </w:t>
      </w:r>
      <w:r>
        <w:rPr>
          <w:rFonts w:ascii="Times New Roman" w:hAnsi="Times New Roman" w:cs="Times New Roman"/>
          <w:sz w:val="24"/>
          <w:szCs w:val="24"/>
        </w:rPr>
        <w:t>seeing it as a move towards the endorsement of dominion home rule</w:t>
      </w:r>
      <w:r w:rsidRPr="002E4550">
        <w:rPr>
          <w:rFonts w:ascii="Times New Roman" w:hAnsi="Times New Roman" w:cs="Times New Roman"/>
          <w:sz w:val="24"/>
          <w:szCs w:val="24"/>
        </w:rPr>
        <w:t>.</w:t>
      </w:r>
      <w:r w:rsidRPr="00A40DD6">
        <w:rPr>
          <w:rFonts w:eastAsia="Calibri"/>
          <w:vertAlign w:val="superscript"/>
        </w:rPr>
        <w:footnoteReference w:id="90"/>
      </w:r>
      <w:r w:rsidRPr="002E4550">
        <w:rPr>
          <w:rFonts w:ascii="Times New Roman" w:hAnsi="Times New Roman" w:cs="Times New Roman"/>
          <w:sz w:val="24"/>
          <w:szCs w:val="24"/>
        </w:rPr>
        <w:t xml:space="preserve"> </w:t>
      </w:r>
    </w:p>
    <w:p w14:paraId="1FE1FC10" w14:textId="741F6AC9" w:rsidR="001B747D" w:rsidRDefault="001B747D" w:rsidP="007232AE">
      <w:pPr>
        <w:spacing w:after="0" w:line="360" w:lineRule="auto"/>
        <w:ind w:firstLine="360"/>
        <w:jc w:val="both"/>
        <w:rPr>
          <w:rFonts w:ascii="Times New Roman" w:hAnsi="Times New Roman" w:cs="Times New Roman"/>
          <w:sz w:val="24"/>
          <w:szCs w:val="24"/>
        </w:rPr>
      </w:pPr>
      <w:r w:rsidRPr="00A40DD6">
        <w:rPr>
          <w:rFonts w:ascii="Times New Roman" w:hAnsi="Times New Roman" w:cs="Times New Roman"/>
          <w:sz w:val="24"/>
          <w:szCs w:val="24"/>
        </w:rPr>
        <w:t>IDL unanimity was fractured when St</w:t>
      </w:r>
      <w:r>
        <w:rPr>
          <w:rFonts w:ascii="Times New Roman" w:hAnsi="Times New Roman" w:cs="Times New Roman"/>
          <w:sz w:val="24"/>
          <w:szCs w:val="24"/>
        </w:rPr>
        <w:t xml:space="preserve">ephen </w:t>
      </w:r>
      <w:r w:rsidRPr="00A40DD6">
        <w:rPr>
          <w:rFonts w:ascii="Times New Roman" w:hAnsi="Times New Roman" w:cs="Times New Roman"/>
          <w:sz w:val="24"/>
          <w:szCs w:val="24"/>
        </w:rPr>
        <w:t xml:space="preserve">Gwynn declared in favour of </w:t>
      </w:r>
      <w:r>
        <w:rPr>
          <w:rFonts w:ascii="Times New Roman" w:hAnsi="Times New Roman" w:cs="Times New Roman"/>
          <w:sz w:val="24"/>
          <w:szCs w:val="24"/>
        </w:rPr>
        <w:t>the Government of Ireland Bill</w:t>
      </w:r>
      <w:r w:rsidRPr="00A40DD6">
        <w:rPr>
          <w:rFonts w:ascii="Times New Roman" w:hAnsi="Times New Roman" w:cs="Times New Roman"/>
          <w:sz w:val="24"/>
          <w:szCs w:val="24"/>
        </w:rPr>
        <w:t>.</w:t>
      </w:r>
      <w:r w:rsidRPr="00A40DD6">
        <w:rPr>
          <w:rFonts w:ascii="Times New Roman" w:eastAsia="Calibri" w:hAnsi="Times New Roman" w:cs="Times New Roman"/>
          <w:sz w:val="24"/>
          <w:szCs w:val="24"/>
          <w:vertAlign w:val="superscript"/>
        </w:rPr>
        <w:footnoteReference w:id="91"/>
      </w:r>
      <w:r w:rsidRPr="00A40DD6">
        <w:rPr>
          <w:rFonts w:ascii="Times New Roman" w:hAnsi="Times New Roman" w:cs="Times New Roman"/>
          <w:sz w:val="24"/>
          <w:szCs w:val="24"/>
        </w:rPr>
        <w:t xml:space="preserve"> Gwynn </w:t>
      </w:r>
      <w:r>
        <w:rPr>
          <w:rFonts w:ascii="Times New Roman" w:hAnsi="Times New Roman" w:cs="Times New Roman"/>
          <w:sz w:val="24"/>
          <w:szCs w:val="24"/>
        </w:rPr>
        <w:t>argued</w:t>
      </w:r>
      <w:r w:rsidRPr="00A40DD6">
        <w:rPr>
          <w:rFonts w:ascii="Times New Roman" w:hAnsi="Times New Roman" w:cs="Times New Roman"/>
          <w:sz w:val="24"/>
          <w:szCs w:val="24"/>
        </w:rPr>
        <w:t xml:space="preserve"> that in creating two home rule parliaments, it removed the British government from Irish affairs, which could lead to eventual reconciliation.</w:t>
      </w:r>
      <w:r w:rsidRPr="00A40DD6">
        <w:rPr>
          <w:rFonts w:ascii="Times New Roman" w:eastAsia="Calibri" w:hAnsi="Times New Roman" w:cs="Times New Roman"/>
          <w:sz w:val="24"/>
          <w:szCs w:val="24"/>
          <w:vertAlign w:val="superscript"/>
        </w:rPr>
        <w:footnoteReference w:id="92"/>
      </w:r>
      <w:r w:rsidRPr="00A40DD6">
        <w:rPr>
          <w:rFonts w:ascii="Times New Roman" w:hAnsi="Times New Roman" w:cs="Times New Roman"/>
          <w:sz w:val="24"/>
          <w:szCs w:val="24"/>
        </w:rPr>
        <w:t xml:space="preserve"> </w:t>
      </w:r>
      <w:r>
        <w:rPr>
          <w:rFonts w:ascii="Times New Roman" w:hAnsi="Times New Roman" w:cs="Times New Roman"/>
          <w:sz w:val="24"/>
          <w:szCs w:val="24"/>
        </w:rPr>
        <w:t>He</w:t>
      </w:r>
      <w:r w:rsidRPr="00A40DD6">
        <w:rPr>
          <w:rFonts w:ascii="Times New Roman" w:hAnsi="Times New Roman" w:cs="Times New Roman"/>
          <w:sz w:val="24"/>
          <w:szCs w:val="24"/>
        </w:rPr>
        <w:t xml:space="preserve"> took the chairmanship of the Government of Ireland Bill Amendment Group, a small body which sought to </w:t>
      </w:r>
      <w:r>
        <w:rPr>
          <w:rFonts w:ascii="Times New Roman" w:hAnsi="Times New Roman" w:cs="Times New Roman"/>
          <w:sz w:val="24"/>
          <w:szCs w:val="24"/>
        </w:rPr>
        <w:t>suggest</w:t>
      </w:r>
      <w:r w:rsidRPr="00A40DD6">
        <w:rPr>
          <w:rFonts w:ascii="Times New Roman" w:hAnsi="Times New Roman" w:cs="Times New Roman"/>
          <w:sz w:val="24"/>
          <w:szCs w:val="24"/>
        </w:rPr>
        <w:t xml:space="preserve"> amendments to make it more acceptable to southern Irish opinion. It attracted well-known moderates</w:t>
      </w:r>
      <w:r>
        <w:rPr>
          <w:rFonts w:ascii="Times New Roman" w:hAnsi="Times New Roman" w:cs="Times New Roman"/>
          <w:sz w:val="24"/>
          <w:szCs w:val="24"/>
        </w:rPr>
        <w:t xml:space="preserve"> such</w:t>
      </w:r>
      <w:r w:rsidRPr="00A40DD6">
        <w:rPr>
          <w:rFonts w:ascii="Times New Roman" w:hAnsi="Times New Roman" w:cs="Times New Roman"/>
          <w:sz w:val="24"/>
          <w:szCs w:val="24"/>
        </w:rPr>
        <w:t xml:space="preserve"> as </w:t>
      </w:r>
      <w:r>
        <w:rPr>
          <w:rFonts w:ascii="Times New Roman" w:hAnsi="Times New Roman" w:cs="Times New Roman"/>
          <w:sz w:val="24"/>
          <w:szCs w:val="24"/>
        </w:rPr>
        <w:t xml:space="preserve">Lord </w:t>
      </w:r>
      <w:r w:rsidRPr="00A40DD6">
        <w:rPr>
          <w:rFonts w:ascii="Times New Roman" w:hAnsi="Times New Roman" w:cs="Times New Roman"/>
          <w:sz w:val="24"/>
          <w:szCs w:val="24"/>
        </w:rPr>
        <w:t xml:space="preserve">Dunraven, </w:t>
      </w:r>
      <w:r w:rsidR="002A32BD" w:rsidRPr="002A32BD">
        <w:rPr>
          <w:rFonts w:ascii="Times New Roman" w:hAnsi="Times New Roman" w:cs="Times New Roman"/>
          <w:sz w:val="24"/>
          <w:szCs w:val="24"/>
        </w:rPr>
        <w:t xml:space="preserve">Sir William </w:t>
      </w:r>
      <w:r w:rsidRPr="00A40DD6">
        <w:rPr>
          <w:rFonts w:ascii="Times New Roman" w:hAnsi="Times New Roman" w:cs="Times New Roman"/>
          <w:sz w:val="24"/>
          <w:szCs w:val="24"/>
        </w:rPr>
        <w:t>Hutcheso</w:t>
      </w:r>
      <w:r>
        <w:rPr>
          <w:rFonts w:ascii="Times New Roman" w:hAnsi="Times New Roman" w:cs="Times New Roman"/>
          <w:sz w:val="24"/>
          <w:szCs w:val="24"/>
        </w:rPr>
        <w:t xml:space="preserve">n </w:t>
      </w:r>
      <w:proofErr w:type="spellStart"/>
      <w:r>
        <w:rPr>
          <w:rFonts w:ascii="Times New Roman" w:hAnsi="Times New Roman" w:cs="Times New Roman"/>
          <w:sz w:val="24"/>
          <w:szCs w:val="24"/>
        </w:rPr>
        <w:t>Po</w:t>
      </w:r>
      <w:r w:rsidRPr="00066BE7">
        <w:rPr>
          <w:rFonts w:ascii="Times New Roman" w:hAnsi="Times New Roman" w:cs="Times New Roman"/>
          <w:sz w:val="24"/>
          <w:szCs w:val="24"/>
        </w:rPr>
        <w:t>ë</w:t>
      </w:r>
      <w:proofErr w:type="spellEnd"/>
      <w:r>
        <w:rPr>
          <w:rFonts w:ascii="Times New Roman" w:hAnsi="Times New Roman" w:cs="Times New Roman"/>
          <w:sz w:val="24"/>
          <w:szCs w:val="24"/>
        </w:rPr>
        <w:t xml:space="preserve">, and </w:t>
      </w:r>
      <w:r w:rsidR="002A32BD">
        <w:rPr>
          <w:rFonts w:ascii="Times New Roman" w:hAnsi="Times New Roman" w:cs="Times New Roman"/>
          <w:sz w:val="24"/>
          <w:szCs w:val="24"/>
        </w:rPr>
        <w:t xml:space="preserve">Sir Hubert </w:t>
      </w:r>
      <w:r>
        <w:rPr>
          <w:rFonts w:ascii="Times New Roman" w:hAnsi="Times New Roman" w:cs="Times New Roman"/>
          <w:sz w:val="24"/>
          <w:szCs w:val="24"/>
        </w:rPr>
        <w:t>Gough. Although the g</w:t>
      </w:r>
      <w:r w:rsidRPr="00A40DD6">
        <w:rPr>
          <w:rFonts w:ascii="Times New Roman" w:hAnsi="Times New Roman" w:cs="Times New Roman"/>
          <w:sz w:val="24"/>
          <w:szCs w:val="24"/>
        </w:rPr>
        <w:t xml:space="preserve">roup was tiny, and its attempts to </w:t>
      </w:r>
      <w:r>
        <w:rPr>
          <w:rFonts w:ascii="Times New Roman" w:hAnsi="Times New Roman" w:cs="Times New Roman"/>
          <w:sz w:val="24"/>
          <w:szCs w:val="24"/>
        </w:rPr>
        <w:t>improve the b</w:t>
      </w:r>
      <w:r w:rsidRPr="00A40DD6">
        <w:rPr>
          <w:rFonts w:ascii="Times New Roman" w:hAnsi="Times New Roman" w:cs="Times New Roman"/>
          <w:sz w:val="24"/>
          <w:szCs w:val="24"/>
        </w:rPr>
        <w:t xml:space="preserve">ill </w:t>
      </w:r>
      <w:r>
        <w:rPr>
          <w:rFonts w:ascii="Times New Roman" w:hAnsi="Times New Roman" w:cs="Times New Roman"/>
          <w:sz w:val="24"/>
          <w:szCs w:val="24"/>
        </w:rPr>
        <w:t xml:space="preserve">were </w:t>
      </w:r>
      <w:r w:rsidRPr="00A40DD6">
        <w:rPr>
          <w:rFonts w:ascii="Times New Roman" w:hAnsi="Times New Roman" w:cs="Times New Roman"/>
          <w:sz w:val="24"/>
          <w:szCs w:val="24"/>
        </w:rPr>
        <w:t xml:space="preserve">a failure, Gwynn’s defection weakened the already-faltering </w:t>
      </w:r>
      <w:r>
        <w:rPr>
          <w:rFonts w:ascii="Times New Roman" w:hAnsi="Times New Roman" w:cs="Times New Roman"/>
          <w:sz w:val="24"/>
          <w:szCs w:val="24"/>
        </w:rPr>
        <w:t>League</w:t>
      </w:r>
      <w:r w:rsidRPr="00A40DD6">
        <w:rPr>
          <w:rFonts w:ascii="Times New Roman" w:hAnsi="Times New Roman" w:cs="Times New Roman"/>
          <w:sz w:val="24"/>
          <w:szCs w:val="24"/>
        </w:rPr>
        <w:t xml:space="preserve">. The </w:t>
      </w:r>
      <w:r w:rsidRPr="00A40DD6">
        <w:rPr>
          <w:rFonts w:ascii="Times New Roman" w:hAnsi="Times New Roman" w:cs="Times New Roman"/>
          <w:i/>
          <w:sz w:val="24"/>
          <w:szCs w:val="24"/>
        </w:rPr>
        <w:t xml:space="preserve">Irish Statesman </w:t>
      </w:r>
      <w:r w:rsidRPr="00A40DD6">
        <w:rPr>
          <w:rFonts w:ascii="Times New Roman" w:hAnsi="Times New Roman" w:cs="Times New Roman"/>
          <w:sz w:val="24"/>
          <w:szCs w:val="24"/>
        </w:rPr>
        <w:t>was a</w:t>
      </w:r>
      <w:r>
        <w:rPr>
          <w:rFonts w:ascii="Times New Roman" w:hAnsi="Times New Roman" w:cs="Times New Roman"/>
          <w:sz w:val="24"/>
          <w:szCs w:val="24"/>
        </w:rPr>
        <w:t>ppalled</w:t>
      </w:r>
      <w:r w:rsidRPr="00A40DD6">
        <w:rPr>
          <w:rFonts w:ascii="Times New Roman" w:hAnsi="Times New Roman" w:cs="Times New Roman"/>
          <w:sz w:val="24"/>
          <w:szCs w:val="24"/>
        </w:rPr>
        <w:t>, stating that Gwynn was ‘prepared, with pathetic eagerness, to assent to the proposition not merely that half a loaf is better than no bread, but that half a loaf is better even if it is poisoned’.</w:t>
      </w:r>
      <w:r w:rsidRPr="00A40DD6">
        <w:rPr>
          <w:rFonts w:ascii="Times New Roman" w:eastAsia="Calibri" w:hAnsi="Times New Roman" w:cs="Times New Roman"/>
          <w:sz w:val="24"/>
          <w:szCs w:val="24"/>
          <w:vertAlign w:val="superscript"/>
        </w:rPr>
        <w:footnoteReference w:id="93"/>
      </w:r>
    </w:p>
    <w:p w14:paraId="3B8FC189" w14:textId="77777777" w:rsidR="001B747D" w:rsidRDefault="001B747D" w:rsidP="007232AE">
      <w:pPr>
        <w:spacing w:after="0" w:line="360" w:lineRule="auto"/>
        <w:ind w:firstLine="360"/>
        <w:jc w:val="both"/>
        <w:rPr>
          <w:rFonts w:ascii="Times New Roman" w:hAnsi="Times New Roman" w:cs="Times New Roman"/>
          <w:sz w:val="24"/>
          <w:szCs w:val="24"/>
        </w:rPr>
      </w:pPr>
      <w:r w:rsidRPr="000C00C1">
        <w:rPr>
          <w:rFonts w:ascii="Times New Roman" w:hAnsi="Times New Roman" w:cs="Times New Roman"/>
          <w:sz w:val="24"/>
          <w:szCs w:val="24"/>
        </w:rPr>
        <w:t>In response</w:t>
      </w:r>
      <w:r>
        <w:rPr>
          <w:rFonts w:ascii="Times New Roman" w:hAnsi="Times New Roman" w:cs="Times New Roman"/>
          <w:sz w:val="24"/>
          <w:szCs w:val="24"/>
        </w:rPr>
        <w:t xml:space="preserve"> to the bill</w:t>
      </w:r>
      <w:r w:rsidRPr="000C00C1">
        <w:rPr>
          <w:rFonts w:ascii="Times New Roman" w:hAnsi="Times New Roman" w:cs="Times New Roman"/>
          <w:sz w:val="24"/>
          <w:szCs w:val="24"/>
        </w:rPr>
        <w:t>, the League argued for the election of a constituent assembly under proportional representation, charged with drawing up a constitution for a dominion home rule state, with safeguards for Ulster and minorities.</w:t>
      </w:r>
      <w:r w:rsidRPr="00092B07">
        <w:rPr>
          <w:rFonts w:eastAsia="Calibri"/>
          <w:vertAlign w:val="superscript"/>
        </w:rPr>
        <w:footnoteReference w:id="94"/>
      </w:r>
      <w:r w:rsidRPr="000C00C1">
        <w:rPr>
          <w:rFonts w:ascii="Times New Roman" w:hAnsi="Times New Roman" w:cs="Times New Roman"/>
          <w:sz w:val="24"/>
          <w:szCs w:val="24"/>
        </w:rPr>
        <w:t xml:space="preserve"> Plunkett </w:t>
      </w:r>
      <w:r>
        <w:rPr>
          <w:rFonts w:ascii="Times New Roman" w:hAnsi="Times New Roman" w:cs="Times New Roman"/>
          <w:sz w:val="24"/>
          <w:szCs w:val="24"/>
        </w:rPr>
        <w:t xml:space="preserve">stated that the </w:t>
      </w:r>
      <w:r w:rsidRPr="000C00C1">
        <w:rPr>
          <w:rFonts w:ascii="Times New Roman" w:hAnsi="Times New Roman" w:cs="Times New Roman"/>
          <w:sz w:val="24"/>
          <w:szCs w:val="24"/>
        </w:rPr>
        <w:t>government should ‘drop their insane proposal to force their scheme upon us and give us, in a democratically elected assembly, full authority to frame the Constitution we want – which to-morrow would not be a Republic, even if it is today’.</w:t>
      </w:r>
      <w:r>
        <w:rPr>
          <w:rStyle w:val="FootnoteReference"/>
          <w:rFonts w:ascii="Times New Roman" w:hAnsi="Times New Roman" w:cs="Times New Roman"/>
          <w:sz w:val="24"/>
          <w:szCs w:val="24"/>
        </w:rPr>
        <w:footnoteReference w:id="95"/>
      </w:r>
      <w:r w:rsidRPr="000C00C1">
        <w:rPr>
          <w:rFonts w:ascii="Times New Roman" w:hAnsi="Times New Roman" w:cs="Times New Roman"/>
          <w:sz w:val="24"/>
          <w:szCs w:val="24"/>
        </w:rPr>
        <w:t xml:space="preserve"> </w:t>
      </w:r>
      <w:r>
        <w:rPr>
          <w:rFonts w:ascii="Times New Roman" w:hAnsi="Times New Roman" w:cs="Times New Roman"/>
          <w:sz w:val="24"/>
          <w:szCs w:val="24"/>
        </w:rPr>
        <w:t xml:space="preserve">Even if this proposal could gather sufficient support in the south, it ignored the Ulster unionist refusal to enter an all-Ireland settlement, safe in the </w:t>
      </w:r>
      <w:r>
        <w:rPr>
          <w:rFonts w:ascii="Times New Roman" w:hAnsi="Times New Roman" w:cs="Times New Roman"/>
          <w:sz w:val="24"/>
          <w:szCs w:val="24"/>
        </w:rPr>
        <w:lastRenderedPageBreak/>
        <w:t>knowledge that the Conservative members in cabinet would continue to support them.</w:t>
      </w:r>
      <w:r>
        <w:rPr>
          <w:rStyle w:val="FootnoteReference"/>
          <w:rFonts w:ascii="Times New Roman" w:hAnsi="Times New Roman" w:cs="Times New Roman"/>
          <w:sz w:val="24"/>
          <w:szCs w:val="24"/>
        </w:rPr>
        <w:footnoteReference w:id="96"/>
      </w:r>
      <w:r>
        <w:rPr>
          <w:rFonts w:ascii="Times New Roman" w:hAnsi="Times New Roman" w:cs="Times New Roman"/>
          <w:sz w:val="24"/>
          <w:szCs w:val="24"/>
        </w:rPr>
        <w:t xml:space="preserve"> When cabinet support for partition became clear, Plunkett considered closing the League, but ultimately decided to continue, in the hope that opinion could be swayed and the government would realise that only an all-Ireland dominion settlement would endure.  </w:t>
      </w:r>
    </w:p>
    <w:p w14:paraId="150088CD" w14:textId="643DB2AB" w:rsidR="001B747D" w:rsidRDefault="001B747D" w:rsidP="007232AE">
      <w:pPr>
        <w:spacing w:after="0" w:line="360" w:lineRule="auto"/>
        <w:ind w:firstLine="360"/>
        <w:jc w:val="both"/>
        <w:rPr>
          <w:rFonts w:ascii="Times New Roman" w:hAnsi="Times New Roman" w:cs="Times New Roman"/>
          <w:sz w:val="24"/>
          <w:szCs w:val="24"/>
        </w:rPr>
      </w:pPr>
      <w:r w:rsidRPr="00D61FC2">
        <w:rPr>
          <w:rFonts w:ascii="Times New Roman" w:hAnsi="Times New Roman" w:cs="Times New Roman"/>
          <w:sz w:val="24"/>
          <w:szCs w:val="24"/>
        </w:rPr>
        <w:t xml:space="preserve">The crisis in </w:t>
      </w:r>
      <w:r w:rsidRPr="008D5EB1">
        <w:rPr>
          <w:rFonts w:ascii="Times New Roman" w:hAnsi="Times New Roman" w:cs="Times New Roman"/>
          <w:sz w:val="24"/>
          <w:szCs w:val="24"/>
        </w:rPr>
        <w:t xml:space="preserve">moderate </w:t>
      </w:r>
      <w:r>
        <w:rPr>
          <w:rFonts w:ascii="Times New Roman" w:hAnsi="Times New Roman" w:cs="Times New Roman"/>
          <w:sz w:val="24"/>
          <w:szCs w:val="24"/>
        </w:rPr>
        <w:t>politics</w:t>
      </w:r>
      <w:r w:rsidRPr="00D61FC2">
        <w:rPr>
          <w:rFonts w:ascii="Times New Roman" w:hAnsi="Times New Roman" w:cs="Times New Roman"/>
          <w:sz w:val="24"/>
          <w:szCs w:val="24"/>
        </w:rPr>
        <w:t xml:space="preserve"> prompted an emotional appeal from Bolton Waller</w:t>
      </w:r>
      <w:r>
        <w:rPr>
          <w:rFonts w:ascii="Times New Roman" w:hAnsi="Times New Roman" w:cs="Times New Roman"/>
          <w:sz w:val="24"/>
          <w:szCs w:val="24"/>
        </w:rPr>
        <w:t>, a war veteran who was active in the IDL</w:t>
      </w:r>
      <w:r w:rsidRPr="00D61FC2">
        <w:rPr>
          <w:rFonts w:ascii="Times New Roman" w:hAnsi="Times New Roman" w:cs="Times New Roman"/>
          <w:sz w:val="24"/>
          <w:szCs w:val="24"/>
        </w:rPr>
        <w:t>.</w:t>
      </w:r>
      <w:r w:rsidR="005F766B">
        <w:rPr>
          <w:rStyle w:val="FootnoteReference"/>
          <w:rFonts w:ascii="Times New Roman" w:hAnsi="Times New Roman" w:cs="Times New Roman"/>
          <w:sz w:val="24"/>
          <w:szCs w:val="24"/>
        </w:rPr>
        <w:footnoteReference w:id="97"/>
      </w:r>
      <w:r w:rsidRPr="00D61FC2">
        <w:rPr>
          <w:rFonts w:ascii="Times New Roman" w:hAnsi="Times New Roman" w:cs="Times New Roman"/>
          <w:sz w:val="24"/>
          <w:szCs w:val="24"/>
        </w:rPr>
        <w:t xml:space="preserve"> In a letter to the press, </w:t>
      </w:r>
      <w:r>
        <w:rPr>
          <w:rFonts w:ascii="Times New Roman" w:hAnsi="Times New Roman" w:cs="Times New Roman"/>
          <w:sz w:val="24"/>
          <w:szCs w:val="24"/>
        </w:rPr>
        <w:t>Waller</w:t>
      </w:r>
      <w:r w:rsidRPr="00D61FC2">
        <w:rPr>
          <w:rFonts w:ascii="Times New Roman" w:hAnsi="Times New Roman" w:cs="Times New Roman"/>
          <w:sz w:val="24"/>
          <w:szCs w:val="24"/>
        </w:rPr>
        <w:t xml:space="preserve"> outlined five groups </w:t>
      </w:r>
      <w:r>
        <w:rPr>
          <w:rFonts w:ascii="Times New Roman" w:hAnsi="Times New Roman" w:cs="Times New Roman"/>
          <w:sz w:val="24"/>
          <w:szCs w:val="24"/>
        </w:rPr>
        <w:t>that</w:t>
      </w:r>
      <w:r w:rsidRPr="00D61FC2">
        <w:rPr>
          <w:rFonts w:ascii="Times New Roman" w:hAnsi="Times New Roman" w:cs="Times New Roman"/>
          <w:sz w:val="24"/>
          <w:szCs w:val="24"/>
        </w:rPr>
        <w:t xml:space="preserve"> desired an all-Ireland settlement</w:t>
      </w:r>
      <w:r>
        <w:rPr>
          <w:rFonts w:ascii="Times New Roman" w:hAnsi="Times New Roman" w:cs="Times New Roman"/>
          <w:sz w:val="24"/>
          <w:szCs w:val="24"/>
        </w:rPr>
        <w:t xml:space="preserve"> and that</w:t>
      </w:r>
      <w:r w:rsidRPr="00D61FC2">
        <w:rPr>
          <w:rFonts w:ascii="Times New Roman" w:hAnsi="Times New Roman" w:cs="Times New Roman"/>
          <w:sz w:val="24"/>
          <w:szCs w:val="24"/>
        </w:rPr>
        <w:t>, he said, should co</w:t>
      </w:r>
      <w:r>
        <w:rPr>
          <w:rFonts w:ascii="Times New Roman" w:hAnsi="Times New Roman" w:cs="Times New Roman"/>
          <w:sz w:val="24"/>
          <w:szCs w:val="24"/>
        </w:rPr>
        <w:t>mbine</w:t>
      </w:r>
      <w:r w:rsidRPr="00D61FC2">
        <w:rPr>
          <w:rFonts w:ascii="Times New Roman" w:hAnsi="Times New Roman" w:cs="Times New Roman"/>
          <w:sz w:val="24"/>
          <w:szCs w:val="24"/>
        </w:rPr>
        <w:t xml:space="preserve"> under one leader</w:t>
      </w:r>
      <w:r>
        <w:rPr>
          <w:rFonts w:ascii="Times New Roman" w:hAnsi="Times New Roman" w:cs="Times New Roman"/>
          <w:sz w:val="24"/>
          <w:szCs w:val="24"/>
        </w:rPr>
        <w:t>: the IDL,</w:t>
      </w:r>
      <w:r w:rsidRPr="00D61FC2">
        <w:rPr>
          <w:rFonts w:ascii="Times New Roman" w:hAnsi="Times New Roman" w:cs="Times New Roman"/>
          <w:sz w:val="24"/>
          <w:szCs w:val="24"/>
        </w:rPr>
        <w:t xml:space="preserve"> the remnants of the</w:t>
      </w:r>
      <w:r>
        <w:rPr>
          <w:rFonts w:ascii="Times New Roman" w:hAnsi="Times New Roman" w:cs="Times New Roman"/>
          <w:sz w:val="24"/>
          <w:szCs w:val="24"/>
        </w:rPr>
        <w:t xml:space="preserve"> </w:t>
      </w:r>
      <w:r w:rsidRPr="00D61FC2">
        <w:rPr>
          <w:rFonts w:ascii="Times New Roman" w:hAnsi="Times New Roman" w:cs="Times New Roman"/>
          <w:sz w:val="24"/>
          <w:szCs w:val="24"/>
        </w:rPr>
        <w:t>I</w:t>
      </w:r>
      <w:r>
        <w:rPr>
          <w:rFonts w:ascii="Times New Roman" w:hAnsi="Times New Roman" w:cs="Times New Roman"/>
          <w:sz w:val="24"/>
          <w:szCs w:val="24"/>
        </w:rPr>
        <w:t>rish Party,</w:t>
      </w:r>
      <w:r w:rsidRPr="00D61FC2">
        <w:rPr>
          <w:rFonts w:ascii="Times New Roman" w:hAnsi="Times New Roman" w:cs="Times New Roman"/>
          <w:sz w:val="24"/>
          <w:szCs w:val="24"/>
        </w:rPr>
        <w:t xml:space="preserve"> the APL</w:t>
      </w:r>
      <w:r>
        <w:rPr>
          <w:rFonts w:ascii="Times New Roman" w:hAnsi="Times New Roman" w:cs="Times New Roman"/>
          <w:sz w:val="24"/>
          <w:szCs w:val="24"/>
        </w:rPr>
        <w:t xml:space="preserve">, </w:t>
      </w:r>
      <w:r w:rsidRPr="00D61FC2">
        <w:rPr>
          <w:rFonts w:ascii="Times New Roman" w:hAnsi="Times New Roman" w:cs="Times New Roman"/>
          <w:sz w:val="24"/>
          <w:szCs w:val="24"/>
        </w:rPr>
        <w:t>moderate elements in the Irish Labour party</w:t>
      </w:r>
      <w:r>
        <w:rPr>
          <w:rFonts w:ascii="Times New Roman" w:hAnsi="Times New Roman" w:cs="Times New Roman"/>
          <w:sz w:val="24"/>
          <w:szCs w:val="24"/>
        </w:rPr>
        <w:t xml:space="preserve">, </w:t>
      </w:r>
      <w:r w:rsidRPr="00D61FC2">
        <w:rPr>
          <w:rFonts w:ascii="Times New Roman" w:hAnsi="Times New Roman" w:cs="Times New Roman"/>
          <w:sz w:val="24"/>
          <w:szCs w:val="24"/>
        </w:rPr>
        <w:t>and the Government of Ireland Bill Amendment Group. He argued that ‘past controversies and minor disagreements’ were keeping them apart</w:t>
      </w:r>
      <w:r>
        <w:rPr>
          <w:rFonts w:ascii="Times New Roman" w:hAnsi="Times New Roman" w:cs="Times New Roman"/>
          <w:sz w:val="24"/>
          <w:szCs w:val="24"/>
        </w:rPr>
        <w:t xml:space="preserve"> and</w:t>
      </w:r>
      <w:r w:rsidRPr="00D61FC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6ECE">
        <w:rPr>
          <w:rFonts w:ascii="Times New Roman" w:hAnsi="Times New Roman" w:cs="Times New Roman"/>
          <w:sz w:val="24"/>
          <w:szCs w:val="24"/>
        </w:rPr>
        <w:t>only by combining</w:t>
      </w:r>
      <w:r w:rsidRPr="00D61FC2">
        <w:rPr>
          <w:rFonts w:ascii="Times New Roman" w:hAnsi="Times New Roman" w:cs="Times New Roman"/>
          <w:sz w:val="24"/>
          <w:szCs w:val="24"/>
        </w:rPr>
        <w:t xml:space="preserve"> could the unity of the country be preserved. He addressed his own people directly</w:t>
      </w:r>
      <w:r w:rsidRPr="00CE1452">
        <w:rPr>
          <w:rFonts w:ascii="Times New Roman" w:hAnsi="Times New Roman" w:cs="Times New Roman"/>
          <w:sz w:val="24"/>
          <w:szCs w:val="24"/>
        </w:rPr>
        <w:t>: ‘Especially to the South of Ireland Protestants would I appeal. We have been too late again and again. This is perhaps our last chance. Are not we ready to sink a great deal for the sake of Ireland?’</w:t>
      </w:r>
      <w:r w:rsidRPr="00CE1452">
        <w:rPr>
          <w:rFonts w:ascii="Times New Roman" w:eastAsia="Calibri" w:hAnsi="Times New Roman" w:cs="Times New Roman"/>
          <w:sz w:val="24"/>
          <w:szCs w:val="24"/>
          <w:vertAlign w:val="superscript"/>
        </w:rPr>
        <w:footnoteReference w:id="98"/>
      </w:r>
      <w:r>
        <w:rPr>
          <w:rFonts w:ascii="Times New Roman" w:hAnsi="Times New Roman" w:cs="Times New Roman"/>
          <w:sz w:val="24"/>
          <w:szCs w:val="24"/>
        </w:rPr>
        <w:t xml:space="preserve"> </w:t>
      </w:r>
      <w:r w:rsidRPr="00BA6DBF">
        <w:rPr>
          <w:rFonts w:ascii="Times New Roman" w:hAnsi="Times New Roman" w:cs="Times New Roman"/>
          <w:sz w:val="24"/>
          <w:szCs w:val="24"/>
        </w:rPr>
        <w:t>However, few</w:t>
      </w:r>
      <w:r>
        <w:rPr>
          <w:rFonts w:ascii="Times New Roman" w:hAnsi="Times New Roman" w:cs="Times New Roman"/>
          <w:sz w:val="24"/>
          <w:szCs w:val="24"/>
        </w:rPr>
        <w:t xml:space="preserve"> seemed to listen to Waller’s appeal and no such </w:t>
      </w:r>
      <w:r w:rsidRPr="00A40DD6">
        <w:rPr>
          <w:rFonts w:ascii="Times New Roman" w:hAnsi="Times New Roman" w:cs="Times New Roman"/>
          <w:sz w:val="24"/>
          <w:szCs w:val="24"/>
        </w:rPr>
        <w:t xml:space="preserve">union </w:t>
      </w:r>
      <w:r>
        <w:rPr>
          <w:rFonts w:ascii="Times New Roman" w:hAnsi="Times New Roman" w:cs="Times New Roman"/>
          <w:sz w:val="24"/>
          <w:szCs w:val="24"/>
        </w:rPr>
        <w:t>came about.</w:t>
      </w:r>
    </w:p>
    <w:p w14:paraId="508CE6C1" w14:textId="2D3AECBF" w:rsidR="001B747D" w:rsidRDefault="001B747D" w:rsidP="007232AE">
      <w:pPr>
        <w:spacing w:after="0" w:line="360" w:lineRule="auto"/>
        <w:ind w:firstLine="360"/>
        <w:jc w:val="both"/>
        <w:rPr>
          <w:rFonts w:ascii="Times New Roman" w:hAnsi="Times New Roman" w:cs="Times New Roman"/>
          <w:sz w:val="24"/>
          <w:szCs w:val="24"/>
        </w:rPr>
      </w:pPr>
      <w:r w:rsidRPr="002E4550">
        <w:rPr>
          <w:rFonts w:ascii="Times New Roman" w:hAnsi="Times New Roman" w:cs="Times New Roman"/>
          <w:sz w:val="24"/>
          <w:szCs w:val="24"/>
        </w:rPr>
        <w:t xml:space="preserve">Much of the League’s publicity work was carried out by its London branch. Its supporters </w:t>
      </w:r>
      <w:r>
        <w:rPr>
          <w:rFonts w:ascii="Times New Roman" w:hAnsi="Times New Roman" w:cs="Times New Roman"/>
          <w:sz w:val="24"/>
          <w:szCs w:val="24"/>
        </w:rPr>
        <w:t xml:space="preserve">there </w:t>
      </w:r>
      <w:r w:rsidRPr="002E4550">
        <w:rPr>
          <w:rFonts w:ascii="Times New Roman" w:hAnsi="Times New Roman" w:cs="Times New Roman"/>
          <w:sz w:val="24"/>
          <w:szCs w:val="24"/>
        </w:rPr>
        <w:t>were drawn from Irish moderates</w:t>
      </w:r>
      <w:r>
        <w:rPr>
          <w:rFonts w:ascii="Times New Roman" w:hAnsi="Times New Roman" w:cs="Times New Roman"/>
          <w:sz w:val="24"/>
          <w:szCs w:val="24"/>
        </w:rPr>
        <w:t xml:space="preserve"> </w:t>
      </w:r>
      <w:r w:rsidR="00A31E3B">
        <w:rPr>
          <w:rFonts w:ascii="Times New Roman" w:hAnsi="Times New Roman" w:cs="Times New Roman"/>
          <w:sz w:val="24"/>
          <w:szCs w:val="24"/>
        </w:rPr>
        <w:t>such as</w:t>
      </w:r>
      <w:r>
        <w:rPr>
          <w:rFonts w:ascii="Times New Roman" w:hAnsi="Times New Roman" w:cs="Times New Roman"/>
          <w:sz w:val="24"/>
          <w:szCs w:val="24"/>
        </w:rPr>
        <w:t xml:space="preserve"> Waller</w:t>
      </w:r>
      <w:r w:rsidRPr="002E4550">
        <w:rPr>
          <w:rFonts w:ascii="Times New Roman" w:hAnsi="Times New Roman" w:cs="Times New Roman"/>
          <w:sz w:val="24"/>
          <w:szCs w:val="24"/>
        </w:rPr>
        <w:t xml:space="preserve"> who were resident in London, British Liberals, some members of the Labour party, </w:t>
      </w:r>
      <w:r>
        <w:rPr>
          <w:rFonts w:ascii="Times New Roman" w:hAnsi="Times New Roman" w:cs="Times New Roman"/>
          <w:sz w:val="24"/>
          <w:szCs w:val="24"/>
        </w:rPr>
        <w:t>and</w:t>
      </w:r>
      <w:r w:rsidRPr="002E4550">
        <w:rPr>
          <w:rFonts w:ascii="Times New Roman" w:hAnsi="Times New Roman" w:cs="Times New Roman"/>
          <w:sz w:val="24"/>
          <w:szCs w:val="24"/>
        </w:rPr>
        <w:t xml:space="preserve"> </w:t>
      </w:r>
      <w:r>
        <w:rPr>
          <w:rFonts w:ascii="Times New Roman" w:hAnsi="Times New Roman" w:cs="Times New Roman"/>
          <w:sz w:val="24"/>
          <w:szCs w:val="24"/>
        </w:rPr>
        <w:t>some</w:t>
      </w:r>
      <w:r w:rsidRPr="002E4550">
        <w:rPr>
          <w:rFonts w:ascii="Times New Roman" w:hAnsi="Times New Roman" w:cs="Times New Roman"/>
          <w:sz w:val="24"/>
          <w:szCs w:val="24"/>
        </w:rPr>
        <w:t xml:space="preserve"> Conservatives. </w:t>
      </w:r>
      <w:r>
        <w:rPr>
          <w:rFonts w:ascii="Times New Roman" w:hAnsi="Times New Roman" w:cs="Times New Roman"/>
          <w:sz w:val="24"/>
          <w:szCs w:val="24"/>
        </w:rPr>
        <w:t>Pragmatism rather than ideology</w:t>
      </w:r>
      <w:r w:rsidR="005F7EBF">
        <w:rPr>
          <w:rFonts w:ascii="Times New Roman" w:hAnsi="Times New Roman" w:cs="Times New Roman"/>
          <w:sz w:val="24"/>
          <w:szCs w:val="24"/>
        </w:rPr>
        <w:t xml:space="preserve"> appears to have</w:t>
      </w:r>
      <w:r>
        <w:rPr>
          <w:rFonts w:ascii="Times New Roman" w:hAnsi="Times New Roman" w:cs="Times New Roman"/>
          <w:sz w:val="24"/>
          <w:szCs w:val="24"/>
        </w:rPr>
        <w:t xml:space="preserve"> informed</w:t>
      </w:r>
      <w:r w:rsidR="005F7EBF">
        <w:rPr>
          <w:rFonts w:ascii="Times New Roman" w:hAnsi="Times New Roman" w:cs="Times New Roman"/>
          <w:sz w:val="24"/>
          <w:szCs w:val="24"/>
        </w:rPr>
        <w:t xml:space="preserve"> the</w:t>
      </w:r>
      <w:r>
        <w:rPr>
          <w:rFonts w:ascii="Times New Roman" w:hAnsi="Times New Roman" w:cs="Times New Roman"/>
          <w:sz w:val="24"/>
          <w:szCs w:val="24"/>
        </w:rPr>
        <w:t xml:space="preserve"> politics</w:t>
      </w:r>
      <w:r w:rsidR="005F7EBF">
        <w:rPr>
          <w:rFonts w:ascii="Times New Roman" w:hAnsi="Times New Roman" w:cs="Times New Roman"/>
          <w:sz w:val="24"/>
          <w:szCs w:val="24"/>
        </w:rPr>
        <w:t xml:space="preserve"> of some</w:t>
      </w:r>
      <w:r>
        <w:rPr>
          <w:rFonts w:ascii="Times New Roman" w:hAnsi="Times New Roman" w:cs="Times New Roman"/>
          <w:sz w:val="24"/>
          <w:szCs w:val="24"/>
        </w:rPr>
        <w:t xml:space="preserve">: </w:t>
      </w:r>
      <w:r w:rsidR="005F7EBF">
        <w:rPr>
          <w:rFonts w:ascii="Times New Roman" w:hAnsi="Times New Roman" w:cs="Times New Roman"/>
          <w:sz w:val="24"/>
          <w:szCs w:val="24"/>
        </w:rPr>
        <w:t>according to one prominent member</w:t>
      </w:r>
      <w:r w:rsidRPr="002E4550">
        <w:rPr>
          <w:rFonts w:ascii="Times New Roman" w:hAnsi="Times New Roman" w:cs="Times New Roman"/>
          <w:sz w:val="24"/>
          <w:szCs w:val="24"/>
        </w:rPr>
        <w:t xml:space="preserve">: ‘We, Dominion Home Rulers, exist [in London] only because people are afraid of Sinn Féin. No one here </w:t>
      </w:r>
      <w:r w:rsidRPr="002E4550">
        <w:rPr>
          <w:rFonts w:ascii="Times New Roman" w:hAnsi="Times New Roman" w:cs="Times New Roman"/>
          <w:i/>
          <w:sz w:val="24"/>
          <w:szCs w:val="24"/>
        </w:rPr>
        <w:t>wants</w:t>
      </w:r>
      <w:r w:rsidRPr="002E4550">
        <w:rPr>
          <w:rFonts w:ascii="Times New Roman" w:hAnsi="Times New Roman" w:cs="Times New Roman"/>
          <w:sz w:val="24"/>
          <w:szCs w:val="24"/>
        </w:rPr>
        <w:t xml:space="preserve"> to have [Dominion home rule]. It is merely the lesser of two evils’.</w:t>
      </w:r>
      <w:r w:rsidRPr="00A40DD6">
        <w:rPr>
          <w:rFonts w:eastAsia="Calibri"/>
          <w:vertAlign w:val="superscript"/>
        </w:rPr>
        <w:footnoteReference w:id="99"/>
      </w:r>
      <w:r w:rsidRPr="002E4550">
        <w:rPr>
          <w:rFonts w:ascii="Times New Roman" w:hAnsi="Times New Roman" w:cs="Times New Roman"/>
          <w:sz w:val="24"/>
          <w:szCs w:val="24"/>
        </w:rPr>
        <w:t xml:space="preserve"> Monteagle chaired the branch, whose most active members </w:t>
      </w:r>
      <w:r>
        <w:rPr>
          <w:rFonts w:ascii="Times New Roman" w:hAnsi="Times New Roman" w:cs="Times New Roman"/>
          <w:sz w:val="24"/>
          <w:szCs w:val="24"/>
        </w:rPr>
        <w:t xml:space="preserve">alongside Waller </w:t>
      </w:r>
      <w:r w:rsidRPr="002E4550">
        <w:rPr>
          <w:rFonts w:ascii="Times New Roman" w:hAnsi="Times New Roman" w:cs="Times New Roman"/>
          <w:sz w:val="24"/>
          <w:szCs w:val="24"/>
        </w:rPr>
        <w:t xml:space="preserve">included George </w:t>
      </w:r>
      <w:proofErr w:type="spellStart"/>
      <w:r w:rsidRPr="002E4550">
        <w:rPr>
          <w:rFonts w:ascii="Times New Roman" w:hAnsi="Times New Roman" w:cs="Times New Roman"/>
          <w:sz w:val="24"/>
          <w:szCs w:val="24"/>
        </w:rPr>
        <w:t>Fitzhardinge</w:t>
      </w:r>
      <w:proofErr w:type="spellEnd"/>
      <w:r w:rsidRPr="002E4550">
        <w:rPr>
          <w:rFonts w:ascii="Times New Roman" w:hAnsi="Times New Roman" w:cs="Times New Roman"/>
          <w:sz w:val="24"/>
          <w:szCs w:val="24"/>
        </w:rPr>
        <w:t xml:space="preserve"> Berkeley,</w:t>
      </w:r>
      <w:r>
        <w:rPr>
          <w:rFonts w:ascii="Times New Roman" w:hAnsi="Times New Roman" w:cs="Times New Roman"/>
          <w:sz w:val="24"/>
          <w:szCs w:val="24"/>
        </w:rPr>
        <w:t xml:space="preserve"> Dame Una Pope-Hennessy</w:t>
      </w:r>
      <w:r w:rsidR="00C240A0">
        <w:rPr>
          <w:rFonts w:ascii="Times New Roman" w:hAnsi="Times New Roman" w:cs="Times New Roman"/>
          <w:sz w:val="24"/>
          <w:szCs w:val="24"/>
        </w:rPr>
        <w:t xml:space="preserve"> </w:t>
      </w:r>
      <w:r w:rsidRPr="002E4550">
        <w:rPr>
          <w:rFonts w:ascii="Times New Roman" w:hAnsi="Times New Roman" w:cs="Times New Roman"/>
          <w:sz w:val="24"/>
          <w:szCs w:val="24"/>
        </w:rPr>
        <w:t>and Lord Henry Cavendish</w:t>
      </w:r>
      <w:r>
        <w:rPr>
          <w:rFonts w:ascii="Times New Roman" w:hAnsi="Times New Roman" w:cs="Times New Roman"/>
          <w:sz w:val="24"/>
          <w:szCs w:val="24"/>
        </w:rPr>
        <w:t>-</w:t>
      </w:r>
      <w:r w:rsidRPr="002E4550">
        <w:rPr>
          <w:rFonts w:ascii="Times New Roman" w:hAnsi="Times New Roman" w:cs="Times New Roman"/>
          <w:sz w:val="24"/>
          <w:szCs w:val="24"/>
        </w:rPr>
        <w:t>Benti</w:t>
      </w:r>
      <w:r>
        <w:rPr>
          <w:rFonts w:ascii="Times New Roman" w:hAnsi="Times New Roman" w:cs="Times New Roman"/>
          <w:sz w:val="24"/>
          <w:szCs w:val="24"/>
        </w:rPr>
        <w:t>n</w:t>
      </w:r>
      <w:r w:rsidRPr="002E4550">
        <w:rPr>
          <w:rFonts w:ascii="Times New Roman" w:hAnsi="Times New Roman" w:cs="Times New Roman"/>
          <w:sz w:val="24"/>
          <w:szCs w:val="24"/>
        </w:rPr>
        <w:t>ck.</w:t>
      </w:r>
      <w:r w:rsidRPr="00A40DD6">
        <w:rPr>
          <w:rFonts w:eastAsia="Calibri"/>
          <w:vertAlign w:val="superscript"/>
        </w:rPr>
        <w:footnoteReference w:id="100"/>
      </w:r>
      <w:r w:rsidRPr="002E4550">
        <w:rPr>
          <w:rFonts w:ascii="Times New Roman" w:hAnsi="Times New Roman" w:cs="Times New Roman"/>
          <w:sz w:val="24"/>
          <w:szCs w:val="24"/>
        </w:rPr>
        <w:t xml:space="preserve"> </w:t>
      </w:r>
      <w:r>
        <w:rPr>
          <w:rFonts w:ascii="Times New Roman" w:hAnsi="Times New Roman" w:cs="Times New Roman"/>
          <w:sz w:val="24"/>
          <w:szCs w:val="24"/>
        </w:rPr>
        <w:t>Its activities</w:t>
      </w:r>
      <w:r w:rsidRPr="002E4550">
        <w:rPr>
          <w:rFonts w:ascii="Times New Roman" w:hAnsi="Times New Roman" w:cs="Times New Roman"/>
          <w:sz w:val="24"/>
          <w:szCs w:val="24"/>
        </w:rPr>
        <w:t xml:space="preserve"> w</w:t>
      </w:r>
      <w:r>
        <w:rPr>
          <w:rFonts w:ascii="Times New Roman" w:hAnsi="Times New Roman" w:cs="Times New Roman"/>
          <w:sz w:val="24"/>
          <w:szCs w:val="24"/>
        </w:rPr>
        <w:t>ere</w:t>
      </w:r>
      <w:r w:rsidRPr="002E4550">
        <w:rPr>
          <w:rFonts w:ascii="Times New Roman" w:hAnsi="Times New Roman" w:cs="Times New Roman"/>
          <w:sz w:val="24"/>
          <w:szCs w:val="24"/>
        </w:rPr>
        <w:t xml:space="preserve"> supported by various women’s organisations across England and Wales, as well as some Nonconformists, with the Quakers </w:t>
      </w:r>
      <w:r>
        <w:rPr>
          <w:rFonts w:ascii="Times New Roman" w:hAnsi="Times New Roman" w:cs="Times New Roman"/>
          <w:sz w:val="24"/>
          <w:szCs w:val="24"/>
        </w:rPr>
        <w:t xml:space="preserve">proving </w:t>
      </w:r>
      <w:r w:rsidRPr="002E4550">
        <w:rPr>
          <w:rFonts w:ascii="Times New Roman" w:hAnsi="Times New Roman" w:cs="Times New Roman"/>
          <w:sz w:val="24"/>
          <w:szCs w:val="24"/>
        </w:rPr>
        <w:t>most helpful.</w:t>
      </w:r>
      <w:r w:rsidRPr="00A40DD6">
        <w:rPr>
          <w:rFonts w:eastAsia="Calibri"/>
          <w:vertAlign w:val="superscript"/>
        </w:rPr>
        <w:footnoteReference w:id="101"/>
      </w:r>
      <w:r w:rsidRPr="002E4550">
        <w:rPr>
          <w:rFonts w:ascii="Times New Roman" w:hAnsi="Times New Roman" w:cs="Times New Roman"/>
          <w:sz w:val="24"/>
          <w:szCs w:val="24"/>
        </w:rPr>
        <w:t xml:space="preserve"> </w:t>
      </w:r>
      <w:r>
        <w:rPr>
          <w:rFonts w:ascii="Times New Roman" w:hAnsi="Times New Roman" w:cs="Times New Roman"/>
          <w:sz w:val="24"/>
          <w:szCs w:val="24"/>
        </w:rPr>
        <w:t xml:space="preserve">Members </w:t>
      </w:r>
      <w:r w:rsidRPr="002E4550">
        <w:rPr>
          <w:rFonts w:ascii="Times New Roman" w:hAnsi="Times New Roman" w:cs="Times New Roman"/>
          <w:sz w:val="24"/>
          <w:szCs w:val="24"/>
        </w:rPr>
        <w:t>criticise</w:t>
      </w:r>
      <w:r>
        <w:rPr>
          <w:rFonts w:ascii="Times New Roman" w:hAnsi="Times New Roman" w:cs="Times New Roman"/>
          <w:sz w:val="24"/>
          <w:szCs w:val="24"/>
        </w:rPr>
        <w:t>d</w:t>
      </w:r>
      <w:r w:rsidRPr="002E4550">
        <w:rPr>
          <w:rFonts w:ascii="Times New Roman" w:hAnsi="Times New Roman" w:cs="Times New Roman"/>
          <w:sz w:val="24"/>
          <w:szCs w:val="24"/>
        </w:rPr>
        <w:t xml:space="preserve"> British misrule</w:t>
      </w:r>
      <w:r>
        <w:rPr>
          <w:rFonts w:ascii="Times New Roman" w:hAnsi="Times New Roman" w:cs="Times New Roman"/>
          <w:sz w:val="24"/>
          <w:szCs w:val="24"/>
        </w:rPr>
        <w:t xml:space="preserve">, especially reprisals, </w:t>
      </w:r>
      <w:r w:rsidRPr="002E4550">
        <w:rPr>
          <w:rFonts w:ascii="Times New Roman" w:hAnsi="Times New Roman" w:cs="Times New Roman"/>
          <w:sz w:val="24"/>
          <w:szCs w:val="24"/>
        </w:rPr>
        <w:t>and publicised the L</w:t>
      </w:r>
      <w:r>
        <w:rPr>
          <w:rFonts w:ascii="Times New Roman" w:hAnsi="Times New Roman" w:cs="Times New Roman"/>
          <w:sz w:val="24"/>
          <w:szCs w:val="24"/>
        </w:rPr>
        <w:t>eague</w:t>
      </w:r>
      <w:r w:rsidRPr="002E4550">
        <w:rPr>
          <w:rFonts w:ascii="Times New Roman" w:hAnsi="Times New Roman" w:cs="Times New Roman"/>
          <w:sz w:val="24"/>
          <w:szCs w:val="24"/>
        </w:rPr>
        <w:t xml:space="preserve">’s manifesto. </w:t>
      </w:r>
      <w:r>
        <w:rPr>
          <w:rFonts w:ascii="Times New Roman" w:hAnsi="Times New Roman" w:cs="Times New Roman"/>
          <w:sz w:val="24"/>
          <w:szCs w:val="24"/>
        </w:rPr>
        <w:t xml:space="preserve">They were closely associated with the London-based Peace with Ireland Council, many of whose members were </w:t>
      </w:r>
      <w:r>
        <w:rPr>
          <w:rFonts w:ascii="Times New Roman" w:hAnsi="Times New Roman" w:cs="Times New Roman"/>
          <w:sz w:val="24"/>
          <w:szCs w:val="24"/>
        </w:rPr>
        <w:lastRenderedPageBreak/>
        <w:t>also in the IDL, and whose  prominent supporters included Oswald Mosley, G. K. Chesterton and Hilaire Belloc.</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The Council, which had a couple of hundred members, held nearly 200 meetings throughout England.</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t>
      </w:r>
      <w:r w:rsidRPr="00BA6DBF">
        <w:rPr>
          <w:rFonts w:ascii="Times New Roman" w:hAnsi="Times New Roman" w:cs="Times New Roman"/>
          <w:sz w:val="24"/>
          <w:szCs w:val="24"/>
        </w:rPr>
        <w:t>However,</w:t>
      </w:r>
      <w:r>
        <w:rPr>
          <w:rFonts w:ascii="Times New Roman" w:hAnsi="Times New Roman" w:cs="Times New Roman"/>
          <w:sz w:val="24"/>
          <w:szCs w:val="24"/>
        </w:rPr>
        <w:t xml:space="preserve"> o</w:t>
      </w:r>
      <w:r w:rsidRPr="002334A0">
        <w:rPr>
          <w:rFonts w:ascii="Times New Roman" w:hAnsi="Times New Roman" w:cs="Times New Roman"/>
          <w:sz w:val="24"/>
          <w:szCs w:val="24"/>
        </w:rPr>
        <w:t xml:space="preserve">fficial indifference and a mostly-hostile press limited </w:t>
      </w:r>
      <w:r>
        <w:rPr>
          <w:rFonts w:ascii="Times New Roman" w:hAnsi="Times New Roman" w:cs="Times New Roman"/>
          <w:sz w:val="24"/>
          <w:szCs w:val="24"/>
        </w:rPr>
        <w:t>both</w:t>
      </w:r>
      <w:r w:rsidRPr="002334A0">
        <w:rPr>
          <w:rFonts w:ascii="Times New Roman" w:hAnsi="Times New Roman" w:cs="Times New Roman"/>
          <w:sz w:val="24"/>
          <w:szCs w:val="24"/>
        </w:rPr>
        <w:t xml:space="preserve"> groups</w:t>
      </w:r>
      <w:r>
        <w:rPr>
          <w:rFonts w:ascii="Times New Roman" w:hAnsi="Times New Roman" w:cs="Times New Roman"/>
          <w:sz w:val="24"/>
          <w:szCs w:val="24"/>
        </w:rPr>
        <w:t>’</w:t>
      </w:r>
      <w:r w:rsidRPr="002334A0">
        <w:rPr>
          <w:rFonts w:ascii="Times New Roman" w:hAnsi="Times New Roman" w:cs="Times New Roman"/>
          <w:sz w:val="24"/>
          <w:szCs w:val="24"/>
        </w:rPr>
        <w:t xml:space="preserve"> impact. </w:t>
      </w:r>
    </w:p>
    <w:p w14:paraId="487D627D" w14:textId="48991B27" w:rsidR="001B747D" w:rsidRDefault="001B747D" w:rsidP="007232A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an effort to overturn the government’s Bill and substitute an all-Ireland dominion solution, Plunkett sought to bring together Liberal, Labour, and Independent Tory MPs.</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When this strategy failed, he decided to focus his efforts closer to home: ‘</w:t>
      </w:r>
      <w:r w:rsidRPr="00612DCF">
        <w:rPr>
          <w:rFonts w:ascii="Times New Roman" w:hAnsi="Times New Roman" w:cs="Times New Roman"/>
          <w:sz w:val="24"/>
          <w:szCs w:val="24"/>
        </w:rPr>
        <w:t>I must take a rest &amp; go to</w:t>
      </w:r>
      <w:r>
        <w:rPr>
          <w:rFonts w:ascii="Times New Roman" w:hAnsi="Times New Roman" w:cs="Times New Roman"/>
          <w:sz w:val="24"/>
          <w:szCs w:val="24"/>
        </w:rPr>
        <w:t xml:space="preserve"> </w:t>
      </w:r>
      <w:r w:rsidRPr="00612DCF">
        <w:rPr>
          <w:rFonts w:ascii="Times New Roman" w:hAnsi="Times New Roman" w:cs="Times New Roman"/>
          <w:sz w:val="24"/>
          <w:szCs w:val="24"/>
        </w:rPr>
        <w:t xml:space="preserve">work </w:t>
      </w:r>
      <w:r w:rsidRPr="00612DCF">
        <w:rPr>
          <w:rFonts w:ascii="Times New Roman" w:hAnsi="Times New Roman" w:cs="Times New Roman"/>
          <w:i/>
          <w:sz w:val="24"/>
          <w:szCs w:val="24"/>
        </w:rPr>
        <w:t>in Ireland</w:t>
      </w:r>
      <w:r>
        <w:rPr>
          <w:rFonts w:ascii="Times New Roman" w:hAnsi="Times New Roman" w:cs="Times New Roman"/>
          <w:sz w:val="24"/>
          <w:szCs w:val="24"/>
        </w:rPr>
        <w:t>’</w:t>
      </w:r>
      <w:r w:rsidRPr="00612DCF">
        <w:rPr>
          <w:rFonts w:ascii="Times New Roman" w:hAnsi="Times New Roman" w:cs="Times New Roman"/>
          <w:sz w:val="24"/>
          <w:szCs w:val="24"/>
        </w:rPr>
        <w:t>.</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Plunkett’s leadership was partially to blame for the lack of success in this period: his health remained poor, the IAOS still took up much of his time, and two visits to the U.S. were of less benefit to the party than he imagined. Furthermore, the organisation’s finances were consistently in a dismal state.</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But a real problem was Plunkett’s inability to control his colleagues. With few ‘grassroot’ members, and many </w:t>
      </w:r>
      <w:r w:rsidR="00A50B81">
        <w:rPr>
          <w:rFonts w:ascii="Times New Roman" w:hAnsi="Times New Roman" w:cs="Times New Roman"/>
          <w:sz w:val="24"/>
          <w:szCs w:val="24"/>
        </w:rPr>
        <w:t>big</w:t>
      </w:r>
      <w:r>
        <w:rPr>
          <w:rFonts w:ascii="Times New Roman" w:hAnsi="Times New Roman" w:cs="Times New Roman"/>
          <w:sz w:val="24"/>
          <w:szCs w:val="24"/>
        </w:rPr>
        <w:t xml:space="preserve"> personalities in the movement, he had difficulties maintaining consensus on partition. These divisions publicly re-emerged when Monteagle brought his Dominion of Ireland Bill before the Lords. The London branch was responsible for drafting the bill, with </w:t>
      </w:r>
      <w:proofErr w:type="spellStart"/>
      <w:r>
        <w:rPr>
          <w:rFonts w:ascii="Times New Roman" w:hAnsi="Times New Roman" w:cs="Times New Roman"/>
          <w:sz w:val="24"/>
          <w:szCs w:val="24"/>
        </w:rPr>
        <w:t>Fitzharding</w:t>
      </w:r>
      <w:r w:rsidR="00A50B81">
        <w:rPr>
          <w:rFonts w:ascii="Times New Roman" w:hAnsi="Times New Roman" w:cs="Times New Roman"/>
          <w:sz w:val="24"/>
          <w:szCs w:val="24"/>
        </w:rPr>
        <w:t>e</w:t>
      </w:r>
      <w:proofErr w:type="spellEnd"/>
      <w:r>
        <w:rPr>
          <w:rFonts w:ascii="Times New Roman" w:hAnsi="Times New Roman" w:cs="Times New Roman"/>
          <w:sz w:val="24"/>
          <w:szCs w:val="24"/>
        </w:rPr>
        <w:t xml:space="preserve"> Berkeley stating that, during this period, ‘Poor Lord Monteagle was almost worked off his feet’.</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The bill proposed Dominion status with full fiscal powers, and defence reserved to Westminster. The six north-eastern counties could be excluded, via plebiscite.</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The acceptance of partition angered Plunkett, who still seems to have hoped for an all-Ireland constituent assembly at which the Ulster unionists would be induced to come in. Plunkett ‘Sent Harrison to London to try and get Monteagle not to play the devil with the Irish Dominion League by introducing a Bill with Two Nation theory as its basis’.</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The bill was thrown out after about five hours when Birkenhead, the lord chancellor, made clear that the government was opposed.</w:t>
      </w:r>
      <w:r>
        <w:rPr>
          <w:rStyle w:val="FootnoteReference"/>
          <w:rFonts w:ascii="Times New Roman" w:hAnsi="Times New Roman" w:cs="Times New Roman"/>
          <w:sz w:val="24"/>
          <w:szCs w:val="24"/>
        </w:rPr>
        <w:footnoteReference w:id="110"/>
      </w:r>
    </w:p>
    <w:p w14:paraId="0D38303A" w14:textId="77777777" w:rsidR="001B747D" w:rsidRPr="00EE1B20" w:rsidRDefault="001B747D" w:rsidP="007232AE">
      <w:pPr>
        <w:spacing w:after="0" w:line="360" w:lineRule="auto"/>
        <w:ind w:firstLine="360"/>
        <w:jc w:val="both"/>
        <w:rPr>
          <w:rFonts w:ascii="Times New Roman" w:hAnsi="Times New Roman" w:cs="Times New Roman"/>
          <w:b/>
          <w:sz w:val="24"/>
          <w:szCs w:val="24"/>
        </w:rPr>
      </w:pPr>
      <w:r>
        <w:rPr>
          <w:rFonts w:ascii="Times New Roman" w:hAnsi="Times New Roman" w:cs="Times New Roman"/>
          <w:sz w:val="24"/>
          <w:szCs w:val="24"/>
        </w:rPr>
        <w:t>Following this, Sir Stanley Harrington, a Cork businessman and member of the IDL, proposed a direct approach to the prime minister.</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In early August Harrington led a delegation </w:t>
      </w:r>
      <w:r>
        <w:rPr>
          <w:rFonts w:ascii="Times New Roman" w:hAnsi="Times New Roman" w:cs="Times New Roman"/>
          <w:sz w:val="24"/>
          <w:szCs w:val="24"/>
        </w:rPr>
        <w:lastRenderedPageBreak/>
        <w:t>of prominent figures, many from business, to Lloyd George, in which they pressed for the withdrawal of the Restoration of Order in Ireland Bill and the immediate grant of dominion home rule.</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Lloyd George, who met the delegation alongside senior members of the cabinet, offered some encouragement, and asked to hear from a more representative body of moderates.</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It seemed like an opportune time for a peace initiative. </w:t>
      </w:r>
      <w:r w:rsidRPr="00EE1B20">
        <w:rPr>
          <w:rFonts w:ascii="Times New Roman" w:hAnsi="Times New Roman" w:cs="Times New Roman"/>
          <w:sz w:val="24"/>
          <w:szCs w:val="24"/>
        </w:rPr>
        <w:t>In July, Dublin Castle officials urged the prime minister to offer dominion status</w:t>
      </w:r>
      <w:r>
        <w:rPr>
          <w:rFonts w:ascii="Times New Roman" w:hAnsi="Times New Roman" w:cs="Times New Roman"/>
          <w:sz w:val="24"/>
          <w:szCs w:val="24"/>
        </w:rPr>
        <w:t>: though</w:t>
      </w:r>
      <w:r w:rsidRPr="00EE1B20">
        <w:rPr>
          <w:rFonts w:ascii="Times New Roman" w:hAnsi="Times New Roman" w:cs="Times New Roman"/>
          <w:sz w:val="24"/>
          <w:szCs w:val="24"/>
        </w:rPr>
        <w:t xml:space="preserve"> </w:t>
      </w:r>
      <w:r>
        <w:rPr>
          <w:rFonts w:ascii="Times New Roman" w:hAnsi="Times New Roman" w:cs="Times New Roman"/>
          <w:sz w:val="24"/>
          <w:szCs w:val="24"/>
        </w:rPr>
        <w:t>Lloyd George did not reject the idea, it was vetoed by Conservative colleagues</w:t>
      </w:r>
      <w:r w:rsidRPr="005B7544">
        <w:rPr>
          <w:rFonts w:ascii="Times New Roman" w:hAnsi="Times New Roman" w:cs="Times New Roman"/>
          <w:sz w:val="24"/>
          <w:szCs w:val="24"/>
        </w:rPr>
        <w:t>.</w:t>
      </w:r>
      <w:r w:rsidRPr="005B7544">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During this period prominent Catholic clergy as well as influential newspapers — including the previously unionist </w:t>
      </w:r>
      <w:r>
        <w:rPr>
          <w:rFonts w:ascii="Times New Roman" w:hAnsi="Times New Roman" w:cs="Times New Roman"/>
          <w:i/>
          <w:sz w:val="24"/>
          <w:szCs w:val="24"/>
        </w:rPr>
        <w:t xml:space="preserve">Irish Times </w:t>
      </w:r>
      <w:r>
        <w:rPr>
          <w:rFonts w:ascii="Times New Roman" w:hAnsi="Times New Roman" w:cs="Times New Roman"/>
          <w:sz w:val="24"/>
          <w:szCs w:val="24"/>
        </w:rPr>
        <w:t>— had declared for dominion home rule.</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In mid-August, Lloyd George publicly invited Sinn Féin to enter talks so long as the six north-eastern counties were treated separately, there was no republic, and the security of the United Kingdom was guaranteed. In response, the Irish Peace Conference assembled in Dublin at the end of the month.</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This was an assembly of moderates, which was not held under IDL auspices, although Henry Harrison and the IDL office organised it. Sir Nugent Everard was chairman, and speakers included Harrington,  Stephen Gwynn and </w:t>
      </w:r>
      <w:r w:rsidRPr="00762953">
        <w:rPr>
          <w:rFonts w:ascii="Times New Roman" w:hAnsi="Times New Roman" w:cs="Times New Roman"/>
          <w:sz w:val="24"/>
          <w:szCs w:val="24"/>
        </w:rPr>
        <w:t>G</w:t>
      </w:r>
      <w:r>
        <w:rPr>
          <w:rFonts w:ascii="Times New Roman" w:hAnsi="Times New Roman" w:cs="Times New Roman"/>
          <w:sz w:val="24"/>
          <w:szCs w:val="24"/>
        </w:rPr>
        <w:t xml:space="preserve">eorge </w:t>
      </w:r>
      <w:r w:rsidRPr="00762953">
        <w:rPr>
          <w:rFonts w:ascii="Times New Roman" w:hAnsi="Times New Roman" w:cs="Times New Roman"/>
          <w:sz w:val="24"/>
          <w:szCs w:val="24"/>
        </w:rPr>
        <w:t>B. O’Connor</w:t>
      </w:r>
      <w:r>
        <w:rPr>
          <w:rFonts w:ascii="Times New Roman" w:hAnsi="Times New Roman" w:cs="Times New Roman"/>
          <w:sz w:val="24"/>
          <w:szCs w:val="24"/>
        </w:rPr>
        <w:t xml:space="preserve">, one of the few recent defectors from unionism. Catholic gentry and aristocracy were especially prominent among the speakers, including Lord </w:t>
      </w:r>
      <w:proofErr w:type="spellStart"/>
      <w:r>
        <w:rPr>
          <w:rFonts w:ascii="Times New Roman" w:hAnsi="Times New Roman" w:cs="Times New Roman"/>
          <w:sz w:val="24"/>
          <w:szCs w:val="24"/>
        </w:rPr>
        <w:t>ffrench</w:t>
      </w:r>
      <w:proofErr w:type="spellEnd"/>
      <w:r>
        <w:rPr>
          <w:rFonts w:ascii="Times New Roman" w:hAnsi="Times New Roman" w:cs="Times New Roman"/>
          <w:sz w:val="24"/>
          <w:szCs w:val="24"/>
        </w:rPr>
        <w:t xml:space="preserve">, Sir Thomas </w:t>
      </w:r>
      <w:proofErr w:type="spellStart"/>
      <w:r>
        <w:rPr>
          <w:rFonts w:ascii="Times New Roman" w:hAnsi="Times New Roman" w:cs="Times New Roman"/>
          <w:sz w:val="24"/>
          <w:szCs w:val="24"/>
        </w:rPr>
        <w:t>Esmonde</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O’Conor</w:t>
      </w:r>
      <w:proofErr w:type="spellEnd"/>
      <w:r>
        <w:rPr>
          <w:rFonts w:ascii="Times New Roman" w:hAnsi="Times New Roman" w:cs="Times New Roman"/>
          <w:sz w:val="24"/>
          <w:szCs w:val="24"/>
        </w:rPr>
        <w:t xml:space="preserve"> Don. The </w:t>
      </w:r>
      <w:r w:rsidRPr="009F5E4E">
        <w:rPr>
          <w:rFonts w:ascii="Times New Roman" w:hAnsi="Times New Roman" w:cs="Times New Roman"/>
          <w:sz w:val="24"/>
          <w:szCs w:val="24"/>
        </w:rPr>
        <w:t>conference passed</w:t>
      </w:r>
      <w:r w:rsidRPr="00871EF7">
        <w:rPr>
          <w:rFonts w:ascii="Times New Roman" w:hAnsi="Times New Roman" w:cs="Times New Roman"/>
          <w:b/>
          <w:sz w:val="24"/>
          <w:szCs w:val="24"/>
        </w:rPr>
        <w:t xml:space="preserve"> </w:t>
      </w:r>
      <w:r>
        <w:rPr>
          <w:rFonts w:ascii="Times New Roman" w:hAnsi="Times New Roman" w:cs="Times New Roman"/>
          <w:sz w:val="24"/>
          <w:szCs w:val="24"/>
        </w:rPr>
        <w:t xml:space="preserve">resolutions stating that British government policy was inevitably leading to civil war, and that a full measure of self-government within the Empire should be implemented. A fear of further deterioration leading to open war informed a resolution calling for the release of Terence MacSwiney, the lord mayor of Cork, who was then on hunger strike in Brixton Prison. Although the speakers, and large majorities in favour of the resolutions, gave the appearance of consensus, divisions over Ulster were apparent. The earl of Shaftesbury, an Ulster landowner, argued that partition would need to take place. Plunkett, in response, repeated his belief that the government should set up a constitutional convention, at which Ulster delegates would negotiate entry to a united Ireland. </w:t>
      </w:r>
    </w:p>
    <w:p w14:paraId="3F9EDA3E" w14:textId="4CF52528" w:rsidR="001B747D" w:rsidRDefault="001B747D" w:rsidP="007232A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Delegates frequently made the dubious claim that the conference was ‘representative’.</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It was mostly representative of the well-to-do who supported home rule, either through </w:t>
      </w:r>
      <w:r>
        <w:rPr>
          <w:rFonts w:ascii="Times New Roman" w:hAnsi="Times New Roman" w:cs="Times New Roman"/>
          <w:sz w:val="24"/>
          <w:szCs w:val="24"/>
        </w:rPr>
        <w:lastRenderedPageBreak/>
        <w:t xml:space="preserve">conviction, or because they were fearful of </w:t>
      </w:r>
      <w:r w:rsidR="00A50B81">
        <w:rPr>
          <w:rFonts w:ascii="Times New Roman" w:hAnsi="Times New Roman" w:cs="Times New Roman"/>
          <w:sz w:val="24"/>
          <w:szCs w:val="24"/>
        </w:rPr>
        <w:t>advanced nationalism</w:t>
      </w:r>
      <w:r>
        <w:rPr>
          <w:rFonts w:ascii="Times New Roman" w:hAnsi="Times New Roman" w:cs="Times New Roman"/>
          <w:sz w:val="24"/>
          <w:szCs w:val="24"/>
        </w:rPr>
        <w:t>. The names of 312 attendees have been preserved, and basic biographical information for just over half of them can be traced.</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Analysis of 163 attendees’ occupations suggests that the conference attracted a similar profile to the IDL: the landowning class, business, and the professions (though of course these are also the groups who can most easily be found in available sources </w:t>
      </w:r>
      <w:r w:rsidR="008578C1">
        <w:rPr>
          <w:rFonts w:ascii="Times New Roman" w:hAnsi="Times New Roman" w:cs="Times New Roman"/>
          <w:sz w:val="24"/>
          <w:szCs w:val="24"/>
        </w:rPr>
        <w:t>such as the census)</w:t>
      </w:r>
      <w:r>
        <w:rPr>
          <w:rFonts w:ascii="Times New Roman" w:hAnsi="Times New Roman" w:cs="Times New Roman"/>
          <w:sz w:val="24"/>
          <w:szCs w:val="24"/>
        </w:rPr>
        <w:t>. The gentry and aristocracy were well-represented, with twenty six landowners (including seven peers and four baronets), and there were twenty seven military officers. The single largest category, about 20 per cent of attendees, were engaged in business, which may have been a sign that the breakdown in law and order was causing concern for this group.</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Protestants (mostly Anglicans) dominated among the 168 attendees whose religious denominations have been traced, with almost 59 per cent of attendees, to 38 per cent Catholics.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The forty women listed as attending (about 13 per cent of the total) was a slight increase by comparison with the IDL. It is noteworthy that only thirty one attendees, or about 10 per cent of members, can be identified as having joined the IDL, suggesting that moderate politics was then expanding. However, as we will see, the prime minister did not believe the movement had </w:t>
      </w:r>
      <w:r w:rsidRPr="00BA7F64">
        <w:rPr>
          <w:rFonts w:ascii="Times New Roman" w:hAnsi="Times New Roman" w:cs="Times New Roman"/>
          <w:sz w:val="24"/>
          <w:szCs w:val="24"/>
        </w:rPr>
        <w:t>sufficient momentum to act</w:t>
      </w:r>
      <w:r>
        <w:rPr>
          <w:rFonts w:ascii="Times New Roman" w:hAnsi="Times New Roman" w:cs="Times New Roman"/>
          <w:sz w:val="24"/>
          <w:szCs w:val="24"/>
        </w:rPr>
        <w:t xml:space="preserve"> as a protagonist in negotiations. </w:t>
      </w:r>
    </w:p>
    <w:p w14:paraId="4C2746B4" w14:textId="77777777" w:rsidR="001B747D" w:rsidRDefault="001B747D" w:rsidP="007232AE">
      <w:pPr>
        <w:spacing w:after="0"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supporters were conspicuously absent. Indeed, only three conference attendees had held Irish Unionist Alliance office in 1912‒13.</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The complete refusal of the APL to work with the IDL surprised some, considering the former’s recent statements. Less than two weeks prior to the peace conference, the APL unanimously resolved that while their preference remained for an unreformed union, as the government had ‘lost the confidence of all classes’, the Government of Ireland Bill should be scrapped and Ireland should be granted self-government within the Empire, with control of taxation.</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It was, in effect, dominion home rule. By now moderates were simply bewildered by the APL’s refusal to collaborate; Monteagle, in a letter to Shaftesbury, stated, ‘Surely the Peace Conference platform is wide enough to include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and his friends?’. He probably had Plunkett in mind when he suggested the divisions between the IDL and the APL was ‘largely a matter of names or </w:t>
      </w:r>
      <w:r>
        <w:rPr>
          <w:rFonts w:ascii="Times New Roman" w:hAnsi="Times New Roman" w:cs="Times New Roman"/>
          <w:sz w:val="24"/>
          <w:szCs w:val="24"/>
        </w:rPr>
        <w:lastRenderedPageBreak/>
        <w:t>personalities’.</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Plunkett, for his part, was well aware of how much the Irish aristocracy hated him.</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w:t>
      </w:r>
    </w:p>
    <w:p w14:paraId="19D03A7D" w14:textId="77777777" w:rsidR="001B747D" w:rsidRDefault="001B747D" w:rsidP="007232A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conference appointed a standing committee, which included Plunkett, Gwynn, and Harrison, to make representations to the government and meet the prime minister. Dublin Castle officials were unimpressed when they met; Mark Sturgis wrote that ‘they said little on any subject except the Hunger Strikers’ and claimed ‘if the Hunger Strikers are let out the Golden Age will begin. If any of them die it is damnation for ever’.</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Indeed, if the moderates and the government appeared to be coming together in August,</w:t>
      </w:r>
      <w:r>
        <w:rPr>
          <w:rFonts w:ascii="Times New Roman" w:hAnsi="Times New Roman" w:cs="Times New Roman"/>
          <w:b/>
          <w:sz w:val="24"/>
          <w:szCs w:val="24"/>
        </w:rPr>
        <w:t xml:space="preserve"> </w:t>
      </w:r>
      <w:r>
        <w:rPr>
          <w:rFonts w:ascii="Times New Roman" w:hAnsi="Times New Roman" w:cs="Times New Roman"/>
          <w:sz w:val="24"/>
          <w:szCs w:val="24"/>
        </w:rPr>
        <w:t>by October their positions were seemingly irreconcilable. At a speech in Carnarvon, Lloyd George rejected dominion status as impossible and endorsed the policy of reprisals against what he called ‘the real murder gang’.</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This represented a triumph for cabinet hardliners and a disaster for moderates. Then, adding further insult, the prime minster declined to receive the peace conference deputation. Speaking in the Commons, he admitted encouraging moderate opinion to come forward, but stated ‘</w:t>
      </w:r>
      <w:r w:rsidRPr="00883F9B">
        <w:rPr>
          <w:rFonts w:ascii="Times New Roman" w:hAnsi="Times New Roman" w:cs="Times New Roman"/>
          <w:sz w:val="24"/>
          <w:szCs w:val="24"/>
        </w:rPr>
        <w:t>I do not think any advantage is to be gained by receiving them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This further blow to moderate politics met with angry responses from Plunkett, Harrison, and others. </w:t>
      </w:r>
      <w:r w:rsidRPr="00F17B60">
        <w:rPr>
          <w:rFonts w:ascii="Times New Roman" w:hAnsi="Times New Roman" w:cs="Times New Roman"/>
          <w:sz w:val="24"/>
          <w:szCs w:val="24"/>
        </w:rPr>
        <w:t xml:space="preserve">Plunkett believed </w:t>
      </w:r>
      <w:r>
        <w:rPr>
          <w:rFonts w:ascii="Times New Roman" w:hAnsi="Times New Roman" w:cs="Times New Roman"/>
          <w:sz w:val="24"/>
          <w:szCs w:val="24"/>
        </w:rPr>
        <w:t>the moderates were</w:t>
      </w:r>
      <w:r w:rsidRPr="00F17B60">
        <w:rPr>
          <w:rFonts w:ascii="Times New Roman" w:hAnsi="Times New Roman" w:cs="Times New Roman"/>
          <w:sz w:val="24"/>
          <w:szCs w:val="24"/>
        </w:rPr>
        <w:t xml:space="preserve"> dispensed with when they could not ‘deliver the goods’.</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Harrison spoke of betrayal.</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w:t>
      </w:r>
      <w:r w:rsidRPr="002E4550">
        <w:rPr>
          <w:rFonts w:ascii="Times New Roman" w:hAnsi="Times New Roman" w:cs="Times New Roman"/>
          <w:sz w:val="24"/>
          <w:szCs w:val="24"/>
        </w:rPr>
        <w:t xml:space="preserve">George </w:t>
      </w:r>
      <w:proofErr w:type="spellStart"/>
      <w:r w:rsidRPr="002E4550">
        <w:rPr>
          <w:rFonts w:ascii="Times New Roman" w:hAnsi="Times New Roman" w:cs="Times New Roman"/>
          <w:sz w:val="24"/>
          <w:szCs w:val="24"/>
        </w:rPr>
        <w:t>Fitzhardinge</w:t>
      </w:r>
      <w:proofErr w:type="spellEnd"/>
      <w:r w:rsidRPr="002E4550">
        <w:rPr>
          <w:rFonts w:ascii="Times New Roman" w:hAnsi="Times New Roman" w:cs="Times New Roman"/>
          <w:sz w:val="24"/>
          <w:szCs w:val="24"/>
        </w:rPr>
        <w:t xml:space="preserve"> Berkeley</w:t>
      </w:r>
      <w:r>
        <w:rPr>
          <w:rFonts w:ascii="Times New Roman" w:hAnsi="Times New Roman" w:cs="Times New Roman"/>
          <w:sz w:val="24"/>
          <w:szCs w:val="24"/>
        </w:rPr>
        <w:t xml:space="preserve"> may have been correct in claiming that Lloyd George sought to build up the moderate movement as a way of softening Sinn Féin before negotiations.</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Ultimately, the passing of the Restoration of Order in Ireland Act, the death of Terence MacSwiney, and the endorsement of reprisals ensured that even if the moderates had been more united, by the autumn of 1920 there was little to discuss with the government. </w:t>
      </w:r>
    </w:p>
    <w:p w14:paraId="646091BE" w14:textId="77777777" w:rsidR="001B747D" w:rsidRDefault="001B747D" w:rsidP="007232A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By the end of 1920, the pattern of raids and reprisals had taken its toll on the entire country, among them supporters of the Irish Dominion League. Elizabeth, Countess of </w:t>
      </w:r>
      <w:proofErr w:type="spellStart"/>
      <w:r>
        <w:rPr>
          <w:rFonts w:ascii="Times New Roman" w:hAnsi="Times New Roman" w:cs="Times New Roman"/>
          <w:sz w:val="24"/>
          <w:szCs w:val="24"/>
        </w:rPr>
        <w:t>Fingall</w:t>
      </w:r>
      <w:proofErr w:type="spellEnd"/>
      <w:r>
        <w:rPr>
          <w:rFonts w:ascii="Times New Roman" w:hAnsi="Times New Roman" w:cs="Times New Roman"/>
          <w:sz w:val="24"/>
          <w:szCs w:val="24"/>
        </w:rPr>
        <w:t>, a close friend of Plunkett’s, recalled, ‘We poor moderates [in] those days had a bad time, walking in the middle of the road and likely to get hit by the bullets from either side’.</w:t>
      </w:r>
      <w:r>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Plunkett’s life was threatened by republicans.</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Two attempts were made on the life of A. M. Sullivan, a </w:t>
      </w:r>
      <w:r>
        <w:rPr>
          <w:rFonts w:ascii="Times New Roman" w:hAnsi="Times New Roman" w:cs="Times New Roman"/>
          <w:sz w:val="24"/>
          <w:szCs w:val="24"/>
        </w:rPr>
        <w:lastRenderedPageBreak/>
        <w:t>barrister and outspoken critic of Sinn Féin, who prosecuted Volunteers in court.</w:t>
      </w:r>
      <w:r>
        <w:rPr>
          <w:rStyle w:val="FootnoteReference"/>
          <w:rFonts w:ascii="Times New Roman" w:hAnsi="Times New Roman" w:cs="Times New Roman"/>
          <w:sz w:val="24"/>
          <w:szCs w:val="24"/>
        </w:rPr>
        <w:footnoteReference w:id="133"/>
      </w:r>
      <w:r>
        <w:rPr>
          <w:rFonts w:ascii="Times New Roman" w:hAnsi="Times New Roman" w:cs="Times New Roman"/>
          <w:sz w:val="24"/>
          <w:szCs w:val="24"/>
        </w:rPr>
        <w:t xml:space="preserve"> </w:t>
      </w:r>
      <w:r w:rsidRPr="00762953">
        <w:rPr>
          <w:rFonts w:ascii="Times New Roman" w:hAnsi="Times New Roman" w:cs="Times New Roman"/>
          <w:sz w:val="24"/>
          <w:szCs w:val="24"/>
        </w:rPr>
        <w:t>Major G</w:t>
      </w:r>
      <w:r>
        <w:rPr>
          <w:rFonts w:ascii="Times New Roman" w:hAnsi="Times New Roman" w:cs="Times New Roman"/>
          <w:sz w:val="24"/>
          <w:szCs w:val="24"/>
        </w:rPr>
        <w:t xml:space="preserve">eorge </w:t>
      </w:r>
      <w:r w:rsidRPr="00762953">
        <w:rPr>
          <w:rFonts w:ascii="Times New Roman" w:hAnsi="Times New Roman" w:cs="Times New Roman"/>
          <w:sz w:val="24"/>
          <w:szCs w:val="24"/>
        </w:rPr>
        <w:t>B. O’Connor was less lucky.</w:t>
      </w:r>
      <w:r>
        <w:rPr>
          <w:rFonts w:ascii="Times New Roman" w:hAnsi="Times New Roman" w:cs="Times New Roman"/>
          <w:sz w:val="24"/>
          <w:szCs w:val="24"/>
        </w:rPr>
        <w:t xml:space="preserve"> On 10 July 1921, the IRA, acting on the belief that he was providing information to the British authorities, took him from his house and shot him. </w:t>
      </w:r>
      <w:r w:rsidRPr="00762953">
        <w:rPr>
          <w:rFonts w:ascii="Times New Roman" w:hAnsi="Times New Roman" w:cs="Times New Roman"/>
          <w:sz w:val="24"/>
          <w:szCs w:val="24"/>
        </w:rPr>
        <w:t>A label was attached to his body bearing the words ‘Convicted Spy’.</w:t>
      </w:r>
      <w:r w:rsidRPr="00A40DD6">
        <w:rPr>
          <w:rFonts w:eastAsia="Calibri"/>
          <w:vertAlign w:val="superscript"/>
        </w:rPr>
        <w:footnoteReference w:id="134"/>
      </w:r>
      <w:r w:rsidRPr="00762953">
        <w:rPr>
          <w:rFonts w:ascii="Times New Roman" w:hAnsi="Times New Roman" w:cs="Times New Roman"/>
          <w:sz w:val="24"/>
          <w:szCs w:val="24"/>
        </w:rPr>
        <w:t xml:space="preserve"> </w:t>
      </w:r>
      <w:r>
        <w:rPr>
          <w:rFonts w:ascii="Times New Roman" w:hAnsi="Times New Roman" w:cs="Times New Roman"/>
          <w:sz w:val="24"/>
          <w:szCs w:val="24"/>
        </w:rPr>
        <w:t>George Hamilton Johnston, a County Donegal landowner and advocate of dominion home rule, was killed in his house during an IRA arms raid.</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p>
    <w:p w14:paraId="67C41909" w14:textId="77777777" w:rsidR="001B747D" w:rsidRDefault="001B747D" w:rsidP="007232AE">
      <w:pPr>
        <w:spacing w:after="0" w:line="360" w:lineRule="auto"/>
        <w:ind w:firstLine="360"/>
        <w:jc w:val="both"/>
        <w:rPr>
          <w:rFonts w:ascii="Times New Roman" w:hAnsi="Times New Roman" w:cs="Times New Roman"/>
          <w:sz w:val="24"/>
          <w:szCs w:val="24"/>
        </w:rPr>
      </w:pPr>
    </w:p>
    <w:p w14:paraId="69016780" w14:textId="77777777" w:rsidR="001B747D" w:rsidRDefault="001B747D" w:rsidP="007232AE">
      <w:pPr>
        <w:spacing w:after="0" w:line="360" w:lineRule="auto"/>
        <w:ind w:firstLine="360"/>
        <w:jc w:val="center"/>
        <w:rPr>
          <w:rFonts w:ascii="Times New Roman" w:hAnsi="Times New Roman" w:cs="Times New Roman"/>
          <w:sz w:val="24"/>
          <w:szCs w:val="24"/>
        </w:rPr>
      </w:pPr>
      <w:r>
        <w:rPr>
          <w:rFonts w:ascii="Times New Roman" w:hAnsi="Times New Roman" w:cs="Times New Roman"/>
          <w:sz w:val="24"/>
          <w:szCs w:val="24"/>
        </w:rPr>
        <w:t>III</w:t>
      </w:r>
    </w:p>
    <w:p w14:paraId="75EC95A7" w14:textId="77777777" w:rsidR="001B747D" w:rsidRDefault="001B747D" w:rsidP="007232AE">
      <w:pPr>
        <w:spacing w:after="0" w:line="360" w:lineRule="auto"/>
        <w:jc w:val="both"/>
        <w:rPr>
          <w:rFonts w:ascii="Times New Roman" w:hAnsi="Times New Roman" w:cs="Times New Roman"/>
          <w:sz w:val="24"/>
          <w:szCs w:val="24"/>
        </w:rPr>
      </w:pPr>
    </w:p>
    <w:p w14:paraId="1036270D"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Throughout the conflict, a sense that the belligerents could be brought towards a middle ground induced many individuals to act as intermediaries. Lord Haldane and Lord Derby, senior British parliamentarians, both led unsuccessful peace initiatives in 1919 and 1921 respectively. The Catholic hierarchy, labour representatives, southern unionists, and, to a great extent, political moderates, would all make efforts to bring Sinn Féin and the British government together. Plunkett was in contact with individuals within Sinn Féin, whom he hoped would influence the leadership towards accepting dominion status.</w:t>
      </w:r>
      <w:r>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However, as the war drew on, he grew marginal to peace initiatives. At the end of</w:t>
      </w:r>
      <w:r w:rsidRPr="00335CE3">
        <w:rPr>
          <w:rFonts w:ascii="Times New Roman" w:hAnsi="Times New Roman" w:cs="Times New Roman"/>
          <w:sz w:val="24"/>
          <w:szCs w:val="24"/>
        </w:rPr>
        <w:t xml:space="preserve"> Nov</w:t>
      </w:r>
      <w:r>
        <w:rPr>
          <w:rFonts w:ascii="Times New Roman" w:hAnsi="Times New Roman" w:cs="Times New Roman"/>
          <w:sz w:val="24"/>
          <w:szCs w:val="24"/>
        </w:rPr>
        <w:t>ember</w:t>
      </w:r>
      <w:r w:rsidRPr="00335CE3">
        <w:rPr>
          <w:rFonts w:ascii="Times New Roman" w:hAnsi="Times New Roman" w:cs="Times New Roman"/>
          <w:sz w:val="24"/>
          <w:szCs w:val="24"/>
        </w:rPr>
        <w:t xml:space="preserve"> 1920 Shane Leslie and </w:t>
      </w:r>
      <w:r w:rsidRPr="00C96424">
        <w:rPr>
          <w:rFonts w:ascii="Times New Roman" w:hAnsi="Times New Roman" w:cs="Times New Roman"/>
          <w:sz w:val="24"/>
          <w:szCs w:val="24"/>
        </w:rPr>
        <w:t>Æ</w:t>
      </w:r>
      <w:r>
        <w:rPr>
          <w:rFonts w:ascii="Times New Roman" w:hAnsi="Times New Roman" w:cs="Times New Roman"/>
          <w:sz w:val="24"/>
          <w:szCs w:val="24"/>
        </w:rPr>
        <w:t xml:space="preserve"> George Russell, both well-known moderates, offered themselves as </w:t>
      </w:r>
      <w:r w:rsidRPr="00335CE3">
        <w:rPr>
          <w:rFonts w:ascii="Times New Roman" w:hAnsi="Times New Roman" w:cs="Times New Roman"/>
          <w:sz w:val="24"/>
          <w:szCs w:val="24"/>
        </w:rPr>
        <w:t>intermediaries</w:t>
      </w:r>
      <w:r>
        <w:rPr>
          <w:rFonts w:ascii="Times New Roman" w:hAnsi="Times New Roman" w:cs="Times New Roman"/>
          <w:sz w:val="24"/>
          <w:szCs w:val="24"/>
        </w:rPr>
        <w:t xml:space="preserve"> between the government and Sinn Féin</w:t>
      </w:r>
      <w:r w:rsidRPr="00335CE3">
        <w:rPr>
          <w:rFonts w:ascii="Times New Roman" w:hAnsi="Times New Roman" w:cs="Times New Roman"/>
          <w:sz w:val="24"/>
          <w:szCs w:val="24"/>
        </w:rPr>
        <w:t>.</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Earlier that month the efforts of two IDL members, </w:t>
      </w:r>
      <w:r w:rsidRPr="00B71B36">
        <w:rPr>
          <w:rFonts w:ascii="Times New Roman" w:hAnsi="Times New Roman" w:cs="Times New Roman"/>
          <w:sz w:val="24"/>
          <w:szCs w:val="24"/>
        </w:rPr>
        <w:t xml:space="preserve">Major General Robert </w:t>
      </w:r>
      <w:proofErr w:type="spellStart"/>
      <w:r w:rsidRPr="00B71B36">
        <w:rPr>
          <w:rFonts w:ascii="Times New Roman" w:hAnsi="Times New Roman" w:cs="Times New Roman"/>
          <w:sz w:val="24"/>
          <w:szCs w:val="24"/>
        </w:rPr>
        <w:t>Wanless</w:t>
      </w:r>
      <w:proofErr w:type="spellEnd"/>
      <w:r w:rsidRPr="00B71B36">
        <w:rPr>
          <w:rFonts w:ascii="Times New Roman" w:hAnsi="Times New Roman" w:cs="Times New Roman"/>
          <w:sz w:val="24"/>
          <w:szCs w:val="24"/>
        </w:rPr>
        <w:t xml:space="preserve"> </w:t>
      </w:r>
      <w:proofErr w:type="spellStart"/>
      <w:r w:rsidRPr="00B71B36">
        <w:rPr>
          <w:rFonts w:ascii="Times New Roman" w:hAnsi="Times New Roman" w:cs="Times New Roman"/>
          <w:sz w:val="24"/>
          <w:szCs w:val="24"/>
        </w:rPr>
        <w:t>O</w:t>
      </w:r>
      <w:r>
        <w:rPr>
          <w:rFonts w:ascii="Times New Roman" w:hAnsi="Times New Roman" w:cs="Times New Roman"/>
          <w:sz w:val="24"/>
          <w:szCs w:val="24"/>
        </w:rPr>
        <w:t>’</w:t>
      </w:r>
      <w:r w:rsidRPr="00B71B36">
        <w:rPr>
          <w:rFonts w:ascii="Times New Roman" w:hAnsi="Times New Roman" w:cs="Times New Roman"/>
          <w:sz w:val="24"/>
          <w:szCs w:val="24"/>
        </w:rPr>
        <w:t>Gowan</w:t>
      </w:r>
      <w:proofErr w:type="spellEnd"/>
      <w:r>
        <w:rPr>
          <w:rFonts w:ascii="Times New Roman" w:hAnsi="Times New Roman" w:cs="Times New Roman"/>
          <w:sz w:val="24"/>
          <w:szCs w:val="24"/>
        </w:rPr>
        <w:t xml:space="preserve"> and Dr William Crofton, led to some optimism. </w:t>
      </w:r>
      <w:proofErr w:type="spellStart"/>
      <w:r>
        <w:rPr>
          <w:rFonts w:ascii="Times New Roman" w:hAnsi="Times New Roman" w:cs="Times New Roman"/>
          <w:sz w:val="24"/>
          <w:szCs w:val="24"/>
        </w:rPr>
        <w:t>O’Gowan</w:t>
      </w:r>
      <w:proofErr w:type="spellEnd"/>
      <w:r>
        <w:rPr>
          <w:rFonts w:ascii="Times New Roman" w:hAnsi="Times New Roman" w:cs="Times New Roman"/>
          <w:sz w:val="24"/>
          <w:szCs w:val="24"/>
        </w:rPr>
        <w:t xml:space="preserve"> and Crofton, who were in touch with members of the </w:t>
      </w:r>
      <w:proofErr w:type="spellStart"/>
      <w:r>
        <w:rPr>
          <w:rFonts w:ascii="Times New Roman" w:hAnsi="Times New Roman" w:cs="Times New Roman"/>
          <w:sz w:val="24"/>
          <w:szCs w:val="24"/>
        </w:rPr>
        <w:t>Dáil</w:t>
      </w:r>
      <w:proofErr w:type="spellEnd"/>
      <w:r>
        <w:rPr>
          <w:rFonts w:ascii="Times New Roman" w:hAnsi="Times New Roman" w:cs="Times New Roman"/>
          <w:sz w:val="24"/>
          <w:szCs w:val="24"/>
        </w:rPr>
        <w:t>, claimed that a substantial body of republicans would accept the exclusion of the north-east in return for full fiscal powers. Lloyd George was hopeful, and even Bonar Law was sanguine about the plan, which collapsed in the midst of Bloody Sunday and the arrest of Arthur Griffith.</w:t>
      </w:r>
      <w:r>
        <w:rPr>
          <w:rStyle w:val="FootnoteReference"/>
          <w:rFonts w:ascii="Times New Roman" w:hAnsi="Times New Roman" w:cs="Times New Roman"/>
          <w:sz w:val="24"/>
          <w:szCs w:val="24"/>
        </w:rPr>
        <w:footnoteReference w:id="138"/>
      </w:r>
      <w:r>
        <w:rPr>
          <w:rFonts w:ascii="Times New Roman" w:hAnsi="Times New Roman" w:cs="Times New Roman"/>
          <w:sz w:val="24"/>
          <w:szCs w:val="24"/>
        </w:rPr>
        <w:t xml:space="preserve"> In December, there was another initiative, by </w:t>
      </w:r>
      <w:r w:rsidRPr="00130DA8">
        <w:rPr>
          <w:rFonts w:ascii="Times New Roman" w:hAnsi="Times New Roman" w:cs="Times New Roman"/>
          <w:sz w:val="24"/>
          <w:szCs w:val="24"/>
        </w:rPr>
        <w:t>Patrick Joseph Clune</w:t>
      </w:r>
      <w:r>
        <w:rPr>
          <w:rFonts w:ascii="Times New Roman" w:hAnsi="Times New Roman" w:cs="Times New Roman"/>
          <w:sz w:val="24"/>
          <w:szCs w:val="24"/>
        </w:rPr>
        <w:t>, the archbishop of Perth, who sought to bring both sides together. While in Dublin, Clune stayed in the home of the prominent solicitor Sir John O’Connell, a member of the IDL.</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There were several discussions with Arthur Griffith, whom </w:t>
      </w:r>
      <w:r>
        <w:rPr>
          <w:rFonts w:ascii="Times New Roman" w:hAnsi="Times New Roman" w:cs="Times New Roman"/>
          <w:sz w:val="24"/>
          <w:szCs w:val="24"/>
        </w:rPr>
        <w:lastRenderedPageBreak/>
        <w:t>moderates rightly perceived was open to a negotiated settlement.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However, nothing came of these initiatives and it would be a member of the Dublin Castle administration who did the most to promote a dominion solution. </w:t>
      </w:r>
    </w:p>
    <w:p w14:paraId="0884C91C"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July 1919 William Wylie, a barrister from an Ulster Presbyterian background, was appointed Law Advisor to the Government of Ireland. Wylie was a committed proponent of dominion home rule and had been a member of the Irish Centre Party. In mid 1920 the Castle administration was reinvigorated by the appointment of experienced British civil servants: </w:t>
      </w:r>
      <w:r w:rsidRPr="007C3EE4">
        <w:rPr>
          <w:rFonts w:ascii="Times New Roman" w:hAnsi="Times New Roman" w:cs="Times New Roman"/>
          <w:sz w:val="24"/>
          <w:szCs w:val="24"/>
        </w:rPr>
        <w:t>Sir John Anderson as joint under-secretary</w:t>
      </w:r>
      <w:r>
        <w:rPr>
          <w:rFonts w:ascii="Times New Roman" w:hAnsi="Times New Roman" w:cs="Times New Roman"/>
          <w:sz w:val="24"/>
          <w:szCs w:val="24"/>
        </w:rPr>
        <w:t>,</w:t>
      </w:r>
      <w:r w:rsidRPr="007C3EE4">
        <w:rPr>
          <w:rFonts w:ascii="Times New Roman" w:hAnsi="Times New Roman" w:cs="Times New Roman"/>
          <w:sz w:val="24"/>
          <w:szCs w:val="24"/>
        </w:rPr>
        <w:t xml:space="preserve"> Andy Cope</w:t>
      </w:r>
      <w:r>
        <w:rPr>
          <w:rFonts w:ascii="Times New Roman" w:hAnsi="Times New Roman" w:cs="Times New Roman"/>
          <w:sz w:val="24"/>
          <w:szCs w:val="24"/>
        </w:rPr>
        <w:t>,</w:t>
      </w:r>
      <w:r w:rsidRPr="007C3EE4">
        <w:rPr>
          <w:rFonts w:ascii="Times New Roman" w:hAnsi="Times New Roman" w:cs="Times New Roman"/>
          <w:sz w:val="24"/>
          <w:szCs w:val="24"/>
        </w:rPr>
        <w:t xml:space="preserve"> as assistant under-secretary</w:t>
      </w:r>
      <w:r>
        <w:rPr>
          <w:rFonts w:ascii="Times New Roman" w:hAnsi="Times New Roman" w:cs="Times New Roman"/>
          <w:sz w:val="24"/>
          <w:szCs w:val="24"/>
        </w:rPr>
        <w:t xml:space="preserve">, and Mark Sturgis as effective </w:t>
      </w:r>
      <w:r w:rsidRPr="007C3EE4">
        <w:rPr>
          <w:rFonts w:ascii="Times New Roman" w:hAnsi="Times New Roman" w:cs="Times New Roman"/>
          <w:sz w:val="24"/>
          <w:szCs w:val="24"/>
        </w:rPr>
        <w:t>joint assistant under-secretary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1"/>
      </w:r>
      <w:r>
        <w:rPr>
          <w:rFonts w:ascii="Times New Roman" w:hAnsi="Times New Roman" w:cs="Times New Roman"/>
          <w:sz w:val="24"/>
          <w:szCs w:val="24"/>
        </w:rPr>
        <w:t xml:space="preserve"> Wylie helped convince the new arrivals to oppose coercion and endorse dominion home rule. Other important figures were coming to the same conclusion, notably</w:t>
      </w:r>
      <w:r w:rsidRPr="00760041">
        <w:rPr>
          <w:rFonts w:ascii="Times New Roman" w:hAnsi="Times New Roman" w:cs="Times New Roman"/>
          <w:sz w:val="24"/>
          <w:szCs w:val="24"/>
        </w:rPr>
        <w:t xml:space="preserve"> </w:t>
      </w:r>
      <w:r w:rsidRPr="002E4550">
        <w:rPr>
          <w:rFonts w:ascii="Times New Roman" w:hAnsi="Times New Roman" w:cs="Times New Roman"/>
          <w:sz w:val="24"/>
          <w:szCs w:val="24"/>
        </w:rPr>
        <w:t>Sir Nevil Macready</w:t>
      </w:r>
      <w:r>
        <w:rPr>
          <w:rFonts w:ascii="Times New Roman" w:hAnsi="Times New Roman" w:cs="Times New Roman"/>
          <w:sz w:val="24"/>
          <w:szCs w:val="24"/>
        </w:rPr>
        <w:t>, who was</w:t>
      </w:r>
      <w:r w:rsidRPr="002E4550">
        <w:rPr>
          <w:rFonts w:ascii="Times New Roman" w:hAnsi="Times New Roman" w:cs="Times New Roman"/>
          <w:sz w:val="24"/>
          <w:szCs w:val="24"/>
        </w:rPr>
        <w:t xml:space="preserve"> appointed general officer commanding in Ireland</w:t>
      </w:r>
      <w:r>
        <w:rPr>
          <w:rFonts w:ascii="Times New Roman" w:hAnsi="Times New Roman" w:cs="Times New Roman"/>
          <w:sz w:val="24"/>
          <w:szCs w:val="24"/>
        </w:rPr>
        <w:t xml:space="preserve"> in </w:t>
      </w:r>
      <w:r w:rsidRPr="002E4550">
        <w:rPr>
          <w:rFonts w:ascii="Times New Roman" w:hAnsi="Times New Roman" w:cs="Times New Roman"/>
          <w:sz w:val="24"/>
          <w:szCs w:val="24"/>
        </w:rPr>
        <w:t>late-March 1920.</w:t>
      </w:r>
      <w:r w:rsidRPr="00A40DD6">
        <w:rPr>
          <w:rFonts w:eastAsia="Calibri"/>
          <w:vertAlign w:val="superscript"/>
        </w:rPr>
        <w:footnoteReference w:id="142"/>
      </w:r>
      <w:r w:rsidRPr="002E4550">
        <w:rPr>
          <w:rFonts w:ascii="Times New Roman" w:hAnsi="Times New Roman" w:cs="Times New Roman"/>
          <w:sz w:val="24"/>
          <w:szCs w:val="24"/>
        </w:rPr>
        <w:t xml:space="preserve"> </w:t>
      </w:r>
      <w:r>
        <w:rPr>
          <w:rFonts w:ascii="Times New Roman" w:hAnsi="Times New Roman" w:cs="Times New Roman"/>
          <w:sz w:val="24"/>
          <w:szCs w:val="24"/>
        </w:rPr>
        <w:t>On 23 July 1920 Dublin Castle officials met with the prime minister and the rest of the cabinet to review the situation in Ireland. In the words of Mark Sturgis, Wylie ‘gave it to them hot and strong’, arguing that the security situation had severely deteriorated, that Sinn Féin, who had built up a ‘marvellous organisation’, was capable of governing, and that settlement was possible on the basis of county option in Ulster and reservation of defence. Anderson and Cope agreed but General Tudor, the head of the police in Ireland, disagreed, arguing that the rebels should be crushed: in this he was supported by the cabinet hardliners Churchill and Birkenhead. Ultimately, Lloyd George was unwilling to break the coalition over Ireland and the government implemented coercion.</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This policy was tempered by continued Dublin Castle approaches to potential moderates in Sinn Féin. Cope, with the prime minister’s secret agreement, even met Michael Collins, an important step towards a truce.</w:t>
      </w:r>
      <w:r>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w:t>
      </w:r>
    </w:p>
    <w:p w14:paraId="6923F12A"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There was no role for Plunkett in these discussions. His public and private criticisms of British forces exasperated Dublin Castle officials; Sturgis was angered when Plunkett publicly complained about reprisals against his ‘blasted milk shops, with particular accusations against </w:t>
      </w:r>
      <w:r>
        <w:rPr>
          <w:rFonts w:ascii="Times New Roman" w:hAnsi="Times New Roman" w:cs="Times New Roman"/>
          <w:sz w:val="24"/>
          <w:szCs w:val="24"/>
        </w:rPr>
        <w:lastRenderedPageBreak/>
        <w:t>soldiers’.</w:t>
      </w:r>
      <w:r>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On another occasion he recorded: ‘Horace Plunkett in again this morning – he is getting quite gaga – if true it’s a nasty silly case of stripping and painting some young </w:t>
      </w:r>
      <w:proofErr w:type="spellStart"/>
      <w:r>
        <w:rPr>
          <w:rFonts w:ascii="Times New Roman" w:hAnsi="Times New Roman" w:cs="Times New Roman"/>
          <w:sz w:val="24"/>
          <w:szCs w:val="24"/>
        </w:rPr>
        <w:t>Shinns</w:t>
      </w:r>
      <w:proofErr w:type="spellEnd"/>
      <w:r>
        <w:rPr>
          <w:rFonts w:ascii="Times New Roman" w:hAnsi="Times New Roman" w:cs="Times New Roman"/>
          <w:sz w:val="24"/>
          <w:szCs w:val="24"/>
        </w:rPr>
        <w:t xml:space="preserve"> – but no reason Horace should call every morning for a report which I keep telling him must take some days’.</w:t>
      </w:r>
      <w:r>
        <w:rPr>
          <w:rStyle w:val="FootnoteReference"/>
          <w:rFonts w:ascii="Times New Roman" w:hAnsi="Times New Roman" w:cs="Times New Roman"/>
          <w:sz w:val="24"/>
          <w:szCs w:val="24"/>
        </w:rPr>
        <w:footnoteReference w:id="146"/>
      </w:r>
      <w:r>
        <w:rPr>
          <w:rFonts w:ascii="Times New Roman" w:hAnsi="Times New Roman" w:cs="Times New Roman"/>
          <w:sz w:val="24"/>
          <w:szCs w:val="24"/>
        </w:rPr>
        <w:t xml:space="preserve"> Plunkett’s proposed solution was unchanged. He told Sturgis:</w:t>
      </w:r>
    </w:p>
    <w:p w14:paraId="22E7C8BA" w14:textId="77777777" w:rsidR="001B747D" w:rsidRDefault="001B747D" w:rsidP="007232AE">
      <w:pPr>
        <w:spacing w:after="0" w:line="360" w:lineRule="auto"/>
        <w:jc w:val="both"/>
        <w:rPr>
          <w:rFonts w:ascii="Times New Roman" w:hAnsi="Times New Roman" w:cs="Times New Roman"/>
          <w:sz w:val="24"/>
          <w:szCs w:val="24"/>
        </w:rPr>
      </w:pPr>
    </w:p>
    <w:p w14:paraId="310C53B3" w14:textId="77777777" w:rsidR="001B747D" w:rsidRDefault="001B747D" w:rsidP="007232AE">
      <w:pPr>
        <w:spacing w:after="0" w:line="360" w:lineRule="auto"/>
        <w:ind w:left="720"/>
        <w:jc w:val="both"/>
        <w:rPr>
          <w:rFonts w:ascii="Times New Roman" w:hAnsi="Times New Roman" w:cs="Times New Roman"/>
          <w:sz w:val="24"/>
          <w:szCs w:val="24"/>
        </w:rPr>
      </w:pPr>
      <w:r w:rsidRPr="002D4504">
        <w:rPr>
          <w:rFonts w:ascii="Times New Roman" w:hAnsi="Times New Roman" w:cs="Times New Roman"/>
          <w:sz w:val="24"/>
          <w:szCs w:val="24"/>
        </w:rPr>
        <w:t>we should summon a Constituent Assembly and give it a Dominion promise and gunning would stop at once – but it’s not quite so simple as that [replied Sturgis]. I told him the worst way for ‘his friends’ [Sinn Féin] to get a further advance out of L[</w:t>
      </w:r>
      <w:proofErr w:type="spellStart"/>
      <w:r w:rsidRPr="002D4504">
        <w:rPr>
          <w:rFonts w:ascii="Times New Roman" w:hAnsi="Times New Roman" w:cs="Times New Roman"/>
          <w:sz w:val="24"/>
          <w:szCs w:val="24"/>
        </w:rPr>
        <w:t>loyd</w:t>
      </w:r>
      <w:proofErr w:type="spellEnd"/>
      <w:r w:rsidRPr="002D4504">
        <w:rPr>
          <w:rFonts w:ascii="Times New Roman" w:hAnsi="Times New Roman" w:cs="Times New Roman"/>
          <w:sz w:val="24"/>
          <w:szCs w:val="24"/>
        </w:rPr>
        <w:t>] G[</w:t>
      </w:r>
      <w:proofErr w:type="spellStart"/>
      <w:r w:rsidRPr="002D4504">
        <w:rPr>
          <w:rFonts w:ascii="Times New Roman" w:hAnsi="Times New Roman" w:cs="Times New Roman"/>
          <w:sz w:val="24"/>
          <w:szCs w:val="24"/>
        </w:rPr>
        <w:t>eorge</w:t>
      </w:r>
      <w:proofErr w:type="spellEnd"/>
      <w:r w:rsidRPr="002D4504">
        <w:rPr>
          <w:rFonts w:ascii="Times New Roman" w:hAnsi="Times New Roman" w:cs="Times New Roman"/>
          <w:sz w:val="24"/>
          <w:szCs w:val="24"/>
        </w:rPr>
        <w:t>] was to go on stiffening English backs by gunning policemen etc.</w:t>
      </w:r>
      <w:r w:rsidRPr="002D4504">
        <w:rPr>
          <w:rFonts w:eastAsia="Calibri"/>
          <w:sz w:val="24"/>
          <w:szCs w:val="24"/>
          <w:vertAlign w:val="superscript"/>
        </w:rPr>
        <w:footnoteReference w:id="147"/>
      </w:r>
      <w:r w:rsidRPr="002D4504">
        <w:rPr>
          <w:rFonts w:ascii="Times New Roman" w:hAnsi="Times New Roman" w:cs="Times New Roman"/>
          <w:sz w:val="24"/>
          <w:szCs w:val="24"/>
        </w:rPr>
        <w:t xml:space="preserve">   </w:t>
      </w:r>
    </w:p>
    <w:p w14:paraId="40F3C27C" w14:textId="77777777" w:rsidR="001B747D" w:rsidRPr="002D4504" w:rsidRDefault="001B747D" w:rsidP="007232AE">
      <w:pPr>
        <w:spacing w:after="0" w:line="360" w:lineRule="auto"/>
        <w:ind w:left="720"/>
        <w:jc w:val="both"/>
        <w:rPr>
          <w:rFonts w:ascii="Times New Roman" w:hAnsi="Times New Roman" w:cs="Times New Roman"/>
          <w:sz w:val="24"/>
          <w:szCs w:val="24"/>
        </w:rPr>
      </w:pPr>
    </w:p>
    <w:p w14:paraId="6278DB52"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By the spring of 1921, it was becoming obvious that the cabinet had wearied of coercion and were seeking a way out. The replacement of the now-marginalised Lord French emphasised the change in approach.</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w:t>
      </w:r>
    </w:p>
    <w:p w14:paraId="5182D58B"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During this period both southern unionist and moderate leaders made final efforts to regain the political initiative. Lord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decided that March 1921 was the opportune time to reach beyond southern unionists and broker an agreement. Having declined a few days earlier Stephen Gwynn’s suggestion that he lead a new centre party and contest the upcoming elections,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suggested that: </w:t>
      </w:r>
    </w:p>
    <w:p w14:paraId="23471FE5" w14:textId="77777777" w:rsidR="001B747D" w:rsidRDefault="001B747D" w:rsidP="007232AE">
      <w:pPr>
        <w:spacing w:after="0" w:line="360" w:lineRule="auto"/>
        <w:jc w:val="both"/>
        <w:rPr>
          <w:rFonts w:ascii="Times New Roman" w:hAnsi="Times New Roman" w:cs="Times New Roman"/>
          <w:sz w:val="24"/>
          <w:szCs w:val="24"/>
        </w:rPr>
      </w:pPr>
    </w:p>
    <w:p w14:paraId="7A9F6B54" w14:textId="77777777" w:rsidR="001B747D" w:rsidRDefault="001B747D" w:rsidP="007232AE">
      <w:pPr>
        <w:spacing w:after="0" w:line="360" w:lineRule="auto"/>
        <w:ind w:left="720"/>
        <w:jc w:val="both"/>
        <w:rPr>
          <w:rFonts w:ascii="Times New Roman" w:hAnsi="Times New Roman" w:cs="Times New Roman"/>
          <w:sz w:val="24"/>
          <w:szCs w:val="24"/>
        </w:rPr>
      </w:pPr>
      <w:r w:rsidRPr="002D4504">
        <w:rPr>
          <w:rFonts w:ascii="Times New Roman" w:hAnsi="Times New Roman" w:cs="Times New Roman"/>
          <w:sz w:val="24"/>
          <w:szCs w:val="24"/>
        </w:rPr>
        <w:t>there may be a middle way by means of two parties with whom I have been in contact, (a) commercial men, (b) the Catholic Church. There may be come hope if these two could form a small conclave and could be met in Ireland by some member of the cabinet … It is strongly believed that Sinn Féin would appoint someone to this conclave.</w:t>
      </w:r>
      <w:r w:rsidRPr="002D4504">
        <w:rPr>
          <w:rStyle w:val="FootnoteReference"/>
          <w:rFonts w:ascii="Times New Roman" w:hAnsi="Times New Roman" w:cs="Times New Roman"/>
          <w:sz w:val="24"/>
          <w:szCs w:val="24"/>
        </w:rPr>
        <w:footnoteReference w:id="149"/>
      </w:r>
    </w:p>
    <w:p w14:paraId="50E57F3C" w14:textId="77777777" w:rsidR="001B747D" w:rsidRPr="002D4504" w:rsidRDefault="001B747D" w:rsidP="007232AE">
      <w:pPr>
        <w:spacing w:after="0" w:line="360" w:lineRule="auto"/>
        <w:ind w:left="720"/>
        <w:jc w:val="both"/>
        <w:rPr>
          <w:rFonts w:ascii="Times New Roman" w:hAnsi="Times New Roman" w:cs="Times New Roman"/>
          <w:sz w:val="24"/>
          <w:szCs w:val="24"/>
        </w:rPr>
      </w:pPr>
    </w:p>
    <w:p w14:paraId="0F4EF53F" w14:textId="6CC66FCA"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unlikely plan foundered when the Catholic hierarchy declined to take part.</w:t>
      </w:r>
      <w:r>
        <w:rPr>
          <w:rStyle w:val="FootnoteReference"/>
          <w:rFonts w:ascii="Times New Roman" w:hAnsi="Times New Roman" w:cs="Times New Roman"/>
          <w:sz w:val="24"/>
          <w:szCs w:val="24"/>
        </w:rPr>
        <w:footnoteReference w:id="150"/>
      </w:r>
      <w:r>
        <w:rPr>
          <w:rFonts w:ascii="Times New Roman" w:hAnsi="Times New Roman" w:cs="Times New Roman"/>
          <w:sz w:val="24"/>
          <w:szCs w:val="24"/>
        </w:rPr>
        <w:t xml:space="preserve"> In May Plunkett organised the ‘Memorial of Certain Irishmen’, an open address by well-known moderates to the prime minister calling for the convening of a constituent assembly to draw up a constitution for dominion government, at which the signatories were confident the Ulster </w:t>
      </w:r>
      <w:r>
        <w:rPr>
          <w:rFonts w:ascii="Times New Roman" w:hAnsi="Times New Roman" w:cs="Times New Roman"/>
          <w:sz w:val="24"/>
          <w:szCs w:val="24"/>
        </w:rPr>
        <w:lastRenderedPageBreak/>
        <w:t>unionists would unite with the south.</w:t>
      </w:r>
      <w:r>
        <w:rPr>
          <w:rStyle w:val="FootnoteReference"/>
          <w:rFonts w:ascii="Times New Roman" w:hAnsi="Times New Roman" w:cs="Times New Roman"/>
          <w:sz w:val="24"/>
          <w:szCs w:val="24"/>
        </w:rPr>
        <w:footnoteReference w:id="151"/>
      </w:r>
      <w:r>
        <w:rPr>
          <w:rFonts w:ascii="Times New Roman" w:hAnsi="Times New Roman" w:cs="Times New Roman"/>
          <w:sz w:val="24"/>
          <w:szCs w:val="24"/>
        </w:rPr>
        <w:t xml:space="preserve">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declined to sign and </w:t>
      </w:r>
      <w:r w:rsidR="00FE2768">
        <w:rPr>
          <w:rFonts w:ascii="Times New Roman" w:hAnsi="Times New Roman" w:cs="Times New Roman"/>
          <w:sz w:val="24"/>
          <w:szCs w:val="24"/>
        </w:rPr>
        <w:t>d</w:t>
      </w:r>
      <w:r>
        <w:rPr>
          <w:rFonts w:ascii="Times New Roman" w:hAnsi="Times New Roman" w:cs="Times New Roman"/>
          <w:sz w:val="24"/>
          <w:szCs w:val="24"/>
        </w:rPr>
        <w:t>ivisions among IDL supporters remained apparent. Plunkett recorded: “</w:t>
      </w:r>
      <w:r w:rsidRPr="00095717">
        <w:rPr>
          <w:rFonts w:ascii="Times New Roman" w:hAnsi="Times New Roman" w:cs="Times New Roman"/>
          <w:sz w:val="24"/>
          <w:szCs w:val="24"/>
        </w:rPr>
        <w:t xml:space="preserve">All day at Memorial. The </w:t>
      </w:r>
      <w:r>
        <w:rPr>
          <w:rFonts w:ascii="Times New Roman" w:hAnsi="Times New Roman" w:cs="Times New Roman"/>
          <w:sz w:val="24"/>
          <w:szCs w:val="24"/>
        </w:rPr>
        <w:t>‘</w:t>
      </w:r>
      <w:r w:rsidRPr="00095717">
        <w:rPr>
          <w:rFonts w:ascii="Times New Roman" w:hAnsi="Times New Roman" w:cs="Times New Roman"/>
          <w:sz w:val="24"/>
          <w:szCs w:val="24"/>
        </w:rPr>
        <w:t>Moderates</w:t>
      </w:r>
      <w:r>
        <w:rPr>
          <w:rFonts w:ascii="Times New Roman" w:hAnsi="Times New Roman" w:cs="Times New Roman"/>
          <w:sz w:val="24"/>
          <w:szCs w:val="24"/>
        </w:rPr>
        <w:t>’</w:t>
      </w:r>
      <w:r w:rsidRPr="00095717">
        <w:rPr>
          <w:rFonts w:ascii="Times New Roman" w:hAnsi="Times New Roman" w:cs="Times New Roman"/>
          <w:sz w:val="24"/>
          <w:szCs w:val="24"/>
        </w:rPr>
        <w:t xml:space="preserve"> are hopeless</w:t>
      </w:r>
      <w:r>
        <w:rPr>
          <w:rFonts w:ascii="Times New Roman" w:hAnsi="Times New Roman" w:cs="Times New Roman"/>
          <w:sz w:val="24"/>
          <w:szCs w:val="24"/>
        </w:rPr>
        <w:t>”</w:t>
      </w:r>
      <w:r w:rsidRPr="00095717">
        <w:rPr>
          <w:rFonts w:ascii="Times New Roman" w:hAnsi="Times New Roman" w:cs="Times New Roman"/>
          <w:sz w:val="24"/>
          <w:szCs w:val="24"/>
        </w:rPr>
        <w:t>.</w:t>
      </w:r>
      <w:r>
        <w:rPr>
          <w:rStyle w:val="FootnoteReference"/>
          <w:rFonts w:ascii="Times New Roman" w:hAnsi="Times New Roman" w:cs="Times New Roman"/>
          <w:sz w:val="24"/>
          <w:szCs w:val="24"/>
        </w:rPr>
        <w:footnoteReference w:id="152"/>
      </w:r>
      <w:r>
        <w:rPr>
          <w:rFonts w:ascii="Times New Roman" w:hAnsi="Times New Roman" w:cs="Times New Roman"/>
          <w:sz w:val="24"/>
          <w:szCs w:val="24"/>
        </w:rPr>
        <w:t xml:space="preserve"> The memorial had no impact, for the government had realised that the useful moderates were in Sinn Féin.</w:t>
      </w:r>
    </w:p>
    <w:p w14:paraId="63231A32" w14:textId="26C0F814"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Michael Hopkinson has argued that dominion home rule was not a viable solution until late-June/July 1921. The Conservatives were opposed to the measure, as was Lloyd George himself since he believed dominion status implied the right of secession.</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However, the successful establishment of the parliament of Northern Ireland provided an opening. The key intermediary was Jan Smuts, the South African prime minister, who arrived in London on 11 June. Smuts advised Lloyd George publicly to offer dominion status to de Valera, stating that ‘the establishment of the Northern Ireland Parliament definitely eliminates the coercion of Ulster, and the road is now clear to deal on the most statesmanlike lines with the rest of Ireland’.</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Although Lloyd George remained fearful of the impact of dominion status on security and trade, the King’s conciliatory speech at the opening of the Northern Ireland parliament generated enough goodwill that a settlement became possible.</w:t>
      </w:r>
      <w:r>
        <w:rPr>
          <w:rStyle w:val="FootnoteReference"/>
          <w:rFonts w:ascii="Times New Roman" w:hAnsi="Times New Roman" w:cs="Times New Roman"/>
          <w:sz w:val="24"/>
          <w:szCs w:val="24"/>
        </w:rPr>
        <w:footnoteReference w:id="155"/>
      </w:r>
      <w:r>
        <w:rPr>
          <w:rFonts w:ascii="Times New Roman" w:hAnsi="Times New Roman" w:cs="Times New Roman"/>
          <w:sz w:val="24"/>
          <w:szCs w:val="24"/>
        </w:rPr>
        <w:t xml:space="preserve"> In early July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and APL colleagues met de Valera and a truce was brokered. Unsurprisingly, Plunkett believed that de Valera had made a mistake in not seeing himself and Devlin as well.</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When de Valera met Lloyd George in the middle of the month, the prime minister offered dominion status, with no coercion of Ulster and safeguards for the security of the United Kingdom.</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Although de Valera rejected this offer, British officials understood that Sinn Féin was a complex coalition, and</w:t>
      </w:r>
      <w:r w:rsidR="00AC3C73">
        <w:rPr>
          <w:rFonts w:ascii="Times New Roman" w:hAnsi="Times New Roman" w:cs="Times New Roman"/>
          <w:sz w:val="24"/>
          <w:szCs w:val="24"/>
        </w:rPr>
        <w:t xml:space="preserve"> that</w:t>
      </w:r>
      <w:r>
        <w:rPr>
          <w:rFonts w:ascii="Times New Roman" w:hAnsi="Times New Roman" w:cs="Times New Roman"/>
          <w:sz w:val="24"/>
          <w:szCs w:val="24"/>
        </w:rPr>
        <w:t xml:space="preserve"> some were moving towards compromise. In late August, Wylie reported that senior figures in the party, including Griffith and Collins, wanted a settlement.</w:t>
      </w:r>
      <w:r>
        <w:rPr>
          <w:rStyle w:val="FootnoteReference"/>
          <w:rFonts w:ascii="Times New Roman" w:hAnsi="Times New Roman" w:cs="Times New Roman"/>
          <w:sz w:val="24"/>
          <w:szCs w:val="24"/>
        </w:rPr>
        <w:footnoteReference w:id="158"/>
      </w:r>
      <w:r>
        <w:rPr>
          <w:rFonts w:ascii="Times New Roman" w:hAnsi="Times New Roman" w:cs="Times New Roman"/>
          <w:sz w:val="24"/>
          <w:szCs w:val="24"/>
        </w:rPr>
        <w:t xml:space="preserve"> </w:t>
      </w:r>
    </w:p>
    <w:p w14:paraId="54B0E5BA"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Utterly marginalised, there was no room for Plunkett or the IDL in these discussions. In mid-August, Smuts wrote to de Valera advising him to accept partition. Senior moderates such as Lord Monteagle and Lord Dunraven endorsed division so, in response, Plunkett wound up the League.</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The prime minister himself understood the potential of partition to cause </w:t>
      </w:r>
      <w:r>
        <w:rPr>
          <w:rFonts w:ascii="Times New Roman" w:hAnsi="Times New Roman" w:cs="Times New Roman"/>
          <w:sz w:val="24"/>
          <w:szCs w:val="24"/>
        </w:rPr>
        <w:lastRenderedPageBreak/>
        <w:t>havoc. During the negotiations which led to the Treaty, Lloyd George was able to neutralise the Irish delegates’ unwillingness to agree to partition using the ruse of a boundary commission.</w:t>
      </w:r>
      <w:r>
        <w:rPr>
          <w:rStyle w:val="FootnoteReference"/>
          <w:rFonts w:ascii="Times New Roman" w:hAnsi="Times New Roman" w:cs="Times New Roman"/>
          <w:sz w:val="24"/>
          <w:szCs w:val="24"/>
        </w:rPr>
        <w:footnoteReference w:id="160"/>
      </w:r>
      <w:r>
        <w:rPr>
          <w:rFonts w:ascii="Times New Roman" w:hAnsi="Times New Roman" w:cs="Times New Roman"/>
          <w:sz w:val="24"/>
          <w:szCs w:val="24"/>
        </w:rPr>
        <w:t xml:space="preserve"> The Anglo-Irish Treaty which created the Irish Free State offered dominion status in the south in all but name. In an insert placed within the League’s </w:t>
      </w:r>
      <w:r>
        <w:rPr>
          <w:rFonts w:ascii="Times New Roman" w:hAnsi="Times New Roman" w:cs="Times New Roman"/>
          <w:i/>
          <w:sz w:val="24"/>
          <w:szCs w:val="24"/>
        </w:rPr>
        <w:t xml:space="preserve">Final Report </w:t>
      </w:r>
      <w:r>
        <w:rPr>
          <w:rFonts w:ascii="Times New Roman" w:hAnsi="Times New Roman" w:cs="Times New Roman"/>
          <w:sz w:val="24"/>
          <w:szCs w:val="24"/>
        </w:rPr>
        <w:t>extolled the benefits of the Treaty. Harrison wrote, ‘In its provisions … is to be found the most conspicuous vindication of the Irish Dominion League and the Irish Peace Conference of 1920’.</w:t>
      </w:r>
      <w:r>
        <w:rPr>
          <w:rStyle w:val="FootnoteReference"/>
          <w:rFonts w:ascii="Times New Roman" w:hAnsi="Times New Roman" w:cs="Times New Roman"/>
          <w:sz w:val="24"/>
          <w:szCs w:val="24"/>
        </w:rPr>
        <w:footnoteReference w:id="161"/>
      </w:r>
      <w:r>
        <w:rPr>
          <w:rFonts w:ascii="Times New Roman" w:hAnsi="Times New Roman" w:cs="Times New Roman"/>
          <w:sz w:val="24"/>
          <w:szCs w:val="24"/>
        </w:rPr>
        <w:t xml:space="preserve"> Plunkett welcomed the agreement, believing that the boundary commission would ultimately lead to unity: ‘</w:t>
      </w:r>
      <w:r w:rsidRPr="002D4504">
        <w:rPr>
          <w:rFonts w:ascii="Times New Roman" w:hAnsi="Times New Roman" w:cs="Times New Roman"/>
          <w:sz w:val="24"/>
          <w:szCs w:val="24"/>
        </w:rPr>
        <w:t>The terms of the Irish Treaty were published today. They were, in substance, the Irish Dominion League’s policy, the word Dominion being shunned and the method of morally coercing Ulster being camouflage of a high order.</w:t>
      </w:r>
      <w:r>
        <w:rPr>
          <w:rFonts w:ascii="Times New Roman" w:hAnsi="Times New Roman" w:cs="Times New Roman"/>
          <w:sz w:val="24"/>
          <w:szCs w:val="24"/>
        </w:rPr>
        <w:t>’</w:t>
      </w:r>
      <w:r w:rsidRPr="002D4504">
        <w:rPr>
          <w:rStyle w:val="FootnoteReference"/>
          <w:rFonts w:ascii="Times New Roman" w:hAnsi="Times New Roman" w:cs="Times New Roman"/>
          <w:sz w:val="24"/>
          <w:szCs w:val="24"/>
        </w:rPr>
        <w:footnoteReference w:id="162"/>
      </w:r>
      <w:r>
        <w:rPr>
          <w:rFonts w:ascii="Times New Roman" w:hAnsi="Times New Roman" w:cs="Times New Roman"/>
          <w:sz w:val="24"/>
          <w:szCs w:val="24"/>
        </w:rPr>
        <w:t xml:space="preserve"> Of course, the Treaty would do no such thing. Far from coercing Ulster, it would ultimately consolidate partition. Summarising the year 1921 in his diary, Plunkett would write: ‘</w:t>
      </w:r>
      <w:r w:rsidRPr="006E715F">
        <w:rPr>
          <w:rFonts w:ascii="Times New Roman" w:hAnsi="Times New Roman" w:cs="Times New Roman"/>
          <w:sz w:val="24"/>
          <w:szCs w:val="24"/>
        </w:rPr>
        <w:t>A sad year for the old in Ireland – perhaps sadder for the young!</w:t>
      </w:r>
      <w:r>
        <w:rPr>
          <w:rFonts w:ascii="Times New Roman" w:hAnsi="Times New Roman" w:cs="Times New Roman"/>
          <w:sz w:val="24"/>
          <w:szCs w:val="24"/>
        </w:rPr>
        <w:t xml:space="preserve"> </w:t>
      </w:r>
      <w:r w:rsidRPr="006E715F">
        <w:rPr>
          <w:rFonts w:ascii="Times New Roman" w:hAnsi="Times New Roman" w:cs="Times New Roman"/>
          <w:sz w:val="24"/>
          <w:szCs w:val="24"/>
        </w:rPr>
        <w:t>Ireland will be theirs and the emptiness thereof</w:t>
      </w:r>
      <w:r>
        <w:rPr>
          <w:rFonts w:ascii="Times New Roman" w:hAnsi="Times New Roman" w:cs="Times New Roman"/>
          <w:sz w:val="24"/>
          <w:szCs w:val="24"/>
        </w:rPr>
        <w:t>’</w:t>
      </w:r>
      <w:r w:rsidRPr="006E715F">
        <w:rPr>
          <w:rFonts w:ascii="Times New Roman" w:hAnsi="Times New Roman" w:cs="Times New Roman"/>
          <w:sz w:val="24"/>
          <w:szCs w:val="24"/>
        </w:rPr>
        <w:t>.</w:t>
      </w:r>
      <w:r>
        <w:rPr>
          <w:rStyle w:val="FootnoteReference"/>
          <w:rFonts w:ascii="Times New Roman" w:hAnsi="Times New Roman" w:cs="Times New Roman"/>
          <w:sz w:val="24"/>
          <w:szCs w:val="24"/>
        </w:rPr>
        <w:footnoteReference w:id="163"/>
      </w:r>
      <w:r>
        <w:rPr>
          <w:rFonts w:ascii="Times New Roman" w:hAnsi="Times New Roman" w:cs="Times New Roman"/>
          <w:sz w:val="24"/>
          <w:szCs w:val="24"/>
        </w:rPr>
        <w:t xml:space="preserve"> The coming years, far from bringing peace and the foundations for unity, would bring more bloodshed, and personal sadness for Plunkett: during the civil war which followed, Plunkett’s house was among those that went up in flames. He would spend his last years in England.</w:t>
      </w:r>
      <w:r>
        <w:rPr>
          <w:rStyle w:val="FootnoteReference"/>
          <w:rFonts w:ascii="Times New Roman" w:hAnsi="Times New Roman" w:cs="Times New Roman"/>
          <w:sz w:val="24"/>
          <w:szCs w:val="24"/>
        </w:rPr>
        <w:footnoteReference w:id="164"/>
      </w:r>
    </w:p>
    <w:p w14:paraId="2169EA30" w14:textId="77777777" w:rsidR="001B747D" w:rsidRDefault="001B747D" w:rsidP="007232AE">
      <w:pPr>
        <w:spacing w:after="0" w:line="360" w:lineRule="auto"/>
        <w:jc w:val="both"/>
        <w:rPr>
          <w:rFonts w:ascii="Times New Roman" w:hAnsi="Times New Roman" w:cs="Times New Roman"/>
          <w:sz w:val="24"/>
          <w:szCs w:val="24"/>
        </w:rPr>
      </w:pPr>
    </w:p>
    <w:p w14:paraId="7749F034" w14:textId="77777777" w:rsidR="001B747D" w:rsidRDefault="001B747D" w:rsidP="007232A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IV</w:t>
      </w:r>
    </w:p>
    <w:p w14:paraId="6A90E0A4" w14:textId="77777777" w:rsidR="001B747D" w:rsidRDefault="001B747D" w:rsidP="007232AE">
      <w:pPr>
        <w:spacing w:after="0" w:line="360" w:lineRule="auto"/>
        <w:jc w:val="both"/>
        <w:rPr>
          <w:rFonts w:ascii="Times New Roman" w:hAnsi="Times New Roman" w:cs="Times New Roman"/>
          <w:sz w:val="24"/>
          <w:szCs w:val="24"/>
        </w:rPr>
      </w:pPr>
    </w:p>
    <w:p w14:paraId="5306E731"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creation of the Irish Dominion League, Irish political development reached a turning point and failed to turn. In bringing together previously disunited reformist gentry, Protestant home rulers, old parliamentarians, and former unionists, the party’s leadership believed they had forged a movement which represented a sizable body of opinion. Why, then, did the movement fail? Much of the blame can be ascribed to Horace Plunkett. He may have simply lacked the skills required to form a successful new party, especially amidst war. A man </w:t>
      </w:r>
      <w:r w:rsidRPr="00393B99">
        <w:rPr>
          <w:rFonts w:ascii="Times New Roman" w:hAnsi="Times New Roman" w:cs="Times New Roman"/>
          <w:sz w:val="24"/>
          <w:szCs w:val="24"/>
        </w:rPr>
        <w:t>who in 1921</w:t>
      </w:r>
      <w:r>
        <w:rPr>
          <w:rFonts w:ascii="Times New Roman" w:hAnsi="Times New Roman" w:cs="Times New Roman"/>
          <w:sz w:val="24"/>
          <w:szCs w:val="24"/>
        </w:rPr>
        <w:t xml:space="preserve"> could write </w:t>
      </w:r>
      <w:r w:rsidRPr="00393B99">
        <w:rPr>
          <w:rFonts w:ascii="Times New Roman" w:hAnsi="Times New Roman" w:cs="Times New Roman"/>
          <w:sz w:val="24"/>
          <w:szCs w:val="24"/>
        </w:rPr>
        <w:t>that,</w:t>
      </w:r>
      <w:r>
        <w:rPr>
          <w:rFonts w:ascii="Times New Roman" w:hAnsi="Times New Roman" w:cs="Times New Roman"/>
          <w:sz w:val="24"/>
          <w:szCs w:val="24"/>
        </w:rPr>
        <w:t xml:space="preserve"> </w:t>
      </w:r>
      <w:r w:rsidRPr="000C00C1">
        <w:rPr>
          <w:rFonts w:ascii="Times New Roman" w:hAnsi="Times New Roman" w:cs="Times New Roman"/>
          <w:sz w:val="24"/>
          <w:szCs w:val="24"/>
        </w:rPr>
        <w:t>‘“Ulster” must be sick of its Parliament now that the Constitutional &amp; Sinn Fein Nationalists have agreed to boycott it’</w:t>
      </w:r>
      <w:r>
        <w:rPr>
          <w:rFonts w:ascii="Times New Roman" w:hAnsi="Times New Roman" w:cs="Times New Roman"/>
          <w:sz w:val="24"/>
          <w:szCs w:val="24"/>
        </w:rPr>
        <w:t>, may have been too naïve for leadership.</w:t>
      </w:r>
      <w:r>
        <w:rPr>
          <w:rStyle w:val="FootnoteReference"/>
          <w:rFonts w:ascii="Times New Roman" w:hAnsi="Times New Roman" w:cs="Times New Roman"/>
          <w:sz w:val="24"/>
          <w:szCs w:val="24"/>
        </w:rPr>
        <w:footnoteReference w:id="165"/>
      </w:r>
      <w:r>
        <w:rPr>
          <w:rFonts w:ascii="Times New Roman" w:hAnsi="Times New Roman" w:cs="Times New Roman"/>
          <w:sz w:val="24"/>
          <w:szCs w:val="24"/>
        </w:rPr>
        <w:t xml:space="preserve"> However, much was beyond his control. Plunkett, more than many other figures of his generation, understood the threat posed by partition. Conservative cabinet support for Ulster </w:t>
      </w:r>
      <w:r>
        <w:rPr>
          <w:rFonts w:ascii="Times New Roman" w:hAnsi="Times New Roman" w:cs="Times New Roman"/>
          <w:sz w:val="24"/>
          <w:szCs w:val="24"/>
        </w:rPr>
        <w:lastRenderedPageBreak/>
        <w:t>unionists precluded any serious efforts to compel the northerners into a Dublin parliament.</w:t>
      </w:r>
      <w:r w:rsidRPr="00FA3C1E">
        <w:rPr>
          <w:rFonts w:ascii="Times New Roman" w:hAnsi="Times New Roman" w:cs="Times New Roman"/>
          <w:sz w:val="24"/>
          <w:szCs w:val="24"/>
        </w:rPr>
        <w:t xml:space="preserve"> </w:t>
      </w:r>
      <w:r>
        <w:rPr>
          <w:rFonts w:ascii="Times New Roman" w:hAnsi="Times New Roman" w:cs="Times New Roman"/>
          <w:sz w:val="24"/>
          <w:szCs w:val="24"/>
        </w:rPr>
        <w:t>The divisions this fundamental political fact engendered undermined the ability of IDL members to achieve their objectives. Furthermore, leading a new, minority movement during wartime, and while suffering significant health difficulties, was brave. Nor do Plunkett’s shortcomings in politics undermine his reputation as Ireland’s greatest rural reformer.</w:t>
      </w:r>
    </w:p>
    <w:p w14:paraId="4AE0270E"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decision of Lord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and his supporters not to cooperate with — let alone merge with — the IDL damaged moderate politics. Many southern unionists disliked Plunkett as a defector and </w:t>
      </w:r>
      <w:proofErr w:type="spellStart"/>
      <w:r>
        <w:rPr>
          <w:rFonts w:ascii="Times New Roman" w:hAnsi="Times New Roman" w:cs="Times New Roman"/>
          <w:sz w:val="24"/>
          <w:szCs w:val="24"/>
        </w:rPr>
        <w:t>Midleton’s</w:t>
      </w:r>
      <w:proofErr w:type="spellEnd"/>
      <w:r>
        <w:rPr>
          <w:rFonts w:ascii="Times New Roman" w:hAnsi="Times New Roman" w:cs="Times New Roman"/>
          <w:sz w:val="24"/>
          <w:szCs w:val="24"/>
        </w:rPr>
        <w:t xml:space="preserve"> experience at the Convention made him unwilling to work with him again. However,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was unable to see that his movement had, despite the past, much in common with the moderates, and that a rival movement, still eulogising the Union but grudgingly endorsing home rule, was pointless in the context of Sinn Féin landslides. It is noteworthy that in his memoirs </w:t>
      </w:r>
      <w:proofErr w:type="spellStart"/>
      <w:r>
        <w:rPr>
          <w:rFonts w:ascii="Times New Roman" w:hAnsi="Times New Roman" w:cs="Times New Roman"/>
          <w:sz w:val="24"/>
          <w:szCs w:val="24"/>
        </w:rPr>
        <w:t>Midleton</w:t>
      </w:r>
      <w:proofErr w:type="spellEnd"/>
      <w:r>
        <w:rPr>
          <w:rFonts w:ascii="Times New Roman" w:hAnsi="Times New Roman" w:cs="Times New Roman"/>
          <w:sz w:val="24"/>
          <w:szCs w:val="24"/>
        </w:rPr>
        <w:t xml:space="preserve"> regretted the split with the die-hards, which he felt side-lined southern unionist voices in negotiations and led to unsatisfactory safeguards in the Treaty; he gave no sense of wishing moderate politics had been put on a broader basis.</w:t>
      </w:r>
      <w:r>
        <w:rPr>
          <w:rStyle w:val="FootnoteReference"/>
          <w:rFonts w:ascii="Times New Roman" w:hAnsi="Times New Roman" w:cs="Times New Roman"/>
          <w:sz w:val="24"/>
          <w:szCs w:val="24"/>
        </w:rPr>
        <w:footnoteReference w:id="166"/>
      </w:r>
      <w:r>
        <w:rPr>
          <w:rFonts w:ascii="Times New Roman" w:hAnsi="Times New Roman" w:cs="Times New Roman"/>
          <w:sz w:val="24"/>
          <w:szCs w:val="24"/>
        </w:rPr>
        <w:t xml:space="preserve"> However, as the IDL understood, only a larger movement could have compelled the British government to listen. </w:t>
      </w:r>
    </w:p>
    <w:p w14:paraId="14471F47"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may be a third reason for the failure of the movement. In 1922 there were no shortage of members of the APL and the IUA who advocated reorganising, and contesting elections in the Free State as a conservative opposition.</w:t>
      </w:r>
      <w:r>
        <w:rPr>
          <w:rStyle w:val="FootnoteReference"/>
          <w:rFonts w:ascii="Times New Roman" w:hAnsi="Times New Roman" w:cs="Times New Roman"/>
          <w:sz w:val="24"/>
          <w:szCs w:val="24"/>
        </w:rPr>
        <w:footnoteReference w:id="167"/>
      </w:r>
      <w:r>
        <w:rPr>
          <w:rFonts w:ascii="Times New Roman" w:hAnsi="Times New Roman" w:cs="Times New Roman"/>
          <w:sz w:val="24"/>
          <w:szCs w:val="24"/>
        </w:rPr>
        <w:t xml:space="preserve"> The decision of both organisations, then, to wind down, only a year after the IDL did the same, points to a change in </w:t>
      </w:r>
      <w:r w:rsidRPr="003B16C1">
        <w:rPr>
          <w:rFonts w:ascii="Times New Roman" w:hAnsi="Times New Roman" w:cs="Times New Roman"/>
          <w:sz w:val="24"/>
          <w:szCs w:val="24"/>
        </w:rPr>
        <w:t xml:space="preserve">structural </w:t>
      </w:r>
      <w:r>
        <w:rPr>
          <w:rFonts w:ascii="Times New Roman" w:hAnsi="Times New Roman" w:cs="Times New Roman"/>
          <w:sz w:val="24"/>
          <w:szCs w:val="24"/>
        </w:rPr>
        <w:t xml:space="preserve">conditions. Members may have seen that under the coming dispensation, political power would belong to Sinn Féin and its successor organisations: there would be little room for other perspectives. In independent Ireland, they would inhabit a shrinking sphere of political influence.  </w:t>
      </w:r>
    </w:p>
    <w:p w14:paraId="07879C72" w14:textId="77777777" w:rsidR="001B747D" w:rsidRDefault="001B747D" w:rsidP="007232AE">
      <w:pPr>
        <w:spacing w:after="0" w:line="360" w:lineRule="auto"/>
        <w:jc w:val="both"/>
        <w:rPr>
          <w:rFonts w:ascii="Times New Roman" w:hAnsi="Times New Roman" w:cs="Times New Roman"/>
          <w:sz w:val="24"/>
          <w:szCs w:val="24"/>
        </w:rPr>
      </w:pPr>
    </w:p>
    <w:p w14:paraId="788976FC" w14:textId="77777777" w:rsidR="001B747D" w:rsidRPr="00A15F67" w:rsidRDefault="001B747D" w:rsidP="007232AE">
      <w:pPr>
        <w:spacing w:after="0" w:line="360" w:lineRule="auto"/>
        <w:jc w:val="both"/>
        <w:rPr>
          <w:rFonts w:ascii="Times New Roman" w:hAnsi="Times New Roman" w:cs="Times New Roman"/>
          <w:sz w:val="24"/>
          <w:szCs w:val="24"/>
        </w:rPr>
      </w:pPr>
    </w:p>
    <w:p w14:paraId="4CA69CE1" w14:textId="77777777" w:rsidR="001B747D" w:rsidRPr="009F06B2" w:rsidRDefault="001B747D" w:rsidP="007232AE">
      <w:pPr>
        <w:spacing w:after="0" w:line="360" w:lineRule="auto"/>
        <w:jc w:val="both"/>
        <w:rPr>
          <w:rFonts w:ascii="Times New Roman" w:hAnsi="Times New Roman" w:cs="Times New Roman"/>
          <w:sz w:val="24"/>
          <w:szCs w:val="24"/>
        </w:rPr>
      </w:pPr>
    </w:p>
    <w:p w14:paraId="2EDD3CFB" w14:textId="77777777" w:rsidR="001B747D" w:rsidRDefault="001B747D" w:rsidP="007232AE">
      <w:pPr>
        <w:pStyle w:val="ListParagraph"/>
        <w:spacing w:after="0" w:line="360" w:lineRule="auto"/>
        <w:ind w:left="786"/>
        <w:jc w:val="both"/>
        <w:rPr>
          <w:rFonts w:ascii="Times New Roman" w:hAnsi="Times New Roman" w:cs="Times New Roman"/>
          <w:sz w:val="24"/>
          <w:szCs w:val="24"/>
        </w:rPr>
      </w:pPr>
    </w:p>
    <w:p w14:paraId="78792978" w14:textId="77777777" w:rsidR="001B747D" w:rsidRDefault="001B747D" w:rsidP="007232AE">
      <w:pPr>
        <w:pStyle w:val="ListParagraph"/>
        <w:spacing w:after="0" w:line="360" w:lineRule="auto"/>
        <w:ind w:left="786"/>
        <w:jc w:val="both"/>
        <w:rPr>
          <w:rFonts w:ascii="Times New Roman" w:hAnsi="Times New Roman" w:cs="Times New Roman"/>
          <w:sz w:val="24"/>
          <w:szCs w:val="24"/>
        </w:rPr>
      </w:pPr>
    </w:p>
    <w:p w14:paraId="5B38DAF3" w14:textId="77777777" w:rsidR="001B747D" w:rsidRPr="00F1451A" w:rsidRDefault="001B747D" w:rsidP="007232AE">
      <w:pPr>
        <w:spacing w:after="0" w:line="360" w:lineRule="auto"/>
        <w:jc w:val="both"/>
        <w:rPr>
          <w:rFonts w:ascii="Times New Roman" w:hAnsi="Times New Roman" w:cs="Times New Roman"/>
          <w:sz w:val="24"/>
          <w:szCs w:val="24"/>
        </w:rPr>
      </w:pPr>
    </w:p>
    <w:p w14:paraId="2F348DF2" w14:textId="77777777" w:rsidR="001B747D" w:rsidRDefault="001B747D" w:rsidP="007232AE">
      <w:pPr>
        <w:spacing w:after="0" w:line="360" w:lineRule="auto"/>
        <w:jc w:val="both"/>
        <w:rPr>
          <w:rFonts w:ascii="Times New Roman" w:hAnsi="Times New Roman" w:cs="Times New Roman"/>
          <w:sz w:val="24"/>
          <w:szCs w:val="24"/>
        </w:rPr>
      </w:pPr>
      <w:r w:rsidRPr="00A40DD6">
        <w:rPr>
          <w:rFonts w:ascii="Times New Roman" w:hAnsi="Times New Roman" w:cs="Times New Roman"/>
          <w:sz w:val="24"/>
          <w:szCs w:val="24"/>
        </w:rPr>
        <w:tab/>
        <w:t xml:space="preserve"> </w:t>
      </w:r>
    </w:p>
    <w:p w14:paraId="0E364573" w14:textId="77777777" w:rsidR="001B747D"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14:paraId="5312F9A9" w14:textId="77777777" w:rsidR="001B747D" w:rsidRPr="00A40DD6" w:rsidRDefault="001B747D" w:rsidP="00723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40DD6">
        <w:rPr>
          <w:rFonts w:ascii="Times New Roman" w:hAnsi="Times New Roman" w:cs="Times New Roman"/>
          <w:sz w:val="24"/>
          <w:szCs w:val="24"/>
        </w:rPr>
        <w:t xml:space="preserve"> </w:t>
      </w:r>
    </w:p>
    <w:p w14:paraId="1A009AAB" w14:textId="77777777" w:rsidR="001B747D" w:rsidRDefault="001B747D" w:rsidP="007232AE">
      <w:pPr>
        <w:spacing w:after="0" w:line="360" w:lineRule="auto"/>
        <w:jc w:val="both"/>
        <w:rPr>
          <w:rFonts w:ascii="Times New Roman" w:hAnsi="Times New Roman" w:cs="Times New Roman"/>
          <w:sz w:val="24"/>
          <w:szCs w:val="24"/>
        </w:rPr>
      </w:pPr>
      <w:r w:rsidRPr="00A40DD6">
        <w:rPr>
          <w:rFonts w:ascii="Times New Roman" w:hAnsi="Times New Roman" w:cs="Times New Roman"/>
          <w:sz w:val="24"/>
          <w:szCs w:val="24"/>
        </w:rPr>
        <w:tab/>
      </w:r>
    </w:p>
    <w:p w14:paraId="243A5688" w14:textId="77777777" w:rsidR="001B747D" w:rsidRDefault="001B747D" w:rsidP="007232AE">
      <w:pPr>
        <w:spacing w:after="0" w:line="360" w:lineRule="auto"/>
        <w:jc w:val="both"/>
        <w:rPr>
          <w:rFonts w:ascii="Times New Roman" w:hAnsi="Times New Roman" w:cs="Times New Roman"/>
          <w:sz w:val="24"/>
          <w:szCs w:val="24"/>
        </w:rPr>
      </w:pPr>
    </w:p>
    <w:p w14:paraId="6D167306" w14:textId="77777777" w:rsidR="001B747D" w:rsidRDefault="001B747D" w:rsidP="007232AE">
      <w:pPr>
        <w:spacing w:after="0" w:line="360" w:lineRule="auto"/>
        <w:jc w:val="both"/>
        <w:rPr>
          <w:rFonts w:ascii="Times New Roman" w:hAnsi="Times New Roman" w:cs="Times New Roman"/>
          <w:sz w:val="24"/>
          <w:szCs w:val="24"/>
        </w:rPr>
      </w:pPr>
    </w:p>
    <w:p w14:paraId="1147A24C" w14:textId="77777777" w:rsidR="001B747D" w:rsidRPr="00A40DD6" w:rsidRDefault="001B747D" w:rsidP="007232AE">
      <w:pPr>
        <w:spacing w:after="0" w:line="360" w:lineRule="auto"/>
        <w:jc w:val="both"/>
        <w:rPr>
          <w:rFonts w:ascii="Times New Roman" w:hAnsi="Times New Roman" w:cs="Times New Roman"/>
          <w:sz w:val="24"/>
          <w:szCs w:val="24"/>
        </w:rPr>
      </w:pPr>
    </w:p>
    <w:p w14:paraId="0429ED7E" w14:textId="77777777" w:rsidR="001B747D" w:rsidRDefault="001B747D" w:rsidP="007232AE">
      <w:pPr>
        <w:spacing w:after="0" w:line="360" w:lineRule="auto"/>
        <w:jc w:val="both"/>
      </w:pPr>
    </w:p>
    <w:p w14:paraId="5788B0DF" w14:textId="77777777" w:rsidR="00FE3C7D" w:rsidRDefault="00FE3C7D" w:rsidP="007232AE">
      <w:pPr>
        <w:jc w:val="both"/>
      </w:pPr>
    </w:p>
    <w:sectPr w:rsidR="00FE3C7D" w:rsidSect="00672ADE">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A574" w14:textId="77777777" w:rsidR="00672ADE" w:rsidRDefault="00672ADE" w:rsidP="001B747D">
      <w:pPr>
        <w:spacing w:after="0" w:line="240" w:lineRule="auto"/>
      </w:pPr>
      <w:r>
        <w:separator/>
      </w:r>
    </w:p>
  </w:endnote>
  <w:endnote w:type="continuationSeparator" w:id="0">
    <w:p w14:paraId="758AB47B" w14:textId="77777777" w:rsidR="00672ADE" w:rsidRDefault="00672ADE" w:rsidP="001B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FDB6" w14:textId="77777777" w:rsidR="00672ADE" w:rsidRDefault="00672ADE" w:rsidP="001B747D">
      <w:pPr>
        <w:spacing w:after="0" w:line="240" w:lineRule="auto"/>
      </w:pPr>
      <w:r>
        <w:separator/>
      </w:r>
    </w:p>
  </w:footnote>
  <w:footnote w:type="continuationSeparator" w:id="0">
    <w:p w14:paraId="23BC4D72" w14:textId="77777777" w:rsidR="00672ADE" w:rsidRDefault="00672ADE" w:rsidP="001B747D">
      <w:pPr>
        <w:spacing w:after="0" w:line="240" w:lineRule="auto"/>
      </w:pPr>
      <w:r>
        <w:continuationSeparator/>
      </w:r>
    </w:p>
  </w:footnote>
  <w:footnote w:id="1">
    <w:p w14:paraId="375F67BD" w14:textId="249FEE30" w:rsidR="008E3CF6" w:rsidRDefault="008E3CF6" w:rsidP="001B747D">
      <w:pPr>
        <w:pStyle w:val="FootnoteText"/>
      </w:pPr>
      <w:r w:rsidRPr="00B90FBA">
        <w:rPr>
          <w:rStyle w:val="FootnoteReference"/>
        </w:rPr>
        <w:sym w:font="Symbol" w:char="F02A"/>
      </w:r>
      <w:r>
        <w:t xml:space="preserve"> Department of History, King’s College London, </w:t>
      </w:r>
      <w:hyperlink r:id="rId1" w:history="1">
        <w:r w:rsidRPr="00F630EB">
          <w:rPr>
            <w:rStyle w:val="Hyperlink"/>
          </w:rPr>
          <w:t>conor.morrissey@kcl.ac.uk</w:t>
        </w:r>
      </w:hyperlink>
      <w:r>
        <w:t xml:space="preserve"> </w:t>
      </w:r>
    </w:p>
  </w:footnote>
  <w:footnote w:id="2">
    <w:p w14:paraId="621B9374" w14:textId="442FCC42" w:rsidR="008E3CF6" w:rsidRDefault="008E3CF6" w:rsidP="001B747D">
      <w:pPr>
        <w:pStyle w:val="FootnoteText"/>
      </w:pPr>
      <w:r>
        <w:rPr>
          <w:rStyle w:val="FootnoteReference"/>
        </w:rPr>
        <w:footnoteRef/>
      </w:r>
      <w:r>
        <w:t xml:space="preserve"> Horace Plunkett diaries (HPD), 2 June 1918 (National Library of Ireland (NLI)); Horace </w:t>
      </w:r>
      <w:r w:rsidRPr="00D82DA5">
        <w:t xml:space="preserve">Plunkett, </w:t>
      </w:r>
      <w:r>
        <w:rPr>
          <w:i/>
        </w:rPr>
        <w:t>Home rule and conscription</w:t>
      </w:r>
      <w:r w:rsidRPr="00D82DA5">
        <w:t xml:space="preserve"> (Dublin, 1918), </w:t>
      </w:r>
      <w:r>
        <w:t xml:space="preserve">p. 12. </w:t>
      </w:r>
    </w:p>
  </w:footnote>
  <w:footnote w:id="3">
    <w:p w14:paraId="56F4A228" w14:textId="57A60F5C" w:rsidR="008E3CF6" w:rsidRDefault="008E3CF6" w:rsidP="001B747D">
      <w:pPr>
        <w:pStyle w:val="FootnoteText"/>
      </w:pPr>
      <w:r>
        <w:rPr>
          <w:rStyle w:val="FootnoteReference"/>
        </w:rPr>
        <w:footnoteRef/>
      </w:r>
      <w:r>
        <w:t xml:space="preserve"> David Lloyd George quoted in ‘All Ireland uniting’, memorandum from Irish Dominion League, undated [Aug</w:t>
      </w:r>
      <w:r w:rsidR="00F11DF6">
        <w:t>.</w:t>
      </w:r>
      <w:r>
        <w:t xml:space="preserve"> 1920] (NLI, Lord Monteagle papers, MS13,417/5). </w:t>
      </w:r>
    </w:p>
  </w:footnote>
  <w:footnote w:id="4">
    <w:p w14:paraId="01FDAA48" w14:textId="77777777" w:rsidR="008E3CF6" w:rsidRDefault="008E3CF6" w:rsidP="001B747D">
      <w:pPr>
        <w:pStyle w:val="FootnoteText"/>
      </w:pPr>
      <w:r>
        <w:rPr>
          <w:rStyle w:val="FootnoteReference"/>
        </w:rPr>
        <w:footnoteRef/>
      </w:r>
      <w:r>
        <w:t xml:space="preserve"> Colin</w:t>
      </w:r>
      <w:r w:rsidRPr="00A437AC">
        <w:t xml:space="preserve"> Reid, </w:t>
      </w:r>
      <w:r w:rsidRPr="00A437AC">
        <w:rPr>
          <w:i/>
        </w:rPr>
        <w:t>The lost Ireland of Stephen Gwynn: Irish constitutional nationalism and cultural politics, 1864</w:t>
      </w:r>
      <w:r>
        <w:rPr>
          <w:i/>
        </w:rPr>
        <w:t>‒</w:t>
      </w:r>
      <w:r w:rsidRPr="00A437AC">
        <w:rPr>
          <w:i/>
        </w:rPr>
        <w:t>1950</w:t>
      </w:r>
      <w:r>
        <w:t xml:space="preserve"> (Manchester, 2011), p. 165; Stephen Gwynn, cited in </w:t>
      </w:r>
      <w:proofErr w:type="spellStart"/>
      <w:r>
        <w:t>Senia</w:t>
      </w:r>
      <w:proofErr w:type="spellEnd"/>
      <w:r>
        <w:t xml:space="preserve"> </w:t>
      </w:r>
      <w:proofErr w:type="spellStart"/>
      <w:r>
        <w:t>Paseta</w:t>
      </w:r>
      <w:proofErr w:type="spellEnd"/>
      <w:r>
        <w:t xml:space="preserve">, ‘Ireland’s last home rule generation: the decline of constitutional nationalism in Ireland, 1916‒30’, in Mike Cronin and John M. Regan (eds.), </w:t>
      </w:r>
      <w:r w:rsidRPr="00192E11">
        <w:rPr>
          <w:i/>
        </w:rPr>
        <w:t>Ireland: The Politics of Independence, 1922</w:t>
      </w:r>
      <w:r>
        <w:rPr>
          <w:i/>
        </w:rPr>
        <w:t>‒</w:t>
      </w:r>
      <w:r w:rsidRPr="00192E11">
        <w:rPr>
          <w:i/>
        </w:rPr>
        <w:t>49</w:t>
      </w:r>
      <w:r w:rsidRPr="00192E11">
        <w:t xml:space="preserve"> </w:t>
      </w:r>
      <w:r>
        <w:t xml:space="preserve">(Basingstoke, 2000), p. 21. </w:t>
      </w:r>
    </w:p>
  </w:footnote>
  <w:footnote w:id="5">
    <w:p w14:paraId="7B7A4626" w14:textId="77777777" w:rsidR="008E3CF6" w:rsidRDefault="008E3CF6" w:rsidP="001B747D">
      <w:pPr>
        <w:pStyle w:val="FootnoteText"/>
      </w:pPr>
      <w:r>
        <w:rPr>
          <w:rStyle w:val="FootnoteReference"/>
        </w:rPr>
        <w:footnoteRef/>
      </w:r>
      <w:r>
        <w:t xml:space="preserve"> Henry Harrison, </w:t>
      </w:r>
      <w:r w:rsidRPr="00BE7473">
        <w:rPr>
          <w:i/>
        </w:rPr>
        <w:t>The Kingdom of Ireland and dominion status: a removal of misapprehensions</w:t>
      </w:r>
      <w:r>
        <w:t xml:space="preserve"> (Dublin, 1920), np.; Henry Harrison, </w:t>
      </w:r>
      <w:r w:rsidRPr="00BE7473">
        <w:rPr>
          <w:i/>
        </w:rPr>
        <w:t>The Irish Peace Conference 1920 and its betrayal: does the government want a genuine peace?</w:t>
      </w:r>
      <w:r>
        <w:t xml:space="preserve"> (Dublin, 1921), p. 4.</w:t>
      </w:r>
    </w:p>
  </w:footnote>
  <w:footnote w:id="6">
    <w:p w14:paraId="1CE21047" w14:textId="02CFA100" w:rsidR="008E3CF6" w:rsidRDefault="008E3CF6" w:rsidP="001B747D">
      <w:pPr>
        <w:pStyle w:val="FootnoteText"/>
      </w:pPr>
      <w:r>
        <w:rPr>
          <w:rStyle w:val="FootnoteReference"/>
        </w:rPr>
        <w:footnoteRef/>
      </w:r>
      <w:r>
        <w:t xml:space="preserve"> Lord Monteagle to Lord Burnham, 26 June 1920 (NLI, Monteagle papers, MS13,417/1).  </w:t>
      </w:r>
    </w:p>
  </w:footnote>
  <w:footnote w:id="7">
    <w:p w14:paraId="27973090" w14:textId="72602861" w:rsidR="008E3CF6" w:rsidRDefault="008E3CF6" w:rsidP="001B747D">
      <w:pPr>
        <w:pStyle w:val="FootnoteText"/>
      </w:pPr>
      <w:r>
        <w:rPr>
          <w:rStyle w:val="FootnoteReference"/>
        </w:rPr>
        <w:footnoteRef/>
      </w:r>
      <w:r>
        <w:t xml:space="preserve"> Sir Stanley Harrington to Lord Monteagle, 28 June 1920 (NLI, Monteagle papers MS13,417/1).  </w:t>
      </w:r>
    </w:p>
  </w:footnote>
  <w:footnote w:id="8">
    <w:p w14:paraId="6E2EC3B3" w14:textId="6DFA17F6" w:rsidR="008E3CF6" w:rsidRDefault="008E3CF6" w:rsidP="001B747D">
      <w:pPr>
        <w:pStyle w:val="FootnoteText"/>
      </w:pPr>
      <w:r>
        <w:rPr>
          <w:rStyle w:val="FootnoteReference"/>
        </w:rPr>
        <w:footnoteRef/>
      </w:r>
      <w:r>
        <w:t xml:space="preserve"> </w:t>
      </w:r>
      <w:r w:rsidRPr="0003293F">
        <w:t>R</w:t>
      </w:r>
      <w:r>
        <w:t xml:space="preserve">oyal </w:t>
      </w:r>
      <w:r w:rsidRPr="0003293F">
        <w:t>I</w:t>
      </w:r>
      <w:r>
        <w:t xml:space="preserve">rish </w:t>
      </w:r>
      <w:r w:rsidRPr="0003293F">
        <w:t>C</w:t>
      </w:r>
      <w:r>
        <w:t>onstabulary</w:t>
      </w:r>
      <w:r w:rsidRPr="0003293F">
        <w:t xml:space="preserve"> Inspector-Gen</w:t>
      </w:r>
      <w:r>
        <w:t>eral</w:t>
      </w:r>
      <w:r w:rsidRPr="0003293F">
        <w:t xml:space="preserve"> Byrne </w:t>
      </w:r>
      <w:r>
        <w:t xml:space="preserve">quoted in </w:t>
      </w:r>
      <w:proofErr w:type="spellStart"/>
      <w:r>
        <w:t>Eunan</w:t>
      </w:r>
      <w:proofErr w:type="spellEnd"/>
      <w:r>
        <w:t xml:space="preserve"> </w:t>
      </w:r>
      <w:proofErr w:type="spellStart"/>
      <w:r>
        <w:t>O’Halpin</w:t>
      </w:r>
      <w:proofErr w:type="spellEnd"/>
      <w:r>
        <w:t xml:space="preserve">, </w:t>
      </w:r>
      <w:r w:rsidRPr="00482053">
        <w:rPr>
          <w:i/>
        </w:rPr>
        <w:t>The decline of the union: British government in Ireland, 1892</w:t>
      </w:r>
      <w:r>
        <w:rPr>
          <w:i/>
        </w:rPr>
        <w:t>‒</w:t>
      </w:r>
      <w:r w:rsidRPr="00482053">
        <w:rPr>
          <w:i/>
        </w:rPr>
        <w:t>1920</w:t>
      </w:r>
      <w:r>
        <w:t xml:space="preserve"> (Dublin and </w:t>
      </w:r>
      <w:r w:rsidRPr="00482053">
        <w:t>Syracuse</w:t>
      </w:r>
      <w:r>
        <w:t xml:space="preserve">, New York, 1987), p. 191; </w:t>
      </w:r>
      <w:r w:rsidRPr="0003293F">
        <w:t xml:space="preserve">Mark Sturgis </w:t>
      </w:r>
      <w:r>
        <w:t xml:space="preserve">quoted in Michael Hopkinson (ed.), </w:t>
      </w:r>
      <w:r w:rsidRPr="004A1B18">
        <w:rPr>
          <w:i/>
        </w:rPr>
        <w:t>The last days of Dublin Castle: the Mark Sturgis diaries</w:t>
      </w:r>
      <w:r>
        <w:t xml:space="preserve"> (Dublin, 1999), 28 Aug</w:t>
      </w:r>
      <w:r w:rsidR="00F11DF6">
        <w:t>.</w:t>
      </w:r>
      <w:r>
        <w:t xml:space="preserve"> 1920; Chief Secretary Edward S. Short quoted in </w:t>
      </w:r>
      <w:proofErr w:type="spellStart"/>
      <w:r>
        <w:t>O’Halpin</w:t>
      </w:r>
      <w:proofErr w:type="spellEnd"/>
      <w:r>
        <w:t xml:space="preserve">, </w:t>
      </w:r>
      <w:r w:rsidRPr="00482053">
        <w:rPr>
          <w:i/>
        </w:rPr>
        <w:t>The decline of the union</w:t>
      </w:r>
      <w:r>
        <w:rPr>
          <w:i/>
        </w:rPr>
        <w:t>,</w:t>
      </w:r>
      <w:r>
        <w:t xml:space="preserve"> p. 179.  </w:t>
      </w:r>
    </w:p>
  </w:footnote>
  <w:footnote w:id="9">
    <w:p w14:paraId="13169D7F" w14:textId="74EF8EDC" w:rsidR="008E3CF6" w:rsidRDefault="008E3CF6" w:rsidP="001B747D">
      <w:pPr>
        <w:pStyle w:val="FootnoteText"/>
      </w:pPr>
      <w:r>
        <w:rPr>
          <w:rStyle w:val="FootnoteReference"/>
        </w:rPr>
        <w:footnoteRef/>
      </w:r>
      <w:r>
        <w:t xml:space="preserve"> Irish Peace Conference memorandum, 7 Oct</w:t>
      </w:r>
      <w:r w:rsidR="00F11DF6">
        <w:t>.</w:t>
      </w:r>
      <w:r>
        <w:t xml:space="preserve"> 1920 (NLI, Monteagle papers, MS 13,415); Warre B. Wells, </w:t>
      </w:r>
      <w:r>
        <w:rPr>
          <w:i/>
        </w:rPr>
        <w:t xml:space="preserve">Irish indiscretions </w:t>
      </w:r>
      <w:r>
        <w:t xml:space="preserve">(Dublin, 1923), p. 98; A.M. Sullivan, </w:t>
      </w:r>
      <w:r w:rsidRPr="006912D4">
        <w:rPr>
          <w:i/>
        </w:rPr>
        <w:t>Old Ireland: reminiscences of an Irish KC</w:t>
      </w:r>
      <w:r>
        <w:t xml:space="preserve"> (New York, 1928), p. 273; George </w:t>
      </w:r>
      <w:proofErr w:type="spellStart"/>
      <w:r>
        <w:t>Fitzhardinge</w:t>
      </w:r>
      <w:proofErr w:type="spellEnd"/>
      <w:r>
        <w:t xml:space="preserve"> Berkeley to Edmond J. Frewen, 19 Aug</w:t>
      </w:r>
      <w:r w:rsidR="00F11DF6">
        <w:t>.</w:t>
      </w:r>
      <w:r>
        <w:t xml:space="preserve"> 1920 (Cork City and County Archives (CCCA), </w:t>
      </w:r>
      <w:r w:rsidRPr="003B3867">
        <w:t xml:space="preserve">George </w:t>
      </w:r>
      <w:proofErr w:type="spellStart"/>
      <w:r w:rsidRPr="003B3867">
        <w:t>Fitzhardinge</w:t>
      </w:r>
      <w:proofErr w:type="spellEnd"/>
      <w:r w:rsidRPr="003B3867">
        <w:t xml:space="preserve"> Berkeley</w:t>
      </w:r>
      <w:r>
        <w:t xml:space="preserve"> papers); Elisabeth Mary </w:t>
      </w:r>
      <w:proofErr w:type="spellStart"/>
      <w:r>
        <w:t>Fingall</w:t>
      </w:r>
      <w:proofErr w:type="spellEnd"/>
      <w:r>
        <w:t xml:space="preserve">, </w:t>
      </w:r>
      <w:r w:rsidRPr="006912D4">
        <w:rPr>
          <w:i/>
        </w:rPr>
        <w:t xml:space="preserve">Seventy years young, memories of Elizabeth, countess of </w:t>
      </w:r>
      <w:proofErr w:type="spellStart"/>
      <w:r w:rsidRPr="006912D4">
        <w:rPr>
          <w:i/>
        </w:rPr>
        <w:t>Fingall</w:t>
      </w:r>
      <w:proofErr w:type="spellEnd"/>
      <w:r w:rsidRPr="006912D4">
        <w:rPr>
          <w:i/>
        </w:rPr>
        <w:t>, told to Pamela Hinkson</w:t>
      </w:r>
      <w:r>
        <w:t xml:space="preserve"> (London, 1937), p. 394.</w:t>
      </w:r>
    </w:p>
  </w:footnote>
  <w:footnote w:id="10">
    <w:p w14:paraId="65A4C12A" w14:textId="77777777" w:rsidR="008E3CF6" w:rsidRDefault="008E3CF6" w:rsidP="001B747D">
      <w:pPr>
        <w:pStyle w:val="FootnoteText"/>
      </w:pPr>
      <w:r>
        <w:rPr>
          <w:rStyle w:val="FootnoteReference"/>
        </w:rPr>
        <w:footnoteRef/>
      </w:r>
      <w:r>
        <w:t xml:space="preserve"> </w:t>
      </w:r>
      <w:proofErr w:type="spellStart"/>
      <w:r>
        <w:t>Paseta</w:t>
      </w:r>
      <w:proofErr w:type="spellEnd"/>
      <w:r>
        <w:t xml:space="preserve">, ‘Ireland’s last home rule generation’. </w:t>
      </w:r>
    </w:p>
  </w:footnote>
  <w:footnote w:id="11">
    <w:p w14:paraId="7C9352A7" w14:textId="77777777" w:rsidR="008E3CF6" w:rsidRDefault="008E3CF6" w:rsidP="001B747D">
      <w:pPr>
        <w:pStyle w:val="FootnoteText"/>
      </w:pPr>
      <w:r>
        <w:rPr>
          <w:rStyle w:val="FootnoteReference"/>
        </w:rPr>
        <w:footnoteRef/>
      </w:r>
      <w:r>
        <w:t xml:space="preserve"> </w:t>
      </w:r>
      <w:r w:rsidRPr="00A437AC">
        <w:t xml:space="preserve">Reid, </w:t>
      </w:r>
      <w:r w:rsidRPr="00A437AC">
        <w:rPr>
          <w:i/>
        </w:rPr>
        <w:t>The lost Ireland of Stephen Gwynn</w:t>
      </w:r>
      <w:r>
        <w:t xml:space="preserve">; Colin Reid, ‘Stephen Gwynn and the failure of constitutional nationalism in Ireland, 1919–1921’, in </w:t>
      </w:r>
      <w:r>
        <w:rPr>
          <w:i/>
        </w:rPr>
        <w:t>The Historical Journal</w:t>
      </w:r>
      <w:r w:rsidRPr="00B67E69">
        <w:t xml:space="preserve">, </w:t>
      </w:r>
      <w:r>
        <w:t xml:space="preserve">Vol. </w:t>
      </w:r>
      <w:r w:rsidRPr="00B67E69">
        <w:t xml:space="preserve">53, </w:t>
      </w:r>
      <w:r>
        <w:t xml:space="preserve">No. </w:t>
      </w:r>
      <w:r w:rsidRPr="00B67E69">
        <w:t>3 (</w:t>
      </w:r>
      <w:r>
        <w:t xml:space="preserve">Sept. </w:t>
      </w:r>
      <w:r w:rsidRPr="00B67E69">
        <w:t>2010),</w:t>
      </w:r>
      <w:r>
        <w:t xml:space="preserve"> pp. 723‒45. </w:t>
      </w:r>
    </w:p>
  </w:footnote>
  <w:footnote w:id="12">
    <w:p w14:paraId="3AD6CE2C" w14:textId="77777777" w:rsidR="008E3CF6" w:rsidRPr="00736840" w:rsidRDefault="008E3CF6" w:rsidP="001B747D">
      <w:pPr>
        <w:pStyle w:val="FootnoteText"/>
      </w:pPr>
      <w:r>
        <w:rPr>
          <w:rStyle w:val="FootnoteReference"/>
        </w:rPr>
        <w:footnoteRef/>
      </w:r>
      <w:r>
        <w:t xml:space="preserve"> Martin O’Donoghue, </w:t>
      </w:r>
      <w:r w:rsidRPr="00736840">
        <w:rPr>
          <w:i/>
        </w:rPr>
        <w:t>The Legacy of the Irish Parliamentary Party in independent Ireland, 1922</w:t>
      </w:r>
      <w:r>
        <w:rPr>
          <w:i/>
        </w:rPr>
        <w:t>‒</w:t>
      </w:r>
      <w:r w:rsidRPr="00736840">
        <w:rPr>
          <w:i/>
        </w:rPr>
        <w:t>1949</w:t>
      </w:r>
      <w:r>
        <w:rPr>
          <w:i/>
        </w:rPr>
        <w:t xml:space="preserve"> </w:t>
      </w:r>
      <w:r>
        <w:t xml:space="preserve">(Liverpool, 2019). </w:t>
      </w:r>
    </w:p>
  </w:footnote>
  <w:footnote w:id="13">
    <w:p w14:paraId="5DB0516A" w14:textId="77777777" w:rsidR="008E3CF6" w:rsidRDefault="008E3CF6" w:rsidP="001B747D">
      <w:pPr>
        <w:pStyle w:val="FootnoteText"/>
      </w:pPr>
      <w:r>
        <w:rPr>
          <w:rStyle w:val="FootnoteReference"/>
        </w:rPr>
        <w:footnoteRef/>
      </w:r>
      <w:r>
        <w:t xml:space="preserve"> Michael Hopkinson, </w:t>
      </w:r>
      <w:r>
        <w:rPr>
          <w:i/>
          <w:iCs/>
        </w:rPr>
        <w:t>The Irish War of Independence</w:t>
      </w:r>
      <w:r>
        <w:t xml:space="preserve"> (Dublin, 2002), esp. pp. 176‒7. </w:t>
      </w:r>
    </w:p>
  </w:footnote>
  <w:footnote w:id="14">
    <w:p w14:paraId="50302AC5" w14:textId="77777777" w:rsidR="008E3CF6" w:rsidRDefault="008E3CF6" w:rsidP="001B747D">
      <w:pPr>
        <w:pStyle w:val="FootnoteText"/>
      </w:pPr>
      <w:r>
        <w:rPr>
          <w:rStyle w:val="FootnoteReference"/>
        </w:rPr>
        <w:footnoteRef/>
      </w:r>
      <w:r>
        <w:t xml:space="preserve"> Paul Bew, ‘</w:t>
      </w:r>
      <w:r w:rsidRPr="0039122A">
        <w:t>Moderate Nationalism and the Irish Revolution, 1916</w:t>
      </w:r>
      <w:r>
        <w:t>‒</w:t>
      </w:r>
      <w:r w:rsidRPr="0039122A">
        <w:t>1923</w:t>
      </w:r>
      <w:r>
        <w:t xml:space="preserve">’, in </w:t>
      </w:r>
      <w:r w:rsidRPr="0039122A">
        <w:rPr>
          <w:i/>
        </w:rPr>
        <w:t>The Historical Journal</w:t>
      </w:r>
    </w:p>
    <w:p w14:paraId="62E5AA8B" w14:textId="77777777" w:rsidR="008E3CF6" w:rsidRDefault="008E3CF6" w:rsidP="001B747D">
      <w:pPr>
        <w:pStyle w:val="FootnoteText"/>
      </w:pPr>
      <w:r>
        <w:t xml:space="preserve">Vol. 42, No. 3 (Sept. 1999), pp. 729‒749, at 748. </w:t>
      </w:r>
    </w:p>
  </w:footnote>
  <w:footnote w:id="15">
    <w:p w14:paraId="1FCC94AD" w14:textId="77777777" w:rsidR="008E3CF6" w:rsidRDefault="008E3CF6" w:rsidP="001B747D">
      <w:pPr>
        <w:pStyle w:val="FootnoteText"/>
      </w:pPr>
      <w:r>
        <w:rPr>
          <w:rStyle w:val="FootnoteReference"/>
        </w:rPr>
        <w:footnoteRef/>
      </w:r>
      <w:r>
        <w:t xml:space="preserve"> See Andrew Gailey, </w:t>
      </w:r>
      <w:r w:rsidRPr="00773E3E">
        <w:rPr>
          <w:i/>
        </w:rPr>
        <w:t>Ireland and the death of kindness: the experience of constructive unionism in Ireland, 1890</w:t>
      </w:r>
      <w:r>
        <w:rPr>
          <w:i/>
        </w:rPr>
        <w:t>‒</w:t>
      </w:r>
      <w:r w:rsidRPr="00773E3E">
        <w:rPr>
          <w:i/>
        </w:rPr>
        <w:t xml:space="preserve">1905 </w:t>
      </w:r>
      <w:r>
        <w:t xml:space="preserve">(Cork, 1987), </w:t>
      </w:r>
      <w:proofErr w:type="spellStart"/>
      <w:r>
        <w:t>chs</w:t>
      </w:r>
      <w:proofErr w:type="spellEnd"/>
      <w:r>
        <w:t xml:space="preserve">. 6‒9.  </w:t>
      </w:r>
    </w:p>
  </w:footnote>
  <w:footnote w:id="16">
    <w:p w14:paraId="06708632" w14:textId="77777777" w:rsidR="008E3CF6" w:rsidRDefault="008E3CF6" w:rsidP="001B747D">
      <w:pPr>
        <w:pStyle w:val="FootnoteText"/>
      </w:pPr>
      <w:r>
        <w:rPr>
          <w:rStyle w:val="FootnoteReference"/>
        </w:rPr>
        <w:footnoteRef/>
      </w:r>
      <w:r>
        <w:t xml:space="preserve"> See Joseph V. O’Brien, </w:t>
      </w:r>
      <w:r w:rsidRPr="00AB7148">
        <w:rPr>
          <w:i/>
        </w:rPr>
        <w:t>William O’Brien and the course of Irish politics, 1881</w:t>
      </w:r>
      <w:r>
        <w:rPr>
          <w:i/>
        </w:rPr>
        <w:t>‒</w:t>
      </w:r>
      <w:r w:rsidRPr="00AB7148">
        <w:rPr>
          <w:i/>
        </w:rPr>
        <w:t>1918</w:t>
      </w:r>
      <w:r>
        <w:t xml:space="preserve"> (London, 1976), </w:t>
      </w:r>
      <w:proofErr w:type="spellStart"/>
      <w:r>
        <w:t>ch.</w:t>
      </w:r>
      <w:proofErr w:type="spellEnd"/>
      <w:r>
        <w:t xml:space="preserve"> 8. </w:t>
      </w:r>
    </w:p>
  </w:footnote>
  <w:footnote w:id="17">
    <w:p w14:paraId="7A009A6F" w14:textId="35DB065E" w:rsidR="00A50B81" w:rsidRDefault="00A50B81">
      <w:pPr>
        <w:pStyle w:val="FootnoteText"/>
      </w:pPr>
      <w:r>
        <w:rPr>
          <w:rStyle w:val="FootnoteReference"/>
        </w:rPr>
        <w:footnoteRef/>
      </w:r>
      <w:r>
        <w:t xml:space="preserve"> See Conor Morrissey, </w:t>
      </w:r>
      <w:r w:rsidRPr="005F766B">
        <w:t xml:space="preserve">‘Protestant home rulers and constitutional nationalism in Ireland, c. 1900-1914’, in the </w:t>
      </w:r>
      <w:r w:rsidRPr="00FC01BA">
        <w:rPr>
          <w:i/>
        </w:rPr>
        <w:t xml:space="preserve">English Historical Review, </w:t>
      </w:r>
      <w:r w:rsidRPr="005F766B">
        <w:t xml:space="preserve">cxxxvi (2021), pp. 1224-56.  </w:t>
      </w:r>
    </w:p>
  </w:footnote>
  <w:footnote w:id="18">
    <w:p w14:paraId="25D8DB5F" w14:textId="77777777" w:rsidR="008E3CF6" w:rsidRDefault="008E3CF6" w:rsidP="001B747D">
      <w:pPr>
        <w:pStyle w:val="FootnoteText"/>
      </w:pPr>
      <w:r>
        <w:rPr>
          <w:rStyle w:val="FootnoteReference"/>
        </w:rPr>
        <w:footnoteRef/>
      </w:r>
      <w:r>
        <w:t xml:space="preserve"> Catriona Pennell, </w:t>
      </w:r>
      <w:r w:rsidRPr="002C1058">
        <w:rPr>
          <w:i/>
        </w:rPr>
        <w:t xml:space="preserve">A kingdom united: popular responses to the outbreak of the First World War in Britain and Ireland </w:t>
      </w:r>
      <w:r>
        <w:t xml:space="preserve">(Oxford, 2012), </w:t>
      </w:r>
      <w:proofErr w:type="spellStart"/>
      <w:r>
        <w:t>ch.</w:t>
      </w:r>
      <w:proofErr w:type="spellEnd"/>
      <w:r>
        <w:t xml:space="preserve"> 6. </w:t>
      </w:r>
    </w:p>
  </w:footnote>
  <w:footnote w:id="19">
    <w:p w14:paraId="0B648FA0" w14:textId="77777777" w:rsidR="008E3CF6" w:rsidRDefault="008E3CF6" w:rsidP="001B747D">
      <w:pPr>
        <w:pStyle w:val="FootnoteText"/>
      </w:pPr>
      <w:r>
        <w:rPr>
          <w:rStyle w:val="FootnoteReference"/>
        </w:rPr>
        <w:footnoteRef/>
      </w:r>
      <w:r>
        <w:t xml:space="preserve"> HPD, 26 June 1918.</w:t>
      </w:r>
    </w:p>
  </w:footnote>
  <w:footnote w:id="20">
    <w:p w14:paraId="2BE6A4E0" w14:textId="77777777" w:rsidR="008E3CF6" w:rsidRPr="00EF471D" w:rsidRDefault="008E3CF6" w:rsidP="001B747D">
      <w:pPr>
        <w:pStyle w:val="FootnoteText"/>
      </w:pPr>
      <w:r>
        <w:rPr>
          <w:rStyle w:val="FootnoteReference"/>
        </w:rPr>
        <w:footnoteRef/>
      </w:r>
      <w:r>
        <w:t xml:space="preserve"> F.S.L. Lyons, </w:t>
      </w:r>
      <w:r w:rsidRPr="00D67909">
        <w:rPr>
          <w:i/>
        </w:rPr>
        <w:t>John Dillon</w:t>
      </w:r>
      <w:r>
        <w:rPr>
          <w:i/>
        </w:rPr>
        <w:t xml:space="preserve">: a biography </w:t>
      </w:r>
      <w:r>
        <w:t xml:space="preserve">(Chicago, 1968), pp. 453‒4; O’Donoghue, </w:t>
      </w:r>
      <w:r w:rsidRPr="00736840">
        <w:rPr>
          <w:i/>
        </w:rPr>
        <w:t>The Legacy of the Irish Parliamentary Party</w:t>
      </w:r>
      <w:r>
        <w:rPr>
          <w:i/>
        </w:rPr>
        <w:t xml:space="preserve">, </w:t>
      </w:r>
      <w:r>
        <w:t>pp. 7‒9.</w:t>
      </w:r>
    </w:p>
  </w:footnote>
  <w:footnote w:id="21">
    <w:p w14:paraId="4A4FDE3F" w14:textId="180C8A55" w:rsidR="008E3CF6" w:rsidRPr="006745FC" w:rsidRDefault="008E3CF6" w:rsidP="001B747D">
      <w:pPr>
        <w:pStyle w:val="FootnoteText"/>
        <w:rPr>
          <w:b/>
        </w:rPr>
      </w:pPr>
      <w:r w:rsidRPr="004C70D5">
        <w:rPr>
          <w:rStyle w:val="FootnoteReference"/>
        </w:rPr>
        <w:footnoteRef/>
      </w:r>
      <w:r w:rsidRPr="004C70D5">
        <w:t xml:space="preserve"> </w:t>
      </w:r>
      <w:r>
        <w:t>HPD, 19 Aug</w:t>
      </w:r>
      <w:r w:rsidR="00F11DF6">
        <w:t>.</w:t>
      </w:r>
      <w:r>
        <w:t>, 13 Sept</w:t>
      </w:r>
      <w:r w:rsidR="00F11DF6">
        <w:t>.</w:t>
      </w:r>
      <w:r>
        <w:t xml:space="preserve"> 1911, 1, 11 Apr</w:t>
      </w:r>
      <w:r w:rsidR="00F11DF6">
        <w:t>.</w:t>
      </w:r>
      <w:r>
        <w:t xml:space="preserve">, year-end summary 1912; Horace Plunkett, </w:t>
      </w:r>
      <w:r>
        <w:rPr>
          <w:i/>
        </w:rPr>
        <w:t xml:space="preserve">A better way: an appeal to Ulster not to desert Ireland </w:t>
      </w:r>
      <w:r>
        <w:t xml:space="preserve">(Dublin and London, 1914), pp. 23‒24. </w:t>
      </w:r>
    </w:p>
  </w:footnote>
  <w:footnote w:id="22">
    <w:p w14:paraId="750DEB8E" w14:textId="34239B0C" w:rsidR="008E3CF6" w:rsidRPr="008A5263" w:rsidRDefault="008E3CF6" w:rsidP="001B747D">
      <w:pPr>
        <w:pStyle w:val="FootnoteText"/>
        <w:rPr>
          <w:b/>
        </w:rPr>
      </w:pPr>
      <w:r w:rsidRPr="004C70D5">
        <w:rPr>
          <w:rStyle w:val="FootnoteReference"/>
        </w:rPr>
        <w:footnoteRef/>
      </w:r>
      <w:r w:rsidRPr="004C70D5">
        <w:t xml:space="preserve"> </w:t>
      </w:r>
      <w:r>
        <w:t xml:space="preserve">Horace Plunkett to </w:t>
      </w:r>
      <w:proofErr w:type="spellStart"/>
      <w:r>
        <w:t>Dermod</w:t>
      </w:r>
      <w:proofErr w:type="spellEnd"/>
      <w:r>
        <w:t xml:space="preserve"> O’Brien, 21 Aug</w:t>
      </w:r>
      <w:r w:rsidR="00F11DF6">
        <w:t>.</w:t>
      </w:r>
      <w:r>
        <w:t xml:space="preserve"> 1916 (Trinity College Dublin (TCD), </w:t>
      </w:r>
      <w:proofErr w:type="spellStart"/>
      <w:r>
        <w:t>Dermod</w:t>
      </w:r>
      <w:proofErr w:type="spellEnd"/>
      <w:r>
        <w:t xml:space="preserve"> </w:t>
      </w:r>
      <w:r w:rsidRPr="006501D8">
        <w:t>O’Brien papers, MS 4294</w:t>
      </w:r>
      <w:r>
        <w:t xml:space="preserve">/142-187). </w:t>
      </w:r>
    </w:p>
  </w:footnote>
  <w:footnote w:id="23">
    <w:p w14:paraId="32128A2B" w14:textId="77777777" w:rsidR="008E3CF6" w:rsidRDefault="008E3CF6" w:rsidP="001B747D">
      <w:pPr>
        <w:pStyle w:val="FootnoteText"/>
      </w:pPr>
      <w:r>
        <w:rPr>
          <w:rStyle w:val="FootnoteReference"/>
        </w:rPr>
        <w:footnoteRef/>
      </w:r>
      <w:r>
        <w:t xml:space="preserve"> See Carla King, ‘The Recess Committee, 1895‒6’, in </w:t>
      </w:r>
      <w:r w:rsidRPr="00B83AEF">
        <w:rPr>
          <w:i/>
        </w:rPr>
        <w:t>Studia Hibernica</w:t>
      </w:r>
      <w:r>
        <w:t xml:space="preserve">, No. 30 (1998/1999), pp. 21‒46; Wells, </w:t>
      </w:r>
      <w:r>
        <w:rPr>
          <w:i/>
        </w:rPr>
        <w:t>Irish indiscretions,</w:t>
      </w:r>
      <w:r>
        <w:t xml:space="preserve"> p. 82. </w:t>
      </w:r>
    </w:p>
  </w:footnote>
  <w:footnote w:id="24">
    <w:p w14:paraId="0C4B5689" w14:textId="77777777" w:rsidR="008E3CF6" w:rsidRPr="00D64998" w:rsidRDefault="008E3CF6" w:rsidP="001B747D">
      <w:pPr>
        <w:pStyle w:val="FootnoteText"/>
        <w:rPr>
          <w:b/>
        </w:rPr>
      </w:pPr>
      <w:r>
        <w:rPr>
          <w:rStyle w:val="FootnoteReference"/>
        </w:rPr>
        <w:footnoteRef/>
      </w:r>
      <w:r>
        <w:t xml:space="preserve"> R.B. McDowell, </w:t>
      </w:r>
      <w:r w:rsidRPr="003D2B64">
        <w:rPr>
          <w:i/>
        </w:rPr>
        <w:t>The Irish Convention</w:t>
      </w:r>
      <w:r>
        <w:rPr>
          <w:i/>
        </w:rPr>
        <w:t xml:space="preserve">, 1917‒18 </w:t>
      </w:r>
      <w:r>
        <w:t xml:space="preserve">(London and Toronto, 1970), pp. 129‒130.  </w:t>
      </w:r>
    </w:p>
  </w:footnote>
  <w:footnote w:id="25">
    <w:p w14:paraId="4143811D" w14:textId="77777777" w:rsidR="008E3CF6" w:rsidRDefault="008E3CF6" w:rsidP="001B747D">
      <w:pPr>
        <w:pStyle w:val="FootnoteText"/>
      </w:pPr>
      <w:r>
        <w:rPr>
          <w:rStyle w:val="FootnoteReference"/>
        </w:rPr>
        <w:footnoteRef/>
      </w:r>
      <w:r>
        <w:t xml:space="preserve"> Alvin Jackson, </w:t>
      </w:r>
      <w:r w:rsidRPr="0070666C">
        <w:rPr>
          <w:i/>
        </w:rPr>
        <w:t>Home rule: an Irish history</w:t>
      </w:r>
      <w:r>
        <w:t xml:space="preserve"> (London, 2003), pp. 208‒12ff. </w:t>
      </w:r>
    </w:p>
  </w:footnote>
  <w:footnote w:id="26">
    <w:p w14:paraId="55BD09FA" w14:textId="77777777" w:rsidR="008E3CF6" w:rsidRPr="00237A65" w:rsidRDefault="008E3CF6" w:rsidP="001B747D">
      <w:pPr>
        <w:pStyle w:val="FootnoteText"/>
        <w:rPr>
          <w:b/>
        </w:rPr>
      </w:pPr>
      <w:r>
        <w:rPr>
          <w:rStyle w:val="FootnoteReference"/>
        </w:rPr>
        <w:footnoteRef/>
      </w:r>
      <w:r>
        <w:t xml:space="preserve"> </w:t>
      </w:r>
      <w:proofErr w:type="spellStart"/>
      <w:r>
        <w:t>O’Halpin</w:t>
      </w:r>
      <w:proofErr w:type="spellEnd"/>
      <w:r>
        <w:t xml:space="preserve">, </w:t>
      </w:r>
      <w:r w:rsidRPr="00482053">
        <w:rPr>
          <w:i/>
        </w:rPr>
        <w:t>The decline of the union</w:t>
      </w:r>
      <w:r>
        <w:t>, p. 158</w:t>
      </w:r>
      <w:r>
        <w:rPr>
          <w:i/>
        </w:rPr>
        <w:t>.</w:t>
      </w:r>
    </w:p>
  </w:footnote>
  <w:footnote w:id="27">
    <w:p w14:paraId="5034B0DC" w14:textId="08CB86E7" w:rsidR="008E3CF6" w:rsidRPr="00242B4F" w:rsidRDefault="008E3CF6" w:rsidP="001B747D">
      <w:pPr>
        <w:pStyle w:val="FootnoteText"/>
      </w:pPr>
      <w:r w:rsidRPr="004C70D5">
        <w:rPr>
          <w:rStyle w:val="FootnoteReference"/>
        </w:rPr>
        <w:footnoteRef/>
      </w:r>
      <w:r w:rsidRPr="004C70D5">
        <w:t xml:space="preserve"> </w:t>
      </w:r>
      <w:r w:rsidRPr="00D82DA5">
        <w:t xml:space="preserve">Plunkett, </w:t>
      </w:r>
      <w:r>
        <w:rPr>
          <w:i/>
        </w:rPr>
        <w:t>Home rule and conscription</w:t>
      </w:r>
      <w:r w:rsidRPr="00D82DA5">
        <w:t xml:space="preserve">, pp. </w:t>
      </w:r>
      <w:r>
        <w:t xml:space="preserve">19, </w:t>
      </w:r>
      <w:r w:rsidRPr="00D82DA5">
        <w:t>25, 30</w:t>
      </w:r>
      <w:r>
        <w:t>‒</w:t>
      </w:r>
      <w:r w:rsidRPr="00D82DA5">
        <w:t>31.</w:t>
      </w:r>
      <w:r w:rsidRPr="000A043E">
        <w:t xml:space="preserve"> </w:t>
      </w:r>
      <w:r w:rsidRPr="00D82DA5">
        <w:t xml:space="preserve">See also </w:t>
      </w:r>
      <w:r>
        <w:t xml:space="preserve">HPD, 3 May 1918; </w:t>
      </w:r>
      <w:r w:rsidRPr="00D82DA5">
        <w:rPr>
          <w:i/>
        </w:rPr>
        <w:t>Cork</w:t>
      </w:r>
      <w:r>
        <w:rPr>
          <w:i/>
        </w:rPr>
        <w:t xml:space="preserve"> Constitution, </w:t>
      </w:r>
      <w:r>
        <w:t>25 Nov</w:t>
      </w:r>
      <w:r w:rsidR="00F11DF6">
        <w:t>.</w:t>
      </w:r>
      <w:r>
        <w:t xml:space="preserve"> 1918; </w:t>
      </w:r>
      <w:r>
        <w:rPr>
          <w:i/>
        </w:rPr>
        <w:t xml:space="preserve">Ulster Guardian, </w:t>
      </w:r>
      <w:r>
        <w:t>30 Nov</w:t>
      </w:r>
      <w:r w:rsidR="00F11DF6">
        <w:t>.</w:t>
      </w:r>
      <w:r>
        <w:t xml:space="preserve"> 1918.  </w:t>
      </w:r>
    </w:p>
  </w:footnote>
  <w:footnote w:id="28">
    <w:p w14:paraId="1071B720" w14:textId="0302FECC" w:rsidR="008E3CF6" w:rsidRDefault="008E3CF6" w:rsidP="001B747D">
      <w:pPr>
        <w:pStyle w:val="FootnoteText"/>
      </w:pPr>
      <w:r>
        <w:rPr>
          <w:rStyle w:val="FootnoteReference"/>
        </w:rPr>
        <w:footnoteRef/>
      </w:r>
      <w:r>
        <w:t xml:space="preserve"> Francis Cruise O’Brien to Lord Monteagle, 18 Nov</w:t>
      </w:r>
      <w:r w:rsidR="00F11DF6">
        <w:t>.</w:t>
      </w:r>
      <w:r>
        <w:t xml:space="preserve"> 1918 (NLI, Monteagle papers, MS13,417/4). </w:t>
      </w:r>
    </w:p>
  </w:footnote>
  <w:footnote w:id="29">
    <w:p w14:paraId="758AF9DF" w14:textId="77777777" w:rsidR="008E3CF6" w:rsidRPr="00D360F5" w:rsidRDefault="008E3CF6" w:rsidP="001B747D">
      <w:pPr>
        <w:pStyle w:val="FootnoteText"/>
        <w:rPr>
          <w:b/>
        </w:rPr>
      </w:pPr>
      <w:r>
        <w:rPr>
          <w:rStyle w:val="FootnoteReference"/>
        </w:rPr>
        <w:footnoteRef/>
      </w:r>
      <w:r>
        <w:t xml:space="preserve"> Plunkett, </w:t>
      </w:r>
      <w:r w:rsidRPr="00192E11">
        <w:rPr>
          <w:i/>
        </w:rPr>
        <w:t>Home Rule and Conscription,</w:t>
      </w:r>
      <w:r>
        <w:t xml:space="preserve"> pp. 27‒9; Horace </w:t>
      </w:r>
      <w:r w:rsidRPr="00EC3208">
        <w:t xml:space="preserve">Plunkett, </w:t>
      </w:r>
      <w:r w:rsidRPr="00D360F5">
        <w:rPr>
          <w:i/>
        </w:rPr>
        <w:t xml:space="preserve">Dominion self-government: a copy of a letter to ‘The Times’ </w:t>
      </w:r>
      <w:r>
        <w:t>(Dublin, 1919), p. 8.</w:t>
      </w:r>
    </w:p>
  </w:footnote>
  <w:footnote w:id="30">
    <w:p w14:paraId="6FA0E981" w14:textId="24F59866" w:rsidR="008E3CF6" w:rsidRPr="00576AEF" w:rsidRDefault="008E3CF6" w:rsidP="001B747D">
      <w:pPr>
        <w:pStyle w:val="FootnoteText"/>
      </w:pPr>
      <w:r>
        <w:rPr>
          <w:rStyle w:val="FootnoteReference"/>
        </w:rPr>
        <w:footnoteRef/>
      </w:r>
      <w:r>
        <w:t xml:space="preserve"> Horace Plunkett to James Bryce, 27 Oct</w:t>
      </w:r>
      <w:r w:rsidR="00F11DF6">
        <w:t>.</w:t>
      </w:r>
      <w:r>
        <w:t xml:space="preserve"> 1921, cited in Trevor </w:t>
      </w:r>
      <w:r w:rsidRPr="0079764C">
        <w:t xml:space="preserve">West, </w:t>
      </w:r>
      <w:r w:rsidRPr="0079764C">
        <w:rPr>
          <w:i/>
        </w:rPr>
        <w:t>Horace Plunkett: co-operation and politics, an Irish biography</w:t>
      </w:r>
      <w:r>
        <w:t xml:space="preserve"> (</w:t>
      </w:r>
      <w:r w:rsidRPr="00D360F5">
        <w:t>Gerrards Cross</w:t>
      </w:r>
      <w:r>
        <w:t>, 1986), p. 195.</w:t>
      </w:r>
    </w:p>
  </w:footnote>
  <w:footnote w:id="31">
    <w:p w14:paraId="0B2ADFB2" w14:textId="77777777" w:rsidR="008E3CF6" w:rsidRPr="00A347B0" w:rsidRDefault="008E3CF6" w:rsidP="001B747D">
      <w:pPr>
        <w:pStyle w:val="FootnoteText"/>
        <w:rPr>
          <w:b/>
        </w:rPr>
      </w:pPr>
      <w:r w:rsidRPr="004C70D5">
        <w:rPr>
          <w:rStyle w:val="FootnoteReference"/>
        </w:rPr>
        <w:footnoteRef/>
      </w:r>
      <w:r w:rsidRPr="004C70D5">
        <w:t xml:space="preserve"> </w:t>
      </w:r>
      <w:r>
        <w:t xml:space="preserve">See Horace Plunkett, </w:t>
      </w:r>
      <w:r w:rsidRPr="00E470B4">
        <w:rPr>
          <w:i/>
        </w:rPr>
        <w:t>Ireland in the new century</w:t>
      </w:r>
      <w:r>
        <w:t xml:space="preserve"> (London, 1904), pp. 94‒121.  </w:t>
      </w:r>
    </w:p>
  </w:footnote>
  <w:footnote w:id="32">
    <w:p w14:paraId="06D45D73" w14:textId="77777777" w:rsidR="008E3CF6" w:rsidRPr="008B53C0" w:rsidRDefault="008E3CF6" w:rsidP="001B747D">
      <w:pPr>
        <w:pStyle w:val="FootnoteText"/>
        <w:rPr>
          <w:b/>
        </w:rPr>
      </w:pPr>
      <w:r>
        <w:rPr>
          <w:rStyle w:val="FootnoteReference"/>
        </w:rPr>
        <w:footnoteRef/>
      </w:r>
      <w:r>
        <w:t xml:space="preserve"> The earl of </w:t>
      </w:r>
      <w:proofErr w:type="spellStart"/>
      <w:r>
        <w:t>Midleton</w:t>
      </w:r>
      <w:proofErr w:type="spellEnd"/>
      <w:r>
        <w:t xml:space="preserve">, </w:t>
      </w:r>
      <w:r w:rsidRPr="001053FA">
        <w:rPr>
          <w:i/>
        </w:rPr>
        <w:t>Records &amp; reactions: 1856</w:t>
      </w:r>
      <w:r>
        <w:rPr>
          <w:i/>
        </w:rPr>
        <w:t>‒</w:t>
      </w:r>
      <w:r w:rsidRPr="001053FA">
        <w:rPr>
          <w:i/>
        </w:rPr>
        <w:t>1939</w:t>
      </w:r>
      <w:r>
        <w:t xml:space="preserve"> (London, 1939), p. 242. </w:t>
      </w:r>
    </w:p>
  </w:footnote>
  <w:footnote w:id="33">
    <w:p w14:paraId="1C11B795" w14:textId="77777777" w:rsidR="008E3CF6" w:rsidRDefault="008E3CF6" w:rsidP="001B747D">
      <w:pPr>
        <w:pStyle w:val="FootnoteText"/>
      </w:pPr>
      <w:r>
        <w:rPr>
          <w:rStyle w:val="FootnoteReference"/>
        </w:rPr>
        <w:footnoteRef/>
      </w:r>
      <w:r>
        <w:t xml:space="preserve"> Jackson, </w:t>
      </w:r>
      <w:r w:rsidRPr="0070666C">
        <w:rPr>
          <w:i/>
        </w:rPr>
        <w:t>Home rule</w:t>
      </w:r>
      <w:r>
        <w:rPr>
          <w:i/>
        </w:rPr>
        <w:t>,</w:t>
      </w:r>
      <w:r>
        <w:t xml:space="preserve"> p. 184. See also </w:t>
      </w:r>
      <w:r w:rsidRPr="0079764C">
        <w:t xml:space="preserve">West, </w:t>
      </w:r>
      <w:r w:rsidRPr="0079764C">
        <w:rPr>
          <w:i/>
        </w:rPr>
        <w:t>Horace Plunkett</w:t>
      </w:r>
      <w:r>
        <w:rPr>
          <w:i/>
        </w:rPr>
        <w:t>,</w:t>
      </w:r>
      <w:r>
        <w:t xml:space="preserve"> p. 179. </w:t>
      </w:r>
    </w:p>
  </w:footnote>
  <w:footnote w:id="34">
    <w:p w14:paraId="6EBC8872" w14:textId="77777777" w:rsidR="008E3CF6" w:rsidRDefault="008E3CF6" w:rsidP="001B747D">
      <w:pPr>
        <w:pStyle w:val="FootnoteText"/>
      </w:pPr>
      <w:r>
        <w:rPr>
          <w:rStyle w:val="FootnoteReference"/>
        </w:rPr>
        <w:footnoteRef/>
      </w:r>
      <w:r>
        <w:t xml:space="preserve"> See </w:t>
      </w:r>
      <w:r w:rsidRPr="0079764C">
        <w:t xml:space="preserve">West, </w:t>
      </w:r>
      <w:r w:rsidRPr="0079764C">
        <w:rPr>
          <w:i/>
        </w:rPr>
        <w:t>Horace Plunkett</w:t>
      </w:r>
      <w:r>
        <w:rPr>
          <w:i/>
        </w:rPr>
        <w:t>,</w:t>
      </w:r>
      <w:r>
        <w:t xml:space="preserve"> pp. 157, 199ff; Margaret Digby, </w:t>
      </w:r>
      <w:r w:rsidRPr="0061239F">
        <w:rPr>
          <w:i/>
        </w:rPr>
        <w:t>Horace Plunkett: an Anglo-American Irishman</w:t>
      </w:r>
      <w:r>
        <w:t xml:space="preserve"> (Oxford, 1949), pp. 202‒3, 241, 246‒7ff. </w:t>
      </w:r>
    </w:p>
  </w:footnote>
  <w:footnote w:id="35">
    <w:p w14:paraId="51CB7BE4" w14:textId="77777777" w:rsidR="008E3CF6" w:rsidRDefault="008E3CF6" w:rsidP="001B747D">
      <w:pPr>
        <w:pStyle w:val="FootnoteText"/>
      </w:pPr>
      <w:r>
        <w:rPr>
          <w:rStyle w:val="FootnoteReference"/>
        </w:rPr>
        <w:footnoteRef/>
      </w:r>
      <w:r>
        <w:t xml:space="preserve"> HPD, 8 June 1919. </w:t>
      </w:r>
    </w:p>
  </w:footnote>
  <w:footnote w:id="36">
    <w:p w14:paraId="065CCB0C" w14:textId="77777777" w:rsidR="008E3CF6" w:rsidRPr="00D54FE1" w:rsidRDefault="008E3CF6" w:rsidP="001B747D">
      <w:pPr>
        <w:pStyle w:val="FootnoteText"/>
        <w:rPr>
          <w:b/>
        </w:rPr>
      </w:pPr>
      <w:r w:rsidRPr="004C70D5">
        <w:rPr>
          <w:rStyle w:val="FootnoteReference"/>
        </w:rPr>
        <w:footnoteRef/>
      </w:r>
      <w:r w:rsidRPr="004C70D5">
        <w:t xml:space="preserve"> </w:t>
      </w:r>
      <w:r w:rsidRPr="00F10A2F">
        <w:t xml:space="preserve">Reid, </w:t>
      </w:r>
      <w:r w:rsidRPr="00F10A2F">
        <w:rPr>
          <w:i/>
        </w:rPr>
        <w:t>The lost Ireland of Stephen Gwynn</w:t>
      </w:r>
      <w:r>
        <w:t xml:space="preserve">, p. 172. </w:t>
      </w:r>
    </w:p>
  </w:footnote>
  <w:footnote w:id="37">
    <w:p w14:paraId="30E65072" w14:textId="03307ACB" w:rsidR="008E3CF6" w:rsidRPr="00A75CF9" w:rsidRDefault="008E3CF6" w:rsidP="001B747D">
      <w:pPr>
        <w:pStyle w:val="FootnoteText"/>
        <w:rPr>
          <w:b/>
        </w:rPr>
      </w:pPr>
      <w:r w:rsidRPr="004C70D5">
        <w:rPr>
          <w:rStyle w:val="FootnoteReference"/>
        </w:rPr>
        <w:footnoteRef/>
      </w:r>
      <w:r w:rsidRPr="004C70D5">
        <w:t xml:space="preserve"> </w:t>
      </w:r>
      <w:r>
        <w:rPr>
          <w:i/>
        </w:rPr>
        <w:t xml:space="preserve">Irish Times </w:t>
      </w:r>
      <w:r>
        <w:t>(</w:t>
      </w:r>
      <w:r>
        <w:rPr>
          <w:i/>
        </w:rPr>
        <w:t>IT</w:t>
      </w:r>
      <w:r>
        <w:t>)</w:t>
      </w:r>
      <w:r>
        <w:rPr>
          <w:i/>
        </w:rPr>
        <w:t xml:space="preserve">, </w:t>
      </w:r>
      <w:r>
        <w:t>25, 27 Jan</w:t>
      </w:r>
      <w:r w:rsidR="00270C75">
        <w:t>.</w:t>
      </w:r>
      <w:r>
        <w:t>, 1 Feb</w:t>
      </w:r>
      <w:r w:rsidR="00270C75">
        <w:t>.</w:t>
      </w:r>
      <w:r>
        <w:t xml:space="preserve"> 1919. For internal divisions, see</w:t>
      </w:r>
      <w:r w:rsidRPr="00331F03">
        <w:t xml:space="preserve"> Memorandum from Lord </w:t>
      </w:r>
      <w:proofErr w:type="spellStart"/>
      <w:r w:rsidRPr="00331F03">
        <w:t>Midleton</w:t>
      </w:r>
      <w:proofErr w:type="spellEnd"/>
      <w:r w:rsidRPr="00331F03">
        <w:t xml:space="preserve"> and others to members of the Irish Unionist Alliance, 15 Apr</w:t>
      </w:r>
      <w:r w:rsidR="00F11DF6">
        <w:t>.</w:t>
      </w:r>
      <w:r>
        <w:t xml:space="preserve"> </w:t>
      </w:r>
      <w:r w:rsidRPr="00331F03">
        <w:t>1918,</w:t>
      </w:r>
      <w:r>
        <w:t xml:space="preserve"> pp. 3‒4 (The </w:t>
      </w:r>
      <w:r w:rsidRPr="00331F03">
        <w:t>National Archives, Kew</w:t>
      </w:r>
      <w:r>
        <w:t xml:space="preserve"> (TNA)</w:t>
      </w:r>
      <w:r w:rsidRPr="00331F03">
        <w:t xml:space="preserve">, Lord </w:t>
      </w:r>
      <w:proofErr w:type="spellStart"/>
      <w:r w:rsidRPr="00331F03">
        <w:t>Midleton</w:t>
      </w:r>
      <w:proofErr w:type="spellEnd"/>
      <w:r w:rsidRPr="00331F03">
        <w:t xml:space="preserve"> papers, PRO 30/67/38</w:t>
      </w:r>
      <w:r>
        <w:t xml:space="preserve">). </w:t>
      </w:r>
      <w:r w:rsidRPr="00331F03">
        <w:t xml:space="preserve"> </w:t>
      </w:r>
    </w:p>
  </w:footnote>
  <w:footnote w:id="38">
    <w:p w14:paraId="0EA8EB07" w14:textId="77777777" w:rsidR="008E3CF6" w:rsidRPr="00D54FE1" w:rsidRDefault="008E3CF6" w:rsidP="001B747D">
      <w:pPr>
        <w:pStyle w:val="FootnoteText"/>
        <w:rPr>
          <w:b/>
        </w:rPr>
      </w:pPr>
      <w:r w:rsidRPr="004C70D5">
        <w:rPr>
          <w:rStyle w:val="FootnoteReference"/>
        </w:rPr>
        <w:footnoteRef/>
      </w:r>
      <w:r w:rsidRPr="004C70D5">
        <w:t xml:space="preserve"> </w:t>
      </w:r>
      <w:r>
        <w:rPr>
          <w:i/>
        </w:rPr>
        <w:t>IT</w:t>
      </w:r>
      <w:r>
        <w:t xml:space="preserve">, 28 June 1919. </w:t>
      </w:r>
    </w:p>
  </w:footnote>
  <w:footnote w:id="39">
    <w:p w14:paraId="014D1535" w14:textId="75E38034" w:rsidR="008E3CF6" w:rsidRPr="00D54FE1" w:rsidRDefault="008E3CF6" w:rsidP="001B747D">
      <w:pPr>
        <w:pStyle w:val="FootnoteText"/>
        <w:rPr>
          <w:b/>
        </w:rPr>
      </w:pPr>
      <w:r w:rsidRPr="004C70D5">
        <w:rPr>
          <w:rStyle w:val="FootnoteReference"/>
        </w:rPr>
        <w:footnoteRef/>
      </w:r>
      <w:r w:rsidRPr="004C70D5">
        <w:t xml:space="preserve"> </w:t>
      </w:r>
      <w:r>
        <w:rPr>
          <w:i/>
        </w:rPr>
        <w:t>IT</w:t>
      </w:r>
      <w:r>
        <w:t>, 1 Feb</w:t>
      </w:r>
      <w:r w:rsidR="00270C75">
        <w:t>.</w:t>
      </w:r>
      <w:r>
        <w:t xml:space="preserve"> 1919; Patrick </w:t>
      </w:r>
      <w:r w:rsidRPr="00EF585C">
        <w:t xml:space="preserve">Buckland, </w:t>
      </w:r>
      <w:r>
        <w:rPr>
          <w:i/>
        </w:rPr>
        <w:t xml:space="preserve">Irish Unionism, </w:t>
      </w:r>
      <w:r>
        <w:t xml:space="preserve">I, </w:t>
      </w:r>
      <w:r w:rsidRPr="00EF585C">
        <w:rPr>
          <w:i/>
        </w:rPr>
        <w:t>The Anglo-Irish</w:t>
      </w:r>
      <w:r>
        <w:rPr>
          <w:i/>
        </w:rPr>
        <w:t xml:space="preserve"> and the new Ireland, 1885‒1922 </w:t>
      </w:r>
      <w:r>
        <w:t>(Dublin, 1972),</w:t>
      </w:r>
      <w:r w:rsidRPr="00EF585C">
        <w:rPr>
          <w:i/>
        </w:rPr>
        <w:t xml:space="preserve"> </w:t>
      </w:r>
      <w:r>
        <w:t xml:space="preserve">p. 183. </w:t>
      </w:r>
    </w:p>
  </w:footnote>
  <w:footnote w:id="40">
    <w:p w14:paraId="0533456F" w14:textId="0D8958B1" w:rsidR="008E3CF6" w:rsidRPr="00406F29" w:rsidRDefault="008E3CF6" w:rsidP="001B747D">
      <w:pPr>
        <w:pStyle w:val="FootnoteText"/>
      </w:pPr>
      <w:r>
        <w:rPr>
          <w:rStyle w:val="FootnoteReference"/>
        </w:rPr>
        <w:footnoteRef/>
      </w:r>
      <w:r>
        <w:t xml:space="preserve"> </w:t>
      </w:r>
      <w:r>
        <w:rPr>
          <w:i/>
        </w:rPr>
        <w:t>IT</w:t>
      </w:r>
      <w:r>
        <w:t>, 24 Jan</w:t>
      </w:r>
      <w:r w:rsidR="00270C75">
        <w:t>.</w:t>
      </w:r>
      <w:r>
        <w:t xml:space="preserve"> 1919; The Irish Centre Party, </w:t>
      </w:r>
      <w:r>
        <w:rPr>
          <w:i/>
        </w:rPr>
        <w:t xml:space="preserve">Objects of the Party </w:t>
      </w:r>
      <w:r>
        <w:t>(</w:t>
      </w:r>
      <w:proofErr w:type="spellStart"/>
      <w:r>
        <w:t>n.p.</w:t>
      </w:r>
      <w:proofErr w:type="spellEnd"/>
      <w:r>
        <w:t xml:space="preserve"> [Dublin], </w:t>
      </w:r>
      <w:proofErr w:type="spellStart"/>
      <w:r>
        <w:t>n.d</w:t>
      </w:r>
      <w:proofErr w:type="spellEnd"/>
      <w:r>
        <w:t xml:space="preserve"> [1919]).</w:t>
      </w:r>
    </w:p>
  </w:footnote>
  <w:footnote w:id="41">
    <w:p w14:paraId="1AFB6920" w14:textId="77777777" w:rsidR="008E3CF6" w:rsidRDefault="008E3CF6" w:rsidP="001B747D">
      <w:pPr>
        <w:pStyle w:val="FootnoteText"/>
      </w:pPr>
      <w:r>
        <w:rPr>
          <w:rStyle w:val="FootnoteReference"/>
        </w:rPr>
        <w:footnoteRef/>
      </w:r>
      <w:r>
        <w:t xml:space="preserve"> </w:t>
      </w:r>
      <w:proofErr w:type="spellStart"/>
      <w:r>
        <w:t>Paseta</w:t>
      </w:r>
      <w:proofErr w:type="spellEnd"/>
      <w:r>
        <w:t>, ‘Ireland’s last home rule generation’, p. 21.</w:t>
      </w:r>
    </w:p>
  </w:footnote>
  <w:footnote w:id="42">
    <w:p w14:paraId="39FCBFA2" w14:textId="77777777" w:rsidR="008E3CF6" w:rsidRPr="00242B4F" w:rsidRDefault="008E3CF6" w:rsidP="001B747D">
      <w:pPr>
        <w:pStyle w:val="FootnoteText"/>
      </w:pPr>
      <w:r w:rsidRPr="004C70D5">
        <w:rPr>
          <w:rStyle w:val="FootnoteReference"/>
        </w:rPr>
        <w:footnoteRef/>
      </w:r>
      <w:r w:rsidRPr="004C70D5">
        <w:t xml:space="preserve"> </w:t>
      </w:r>
      <w:r>
        <w:rPr>
          <w:i/>
        </w:rPr>
        <w:t>Irish Independent</w:t>
      </w:r>
      <w:r>
        <w:t xml:space="preserve">, 28 June 1919; </w:t>
      </w:r>
      <w:r>
        <w:rPr>
          <w:i/>
        </w:rPr>
        <w:t>IT</w:t>
      </w:r>
      <w:r>
        <w:t xml:space="preserve">, 28 June 1919. </w:t>
      </w:r>
    </w:p>
  </w:footnote>
  <w:footnote w:id="43">
    <w:p w14:paraId="30507D96" w14:textId="691C3AB1" w:rsidR="008E3CF6" w:rsidRPr="005E60F4" w:rsidRDefault="008E3CF6" w:rsidP="001B747D">
      <w:pPr>
        <w:pStyle w:val="FootnoteText"/>
      </w:pPr>
      <w:r w:rsidRPr="004C70D5">
        <w:rPr>
          <w:rStyle w:val="FootnoteReference"/>
        </w:rPr>
        <w:footnoteRef/>
      </w:r>
      <w:r w:rsidRPr="004C70D5">
        <w:t xml:space="preserve"> </w:t>
      </w:r>
      <w:r>
        <w:rPr>
          <w:i/>
        </w:rPr>
        <w:t xml:space="preserve">IT, </w:t>
      </w:r>
      <w:r>
        <w:t>29 Nov</w:t>
      </w:r>
      <w:r w:rsidR="00F11DF6">
        <w:t>.</w:t>
      </w:r>
      <w:r>
        <w:t xml:space="preserve"> 1919. </w:t>
      </w:r>
    </w:p>
  </w:footnote>
  <w:footnote w:id="44">
    <w:p w14:paraId="1AEEA97A" w14:textId="77777777" w:rsidR="008E3CF6" w:rsidRDefault="008E3CF6" w:rsidP="001B747D">
      <w:pPr>
        <w:pStyle w:val="FootnoteText"/>
      </w:pPr>
      <w:r>
        <w:rPr>
          <w:rStyle w:val="FootnoteReference"/>
        </w:rPr>
        <w:footnoteRef/>
      </w:r>
      <w:r>
        <w:t xml:space="preserve"> HPD, </w:t>
      </w:r>
      <w:r w:rsidRPr="00ED2ED4">
        <w:t>Year</w:t>
      </w:r>
      <w:r>
        <w:t>-</w:t>
      </w:r>
      <w:r w:rsidRPr="00ED2ED4">
        <w:t>end</w:t>
      </w:r>
      <w:r>
        <w:t xml:space="preserve"> summary,</w:t>
      </w:r>
      <w:r w:rsidRPr="00ED2ED4">
        <w:t xml:space="preserve"> 1920</w:t>
      </w:r>
    </w:p>
  </w:footnote>
  <w:footnote w:id="45">
    <w:p w14:paraId="50E879D2" w14:textId="6D5450F3" w:rsidR="008E3CF6" w:rsidRPr="006010D6" w:rsidRDefault="008E3CF6" w:rsidP="001B747D">
      <w:pPr>
        <w:pStyle w:val="FootnoteText"/>
      </w:pPr>
      <w:r>
        <w:rPr>
          <w:rStyle w:val="FootnoteReference"/>
        </w:rPr>
        <w:footnoteRef/>
      </w:r>
      <w:r>
        <w:t xml:space="preserve"> Horace Plunkett, </w:t>
      </w:r>
      <w:r>
        <w:rPr>
          <w:i/>
        </w:rPr>
        <w:t>The Irish Peace Conference and after: memorandum to members of the Irish Dominion League</w:t>
      </w:r>
      <w:r>
        <w:t xml:space="preserve">, p. 2 (NLI, Monteagle papers, MS 13,417/5); Erskine Childers, </w:t>
      </w:r>
      <w:r>
        <w:rPr>
          <w:i/>
        </w:rPr>
        <w:t xml:space="preserve">The framework of home rule </w:t>
      </w:r>
      <w:r>
        <w:t xml:space="preserve">(London, 1911). </w:t>
      </w:r>
    </w:p>
  </w:footnote>
  <w:footnote w:id="46">
    <w:p w14:paraId="01965897" w14:textId="56B25DC8" w:rsidR="008E3CF6" w:rsidRDefault="008E3CF6" w:rsidP="001B747D">
      <w:pPr>
        <w:pStyle w:val="FootnoteText"/>
      </w:pPr>
      <w:r>
        <w:rPr>
          <w:rStyle w:val="FootnoteReference"/>
        </w:rPr>
        <w:footnoteRef/>
      </w:r>
      <w:r>
        <w:t xml:space="preserve"> HPD, 16 Jan</w:t>
      </w:r>
      <w:r w:rsidR="00270C75">
        <w:t>.</w:t>
      </w:r>
      <w:r>
        <w:t xml:space="preserve"> 1920. </w:t>
      </w:r>
    </w:p>
  </w:footnote>
  <w:footnote w:id="47">
    <w:p w14:paraId="7FD15086" w14:textId="13C4A3E4" w:rsidR="008E3CF6" w:rsidRDefault="008E3CF6" w:rsidP="001B747D">
      <w:pPr>
        <w:pStyle w:val="FootnoteText"/>
      </w:pPr>
      <w:r>
        <w:rPr>
          <w:rStyle w:val="FootnoteReference"/>
        </w:rPr>
        <w:footnoteRef/>
      </w:r>
      <w:r>
        <w:t xml:space="preserve"> HPD, 2 Apr</w:t>
      </w:r>
      <w:r w:rsidR="00F11DF6">
        <w:t>.</w:t>
      </w:r>
      <w:r>
        <w:t xml:space="preserve"> 1919. </w:t>
      </w:r>
    </w:p>
  </w:footnote>
  <w:footnote w:id="48">
    <w:p w14:paraId="1C0B2350" w14:textId="2F8199C6" w:rsidR="008E3CF6" w:rsidRDefault="008E3CF6" w:rsidP="001B747D">
      <w:pPr>
        <w:pStyle w:val="FootnoteText"/>
      </w:pPr>
      <w:r>
        <w:rPr>
          <w:rStyle w:val="FootnoteReference"/>
        </w:rPr>
        <w:footnoteRef/>
      </w:r>
      <w:r>
        <w:t xml:space="preserve"> HPD, 23 June 1919, quoting James Bryce. See also HPD, 2 June 1918. </w:t>
      </w:r>
    </w:p>
  </w:footnote>
  <w:footnote w:id="49">
    <w:p w14:paraId="72567207" w14:textId="77777777" w:rsidR="008E3CF6" w:rsidRDefault="008E3CF6" w:rsidP="001B747D">
      <w:pPr>
        <w:pStyle w:val="FootnoteText"/>
      </w:pPr>
      <w:r>
        <w:rPr>
          <w:rStyle w:val="FootnoteReference"/>
        </w:rPr>
        <w:footnoteRef/>
      </w:r>
      <w:r>
        <w:t xml:space="preserve"> </w:t>
      </w:r>
      <w:proofErr w:type="spellStart"/>
      <w:r>
        <w:t>Paseta</w:t>
      </w:r>
      <w:proofErr w:type="spellEnd"/>
      <w:r>
        <w:t xml:space="preserve">, ‘Ireland’s last home rule generation’, p. 23. </w:t>
      </w:r>
    </w:p>
  </w:footnote>
  <w:footnote w:id="50">
    <w:p w14:paraId="796158B2" w14:textId="3F8EBA58" w:rsidR="008E3CF6" w:rsidRDefault="008E3CF6" w:rsidP="001B747D">
      <w:pPr>
        <w:pStyle w:val="FootnoteText"/>
      </w:pPr>
      <w:r>
        <w:rPr>
          <w:rStyle w:val="FootnoteReference"/>
        </w:rPr>
        <w:footnoteRef/>
      </w:r>
      <w:r>
        <w:t xml:space="preserve"> Warre B. Wells to Lord Monteagle, 18 July 1919 (NLI, Monteagle papers, MS13,417/4).</w:t>
      </w:r>
    </w:p>
  </w:footnote>
  <w:footnote w:id="51">
    <w:p w14:paraId="2694A312" w14:textId="77777777" w:rsidR="008E3CF6" w:rsidRPr="00242B4F" w:rsidRDefault="008E3CF6" w:rsidP="001B747D">
      <w:pPr>
        <w:pStyle w:val="FootnoteText"/>
      </w:pPr>
      <w:r w:rsidRPr="004C70D5">
        <w:rPr>
          <w:rStyle w:val="FootnoteReference"/>
        </w:rPr>
        <w:footnoteRef/>
      </w:r>
      <w:r>
        <w:t xml:space="preserve"> </w:t>
      </w:r>
      <w:r w:rsidRPr="00F10A2F">
        <w:t xml:space="preserve">Reid, </w:t>
      </w:r>
      <w:r w:rsidRPr="00F10A2F">
        <w:rPr>
          <w:i/>
        </w:rPr>
        <w:t>The lost Ireland of Stephen Gwynn</w:t>
      </w:r>
      <w:r>
        <w:t xml:space="preserve">, p. 177. </w:t>
      </w:r>
    </w:p>
  </w:footnote>
  <w:footnote w:id="52">
    <w:p w14:paraId="2F40AD80" w14:textId="77777777" w:rsidR="008E3CF6" w:rsidRDefault="008E3CF6" w:rsidP="001B747D">
      <w:pPr>
        <w:pStyle w:val="FootnoteText"/>
      </w:pPr>
      <w:r>
        <w:rPr>
          <w:rStyle w:val="FootnoteReference"/>
        </w:rPr>
        <w:footnoteRef/>
      </w:r>
      <w:r>
        <w:t xml:space="preserve"> Wells, </w:t>
      </w:r>
      <w:r>
        <w:rPr>
          <w:i/>
        </w:rPr>
        <w:t>Irish indiscretions,</w:t>
      </w:r>
      <w:r>
        <w:t xml:space="preserve"> pp. 90‒1. </w:t>
      </w:r>
    </w:p>
  </w:footnote>
  <w:footnote w:id="53">
    <w:p w14:paraId="5F4CD7AC" w14:textId="618F93DD" w:rsidR="008E3CF6" w:rsidRPr="005801F4" w:rsidRDefault="008E3CF6" w:rsidP="001B747D">
      <w:pPr>
        <w:pStyle w:val="FootnoteText"/>
      </w:pPr>
      <w:r w:rsidRPr="004C70D5">
        <w:rPr>
          <w:rStyle w:val="FootnoteReference"/>
        </w:rPr>
        <w:footnoteRef/>
      </w:r>
      <w:r w:rsidRPr="004C70D5">
        <w:t xml:space="preserve"> </w:t>
      </w:r>
      <w:r w:rsidRPr="003378CD">
        <w:rPr>
          <w:i/>
        </w:rPr>
        <w:t>Irish Statesman</w:t>
      </w:r>
      <w:r>
        <w:t>, 13 Mar</w:t>
      </w:r>
      <w:r w:rsidR="00270C75">
        <w:t>.</w:t>
      </w:r>
      <w:r>
        <w:t xml:space="preserve"> 1920. </w:t>
      </w:r>
    </w:p>
  </w:footnote>
  <w:footnote w:id="54">
    <w:p w14:paraId="21FAC8F6" w14:textId="77777777" w:rsidR="008E3CF6" w:rsidRPr="00242B4F" w:rsidRDefault="008E3CF6" w:rsidP="001B747D">
      <w:pPr>
        <w:pStyle w:val="FootnoteText"/>
      </w:pPr>
      <w:r w:rsidRPr="004C70D5">
        <w:rPr>
          <w:rStyle w:val="FootnoteReference"/>
        </w:rPr>
        <w:footnoteRef/>
      </w:r>
      <w:r w:rsidRPr="004C70D5">
        <w:t xml:space="preserve"> </w:t>
      </w:r>
      <w:r>
        <w:t xml:space="preserve">Manifesto of the Irish Dominion League, June 1919, printed in The Irish Dominion League, </w:t>
      </w:r>
      <w:r w:rsidRPr="007844EA">
        <w:rPr>
          <w:i/>
        </w:rPr>
        <w:t>Official report setting forth a summary of the results achieved together with the proceedings on dissolution</w:t>
      </w:r>
      <w:r>
        <w:rPr>
          <w:i/>
        </w:rPr>
        <w:t xml:space="preserve"> </w:t>
      </w:r>
      <w:r>
        <w:t>(Dublin, 1921),</w:t>
      </w:r>
      <w:r>
        <w:rPr>
          <w:i/>
        </w:rPr>
        <w:t xml:space="preserve"> </w:t>
      </w:r>
      <w:r>
        <w:t xml:space="preserve">pp. 12‒15.  </w:t>
      </w:r>
    </w:p>
  </w:footnote>
  <w:footnote w:id="55">
    <w:p w14:paraId="2CFC594A" w14:textId="77777777" w:rsidR="008E3CF6" w:rsidRPr="0070286C" w:rsidRDefault="008E3CF6" w:rsidP="001B747D">
      <w:pPr>
        <w:pStyle w:val="FootnoteText"/>
      </w:pPr>
      <w:r>
        <w:rPr>
          <w:rStyle w:val="FootnoteReference"/>
        </w:rPr>
        <w:footnoteRef/>
      </w:r>
      <w:r>
        <w:t xml:space="preserve"> The Irish Dominion League, </w:t>
      </w:r>
      <w:r w:rsidRPr="007844EA">
        <w:rPr>
          <w:i/>
        </w:rPr>
        <w:t>Official report</w:t>
      </w:r>
      <w:r>
        <w:rPr>
          <w:i/>
        </w:rPr>
        <w:t xml:space="preserve">, </w:t>
      </w:r>
      <w:r>
        <w:t xml:space="preserve">p. 7. </w:t>
      </w:r>
    </w:p>
  </w:footnote>
  <w:footnote w:id="56">
    <w:p w14:paraId="67FA3024" w14:textId="77777777" w:rsidR="008E3CF6" w:rsidRPr="00242B4F" w:rsidRDefault="008E3CF6" w:rsidP="001B747D">
      <w:pPr>
        <w:pStyle w:val="FootnoteText"/>
      </w:pPr>
      <w:r w:rsidRPr="004C70D5">
        <w:rPr>
          <w:rStyle w:val="FootnoteReference"/>
        </w:rPr>
        <w:footnoteRef/>
      </w:r>
      <w:r w:rsidRPr="004C70D5">
        <w:t xml:space="preserve"> </w:t>
      </w:r>
      <w:r w:rsidRPr="00BB6ABD">
        <w:rPr>
          <w:i/>
        </w:rPr>
        <w:t>Belfast News-Letter,</w:t>
      </w:r>
      <w:r>
        <w:t xml:space="preserve"> 29 June, 14 July 1919, q. in West, </w:t>
      </w:r>
      <w:r w:rsidRPr="0079764C">
        <w:rPr>
          <w:i/>
        </w:rPr>
        <w:t>Horace Plunkett,</w:t>
      </w:r>
      <w:r>
        <w:t xml:space="preserve"> p. 184. </w:t>
      </w:r>
    </w:p>
  </w:footnote>
  <w:footnote w:id="57">
    <w:p w14:paraId="0415C121" w14:textId="1A4EA9C0" w:rsidR="008E3CF6" w:rsidRDefault="008E3CF6" w:rsidP="001B747D">
      <w:pPr>
        <w:pStyle w:val="FootnoteText"/>
      </w:pPr>
      <w:r>
        <w:rPr>
          <w:rStyle w:val="FootnoteReference"/>
        </w:rPr>
        <w:footnoteRef/>
      </w:r>
      <w:r>
        <w:t xml:space="preserve"> HPD, 12 July 1919. </w:t>
      </w:r>
    </w:p>
  </w:footnote>
  <w:footnote w:id="58">
    <w:p w14:paraId="519EBF9E" w14:textId="77777777" w:rsidR="008E3CF6" w:rsidRPr="00242B4F" w:rsidRDefault="008E3CF6" w:rsidP="001B747D">
      <w:pPr>
        <w:pStyle w:val="FootnoteText"/>
      </w:pPr>
      <w:r w:rsidRPr="004C70D5">
        <w:rPr>
          <w:rStyle w:val="FootnoteReference"/>
        </w:rPr>
        <w:footnoteRef/>
      </w:r>
      <w:r w:rsidRPr="004C70D5">
        <w:t xml:space="preserve"> </w:t>
      </w:r>
      <w:r>
        <w:rPr>
          <w:i/>
        </w:rPr>
        <w:t>IT</w:t>
      </w:r>
      <w:r>
        <w:t xml:space="preserve">, 5 July 1919.  </w:t>
      </w:r>
    </w:p>
  </w:footnote>
  <w:footnote w:id="59">
    <w:p w14:paraId="5229E5D1" w14:textId="5C287394" w:rsidR="008E3CF6" w:rsidRDefault="008E3CF6" w:rsidP="001B747D">
      <w:pPr>
        <w:pStyle w:val="FootnoteText"/>
      </w:pPr>
      <w:r>
        <w:rPr>
          <w:rStyle w:val="FootnoteReference"/>
        </w:rPr>
        <w:footnoteRef/>
      </w:r>
      <w:r>
        <w:t xml:space="preserve"> HPD, 15 </w:t>
      </w:r>
      <w:r w:rsidR="00F11DF6">
        <w:t xml:space="preserve">Aug. </w:t>
      </w:r>
      <w:r>
        <w:t>1919.</w:t>
      </w:r>
    </w:p>
  </w:footnote>
  <w:footnote w:id="60">
    <w:p w14:paraId="2C625F77" w14:textId="16E6DCFE" w:rsidR="008E3CF6" w:rsidRPr="00242B4F" w:rsidRDefault="008E3CF6" w:rsidP="001B747D">
      <w:pPr>
        <w:pStyle w:val="FootnoteText"/>
      </w:pPr>
      <w:r w:rsidRPr="004C70D5">
        <w:rPr>
          <w:rStyle w:val="FootnoteReference"/>
        </w:rPr>
        <w:footnoteRef/>
      </w:r>
      <w:r w:rsidRPr="004C70D5">
        <w:t xml:space="preserve"> </w:t>
      </w:r>
      <w:r w:rsidRPr="00BB6ABD">
        <w:rPr>
          <w:i/>
        </w:rPr>
        <w:t>Irish Statesman,</w:t>
      </w:r>
      <w:r>
        <w:t xml:space="preserve"> 2 Aug</w:t>
      </w:r>
      <w:r w:rsidR="00F11DF6">
        <w:t>.</w:t>
      </w:r>
      <w:r>
        <w:t xml:space="preserve"> 1919.  </w:t>
      </w:r>
    </w:p>
  </w:footnote>
  <w:footnote w:id="61">
    <w:p w14:paraId="54F51838" w14:textId="31B8C927" w:rsidR="008E3CF6" w:rsidRDefault="008E3CF6" w:rsidP="001B747D">
      <w:pPr>
        <w:pStyle w:val="FootnoteText"/>
      </w:pPr>
      <w:r>
        <w:rPr>
          <w:rStyle w:val="FootnoteReference"/>
        </w:rPr>
        <w:footnoteRef/>
      </w:r>
      <w:r>
        <w:t xml:space="preserve"> Lyons, </w:t>
      </w:r>
      <w:r w:rsidRPr="00D67909">
        <w:rPr>
          <w:i/>
        </w:rPr>
        <w:t>John Dillon</w:t>
      </w:r>
      <w:r>
        <w:t xml:space="preserve">, pp. 455, 461, 462, 463ff; Horace Plunkett to John Dillon, 16 June 1919 (TCD, John Dillon papers, MS 6746). </w:t>
      </w:r>
    </w:p>
  </w:footnote>
  <w:footnote w:id="62">
    <w:p w14:paraId="59AEFAD4" w14:textId="21158390" w:rsidR="008E3CF6" w:rsidRDefault="008E3CF6" w:rsidP="001B747D">
      <w:pPr>
        <w:pStyle w:val="FootnoteText"/>
      </w:pPr>
      <w:r>
        <w:rPr>
          <w:rStyle w:val="FootnoteReference"/>
        </w:rPr>
        <w:footnoteRef/>
      </w:r>
      <w:r>
        <w:t xml:space="preserve"> HPD, 8 July 1919; Joseph Devlin to John Dillon, 10 Nov</w:t>
      </w:r>
      <w:r w:rsidR="00F11DF6">
        <w:t>.</w:t>
      </w:r>
      <w:r>
        <w:t xml:space="preserve"> 1919 (TCD, John Dillon papers, MS 6729-30/242). </w:t>
      </w:r>
    </w:p>
  </w:footnote>
  <w:footnote w:id="63">
    <w:p w14:paraId="28D972BB" w14:textId="5164DF16" w:rsidR="008E3CF6" w:rsidRPr="00242B4F" w:rsidRDefault="008E3CF6" w:rsidP="001B747D">
      <w:pPr>
        <w:pStyle w:val="FootnoteText"/>
      </w:pPr>
      <w:r w:rsidRPr="004C70D5">
        <w:rPr>
          <w:rStyle w:val="FootnoteReference"/>
        </w:rPr>
        <w:footnoteRef/>
      </w:r>
      <w:r w:rsidRPr="004C70D5">
        <w:t xml:space="preserve"> </w:t>
      </w:r>
      <w:r>
        <w:rPr>
          <w:i/>
        </w:rPr>
        <w:t>IT</w:t>
      </w:r>
      <w:r>
        <w:t>, 7 Feb</w:t>
      </w:r>
      <w:r w:rsidR="00270C75">
        <w:t>.</w:t>
      </w:r>
      <w:r>
        <w:t xml:space="preserve"> 1919. Emphasis in the original.  </w:t>
      </w:r>
    </w:p>
  </w:footnote>
  <w:footnote w:id="64">
    <w:p w14:paraId="39132FFF" w14:textId="77777777" w:rsidR="008E3CF6" w:rsidRPr="00242B4F" w:rsidRDefault="008E3CF6" w:rsidP="001B747D">
      <w:pPr>
        <w:pStyle w:val="FootnoteText"/>
      </w:pPr>
      <w:r w:rsidRPr="004C70D5">
        <w:rPr>
          <w:rStyle w:val="FootnoteReference"/>
        </w:rPr>
        <w:footnoteRef/>
      </w:r>
      <w:r w:rsidRPr="004C70D5">
        <w:t xml:space="preserve"> </w:t>
      </w:r>
      <w:r>
        <w:t xml:space="preserve">Reid, ‘Stephen Gwynn and the failure of constitutional nationalism in Ireland’, </w:t>
      </w:r>
      <w:r w:rsidRPr="00B67E69">
        <w:t>p</w:t>
      </w:r>
      <w:r>
        <w:t>. 732.</w:t>
      </w:r>
    </w:p>
  </w:footnote>
  <w:footnote w:id="65">
    <w:p w14:paraId="30252F17" w14:textId="77777777" w:rsidR="008E3CF6" w:rsidRDefault="008E3CF6" w:rsidP="001B747D">
      <w:pPr>
        <w:pStyle w:val="FootnoteText"/>
      </w:pPr>
      <w:r>
        <w:rPr>
          <w:rStyle w:val="FootnoteReference"/>
        </w:rPr>
        <w:footnoteRef/>
      </w:r>
      <w:r>
        <w:t xml:space="preserve"> </w:t>
      </w:r>
      <w:r w:rsidRPr="0079764C">
        <w:t xml:space="preserve">West, </w:t>
      </w:r>
      <w:r w:rsidRPr="0079764C">
        <w:rPr>
          <w:i/>
        </w:rPr>
        <w:t>Horace Plunkett</w:t>
      </w:r>
      <w:r>
        <w:rPr>
          <w:i/>
        </w:rPr>
        <w:t>,</w:t>
      </w:r>
      <w:r>
        <w:t xml:space="preserve"> p. 182. </w:t>
      </w:r>
    </w:p>
  </w:footnote>
  <w:footnote w:id="66">
    <w:p w14:paraId="1D8C5CF3" w14:textId="2820B341" w:rsidR="008E3CF6" w:rsidRDefault="008E3CF6" w:rsidP="001B747D">
      <w:pPr>
        <w:pStyle w:val="FootnoteText"/>
      </w:pPr>
      <w:r>
        <w:rPr>
          <w:rStyle w:val="FootnoteReference"/>
        </w:rPr>
        <w:footnoteRef/>
      </w:r>
      <w:r>
        <w:t xml:space="preserve"> </w:t>
      </w:r>
      <w:r w:rsidR="00B7278B">
        <w:t xml:space="preserve">See </w:t>
      </w:r>
      <w:r>
        <w:t>Memorandum, Executive Committee of IDL, undated [after 16 Aug</w:t>
      </w:r>
      <w:r w:rsidR="00F11DF6">
        <w:t>.</w:t>
      </w:r>
      <w:r>
        <w:t xml:space="preserve"> 1919] (NLI, Monteagle papers, MS13,417/4)</w:t>
      </w:r>
      <w:r w:rsidR="00B7278B">
        <w:t xml:space="preserve"> (relating to Limerick). </w:t>
      </w:r>
      <w:r>
        <w:t xml:space="preserve">  </w:t>
      </w:r>
    </w:p>
  </w:footnote>
  <w:footnote w:id="67">
    <w:p w14:paraId="2CD696B8" w14:textId="243F99A4" w:rsidR="008E3CF6" w:rsidRDefault="008E3CF6" w:rsidP="001B747D">
      <w:pPr>
        <w:pStyle w:val="FootnoteText"/>
      </w:pPr>
      <w:r>
        <w:rPr>
          <w:rStyle w:val="FootnoteReference"/>
        </w:rPr>
        <w:footnoteRef/>
      </w:r>
      <w:r>
        <w:t xml:space="preserve"> See for example, The Irish Dominion League, </w:t>
      </w:r>
      <w:r w:rsidRPr="007844EA">
        <w:rPr>
          <w:i/>
        </w:rPr>
        <w:t>Official report</w:t>
      </w:r>
      <w:r>
        <w:rPr>
          <w:i/>
        </w:rPr>
        <w:t xml:space="preserve">, </w:t>
      </w:r>
      <w:r>
        <w:t>p. 7; Memorandum, ‘Remarks arising out of Mr Berkeley’s comments on my suggested manifesto’, undated [1920], by Edmond J. Frewen</w:t>
      </w:r>
      <w:r w:rsidRPr="007746BD">
        <w:t xml:space="preserve"> </w:t>
      </w:r>
      <w:r>
        <w:t>(</w:t>
      </w:r>
      <w:r w:rsidRPr="007746BD">
        <w:t>CCCA, Berkeley papers,</w:t>
      </w:r>
      <w:r>
        <w:t xml:space="preserve"> PR12/146). </w:t>
      </w:r>
    </w:p>
  </w:footnote>
  <w:footnote w:id="68">
    <w:p w14:paraId="3F60CC69" w14:textId="36F5EA97" w:rsidR="008E3CF6" w:rsidRPr="00DA0C92" w:rsidRDefault="008E3CF6" w:rsidP="001B747D">
      <w:pPr>
        <w:pStyle w:val="FootnoteText"/>
      </w:pPr>
      <w:r w:rsidRPr="004C70D5">
        <w:rPr>
          <w:rStyle w:val="FootnoteReference"/>
        </w:rPr>
        <w:footnoteRef/>
      </w:r>
      <w:r w:rsidRPr="004C70D5">
        <w:t xml:space="preserve"> </w:t>
      </w:r>
      <w:r w:rsidRPr="00F10A2F">
        <w:t xml:space="preserve">Reid, </w:t>
      </w:r>
      <w:r w:rsidRPr="00F10A2F">
        <w:rPr>
          <w:i/>
        </w:rPr>
        <w:t>The lost Ireland of Stephen Gwynn</w:t>
      </w:r>
      <w:r>
        <w:t>, pp. 174‒175; Typescript copy of text of petition with list of signatories</w:t>
      </w:r>
      <w:r w:rsidRPr="00951255">
        <w:t xml:space="preserve"> </w:t>
      </w:r>
      <w:r>
        <w:t>(</w:t>
      </w:r>
      <w:r w:rsidRPr="00951255">
        <w:t>British Parliamentary Archive, ST/207/17/817a</w:t>
      </w:r>
      <w:r>
        <w:t xml:space="preserve">). </w:t>
      </w:r>
    </w:p>
  </w:footnote>
  <w:footnote w:id="69">
    <w:p w14:paraId="7F8EC17D" w14:textId="77777777" w:rsidR="008E3CF6" w:rsidRDefault="008E3CF6" w:rsidP="001B747D">
      <w:pPr>
        <w:pStyle w:val="FootnoteText"/>
      </w:pPr>
      <w:r>
        <w:rPr>
          <w:rStyle w:val="FootnoteReference"/>
        </w:rPr>
        <w:footnoteRef/>
      </w:r>
      <w:r>
        <w:t xml:space="preserve"> The Irish Dominion League, </w:t>
      </w:r>
      <w:r w:rsidRPr="007844EA">
        <w:rPr>
          <w:i/>
        </w:rPr>
        <w:t>Official report</w:t>
      </w:r>
      <w:r>
        <w:rPr>
          <w:i/>
        </w:rPr>
        <w:t>,</w:t>
      </w:r>
      <w:r>
        <w:t xml:space="preserve"> p. 7. </w:t>
      </w:r>
    </w:p>
  </w:footnote>
  <w:footnote w:id="70">
    <w:p w14:paraId="22A1E773" w14:textId="61E497A2" w:rsidR="008E3CF6" w:rsidRPr="00242B4F" w:rsidRDefault="008E3CF6" w:rsidP="001B747D">
      <w:pPr>
        <w:pStyle w:val="FootnoteText"/>
      </w:pPr>
      <w:r w:rsidRPr="004C70D5">
        <w:rPr>
          <w:rStyle w:val="FootnoteReference"/>
        </w:rPr>
        <w:footnoteRef/>
      </w:r>
      <w:r w:rsidRPr="004C70D5">
        <w:t xml:space="preserve"> </w:t>
      </w:r>
      <w:r>
        <w:t xml:space="preserve">George </w:t>
      </w:r>
      <w:proofErr w:type="spellStart"/>
      <w:r>
        <w:t>Fitzhardinge</w:t>
      </w:r>
      <w:proofErr w:type="spellEnd"/>
      <w:r>
        <w:t xml:space="preserve"> Berkeley to unknown, undated, c. 1921 (CCCA, Berkeley papers, PR12/149).  </w:t>
      </w:r>
    </w:p>
  </w:footnote>
  <w:footnote w:id="71">
    <w:p w14:paraId="3838F72D" w14:textId="77777777" w:rsidR="008E3CF6" w:rsidRPr="00F0330E" w:rsidRDefault="008E3CF6" w:rsidP="001B747D">
      <w:pPr>
        <w:pStyle w:val="FootnoteText"/>
        <w:rPr>
          <w:b/>
        </w:rPr>
      </w:pPr>
      <w:r>
        <w:rPr>
          <w:rStyle w:val="FootnoteReference"/>
        </w:rPr>
        <w:footnoteRef/>
      </w:r>
      <w:r>
        <w:t xml:space="preserve"> </w:t>
      </w:r>
      <w:proofErr w:type="spellStart"/>
      <w:r>
        <w:t>Paseta</w:t>
      </w:r>
      <w:proofErr w:type="spellEnd"/>
      <w:r>
        <w:t>, ‘Ireland’s last home rule generation’, p. 23.</w:t>
      </w:r>
    </w:p>
  </w:footnote>
  <w:footnote w:id="72">
    <w:p w14:paraId="7C6F4F5D" w14:textId="199A1E03" w:rsidR="008E3CF6" w:rsidRPr="00242B4F" w:rsidRDefault="008E3CF6" w:rsidP="001B747D">
      <w:pPr>
        <w:pStyle w:val="FootnoteText"/>
      </w:pPr>
      <w:r w:rsidRPr="004C70D5">
        <w:rPr>
          <w:rStyle w:val="FootnoteReference"/>
        </w:rPr>
        <w:footnoteRef/>
      </w:r>
      <w:r w:rsidRPr="004C70D5">
        <w:t xml:space="preserve"> </w:t>
      </w:r>
      <w:r>
        <w:t xml:space="preserve">See, for example, </w:t>
      </w:r>
      <w:r w:rsidRPr="003378CD">
        <w:rPr>
          <w:i/>
        </w:rPr>
        <w:t>Irish Statesman,</w:t>
      </w:r>
      <w:r>
        <w:t xml:space="preserve"> 28 June 1919, 24 Jan</w:t>
      </w:r>
      <w:r w:rsidR="00270C75">
        <w:t>.</w:t>
      </w:r>
      <w:r>
        <w:t xml:space="preserve"> 1920. This, of course, also had the effect of highlighting the dangers of partition to northern Catholics. </w:t>
      </w:r>
    </w:p>
  </w:footnote>
  <w:footnote w:id="73">
    <w:p w14:paraId="554490B4" w14:textId="77777777" w:rsidR="008E3CF6" w:rsidRPr="00E05B49" w:rsidRDefault="008E3CF6" w:rsidP="001B747D">
      <w:pPr>
        <w:pStyle w:val="FootnoteText"/>
      </w:pPr>
      <w:r>
        <w:rPr>
          <w:rStyle w:val="FootnoteReference"/>
        </w:rPr>
        <w:footnoteRef/>
      </w:r>
      <w:r>
        <w:t xml:space="preserve"> F.S.L. Lyons, </w:t>
      </w:r>
      <w:r>
        <w:rPr>
          <w:i/>
        </w:rPr>
        <w:t xml:space="preserve">The Irish Parliamentary Party, 1890‒1910 </w:t>
      </w:r>
      <w:r>
        <w:t xml:space="preserve">(London, 1951), p. 158. </w:t>
      </w:r>
    </w:p>
  </w:footnote>
  <w:footnote w:id="74">
    <w:p w14:paraId="42703536" w14:textId="77777777" w:rsidR="008E3CF6" w:rsidRDefault="008E3CF6" w:rsidP="001B747D">
      <w:pPr>
        <w:pStyle w:val="FootnoteText"/>
      </w:pPr>
      <w:r>
        <w:rPr>
          <w:rStyle w:val="FootnoteReference"/>
        </w:rPr>
        <w:footnoteRef/>
      </w:r>
      <w:r>
        <w:t xml:space="preserve"> </w:t>
      </w:r>
      <w:r w:rsidRPr="00144626">
        <w:t>Michael</w:t>
      </w:r>
      <w:r>
        <w:t xml:space="preserve"> </w:t>
      </w:r>
      <w:r w:rsidRPr="00144626">
        <w:t xml:space="preserve">Laffan, </w:t>
      </w:r>
      <w:r w:rsidRPr="00144626">
        <w:rPr>
          <w:i/>
        </w:rPr>
        <w:t xml:space="preserve">The resurrection of Ireland: the Sinn Féin </w:t>
      </w:r>
      <w:r w:rsidRPr="00DF0250">
        <w:rPr>
          <w:i/>
        </w:rPr>
        <w:t>party, 1916</w:t>
      </w:r>
      <w:r>
        <w:rPr>
          <w:i/>
        </w:rPr>
        <w:t>‒</w:t>
      </w:r>
      <w:r w:rsidRPr="00DF0250">
        <w:rPr>
          <w:i/>
        </w:rPr>
        <w:t>1923</w:t>
      </w:r>
      <w:r w:rsidRPr="00144626">
        <w:t xml:space="preserve"> (Cambridge, 1999)</w:t>
      </w:r>
      <w:r>
        <w:t xml:space="preserve">, p. 191. </w:t>
      </w:r>
    </w:p>
  </w:footnote>
  <w:footnote w:id="75">
    <w:p w14:paraId="65B64111" w14:textId="77777777" w:rsidR="008E3CF6" w:rsidRDefault="008E3CF6" w:rsidP="001B747D">
      <w:pPr>
        <w:pStyle w:val="FootnoteText"/>
      </w:pPr>
      <w:r>
        <w:rPr>
          <w:rStyle w:val="FootnoteReference"/>
        </w:rPr>
        <w:footnoteRef/>
      </w:r>
      <w:r>
        <w:t xml:space="preserve"> Patrick Joseph Brady, </w:t>
      </w:r>
      <w:r w:rsidRPr="00B47E61">
        <w:rPr>
          <w:szCs w:val="24"/>
        </w:rPr>
        <w:t>George Browne</w:t>
      </w:r>
      <w:r>
        <w:rPr>
          <w:szCs w:val="24"/>
        </w:rPr>
        <w:t>,</w:t>
      </w:r>
      <w:r w:rsidRPr="00B47E61">
        <w:rPr>
          <w:szCs w:val="24"/>
        </w:rPr>
        <w:t xml:space="preserve"> </w:t>
      </w:r>
      <w:r>
        <w:t xml:space="preserve">Sir George Errington, </w:t>
      </w:r>
      <w:r w:rsidRPr="00832752">
        <w:rPr>
          <w:szCs w:val="24"/>
        </w:rPr>
        <w:t xml:space="preserve">John </w:t>
      </w:r>
      <w:proofErr w:type="spellStart"/>
      <w:r w:rsidRPr="00832752">
        <w:rPr>
          <w:szCs w:val="24"/>
        </w:rPr>
        <w:t>Lymbrick</w:t>
      </w:r>
      <w:proofErr w:type="spellEnd"/>
      <w:r>
        <w:rPr>
          <w:szCs w:val="24"/>
        </w:rPr>
        <w:t xml:space="preserve"> </w:t>
      </w:r>
      <w:proofErr w:type="spellStart"/>
      <w:r>
        <w:rPr>
          <w:szCs w:val="24"/>
        </w:rPr>
        <w:t>Esmonde</w:t>
      </w:r>
      <w:proofErr w:type="spellEnd"/>
      <w:r>
        <w:rPr>
          <w:szCs w:val="24"/>
        </w:rPr>
        <w:t>,</w:t>
      </w:r>
      <w:r>
        <w:t xml:space="preserve"> Stephen Gwynn, Henry Harrison, </w:t>
      </w:r>
      <w:r>
        <w:rPr>
          <w:szCs w:val="24"/>
        </w:rPr>
        <w:t>Vincent Kennedy,</w:t>
      </w:r>
      <w:r>
        <w:t xml:space="preserve"> James Lardner, and Pierce </w:t>
      </w:r>
      <w:proofErr w:type="spellStart"/>
      <w:r>
        <w:t>O’Mahony</w:t>
      </w:r>
      <w:proofErr w:type="spellEnd"/>
      <w:r>
        <w:t xml:space="preserve"> were former home rule MPs. </w:t>
      </w:r>
    </w:p>
  </w:footnote>
  <w:footnote w:id="76">
    <w:p w14:paraId="1BEB0AF6" w14:textId="483BEAED" w:rsidR="008E3CF6" w:rsidRPr="00A127B4" w:rsidRDefault="008E3CF6" w:rsidP="001B747D">
      <w:pPr>
        <w:pStyle w:val="FootnoteText"/>
        <w:rPr>
          <w:i/>
        </w:rPr>
      </w:pPr>
      <w:r>
        <w:rPr>
          <w:rStyle w:val="FootnoteReference"/>
        </w:rPr>
        <w:footnoteRef/>
      </w:r>
      <w:r>
        <w:t xml:space="preserve"> Morrissey, </w:t>
      </w:r>
      <w:r w:rsidRPr="005F766B">
        <w:t>‘Protestant home rulers and constitutional nationalism in Ireland</w:t>
      </w:r>
      <w:r w:rsidR="00A50B81">
        <w:t xml:space="preserve">’. </w:t>
      </w:r>
      <w:r w:rsidRPr="005F766B">
        <w:t xml:space="preserve">  </w:t>
      </w:r>
    </w:p>
  </w:footnote>
  <w:footnote w:id="77">
    <w:p w14:paraId="2310346B" w14:textId="77777777" w:rsidR="008E3CF6" w:rsidRDefault="008E3CF6" w:rsidP="001B747D">
      <w:pPr>
        <w:pStyle w:val="FootnoteText"/>
      </w:pPr>
      <w:r>
        <w:rPr>
          <w:rStyle w:val="FootnoteReference"/>
        </w:rPr>
        <w:footnoteRef/>
      </w:r>
      <w:r>
        <w:t xml:space="preserve"> Including the Rev. J.O. </w:t>
      </w:r>
      <w:proofErr w:type="spellStart"/>
      <w:r>
        <w:t>Hannay</w:t>
      </w:r>
      <w:proofErr w:type="spellEnd"/>
      <w:r>
        <w:t xml:space="preserve">, Sir Thomas Myles, and Sir William Hutcheson </w:t>
      </w:r>
      <w:proofErr w:type="spellStart"/>
      <w:r w:rsidRPr="00A127B4">
        <w:t>Poë</w:t>
      </w:r>
      <w:proofErr w:type="spellEnd"/>
      <w:r>
        <w:t xml:space="preserve">.  </w:t>
      </w:r>
    </w:p>
  </w:footnote>
  <w:footnote w:id="78">
    <w:p w14:paraId="3FB7B76D" w14:textId="77777777" w:rsidR="008E3CF6" w:rsidRDefault="008E3CF6" w:rsidP="001B747D">
      <w:pPr>
        <w:pStyle w:val="FootnoteText"/>
      </w:pPr>
      <w:r>
        <w:rPr>
          <w:rStyle w:val="FootnoteReference"/>
        </w:rPr>
        <w:footnoteRef/>
      </w:r>
      <w:r>
        <w:t xml:space="preserve"> Among them </w:t>
      </w:r>
      <w:proofErr w:type="spellStart"/>
      <w:r w:rsidRPr="00457F9A">
        <w:t>Dermod</w:t>
      </w:r>
      <w:proofErr w:type="spellEnd"/>
      <w:r w:rsidRPr="00457F9A">
        <w:t xml:space="preserve"> O’Brien</w:t>
      </w:r>
      <w:r>
        <w:t>, Francis Cruise O’Brien, and Wilbraham Fitzjohn Trench.</w:t>
      </w:r>
    </w:p>
  </w:footnote>
  <w:footnote w:id="79">
    <w:p w14:paraId="0604A02D" w14:textId="77777777" w:rsidR="008E3CF6" w:rsidRPr="006F7CC6" w:rsidRDefault="008E3CF6" w:rsidP="001B747D">
      <w:pPr>
        <w:pStyle w:val="FootnoteText"/>
      </w:pPr>
      <w:r>
        <w:rPr>
          <w:rStyle w:val="FootnoteReference"/>
        </w:rPr>
        <w:footnoteRef/>
      </w:r>
      <w:r>
        <w:t xml:space="preserve"> IDL members checked against </w:t>
      </w:r>
      <w:r>
        <w:rPr>
          <w:i/>
        </w:rPr>
        <w:t xml:space="preserve">Irish Unionist Alliance: Twenty-eight annual report, 1912‒13 </w:t>
      </w:r>
      <w:r>
        <w:t xml:space="preserve">(Dublin, 1913). </w:t>
      </w:r>
    </w:p>
  </w:footnote>
  <w:footnote w:id="80">
    <w:p w14:paraId="7A818E13" w14:textId="3DB05034" w:rsidR="008E3CF6" w:rsidRPr="00146F9A" w:rsidRDefault="008E3CF6" w:rsidP="001B747D">
      <w:pPr>
        <w:pStyle w:val="FootnoteText"/>
        <w:rPr>
          <w:b/>
        </w:rPr>
      </w:pPr>
      <w:r w:rsidRPr="004C70D5">
        <w:rPr>
          <w:rStyle w:val="FootnoteReference"/>
        </w:rPr>
        <w:footnoteRef/>
      </w:r>
      <w:r w:rsidRPr="004C70D5">
        <w:t xml:space="preserve"> </w:t>
      </w:r>
      <w:r w:rsidRPr="00F936CD">
        <w:rPr>
          <w:i/>
        </w:rPr>
        <w:t>Irish Statesman,</w:t>
      </w:r>
      <w:r>
        <w:t xml:space="preserve"> 17 Jan</w:t>
      </w:r>
      <w:r w:rsidR="00270C75">
        <w:t>.</w:t>
      </w:r>
      <w:r>
        <w:t xml:space="preserve"> 1920. </w:t>
      </w:r>
    </w:p>
  </w:footnote>
  <w:footnote w:id="81">
    <w:p w14:paraId="573463CA" w14:textId="77777777" w:rsidR="008E3CF6" w:rsidRDefault="008E3CF6" w:rsidP="001B747D">
      <w:pPr>
        <w:pStyle w:val="FootnoteText"/>
      </w:pPr>
      <w:r>
        <w:rPr>
          <w:rStyle w:val="FootnoteReference"/>
        </w:rPr>
        <w:footnoteRef/>
      </w:r>
      <w:r>
        <w:t xml:space="preserve"> The Irish Dominion League, </w:t>
      </w:r>
      <w:r w:rsidRPr="007844EA">
        <w:rPr>
          <w:i/>
        </w:rPr>
        <w:t>Official report</w:t>
      </w:r>
      <w:r>
        <w:rPr>
          <w:i/>
        </w:rPr>
        <w:t>,</w:t>
      </w:r>
      <w:r>
        <w:t xml:space="preserve"> p. 9.</w:t>
      </w:r>
    </w:p>
  </w:footnote>
  <w:footnote w:id="82">
    <w:p w14:paraId="0FE52403" w14:textId="77777777" w:rsidR="008E3CF6" w:rsidRDefault="008E3CF6" w:rsidP="001B747D">
      <w:pPr>
        <w:pStyle w:val="FootnoteText"/>
      </w:pPr>
      <w:r>
        <w:rPr>
          <w:rStyle w:val="FootnoteReference"/>
        </w:rPr>
        <w:footnoteRef/>
      </w:r>
      <w:r>
        <w:t xml:space="preserve"> Horace Plunkett, </w:t>
      </w:r>
      <w:r w:rsidRPr="00421ECA">
        <w:rPr>
          <w:i/>
        </w:rPr>
        <w:t>England’s Irish policy during and after the war</w:t>
      </w:r>
      <w:r>
        <w:t xml:space="preserve"> (Dublin, 1920), p. 3. </w:t>
      </w:r>
    </w:p>
  </w:footnote>
  <w:footnote w:id="83">
    <w:p w14:paraId="64A34295" w14:textId="415623EA" w:rsidR="008E3CF6" w:rsidRPr="00242B4F" w:rsidRDefault="008E3CF6" w:rsidP="001B747D">
      <w:pPr>
        <w:pStyle w:val="FootnoteText"/>
      </w:pPr>
      <w:r w:rsidRPr="004C70D5">
        <w:rPr>
          <w:rStyle w:val="FootnoteReference"/>
        </w:rPr>
        <w:footnoteRef/>
      </w:r>
      <w:r w:rsidRPr="004C70D5">
        <w:t xml:space="preserve"> </w:t>
      </w:r>
      <w:r w:rsidRPr="00934F3D">
        <w:rPr>
          <w:i/>
        </w:rPr>
        <w:t>Irish Statesman,</w:t>
      </w:r>
      <w:r>
        <w:t xml:space="preserve"> 13 Sept</w:t>
      </w:r>
      <w:r w:rsidR="00F11DF6">
        <w:t>.</w:t>
      </w:r>
      <w:r>
        <w:t>, 18 Oct</w:t>
      </w:r>
      <w:r w:rsidR="00F11DF6">
        <w:t>.</w:t>
      </w:r>
      <w:r>
        <w:t xml:space="preserve"> 1919, 3 Jan</w:t>
      </w:r>
      <w:r w:rsidR="00270C75">
        <w:t>.</w:t>
      </w:r>
      <w:r>
        <w:t>, 7 Feb</w:t>
      </w:r>
      <w:r w:rsidR="00270C75">
        <w:t>.</w:t>
      </w:r>
      <w:r>
        <w:t>, 13, 27 Mar</w:t>
      </w:r>
      <w:r w:rsidR="00270C75">
        <w:t>.</w:t>
      </w:r>
      <w:r>
        <w:t xml:space="preserve"> 1920.  </w:t>
      </w:r>
    </w:p>
  </w:footnote>
  <w:footnote w:id="84">
    <w:p w14:paraId="663E3082" w14:textId="1A708C01" w:rsidR="008E3CF6" w:rsidRPr="00242B4F" w:rsidRDefault="008E3CF6" w:rsidP="001B747D">
      <w:pPr>
        <w:pStyle w:val="FootnoteText"/>
      </w:pPr>
      <w:r w:rsidRPr="004C70D5">
        <w:rPr>
          <w:rStyle w:val="FootnoteReference"/>
        </w:rPr>
        <w:footnoteRef/>
      </w:r>
      <w:r w:rsidRPr="004C70D5">
        <w:t xml:space="preserve"> </w:t>
      </w:r>
      <w:r w:rsidRPr="00934F3D">
        <w:rPr>
          <w:i/>
        </w:rPr>
        <w:t>Irish Statesman,</w:t>
      </w:r>
      <w:r>
        <w:t xml:space="preserve"> 20 Sept</w:t>
      </w:r>
      <w:r w:rsidR="00F11DF6">
        <w:t>.</w:t>
      </w:r>
      <w:r>
        <w:t>, 6 Dec</w:t>
      </w:r>
      <w:r w:rsidR="00F11DF6">
        <w:t>.</w:t>
      </w:r>
      <w:r>
        <w:t xml:space="preserve"> 1919. </w:t>
      </w:r>
      <w:r w:rsidRPr="008D31CA">
        <w:rPr>
          <w:b/>
        </w:rPr>
        <w:t xml:space="preserve">  </w:t>
      </w:r>
    </w:p>
  </w:footnote>
  <w:footnote w:id="85">
    <w:p w14:paraId="7AD7D805" w14:textId="2923189A" w:rsidR="008E3CF6" w:rsidRPr="00C37BE0" w:rsidRDefault="008E3CF6" w:rsidP="001B747D">
      <w:pPr>
        <w:pStyle w:val="FootnoteText"/>
        <w:rPr>
          <w:b/>
        </w:rPr>
      </w:pPr>
      <w:r>
        <w:rPr>
          <w:rStyle w:val="FootnoteReference"/>
        </w:rPr>
        <w:footnoteRef/>
      </w:r>
      <w:r>
        <w:t xml:space="preserve"> </w:t>
      </w:r>
      <w:r w:rsidRPr="0079764C">
        <w:t xml:space="preserve">West, </w:t>
      </w:r>
      <w:r w:rsidRPr="0079764C">
        <w:rPr>
          <w:i/>
        </w:rPr>
        <w:t>Horace Plunkett</w:t>
      </w:r>
      <w:r>
        <w:rPr>
          <w:i/>
        </w:rPr>
        <w:t>,</w:t>
      </w:r>
      <w:r>
        <w:t xml:space="preserve"> p. 187; Digby, </w:t>
      </w:r>
      <w:r w:rsidRPr="0061239F">
        <w:rPr>
          <w:i/>
        </w:rPr>
        <w:t>Horace Plunkett</w:t>
      </w:r>
      <w:r>
        <w:t xml:space="preserve">, p. 249. For the </w:t>
      </w:r>
      <w:r>
        <w:rPr>
          <w:i/>
        </w:rPr>
        <w:t xml:space="preserve">Irish Statesman </w:t>
      </w:r>
      <w:r>
        <w:t xml:space="preserve">generally, including its revival from 1923-30, see Ian </w:t>
      </w:r>
      <w:proofErr w:type="spellStart"/>
      <w:r>
        <w:t>d’Alton</w:t>
      </w:r>
      <w:proofErr w:type="spellEnd"/>
      <w:r>
        <w:t xml:space="preserve">, “In a ‘comity of cultures’: the rise and fall of the </w:t>
      </w:r>
      <w:r w:rsidRPr="00A51513">
        <w:rPr>
          <w:i/>
        </w:rPr>
        <w:t>Irish Statesman</w:t>
      </w:r>
      <w:r>
        <w:t xml:space="preserve">, 1919‒1930”, in Mark O’Brien and Felix M. Larkin (eds.), </w:t>
      </w:r>
      <w:r w:rsidRPr="00C37BE0">
        <w:rPr>
          <w:i/>
        </w:rPr>
        <w:t>Periodicals and journalism in twent</w:t>
      </w:r>
      <w:r w:rsidRPr="00C37BE0">
        <w:rPr>
          <w:rFonts w:hint="eastAsia"/>
          <w:i/>
        </w:rPr>
        <w:t>i</w:t>
      </w:r>
      <w:r w:rsidRPr="00C37BE0">
        <w:rPr>
          <w:i/>
        </w:rPr>
        <w:t>eth</w:t>
      </w:r>
      <w:r>
        <w:rPr>
          <w:i/>
        </w:rPr>
        <w:t>-</w:t>
      </w:r>
      <w:r w:rsidRPr="00C37BE0">
        <w:rPr>
          <w:i/>
        </w:rPr>
        <w:t>century Ireland</w:t>
      </w:r>
      <w:r>
        <w:t xml:space="preserve"> (Dublin, 2014), pp. 102‒22, at 106‒7ff. </w:t>
      </w:r>
    </w:p>
  </w:footnote>
  <w:footnote w:id="86">
    <w:p w14:paraId="45872E21" w14:textId="42738B43" w:rsidR="008E3CF6" w:rsidRPr="00242B4F" w:rsidRDefault="008E3CF6" w:rsidP="001B747D">
      <w:pPr>
        <w:pStyle w:val="FootnoteText"/>
      </w:pPr>
      <w:r w:rsidRPr="004C70D5">
        <w:rPr>
          <w:rStyle w:val="FootnoteReference"/>
        </w:rPr>
        <w:footnoteRef/>
      </w:r>
      <w:r w:rsidRPr="004C70D5">
        <w:t xml:space="preserve"> </w:t>
      </w:r>
      <w:r>
        <w:t xml:space="preserve">Henry Harrison to George </w:t>
      </w:r>
      <w:proofErr w:type="spellStart"/>
      <w:r>
        <w:t>Fitzhardinge</w:t>
      </w:r>
      <w:proofErr w:type="spellEnd"/>
      <w:r>
        <w:t xml:space="preserve"> Berkeley, 14 May 1920 (CCCA, Berkeley papers, PR12/136).  </w:t>
      </w:r>
    </w:p>
  </w:footnote>
  <w:footnote w:id="87">
    <w:p w14:paraId="6E017AA2" w14:textId="77777777" w:rsidR="008E3CF6" w:rsidRPr="00D74982" w:rsidRDefault="008E3CF6" w:rsidP="001B747D">
      <w:pPr>
        <w:pStyle w:val="FootnoteText"/>
        <w:rPr>
          <w:b/>
        </w:rPr>
      </w:pPr>
      <w:r w:rsidRPr="004C70D5">
        <w:rPr>
          <w:rStyle w:val="FootnoteReference"/>
        </w:rPr>
        <w:footnoteRef/>
      </w:r>
      <w:r w:rsidRPr="004C70D5">
        <w:t xml:space="preserve"> </w:t>
      </w:r>
      <w:r>
        <w:t xml:space="preserve">John </w:t>
      </w:r>
      <w:proofErr w:type="spellStart"/>
      <w:r>
        <w:t>Kendle</w:t>
      </w:r>
      <w:proofErr w:type="spellEnd"/>
      <w:r>
        <w:t xml:space="preserve">, </w:t>
      </w:r>
      <w:r>
        <w:rPr>
          <w:i/>
        </w:rPr>
        <w:t xml:space="preserve">Walter Long: Ireland, and the Union: 1905‒1920 </w:t>
      </w:r>
      <w:r>
        <w:t>(Montreal, 1992),</w:t>
      </w:r>
      <w:r>
        <w:rPr>
          <w:i/>
        </w:rPr>
        <w:t xml:space="preserve"> </w:t>
      </w:r>
      <w:r>
        <w:t xml:space="preserve">pp. 181‒185ff. </w:t>
      </w:r>
    </w:p>
  </w:footnote>
  <w:footnote w:id="88">
    <w:p w14:paraId="49CA801A" w14:textId="049FAF66" w:rsidR="008E3CF6" w:rsidRPr="00B81923" w:rsidRDefault="008E3CF6" w:rsidP="001B747D">
      <w:pPr>
        <w:pStyle w:val="FootnoteText"/>
      </w:pPr>
      <w:r w:rsidRPr="004C70D5">
        <w:rPr>
          <w:rStyle w:val="FootnoteReference"/>
        </w:rPr>
        <w:footnoteRef/>
      </w:r>
      <w:r w:rsidRPr="004C70D5">
        <w:t xml:space="preserve"> </w:t>
      </w:r>
      <w:r w:rsidRPr="00B81923">
        <w:rPr>
          <w:i/>
        </w:rPr>
        <w:t>Irish Statesman,</w:t>
      </w:r>
      <w:r>
        <w:t xml:space="preserve"> 30 Mar</w:t>
      </w:r>
      <w:r w:rsidR="00270C75">
        <w:t>.</w:t>
      </w:r>
      <w:r>
        <w:t xml:space="preserve"> 1920. See also </w:t>
      </w:r>
      <w:r>
        <w:rPr>
          <w:i/>
        </w:rPr>
        <w:t>IT</w:t>
      </w:r>
      <w:r w:rsidRPr="00B81923">
        <w:rPr>
          <w:i/>
        </w:rPr>
        <w:t>,</w:t>
      </w:r>
      <w:r>
        <w:t xml:space="preserve"> 29 Apr</w:t>
      </w:r>
      <w:r w:rsidR="00F11DF6">
        <w:t>.</w:t>
      </w:r>
      <w:r>
        <w:t xml:space="preserve"> 1920; Henry Harrison,</w:t>
      </w:r>
      <w:r w:rsidRPr="00B81923">
        <w:t xml:space="preserve"> </w:t>
      </w:r>
      <w:r w:rsidRPr="00B81923">
        <w:rPr>
          <w:i/>
        </w:rPr>
        <w:t>The Irish case considered: a remonstrance</w:t>
      </w:r>
      <w:r>
        <w:rPr>
          <w:i/>
        </w:rPr>
        <w:t xml:space="preserve"> addressed to the British public </w:t>
      </w:r>
      <w:r>
        <w:t xml:space="preserve">(London, 1920). </w:t>
      </w:r>
    </w:p>
  </w:footnote>
  <w:footnote w:id="89">
    <w:p w14:paraId="78A14AF8" w14:textId="681AF325" w:rsidR="008E3CF6" w:rsidRDefault="008E3CF6" w:rsidP="001B747D">
      <w:pPr>
        <w:pStyle w:val="FootnoteText"/>
      </w:pPr>
      <w:r>
        <w:rPr>
          <w:rStyle w:val="FootnoteReference"/>
        </w:rPr>
        <w:footnoteRef/>
      </w:r>
      <w:r>
        <w:t xml:space="preserve"> HPD, 20 Nov. 1919. </w:t>
      </w:r>
    </w:p>
  </w:footnote>
  <w:footnote w:id="90">
    <w:p w14:paraId="5EC61104" w14:textId="7D1898BE" w:rsidR="008E3CF6" w:rsidRPr="005801F4" w:rsidRDefault="008E3CF6" w:rsidP="001B747D">
      <w:pPr>
        <w:pStyle w:val="FootnoteText"/>
      </w:pPr>
      <w:r w:rsidRPr="004C70D5">
        <w:rPr>
          <w:rStyle w:val="FootnoteReference"/>
        </w:rPr>
        <w:footnoteRef/>
      </w:r>
      <w:r w:rsidRPr="004C70D5">
        <w:t xml:space="preserve"> </w:t>
      </w:r>
      <w:r w:rsidRPr="00D13A27">
        <w:rPr>
          <w:i/>
        </w:rPr>
        <w:t>Irish Statesman,</w:t>
      </w:r>
      <w:r>
        <w:t xml:space="preserve"> 17 Apr</w:t>
      </w:r>
      <w:r w:rsidR="00F11DF6">
        <w:t>.</w:t>
      </w:r>
      <w:r>
        <w:t xml:space="preserve"> 1920. </w:t>
      </w:r>
    </w:p>
  </w:footnote>
  <w:footnote w:id="91">
    <w:p w14:paraId="6F87A948" w14:textId="33A8B62C" w:rsidR="008E3CF6" w:rsidRPr="005801F4" w:rsidRDefault="008E3CF6" w:rsidP="001B747D">
      <w:pPr>
        <w:pStyle w:val="FootnoteText"/>
      </w:pPr>
      <w:r w:rsidRPr="004C70D5">
        <w:rPr>
          <w:rStyle w:val="FootnoteReference"/>
        </w:rPr>
        <w:footnoteRef/>
      </w:r>
      <w:r w:rsidRPr="004C70D5">
        <w:t xml:space="preserve"> </w:t>
      </w:r>
      <w:r>
        <w:rPr>
          <w:i/>
        </w:rPr>
        <w:t>IT</w:t>
      </w:r>
      <w:r>
        <w:t>, 5 Mar</w:t>
      </w:r>
      <w:r w:rsidR="00270C75">
        <w:t>.</w:t>
      </w:r>
      <w:r>
        <w:t xml:space="preserve"> 1920.  </w:t>
      </w:r>
    </w:p>
  </w:footnote>
  <w:footnote w:id="92">
    <w:p w14:paraId="42761F66" w14:textId="77777777" w:rsidR="008E3CF6" w:rsidRPr="005801F4" w:rsidRDefault="008E3CF6" w:rsidP="001B747D">
      <w:pPr>
        <w:pStyle w:val="FootnoteText"/>
      </w:pPr>
      <w:r w:rsidRPr="004C70D5">
        <w:rPr>
          <w:rStyle w:val="FootnoteReference"/>
        </w:rPr>
        <w:footnoteRef/>
      </w:r>
      <w:r w:rsidRPr="004C70D5">
        <w:t xml:space="preserve"> </w:t>
      </w:r>
      <w:r w:rsidRPr="00F10A2F">
        <w:t xml:space="preserve">Reid, </w:t>
      </w:r>
      <w:r w:rsidRPr="00F10A2F">
        <w:rPr>
          <w:i/>
        </w:rPr>
        <w:t>The lost Ireland of Stephen Gwynn</w:t>
      </w:r>
      <w:r>
        <w:t xml:space="preserve">, pp. 180‒183. </w:t>
      </w:r>
    </w:p>
  </w:footnote>
  <w:footnote w:id="93">
    <w:p w14:paraId="489F69CA" w14:textId="6A618748" w:rsidR="008E3CF6" w:rsidRPr="005801F4" w:rsidRDefault="008E3CF6" w:rsidP="001B747D">
      <w:pPr>
        <w:pStyle w:val="FootnoteText"/>
      </w:pPr>
      <w:r w:rsidRPr="004C70D5">
        <w:rPr>
          <w:rStyle w:val="FootnoteReference"/>
        </w:rPr>
        <w:footnoteRef/>
      </w:r>
      <w:r w:rsidRPr="004C70D5">
        <w:t xml:space="preserve"> </w:t>
      </w:r>
      <w:r w:rsidRPr="00894EC6">
        <w:rPr>
          <w:i/>
        </w:rPr>
        <w:t>Irish Statesman,</w:t>
      </w:r>
      <w:r>
        <w:t xml:space="preserve"> 27 Mar</w:t>
      </w:r>
      <w:r w:rsidR="00270C75">
        <w:t>.</w:t>
      </w:r>
      <w:r>
        <w:t xml:space="preserve"> 1920.  </w:t>
      </w:r>
    </w:p>
  </w:footnote>
  <w:footnote w:id="94">
    <w:p w14:paraId="26AA4D24" w14:textId="3A8FB211" w:rsidR="008E3CF6" w:rsidRPr="00242B4F" w:rsidRDefault="008E3CF6" w:rsidP="001B747D">
      <w:pPr>
        <w:pStyle w:val="FootnoteText"/>
      </w:pPr>
      <w:r w:rsidRPr="004C70D5">
        <w:rPr>
          <w:rStyle w:val="FootnoteReference"/>
        </w:rPr>
        <w:footnoteRef/>
      </w:r>
      <w:r w:rsidRPr="004C70D5">
        <w:t xml:space="preserve"> </w:t>
      </w:r>
      <w:r>
        <w:t xml:space="preserve">See, for example, </w:t>
      </w:r>
      <w:r w:rsidRPr="00934F3D">
        <w:rPr>
          <w:i/>
        </w:rPr>
        <w:t>Irish Statesman,</w:t>
      </w:r>
      <w:r>
        <w:t xml:space="preserve"> 14 Feb</w:t>
      </w:r>
      <w:r w:rsidR="00270C75">
        <w:t>.</w:t>
      </w:r>
      <w:r>
        <w:t xml:space="preserve"> 1920. See also Harrison,</w:t>
      </w:r>
      <w:r w:rsidRPr="00B81923">
        <w:t xml:space="preserve"> </w:t>
      </w:r>
      <w:r w:rsidRPr="00B81923">
        <w:rPr>
          <w:i/>
        </w:rPr>
        <w:t>The Irish case considered</w:t>
      </w:r>
      <w:r>
        <w:t xml:space="preserve">, p. 17.  </w:t>
      </w:r>
      <w:r w:rsidRPr="008D31CA">
        <w:rPr>
          <w:b/>
        </w:rPr>
        <w:t xml:space="preserve">  </w:t>
      </w:r>
    </w:p>
  </w:footnote>
  <w:footnote w:id="95">
    <w:p w14:paraId="6E5E20FD" w14:textId="77777777" w:rsidR="008E3CF6" w:rsidRDefault="008E3CF6" w:rsidP="001B747D">
      <w:pPr>
        <w:pStyle w:val="FootnoteText"/>
      </w:pPr>
      <w:r>
        <w:rPr>
          <w:rStyle w:val="FootnoteReference"/>
        </w:rPr>
        <w:footnoteRef/>
      </w:r>
      <w:r>
        <w:t xml:space="preserve"> Plunkett, </w:t>
      </w:r>
      <w:r w:rsidRPr="00421ECA">
        <w:rPr>
          <w:i/>
        </w:rPr>
        <w:t>England’s Irish policy</w:t>
      </w:r>
      <w:r>
        <w:rPr>
          <w:i/>
        </w:rPr>
        <w:t xml:space="preserve">, </w:t>
      </w:r>
      <w:r>
        <w:t>p. 11.</w:t>
      </w:r>
    </w:p>
  </w:footnote>
  <w:footnote w:id="96">
    <w:p w14:paraId="2C246B9E" w14:textId="77777777" w:rsidR="008E3CF6" w:rsidRPr="00A3632F" w:rsidRDefault="008E3CF6" w:rsidP="001B747D">
      <w:pPr>
        <w:pStyle w:val="FootnoteText"/>
        <w:rPr>
          <w:b/>
        </w:rPr>
      </w:pPr>
      <w:r>
        <w:rPr>
          <w:rStyle w:val="FootnoteReference"/>
        </w:rPr>
        <w:footnoteRef/>
      </w:r>
      <w:r>
        <w:t xml:space="preserve"> See, for example, D.G. Boyce, ‘How to settle the Irish question: Lloyd George and Ireland, 1916‒21’ in A.J.P. Taylor (ed.) </w:t>
      </w:r>
      <w:r>
        <w:rPr>
          <w:i/>
        </w:rPr>
        <w:t xml:space="preserve">Lloyd George: twelve essays </w:t>
      </w:r>
      <w:r>
        <w:t>(New York, 1971), pp. 137‒164, at 141‒2, 160‒1ff.</w:t>
      </w:r>
    </w:p>
  </w:footnote>
  <w:footnote w:id="97">
    <w:p w14:paraId="42F8FB4F" w14:textId="10E271F5" w:rsidR="008E3CF6" w:rsidRPr="00DA0C92" w:rsidRDefault="008E3CF6">
      <w:pPr>
        <w:pStyle w:val="FootnoteText"/>
        <w:rPr>
          <w:lang w:val="en-GB"/>
        </w:rPr>
      </w:pPr>
      <w:r>
        <w:rPr>
          <w:rStyle w:val="FootnoteReference"/>
        </w:rPr>
        <w:footnoteRef/>
      </w:r>
      <w:r>
        <w:t xml:space="preserve"> For Waller’s career, see Conor Morrissey, </w:t>
      </w:r>
      <w:r w:rsidRPr="005F766B">
        <w:rPr>
          <w:lang w:val="en-GB"/>
        </w:rPr>
        <w:t xml:space="preserve">‘Peace, Protestantism, and the unity of Ireland: the career of Bolton C. Waller’, in Ian </w:t>
      </w:r>
      <w:proofErr w:type="spellStart"/>
      <w:r w:rsidRPr="005F766B">
        <w:rPr>
          <w:lang w:val="en-GB"/>
        </w:rPr>
        <w:t>d’Alton</w:t>
      </w:r>
      <w:proofErr w:type="spellEnd"/>
      <w:r w:rsidRPr="005F766B">
        <w:rPr>
          <w:lang w:val="en-GB"/>
        </w:rPr>
        <w:t xml:space="preserve"> and Ida Milne (eds.), </w:t>
      </w:r>
      <w:r w:rsidRPr="005F766B">
        <w:rPr>
          <w:i/>
          <w:lang w:val="en-GB"/>
        </w:rPr>
        <w:t>Protestant and Irish: the minority’s search for place in independent Ireland</w:t>
      </w:r>
      <w:r w:rsidRPr="005F766B">
        <w:rPr>
          <w:lang w:val="en-GB"/>
        </w:rPr>
        <w:t xml:space="preserve"> (Cork: Cork University Press, 2019), pp. 51-66.  </w:t>
      </w:r>
    </w:p>
  </w:footnote>
  <w:footnote w:id="98">
    <w:p w14:paraId="0C4160D9" w14:textId="195F2B9C" w:rsidR="008E3CF6" w:rsidRPr="005801F4" w:rsidRDefault="008E3CF6" w:rsidP="001B747D">
      <w:pPr>
        <w:pStyle w:val="FootnoteText"/>
      </w:pPr>
      <w:r w:rsidRPr="004C70D5">
        <w:rPr>
          <w:rStyle w:val="FootnoteReference"/>
        </w:rPr>
        <w:footnoteRef/>
      </w:r>
      <w:r w:rsidRPr="004C70D5">
        <w:t xml:space="preserve"> </w:t>
      </w:r>
      <w:r>
        <w:rPr>
          <w:i/>
        </w:rPr>
        <w:t>FJ,</w:t>
      </w:r>
      <w:r>
        <w:t xml:space="preserve"> 6 Aug</w:t>
      </w:r>
      <w:r w:rsidR="00F11DF6">
        <w:t>.</w:t>
      </w:r>
      <w:r>
        <w:t xml:space="preserve"> 1920; </w:t>
      </w:r>
      <w:r w:rsidRPr="001924A4">
        <w:rPr>
          <w:i/>
          <w:lang w:val="en-US"/>
        </w:rPr>
        <w:t xml:space="preserve">IT, </w:t>
      </w:r>
      <w:r w:rsidRPr="001924A4">
        <w:rPr>
          <w:lang w:val="en-US"/>
        </w:rPr>
        <w:t>4 Aug</w:t>
      </w:r>
      <w:r w:rsidR="00F11DF6">
        <w:rPr>
          <w:lang w:val="en-US"/>
        </w:rPr>
        <w:t>.</w:t>
      </w:r>
      <w:r w:rsidRPr="001924A4">
        <w:rPr>
          <w:lang w:val="en-US"/>
        </w:rPr>
        <w:t xml:space="preserve"> 1920</w:t>
      </w:r>
      <w:r>
        <w:rPr>
          <w:lang w:val="en-US"/>
        </w:rPr>
        <w:t xml:space="preserve">. </w:t>
      </w:r>
      <w:r>
        <w:t xml:space="preserve">  </w:t>
      </w:r>
    </w:p>
  </w:footnote>
  <w:footnote w:id="99">
    <w:p w14:paraId="432D0D25" w14:textId="7318B6E4" w:rsidR="008E3CF6" w:rsidRPr="00242B4F" w:rsidRDefault="008E3CF6" w:rsidP="001B747D">
      <w:pPr>
        <w:pStyle w:val="FootnoteText"/>
      </w:pPr>
      <w:r w:rsidRPr="004C70D5">
        <w:rPr>
          <w:rStyle w:val="FootnoteReference"/>
        </w:rPr>
        <w:footnoteRef/>
      </w:r>
      <w:r w:rsidRPr="004C70D5">
        <w:t xml:space="preserve"> </w:t>
      </w:r>
      <w:r>
        <w:t xml:space="preserve">George </w:t>
      </w:r>
      <w:proofErr w:type="spellStart"/>
      <w:r>
        <w:t>Fitzhardinge</w:t>
      </w:r>
      <w:proofErr w:type="spellEnd"/>
      <w:r>
        <w:t xml:space="preserve"> Berkeley to Edmond J. Frewen, 19 Aug</w:t>
      </w:r>
      <w:r w:rsidR="00F11DF6">
        <w:t>.</w:t>
      </w:r>
      <w:r>
        <w:t xml:space="preserve"> 1920 (CCCA, Berkeley papers, PR12/146). </w:t>
      </w:r>
    </w:p>
  </w:footnote>
  <w:footnote w:id="100">
    <w:p w14:paraId="325E13A4" w14:textId="5ABCEB2B" w:rsidR="008E3CF6" w:rsidRPr="00242B4F" w:rsidRDefault="008E3CF6" w:rsidP="001B747D">
      <w:pPr>
        <w:pStyle w:val="FootnoteText"/>
      </w:pPr>
      <w:r w:rsidRPr="004C70D5">
        <w:rPr>
          <w:rStyle w:val="FootnoteReference"/>
        </w:rPr>
        <w:footnoteRef/>
      </w:r>
      <w:r w:rsidRPr="004C70D5">
        <w:t xml:space="preserve"> </w:t>
      </w:r>
      <w:r>
        <w:t xml:space="preserve">George </w:t>
      </w:r>
      <w:proofErr w:type="spellStart"/>
      <w:r>
        <w:t>Fitzhardinge</w:t>
      </w:r>
      <w:proofErr w:type="spellEnd"/>
      <w:r>
        <w:t xml:space="preserve"> Berkeley, Bureau of Military History, Witness Statement 994, p. 8 (National Archives of Ireland); </w:t>
      </w:r>
      <w:r>
        <w:rPr>
          <w:i/>
        </w:rPr>
        <w:t>IT</w:t>
      </w:r>
      <w:r>
        <w:t>, 24 Nov</w:t>
      </w:r>
      <w:r w:rsidR="00F11DF6">
        <w:t>.</w:t>
      </w:r>
      <w:r>
        <w:t xml:space="preserve"> 1920. </w:t>
      </w:r>
    </w:p>
  </w:footnote>
  <w:footnote w:id="101">
    <w:p w14:paraId="5E245431" w14:textId="4F62B16B" w:rsidR="008E3CF6" w:rsidRPr="005801F4" w:rsidRDefault="008E3CF6" w:rsidP="001B747D">
      <w:pPr>
        <w:pStyle w:val="FootnoteText"/>
      </w:pPr>
      <w:r w:rsidRPr="004C70D5">
        <w:rPr>
          <w:rStyle w:val="FootnoteReference"/>
        </w:rPr>
        <w:footnoteRef/>
      </w:r>
      <w:r w:rsidRPr="004C70D5">
        <w:t xml:space="preserve"> </w:t>
      </w:r>
      <w:r>
        <w:t xml:space="preserve">George </w:t>
      </w:r>
      <w:proofErr w:type="spellStart"/>
      <w:r>
        <w:t>Fitzhardinge</w:t>
      </w:r>
      <w:proofErr w:type="spellEnd"/>
      <w:r>
        <w:t xml:space="preserve"> Berkeley, incomplete draft letter</w:t>
      </w:r>
      <w:r w:rsidRPr="005801F4">
        <w:t xml:space="preserve"> </w:t>
      </w:r>
      <w:r>
        <w:t xml:space="preserve">to unknown, undated [1921?] (CCCA, Berkeley papers, PR12). </w:t>
      </w:r>
    </w:p>
  </w:footnote>
  <w:footnote w:id="102">
    <w:p w14:paraId="32BEBEEF" w14:textId="77777777" w:rsidR="008E3CF6" w:rsidRDefault="008E3CF6" w:rsidP="001B747D">
      <w:pPr>
        <w:pStyle w:val="FootnoteText"/>
      </w:pPr>
      <w:r>
        <w:rPr>
          <w:rStyle w:val="FootnoteReference"/>
        </w:rPr>
        <w:footnoteRef/>
      </w:r>
      <w:r>
        <w:t xml:space="preserve"> The Irish Dominion League, </w:t>
      </w:r>
      <w:r w:rsidRPr="007844EA">
        <w:rPr>
          <w:i/>
        </w:rPr>
        <w:t>Official report</w:t>
      </w:r>
      <w:r>
        <w:t>, p. 9</w:t>
      </w:r>
    </w:p>
  </w:footnote>
  <w:footnote w:id="103">
    <w:p w14:paraId="5AAF9636" w14:textId="7CCF7CA2" w:rsidR="008E3CF6" w:rsidRDefault="008E3CF6" w:rsidP="001B747D">
      <w:pPr>
        <w:pStyle w:val="FootnoteText"/>
      </w:pPr>
      <w:r>
        <w:rPr>
          <w:rStyle w:val="FootnoteReference"/>
        </w:rPr>
        <w:footnoteRef/>
      </w:r>
      <w:r>
        <w:t xml:space="preserve"> George </w:t>
      </w:r>
      <w:proofErr w:type="spellStart"/>
      <w:r>
        <w:t>Fitzhardinge</w:t>
      </w:r>
      <w:proofErr w:type="spellEnd"/>
      <w:r>
        <w:t xml:space="preserve"> Berkeley, ‘My experience with the peace with Ireland Council, 1920‒21’, </w:t>
      </w:r>
      <w:proofErr w:type="spellStart"/>
      <w:r>
        <w:t>chs</w:t>
      </w:r>
      <w:proofErr w:type="spellEnd"/>
      <w:r>
        <w:t xml:space="preserve">. 6, 8 (NLI, George </w:t>
      </w:r>
      <w:proofErr w:type="spellStart"/>
      <w:r>
        <w:t>Fitzhardinge</w:t>
      </w:r>
      <w:proofErr w:type="spellEnd"/>
      <w:r>
        <w:t xml:space="preserve"> Berkeley papers, MS 10,924).  </w:t>
      </w:r>
    </w:p>
  </w:footnote>
  <w:footnote w:id="104">
    <w:p w14:paraId="1D228916" w14:textId="3EED4BDC" w:rsidR="008E3CF6" w:rsidRDefault="008E3CF6" w:rsidP="001B747D">
      <w:pPr>
        <w:pStyle w:val="FootnoteText"/>
      </w:pPr>
      <w:r>
        <w:rPr>
          <w:rStyle w:val="FootnoteReference"/>
        </w:rPr>
        <w:footnoteRef/>
      </w:r>
      <w:r>
        <w:t xml:space="preserve"> HPD, 26 Feb</w:t>
      </w:r>
      <w:r w:rsidR="00270C75">
        <w:t>.</w:t>
      </w:r>
      <w:r>
        <w:t xml:space="preserve"> 1920.</w:t>
      </w:r>
    </w:p>
  </w:footnote>
  <w:footnote w:id="105">
    <w:p w14:paraId="50F1C0F2" w14:textId="30841E40" w:rsidR="008E3CF6" w:rsidRDefault="008E3CF6" w:rsidP="001B747D">
      <w:pPr>
        <w:pStyle w:val="FootnoteText"/>
      </w:pPr>
      <w:r>
        <w:rPr>
          <w:rStyle w:val="FootnoteReference"/>
        </w:rPr>
        <w:footnoteRef/>
      </w:r>
      <w:r>
        <w:t xml:space="preserve"> HPD, 30 Mar</w:t>
      </w:r>
      <w:r w:rsidR="00270C75">
        <w:t>.</w:t>
      </w:r>
      <w:r>
        <w:t xml:space="preserve"> 1920.</w:t>
      </w:r>
    </w:p>
  </w:footnote>
  <w:footnote w:id="106">
    <w:p w14:paraId="6583E758" w14:textId="135FB8B2" w:rsidR="008E3CF6" w:rsidRPr="00E47286" w:rsidRDefault="008E3CF6" w:rsidP="001B747D">
      <w:pPr>
        <w:pStyle w:val="FootnoteText"/>
        <w:rPr>
          <w:b/>
        </w:rPr>
      </w:pPr>
      <w:r>
        <w:rPr>
          <w:rStyle w:val="FootnoteReference"/>
        </w:rPr>
        <w:footnoteRef/>
      </w:r>
      <w:r>
        <w:t xml:space="preserve"> Horace Plunkett circular, 9 Aug</w:t>
      </w:r>
      <w:r w:rsidR="00F11DF6">
        <w:t>.</w:t>
      </w:r>
      <w:r>
        <w:t xml:space="preserve"> 1921 (NLI, Monteagle papers, MS13,417/2); Minutes, IDL London branch, 14 Mar</w:t>
      </w:r>
      <w:r w:rsidR="00270C75">
        <w:t>.</w:t>
      </w:r>
      <w:r>
        <w:t xml:space="preserve"> 1921 (NLI, Monteagle papers, MS13,417/3). </w:t>
      </w:r>
    </w:p>
  </w:footnote>
  <w:footnote w:id="107">
    <w:p w14:paraId="104EF63C" w14:textId="7977508F" w:rsidR="008E3CF6" w:rsidRPr="0022215B" w:rsidRDefault="008E3CF6" w:rsidP="001B747D">
      <w:pPr>
        <w:pStyle w:val="FootnoteText"/>
        <w:rPr>
          <w:b/>
        </w:rPr>
      </w:pPr>
      <w:r>
        <w:rPr>
          <w:rStyle w:val="FootnoteReference"/>
        </w:rPr>
        <w:footnoteRef/>
      </w:r>
      <w:r>
        <w:t xml:space="preserve"> Berkeley, ‘My experience with the peace with Ireland Council’, </w:t>
      </w:r>
      <w:proofErr w:type="spellStart"/>
      <w:r>
        <w:t>ch.</w:t>
      </w:r>
      <w:proofErr w:type="spellEnd"/>
      <w:r>
        <w:t xml:space="preserve"> 1 (NLI, Berkeley papers).  </w:t>
      </w:r>
    </w:p>
  </w:footnote>
  <w:footnote w:id="108">
    <w:p w14:paraId="4049186A" w14:textId="226CFF68" w:rsidR="008E3CF6" w:rsidRDefault="008E3CF6" w:rsidP="001B747D">
      <w:pPr>
        <w:pStyle w:val="FootnoteText"/>
      </w:pPr>
      <w:r>
        <w:rPr>
          <w:rStyle w:val="FootnoteReference"/>
        </w:rPr>
        <w:footnoteRef/>
      </w:r>
      <w:r>
        <w:t xml:space="preserve"> See drafts and correspondence in Monteagle papers (NLI, MS 13,417/1).  </w:t>
      </w:r>
    </w:p>
  </w:footnote>
  <w:footnote w:id="109">
    <w:p w14:paraId="4F3A7253" w14:textId="77777777" w:rsidR="008E3CF6" w:rsidRDefault="008E3CF6" w:rsidP="001B747D">
      <w:pPr>
        <w:pStyle w:val="FootnoteText"/>
      </w:pPr>
      <w:r>
        <w:rPr>
          <w:rStyle w:val="FootnoteReference"/>
        </w:rPr>
        <w:footnoteRef/>
      </w:r>
      <w:r>
        <w:t xml:space="preserve"> HPD, 21 June 1920.</w:t>
      </w:r>
    </w:p>
  </w:footnote>
  <w:footnote w:id="110">
    <w:p w14:paraId="1040AF80" w14:textId="4A8EFBB1" w:rsidR="008E3CF6" w:rsidRDefault="008E3CF6" w:rsidP="001B747D">
      <w:pPr>
        <w:pStyle w:val="FootnoteText"/>
      </w:pPr>
      <w:r>
        <w:rPr>
          <w:rStyle w:val="FootnoteReference"/>
        </w:rPr>
        <w:footnoteRef/>
      </w:r>
      <w:r>
        <w:t xml:space="preserve"> </w:t>
      </w:r>
      <w:r w:rsidRPr="00745BEA">
        <w:t>H</w:t>
      </w:r>
      <w:r>
        <w:t xml:space="preserve">ouse of </w:t>
      </w:r>
      <w:r w:rsidRPr="00745BEA">
        <w:t>L</w:t>
      </w:r>
      <w:r>
        <w:t>ords</w:t>
      </w:r>
      <w:r w:rsidRPr="00745BEA">
        <w:t xml:space="preserve"> </w:t>
      </w:r>
      <w:r>
        <w:t>d</w:t>
      </w:r>
      <w:r w:rsidRPr="00745BEA">
        <w:t>eb</w:t>
      </w:r>
      <w:r>
        <w:t>ates,</w:t>
      </w:r>
      <w:r w:rsidRPr="00745BEA">
        <w:t xml:space="preserve"> 1 July 1920 vol</w:t>
      </w:r>
      <w:r>
        <w:t>.</w:t>
      </w:r>
      <w:r w:rsidRPr="00745BEA">
        <w:t xml:space="preserve"> 40</w:t>
      </w:r>
      <w:r>
        <w:t>,</w:t>
      </w:r>
      <w:r w:rsidRPr="00745BEA">
        <w:t xml:space="preserve"> cc1113-62</w:t>
      </w:r>
      <w:r>
        <w:t xml:space="preserve">; </w:t>
      </w:r>
      <w:r w:rsidR="00DA5A13">
        <w:t xml:space="preserve">Berkeley, ‘My experience with the peace with Ireland Council’, </w:t>
      </w:r>
      <w:proofErr w:type="spellStart"/>
      <w:r w:rsidR="00DA5A13">
        <w:t>ch.</w:t>
      </w:r>
      <w:proofErr w:type="spellEnd"/>
      <w:r w:rsidR="00DA5A13">
        <w:t xml:space="preserve"> 1 (NLI, Berkeley papers).  </w:t>
      </w:r>
    </w:p>
  </w:footnote>
  <w:footnote w:id="111">
    <w:p w14:paraId="1C9970B5" w14:textId="2EBF0C98" w:rsidR="008E3CF6" w:rsidRDefault="008E3CF6" w:rsidP="001B747D">
      <w:pPr>
        <w:pStyle w:val="FootnoteText"/>
      </w:pPr>
      <w:r>
        <w:rPr>
          <w:rStyle w:val="FootnoteReference"/>
        </w:rPr>
        <w:footnoteRef/>
      </w:r>
      <w:r>
        <w:t xml:space="preserve"> See </w:t>
      </w:r>
      <w:r w:rsidR="0049072F">
        <w:t>Sir Stanley Harrington to Lord Monteagle, 6 July 1920 (</w:t>
      </w:r>
      <w:r>
        <w:t>NLI, Monteagle papers, MS 13,417/5</w:t>
      </w:r>
      <w:r w:rsidR="0049072F">
        <w:t>)</w:t>
      </w:r>
      <w:r>
        <w:t xml:space="preserve">; </w:t>
      </w:r>
      <w:r w:rsidR="0049072F">
        <w:t xml:space="preserve">Circular re. Cork meeting, 30 July 1920 (NLI, Monteagle papers, </w:t>
      </w:r>
      <w:r>
        <w:t>MS 13,417/5</w:t>
      </w:r>
      <w:r w:rsidR="0049072F">
        <w:t>)</w:t>
      </w:r>
      <w:r>
        <w:t>.</w:t>
      </w:r>
    </w:p>
  </w:footnote>
  <w:footnote w:id="112">
    <w:p w14:paraId="458593DD" w14:textId="7252FCE8" w:rsidR="008E3CF6" w:rsidRPr="00C11F8F" w:rsidRDefault="008E3CF6" w:rsidP="001B747D">
      <w:pPr>
        <w:pStyle w:val="FootnoteText"/>
        <w:rPr>
          <w:b/>
        </w:rPr>
      </w:pPr>
      <w:r>
        <w:rPr>
          <w:rStyle w:val="FootnoteReference"/>
        </w:rPr>
        <w:footnoteRef/>
      </w:r>
      <w:r>
        <w:t xml:space="preserve"> </w:t>
      </w:r>
      <w:r w:rsidRPr="007844EA">
        <w:rPr>
          <w:i/>
        </w:rPr>
        <w:t>IT</w:t>
      </w:r>
      <w:r>
        <w:t>, 5 Aug</w:t>
      </w:r>
      <w:r w:rsidR="00F11DF6">
        <w:t>.</w:t>
      </w:r>
      <w:r>
        <w:t xml:space="preserve"> 1920;</w:t>
      </w:r>
      <w:r>
        <w:rPr>
          <w:b/>
        </w:rPr>
        <w:t xml:space="preserve"> </w:t>
      </w:r>
      <w:r>
        <w:t xml:space="preserve">The Irish Dominion League, </w:t>
      </w:r>
      <w:r w:rsidRPr="007844EA">
        <w:rPr>
          <w:i/>
        </w:rPr>
        <w:t>Official report</w:t>
      </w:r>
      <w:r>
        <w:rPr>
          <w:i/>
        </w:rPr>
        <w:t>,</w:t>
      </w:r>
      <w:r>
        <w:t xml:space="preserve"> p. 8.</w:t>
      </w:r>
    </w:p>
  </w:footnote>
  <w:footnote w:id="113">
    <w:p w14:paraId="30866365" w14:textId="1A757CDF" w:rsidR="008E3CF6" w:rsidRPr="006E0844" w:rsidRDefault="008E3CF6" w:rsidP="001B747D">
      <w:pPr>
        <w:pStyle w:val="FootnoteText"/>
        <w:rPr>
          <w:b/>
        </w:rPr>
      </w:pPr>
      <w:r>
        <w:rPr>
          <w:rStyle w:val="FootnoteReference"/>
        </w:rPr>
        <w:footnoteRef/>
      </w:r>
      <w:r>
        <w:t xml:space="preserve"> Plunkett, </w:t>
      </w:r>
      <w:r w:rsidRPr="00421ECA">
        <w:rPr>
          <w:i/>
        </w:rPr>
        <w:t>England’s Irish policy</w:t>
      </w:r>
      <w:r>
        <w:t xml:space="preserve">, p. 3; </w:t>
      </w:r>
      <w:r w:rsidR="0049072F">
        <w:t xml:space="preserve">Berkeley, ‘My experience with the peace with Ireland Council’, </w:t>
      </w:r>
      <w:proofErr w:type="spellStart"/>
      <w:r w:rsidR="0049072F">
        <w:t>ch.</w:t>
      </w:r>
      <w:proofErr w:type="spellEnd"/>
      <w:r w:rsidR="0049072F">
        <w:t xml:space="preserve"> 2 (</w:t>
      </w:r>
      <w:r>
        <w:t>NLI, Berkeley papers</w:t>
      </w:r>
      <w:r w:rsidR="0049072F">
        <w:t>)</w:t>
      </w:r>
      <w:r>
        <w:t xml:space="preserve">; Harrison, </w:t>
      </w:r>
      <w:r w:rsidRPr="00BE7473">
        <w:rPr>
          <w:i/>
        </w:rPr>
        <w:t>The Irish Peace Conference 1920 and its betrayal</w:t>
      </w:r>
      <w:r>
        <w:t xml:space="preserve">, pp. 4‒5. </w:t>
      </w:r>
    </w:p>
  </w:footnote>
  <w:footnote w:id="114">
    <w:p w14:paraId="2E9FF8ED" w14:textId="77777777" w:rsidR="008E3CF6" w:rsidRDefault="008E3CF6" w:rsidP="001B747D">
      <w:pPr>
        <w:pStyle w:val="FootnoteText"/>
      </w:pPr>
      <w:r>
        <w:rPr>
          <w:rStyle w:val="FootnoteReference"/>
        </w:rPr>
        <w:footnoteRef/>
      </w:r>
      <w:r>
        <w:t xml:space="preserve"> Boyce, ‘How to settle the Irish question’, p. 151. For more on these discussions, see below. </w:t>
      </w:r>
    </w:p>
  </w:footnote>
  <w:footnote w:id="115">
    <w:p w14:paraId="4A1D70C4" w14:textId="77777777" w:rsidR="008E3CF6" w:rsidRDefault="008E3CF6" w:rsidP="001B747D">
      <w:pPr>
        <w:pStyle w:val="FootnoteText"/>
      </w:pPr>
      <w:r>
        <w:rPr>
          <w:rStyle w:val="FootnoteReference"/>
        </w:rPr>
        <w:footnoteRef/>
      </w:r>
      <w:r>
        <w:t xml:space="preserve"> See, for example, Hopkinson, </w:t>
      </w:r>
      <w:r>
        <w:rPr>
          <w:i/>
          <w:iCs/>
        </w:rPr>
        <w:t>The Irish War of Independence,</w:t>
      </w:r>
      <w:r>
        <w:t xml:space="preserve"> p. 64. </w:t>
      </w:r>
    </w:p>
  </w:footnote>
  <w:footnote w:id="116">
    <w:p w14:paraId="667BF2C8" w14:textId="52B323F8" w:rsidR="008E3CF6" w:rsidRDefault="008E3CF6" w:rsidP="001B747D">
      <w:pPr>
        <w:pStyle w:val="FootnoteText"/>
      </w:pPr>
      <w:r>
        <w:rPr>
          <w:rStyle w:val="FootnoteReference"/>
        </w:rPr>
        <w:footnoteRef/>
      </w:r>
      <w:r>
        <w:t xml:space="preserve"> See reports in </w:t>
      </w:r>
      <w:r w:rsidRPr="00144626">
        <w:rPr>
          <w:i/>
        </w:rPr>
        <w:t>FJ</w:t>
      </w:r>
      <w:r>
        <w:t>, 25 Aug</w:t>
      </w:r>
      <w:r w:rsidR="00F11DF6">
        <w:t>.</w:t>
      </w:r>
      <w:r>
        <w:t xml:space="preserve"> 1920; </w:t>
      </w:r>
      <w:r w:rsidRPr="00144626">
        <w:rPr>
          <w:i/>
        </w:rPr>
        <w:t>IT</w:t>
      </w:r>
      <w:r>
        <w:t>, 25 Aug</w:t>
      </w:r>
      <w:r w:rsidR="00F11DF6">
        <w:t>.</w:t>
      </w:r>
      <w:r>
        <w:t xml:space="preserve"> 1920; </w:t>
      </w:r>
      <w:r w:rsidRPr="00144626">
        <w:rPr>
          <w:i/>
        </w:rPr>
        <w:t>Manchester Guardian</w:t>
      </w:r>
      <w:r>
        <w:t>, 25 Aug</w:t>
      </w:r>
      <w:r w:rsidR="00F11DF6">
        <w:t>.</w:t>
      </w:r>
      <w:r>
        <w:t xml:space="preserve"> 1920. </w:t>
      </w:r>
    </w:p>
  </w:footnote>
  <w:footnote w:id="117">
    <w:p w14:paraId="3C1DCBDB" w14:textId="3D77BE9B" w:rsidR="008E3CF6" w:rsidRDefault="008E3CF6" w:rsidP="001B747D">
      <w:pPr>
        <w:pStyle w:val="FootnoteText"/>
      </w:pPr>
      <w:r>
        <w:rPr>
          <w:rStyle w:val="FootnoteReference"/>
        </w:rPr>
        <w:footnoteRef/>
      </w:r>
      <w:r>
        <w:t xml:space="preserve"> The Irish Dominion League, </w:t>
      </w:r>
      <w:r w:rsidRPr="007844EA">
        <w:rPr>
          <w:i/>
        </w:rPr>
        <w:t>Official report</w:t>
      </w:r>
      <w:r>
        <w:rPr>
          <w:i/>
        </w:rPr>
        <w:t>,</w:t>
      </w:r>
      <w:r>
        <w:t xml:space="preserve"> p. 8; </w:t>
      </w:r>
      <w:r w:rsidRPr="00144626">
        <w:rPr>
          <w:i/>
        </w:rPr>
        <w:t>FJ,</w:t>
      </w:r>
      <w:r>
        <w:t xml:space="preserve"> 25 Aug</w:t>
      </w:r>
      <w:r w:rsidR="00F11DF6">
        <w:t>.</w:t>
      </w:r>
      <w:r>
        <w:t xml:space="preserve"> 1920; Harrison, </w:t>
      </w:r>
      <w:r w:rsidRPr="00BE7473">
        <w:rPr>
          <w:i/>
        </w:rPr>
        <w:t>The Irish Peace Conference 1920 and its betrayal</w:t>
      </w:r>
      <w:r>
        <w:t>, p. 6.</w:t>
      </w:r>
    </w:p>
  </w:footnote>
  <w:footnote w:id="118">
    <w:p w14:paraId="5E226B4C" w14:textId="3CA40A2B" w:rsidR="008E3CF6" w:rsidRDefault="008E3CF6" w:rsidP="001B747D">
      <w:pPr>
        <w:pStyle w:val="FootnoteText"/>
      </w:pPr>
      <w:r>
        <w:rPr>
          <w:rStyle w:val="FootnoteReference"/>
        </w:rPr>
        <w:footnoteRef/>
      </w:r>
      <w:r>
        <w:t xml:space="preserve"> See lists in </w:t>
      </w:r>
      <w:r w:rsidRPr="00144626">
        <w:rPr>
          <w:i/>
        </w:rPr>
        <w:t>FJ,</w:t>
      </w:r>
      <w:r>
        <w:t xml:space="preserve"> 25 Aug</w:t>
      </w:r>
      <w:r w:rsidR="00F11DF6">
        <w:t>.</w:t>
      </w:r>
      <w:r>
        <w:t xml:space="preserve"> 1920; </w:t>
      </w:r>
      <w:r w:rsidRPr="00144626">
        <w:rPr>
          <w:i/>
        </w:rPr>
        <w:t>IT,</w:t>
      </w:r>
      <w:r>
        <w:t xml:space="preserve"> 25 Aug</w:t>
      </w:r>
      <w:r w:rsidR="00F11DF6">
        <w:t>.</w:t>
      </w:r>
      <w:r>
        <w:t xml:space="preserve"> 1920. The biographical data used here comes from a variety of sources, especially the Census of Ireland for 1901 and 1911; McGuire and Quinn, eds., </w:t>
      </w:r>
      <w:r w:rsidRPr="00181E20">
        <w:rPr>
          <w:i/>
        </w:rPr>
        <w:t>Dictionary of Irish Biography</w:t>
      </w:r>
      <w:r>
        <w:t xml:space="preserve">; and </w:t>
      </w:r>
      <w:r w:rsidRPr="00D61CCC">
        <w:rPr>
          <w:i/>
        </w:rPr>
        <w:t>Thom’s Irish almanac and official directory</w:t>
      </w:r>
      <w:r>
        <w:t>.</w:t>
      </w:r>
    </w:p>
  </w:footnote>
  <w:footnote w:id="119">
    <w:p w14:paraId="697B1B2C" w14:textId="77777777" w:rsidR="008E3CF6" w:rsidRDefault="008E3CF6" w:rsidP="001B747D">
      <w:pPr>
        <w:pStyle w:val="FootnoteText"/>
      </w:pPr>
      <w:r>
        <w:rPr>
          <w:rStyle w:val="FootnoteReference"/>
        </w:rPr>
        <w:footnoteRef/>
      </w:r>
      <w:r>
        <w:t xml:space="preserve"> The occupation of 163 attendees has been traced.</w:t>
      </w:r>
    </w:p>
  </w:footnote>
  <w:footnote w:id="120">
    <w:p w14:paraId="32CE5BA6" w14:textId="77777777" w:rsidR="008E3CF6" w:rsidRDefault="008E3CF6" w:rsidP="001B747D">
      <w:pPr>
        <w:pStyle w:val="FootnoteText"/>
      </w:pPr>
      <w:r>
        <w:rPr>
          <w:rStyle w:val="FootnoteReference"/>
        </w:rPr>
        <w:footnoteRef/>
      </w:r>
      <w:r>
        <w:t xml:space="preserve"> The religion of 168 attendees has been traced.</w:t>
      </w:r>
    </w:p>
  </w:footnote>
  <w:footnote w:id="121">
    <w:p w14:paraId="319EC207" w14:textId="77777777" w:rsidR="008E3CF6" w:rsidRDefault="008E3CF6" w:rsidP="001B747D">
      <w:pPr>
        <w:pStyle w:val="FootnoteText"/>
      </w:pPr>
      <w:r>
        <w:rPr>
          <w:rStyle w:val="FootnoteReference"/>
        </w:rPr>
        <w:footnoteRef/>
      </w:r>
      <w:r>
        <w:t xml:space="preserve"> Major G.B. O’Connor; Viscount de </w:t>
      </w:r>
      <w:proofErr w:type="spellStart"/>
      <w:r>
        <w:t>Vesci</w:t>
      </w:r>
      <w:proofErr w:type="spellEnd"/>
      <w:r>
        <w:t xml:space="preserve">; J.C. Percy. </w:t>
      </w:r>
    </w:p>
  </w:footnote>
  <w:footnote w:id="122">
    <w:p w14:paraId="32864E66" w14:textId="4B8056AE" w:rsidR="008E3CF6" w:rsidRPr="00EE50C8" w:rsidRDefault="008E3CF6" w:rsidP="001B747D">
      <w:pPr>
        <w:pStyle w:val="FootnoteText"/>
        <w:rPr>
          <w:b/>
        </w:rPr>
      </w:pPr>
      <w:r>
        <w:rPr>
          <w:rStyle w:val="FootnoteReference"/>
        </w:rPr>
        <w:footnoteRef/>
      </w:r>
      <w:r>
        <w:t xml:space="preserve"> Copy of APL resolution, 13 Aug</w:t>
      </w:r>
      <w:r w:rsidR="00F11DF6">
        <w:t>.</w:t>
      </w:r>
      <w:r>
        <w:t xml:space="preserve"> 1920, </w:t>
      </w:r>
      <w:r w:rsidR="0049072F">
        <w:t>(</w:t>
      </w:r>
      <w:r>
        <w:t>NLI Monteagle papers, MS 13,417/5</w:t>
      </w:r>
      <w:r w:rsidR="0049072F">
        <w:t>).</w:t>
      </w:r>
      <w:r>
        <w:t xml:space="preserve"> See also </w:t>
      </w:r>
      <w:r w:rsidRPr="00EF585C">
        <w:t xml:space="preserve">Buckland, </w:t>
      </w:r>
      <w:r>
        <w:rPr>
          <w:i/>
        </w:rPr>
        <w:t xml:space="preserve">Irish Unionism, </w:t>
      </w:r>
      <w:r>
        <w:t>I, pp. 227‒8ff.</w:t>
      </w:r>
    </w:p>
  </w:footnote>
  <w:footnote w:id="123">
    <w:p w14:paraId="657A804F" w14:textId="73F53D1C" w:rsidR="008E3CF6" w:rsidRDefault="008E3CF6" w:rsidP="001B747D">
      <w:pPr>
        <w:pStyle w:val="FootnoteText"/>
      </w:pPr>
      <w:r>
        <w:rPr>
          <w:rStyle w:val="FootnoteReference"/>
        </w:rPr>
        <w:footnoteRef/>
      </w:r>
      <w:r>
        <w:t xml:space="preserve"> </w:t>
      </w:r>
      <w:r w:rsidR="00DF2E32">
        <w:t>Lord Monteagle to the earl of Shaftesbury, 11 Sept</w:t>
      </w:r>
      <w:r w:rsidR="00F11DF6">
        <w:t>.</w:t>
      </w:r>
      <w:r w:rsidR="00DF2E32">
        <w:t xml:space="preserve"> 1920 (</w:t>
      </w:r>
      <w:r>
        <w:t>NLI, Monteagle papers, MS 13,415</w:t>
      </w:r>
      <w:r w:rsidR="00DF2E32">
        <w:t>)</w:t>
      </w:r>
      <w:r>
        <w:t xml:space="preserve">. For the refusal of the APL to take part, see Harrison, </w:t>
      </w:r>
      <w:r w:rsidRPr="00BE7473">
        <w:rPr>
          <w:i/>
        </w:rPr>
        <w:t>The Irish Peace Conference 1920 and its betrayal</w:t>
      </w:r>
      <w:r>
        <w:t xml:space="preserve">, p. 9. </w:t>
      </w:r>
    </w:p>
  </w:footnote>
  <w:footnote w:id="124">
    <w:p w14:paraId="27994E10" w14:textId="223662B8" w:rsidR="008E3CF6" w:rsidRPr="00175CE9" w:rsidRDefault="008E3CF6" w:rsidP="001B747D">
      <w:pPr>
        <w:pStyle w:val="FootnoteText"/>
        <w:rPr>
          <w:b/>
        </w:rPr>
      </w:pPr>
      <w:r>
        <w:rPr>
          <w:rStyle w:val="FootnoteReference"/>
        </w:rPr>
        <w:footnoteRef/>
      </w:r>
      <w:r>
        <w:t xml:space="preserve"> See HPD, 25 Nov</w:t>
      </w:r>
      <w:r w:rsidR="00F11DF6">
        <w:t>.</w:t>
      </w:r>
      <w:r>
        <w:t xml:space="preserve"> 1918. </w:t>
      </w:r>
    </w:p>
  </w:footnote>
  <w:footnote w:id="125">
    <w:p w14:paraId="3F547CDA" w14:textId="178F9468" w:rsidR="008E3CF6" w:rsidRDefault="008E3CF6" w:rsidP="001B747D">
      <w:pPr>
        <w:pStyle w:val="FootnoteText"/>
      </w:pPr>
      <w:r>
        <w:rPr>
          <w:rStyle w:val="FootnoteReference"/>
        </w:rPr>
        <w:footnoteRef/>
      </w:r>
      <w:r>
        <w:t xml:space="preserve"> Hopkinson (ed.), </w:t>
      </w:r>
      <w:r w:rsidRPr="004A1B18">
        <w:rPr>
          <w:i/>
        </w:rPr>
        <w:t>Mark Sturgis diaries</w:t>
      </w:r>
      <w:r>
        <w:rPr>
          <w:i/>
        </w:rPr>
        <w:t>,</w:t>
      </w:r>
      <w:r>
        <w:t xml:space="preserve"> 25 Aug</w:t>
      </w:r>
      <w:r w:rsidR="00F11DF6">
        <w:t>.</w:t>
      </w:r>
      <w:r>
        <w:t xml:space="preserve"> 1920, 31 Aug</w:t>
      </w:r>
      <w:r w:rsidR="00F11DF6">
        <w:t>.</w:t>
      </w:r>
      <w:r>
        <w:t xml:space="preserve"> 1920. </w:t>
      </w:r>
    </w:p>
  </w:footnote>
  <w:footnote w:id="126">
    <w:p w14:paraId="27468426" w14:textId="7A3D223C" w:rsidR="008E3CF6" w:rsidRPr="006862AA" w:rsidRDefault="008E3CF6" w:rsidP="001B747D">
      <w:pPr>
        <w:pStyle w:val="FootnoteText"/>
      </w:pPr>
      <w:r>
        <w:rPr>
          <w:rStyle w:val="FootnoteReference"/>
        </w:rPr>
        <w:footnoteRef/>
      </w:r>
      <w:r>
        <w:t xml:space="preserve"> Boyce, ‘How to settle the Irish question’, p. 149. For the speech, see </w:t>
      </w:r>
      <w:r>
        <w:rPr>
          <w:i/>
        </w:rPr>
        <w:t xml:space="preserve">Manchester Guardian, </w:t>
      </w:r>
      <w:r>
        <w:t>11 Oct</w:t>
      </w:r>
      <w:r w:rsidR="00F11DF6">
        <w:t>.</w:t>
      </w:r>
      <w:r>
        <w:t xml:space="preserve"> 1920. </w:t>
      </w:r>
    </w:p>
  </w:footnote>
  <w:footnote w:id="127">
    <w:p w14:paraId="57486E2F" w14:textId="16574A71" w:rsidR="008E3CF6" w:rsidRDefault="008E3CF6" w:rsidP="001B747D">
      <w:pPr>
        <w:pStyle w:val="FootnoteText"/>
      </w:pPr>
      <w:r>
        <w:rPr>
          <w:rStyle w:val="FootnoteReference"/>
        </w:rPr>
        <w:footnoteRef/>
      </w:r>
      <w:r>
        <w:t xml:space="preserve"> Hansard, Commons debates, Vol. 34, 2061-2062, 18 Nov</w:t>
      </w:r>
      <w:r w:rsidR="00F11DF6">
        <w:t>.</w:t>
      </w:r>
      <w:r>
        <w:t xml:space="preserve"> 1920. </w:t>
      </w:r>
    </w:p>
  </w:footnote>
  <w:footnote w:id="128">
    <w:p w14:paraId="10B7ECC0" w14:textId="77777777" w:rsidR="008E3CF6" w:rsidRPr="00C21096" w:rsidRDefault="008E3CF6" w:rsidP="001B747D">
      <w:pPr>
        <w:pStyle w:val="FootnoteText"/>
        <w:rPr>
          <w:b/>
        </w:rPr>
      </w:pPr>
      <w:r>
        <w:rPr>
          <w:rStyle w:val="FootnoteReference"/>
        </w:rPr>
        <w:footnoteRef/>
      </w:r>
      <w:r>
        <w:t xml:space="preserve"> Plunkett, </w:t>
      </w:r>
      <w:r w:rsidRPr="00421ECA">
        <w:rPr>
          <w:i/>
        </w:rPr>
        <w:t>England’s Irish policy</w:t>
      </w:r>
      <w:r>
        <w:rPr>
          <w:i/>
        </w:rPr>
        <w:t xml:space="preserve">, </w:t>
      </w:r>
      <w:r>
        <w:t xml:space="preserve">preface. </w:t>
      </w:r>
    </w:p>
  </w:footnote>
  <w:footnote w:id="129">
    <w:p w14:paraId="7B0235E6" w14:textId="77777777" w:rsidR="008E3CF6" w:rsidRDefault="008E3CF6" w:rsidP="001B747D">
      <w:pPr>
        <w:pStyle w:val="FootnoteText"/>
      </w:pPr>
      <w:r>
        <w:rPr>
          <w:rStyle w:val="FootnoteReference"/>
        </w:rPr>
        <w:footnoteRef/>
      </w:r>
      <w:r>
        <w:t xml:space="preserve"> Harrison, </w:t>
      </w:r>
      <w:r w:rsidRPr="00BE7473">
        <w:rPr>
          <w:i/>
        </w:rPr>
        <w:t>The Irish Peace Conference 1920 and its betrayal</w:t>
      </w:r>
      <w:r>
        <w:rPr>
          <w:i/>
        </w:rPr>
        <w:t xml:space="preserve">. </w:t>
      </w:r>
    </w:p>
  </w:footnote>
  <w:footnote w:id="130">
    <w:p w14:paraId="1EDAA295" w14:textId="2DCF8115" w:rsidR="008E3CF6" w:rsidRDefault="008E3CF6" w:rsidP="001B747D">
      <w:pPr>
        <w:pStyle w:val="FootnoteText"/>
      </w:pPr>
      <w:r>
        <w:rPr>
          <w:rStyle w:val="FootnoteReference"/>
        </w:rPr>
        <w:footnoteRef/>
      </w:r>
      <w:r>
        <w:t xml:space="preserve"> </w:t>
      </w:r>
      <w:r w:rsidR="00DF2E32">
        <w:t xml:space="preserve">Berkeley, ‘My experience with the peace with Ireland Council’, </w:t>
      </w:r>
      <w:proofErr w:type="spellStart"/>
      <w:r w:rsidR="00DF2E32">
        <w:t>ch.</w:t>
      </w:r>
      <w:proofErr w:type="spellEnd"/>
      <w:r w:rsidR="00DF2E32">
        <w:t xml:space="preserve"> 2 (</w:t>
      </w:r>
      <w:r>
        <w:t>NLI, Berkeley papers</w:t>
      </w:r>
      <w:r w:rsidR="00DF2E32">
        <w:t>)</w:t>
      </w:r>
      <w:r>
        <w:t xml:space="preserve">. </w:t>
      </w:r>
    </w:p>
  </w:footnote>
  <w:footnote w:id="131">
    <w:p w14:paraId="449BE281" w14:textId="77777777" w:rsidR="008E3CF6" w:rsidRDefault="008E3CF6" w:rsidP="001B747D">
      <w:pPr>
        <w:pStyle w:val="FootnoteText"/>
      </w:pPr>
      <w:r>
        <w:rPr>
          <w:rStyle w:val="FootnoteReference"/>
        </w:rPr>
        <w:footnoteRef/>
      </w:r>
      <w:r>
        <w:t xml:space="preserve"> </w:t>
      </w:r>
      <w:proofErr w:type="spellStart"/>
      <w:r>
        <w:t>Fingall</w:t>
      </w:r>
      <w:proofErr w:type="spellEnd"/>
      <w:r>
        <w:t xml:space="preserve">, </w:t>
      </w:r>
      <w:r w:rsidRPr="006912D4">
        <w:rPr>
          <w:i/>
        </w:rPr>
        <w:t>Seventy years young</w:t>
      </w:r>
      <w:r>
        <w:rPr>
          <w:i/>
        </w:rPr>
        <w:t>,</w:t>
      </w:r>
      <w:r>
        <w:t xml:space="preserve"> p. 400. </w:t>
      </w:r>
    </w:p>
  </w:footnote>
  <w:footnote w:id="132">
    <w:p w14:paraId="2B4D476E" w14:textId="508B1EF0" w:rsidR="008E3CF6" w:rsidRPr="00802E33" w:rsidRDefault="008E3CF6" w:rsidP="001B747D">
      <w:pPr>
        <w:pStyle w:val="FootnoteText"/>
      </w:pPr>
      <w:r>
        <w:rPr>
          <w:rStyle w:val="FootnoteReference"/>
        </w:rPr>
        <w:footnoteRef/>
      </w:r>
      <w:r>
        <w:t xml:space="preserve"> </w:t>
      </w:r>
      <w:r w:rsidRPr="0079764C">
        <w:t xml:space="preserve">West, </w:t>
      </w:r>
      <w:r w:rsidRPr="0079764C">
        <w:rPr>
          <w:i/>
        </w:rPr>
        <w:t>Horace Plunkett</w:t>
      </w:r>
      <w:r>
        <w:rPr>
          <w:i/>
        </w:rPr>
        <w:t>,</w:t>
      </w:r>
      <w:r>
        <w:t xml:space="preserve"> p. 186. See also </w:t>
      </w:r>
      <w:r w:rsidR="00DF2E32">
        <w:t>Horace Plunkett to John Dillon, 2 Dec</w:t>
      </w:r>
      <w:r w:rsidR="00F11DF6">
        <w:t>.</w:t>
      </w:r>
      <w:r w:rsidR="00DF2E32">
        <w:t xml:space="preserve"> 1919 (</w:t>
      </w:r>
      <w:r>
        <w:t>TCD,</w:t>
      </w:r>
      <w:r>
        <w:rPr>
          <w:b/>
        </w:rPr>
        <w:t xml:space="preserve"> </w:t>
      </w:r>
      <w:r w:rsidR="00DF2E32">
        <w:t xml:space="preserve">Dillon papers, </w:t>
      </w:r>
      <w:r>
        <w:t>MS 6746</w:t>
      </w:r>
      <w:r w:rsidR="00DF2E32">
        <w:t>).</w:t>
      </w:r>
      <w:r>
        <w:t xml:space="preserve"> </w:t>
      </w:r>
    </w:p>
  </w:footnote>
  <w:footnote w:id="133">
    <w:p w14:paraId="4EBA1543" w14:textId="77777777" w:rsidR="008E3CF6" w:rsidRDefault="008E3CF6" w:rsidP="001B747D">
      <w:pPr>
        <w:pStyle w:val="FootnoteText"/>
      </w:pPr>
      <w:r>
        <w:rPr>
          <w:rStyle w:val="FootnoteReference"/>
        </w:rPr>
        <w:footnoteRef/>
      </w:r>
      <w:r>
        <w:t xml:space="preserve"> Sullivan, </w:t>
      </w:r>
      <w:r w:rsidRPr="006912D4">
        <w:rPr>
          <w:i/>
        </w:rPr>
        <w:t>Old Ireland</w:t>
      </w:r>
      <w:r>
        <w:t>, pp. 263, 279.</w:t>
      </w:r>
    </w:p>
  </w:footnote>
  <w:footnote w:id="134">
    <w:p w14:paraId="53CE7E0F" w14:textId="77777777" w:rsidR="008E3CF6" w:rsidRPr="006D7D7D" w:rsidRDefault="008E3CF6" w:rsidP="001B747D">
      <w:pPr>
        <w:pStyle w:val="FootnoteText"/>
        <w:rPr>
          <w:b/>
        </w:rPr>
      </w:pPr>
      <w:r w:rsidRPr="004C70D5">
        <w:rPr>
          <w:rStyle w:val="FootnoteReference"/>
        </w:rPr>
        <w:footnoteRef/>
      </w:r>
      <w:r w:rsidRPr="004C70D5">
        <w:t xml:space="preserve"> </w:t>
      </w:r>
      <w:r>
        <w:rPr>
          <w:i/>
        </w:rPr>
        <w:t xml:space="preserve">Cork Constitution, </w:t>
      </w:r>
      <w:r>
        <w:t xml:space="preserve">12, 13 July 1921; </w:t>
      </w:r>
      <w:r w:rsidRPr="00934F3D">
        <w:rPr>
          <w:i/>
        </w:rPr>
        <w:t>IT</w:t>
      </w:r>
      <w:r>
        <w:t xml:space="preserve">, 12 July 1921. See also </w:t>
      </w:r>
      <w:proofErr w:type="spellStart"/>
      <w:r>
        <w:t>Pádraig</w:t>
      </w:r>
      <w:proofErr w:type="spellEnd"/>
      <w:r>
        <w:t xml:space="preserve"> Óg Ó </w:t>
      </w:r>
      <w:proofErr w:type="spellStart"/>
      <w:r>
        <w:t>Ruairc</w:t>
      </w:r>
      <w:proofErr w:type="spellEnd"/>
      <w:r>
        <w:t xml:space="preserve">, </w:t>
      </w:r>
      <w:r w:rsidRPr="00E75984">
        <w:rPr>
          <w:i/>
        </w:rPr>
        <w:t>Truce: murder, myth, and the last days of the Irish War of Independence</w:t>
      </w:r>
      <w:r>
        <w:t xml:space="preserve"> (Cork, 2016), pp. 88‒90ff. </w:t>
      </w:r>
    </w:p>
  </w:footnote>
  <w:footnote w:id="135">
    <w:p w14:paraId="33C6F3AB" w14:textId="77777777" w:rsidR="008E3CF6" w:rsidRDefault="008E3CF6" w:rsidP="001B747D">
      <w:pPr>
        <w:pStyle w:val="FootnoteText"/>
      </w:pPr>
      <w:r>
        <w:rPr>
          <w:rStyle w:val="FootnoteReference"/>
        </w:rPr>
        <w:footnoteRef/>
      </w:r>
      <w:r>
        <w:t xml:space="preserve"> </w:t>
      </w:r>
      <w:proofErr w:type="spellStart"/>
      <w:r>
        <w:t>Eunan</w:t>
      </w:r>
      <w:proofErr w:type="spellEnd"/>
      <w:r>
        <w:t xml:space="preserve"> </w:t>
      </w:r>
      <w:proofErr w:type="spellStart"/>
      <w:r>
        <w:t>O’Halpin</w:t>
      </w:r>
      <w:proofErr w:type="spellEnd"/>
      <w:r>
        <w:t xml:space="preserve"> and Daithí Ó </w:t>
      </w:r>
      <w:proofErr w:type="spellStart"/>
      <w:r>
        <w:t>Corráin</w:t>
      </w:r>
      <w:proofErr w:type="spellEnd"/>
      <w:r>
        <w:t xml:space="preserve">, </w:t>
      </w:r>
      <w:r w:rsidRPr="00621CF9">
        <w:rPr>
          <w:i/>
        </w:rPr>
        <w:t>The dead of the Irish Revolution</w:t>
      </w:r>
      <w:r>
        <w:t xml:space="preserve"> (New Haven, CT, 2020), p. 168. </w:t>
      </w:r>
    </w:p>
  </w:footnote>
  <w:footnote w:id="136">
    <w:p w14:paraId="727EC860" w14:textId="0B8AA305" w:rsidR="008E3CF6" w:rsidRDefault="008E3CF6" w:rsidP="001B747D">
      <w:pPr>
        <w:pStyle w:val="FootnoteText"/>
      </w:pPr>
      <w:r>
        <w:rPr>
          <w:rStyle w:val="FootnoteReference"/>
        </w:rPr>
        <w:footnoteRef/>
      </w:r>
      <w:r>
        <w:t xml:space="preserve"> HPD, 1 Dec</w:t>
      </w:r>
      <w:r w:rsidR="00F11DF6">
        <w:t>.</w:t>
      </w:r>
      <w:r>
        <w:t xml:space="preserve"> 1918, 18 Apr</w:t>
      </w:r>
      <w:r w:rsidR="00F11DF6">
        <w:t>.</w:t>
      </w:r>
      <w:r>
        <w:t>, 23 Nov</w:t>
      </w:r>
      <w:r w:rsidR="00F11DF6">
        <w:t>.</w:t>
      </w:r>
      <w:r>
        <w:t xml:space="preserve"> 1920. See also </w:t>
      </w:r>
      <w:r w:rsidRPr="0079764C">
        <w:t xml:space="preserve">West, </w:t>
      </w:r>
      <w:r w:rsidRPr="0079764C">
        <w:rPr>
          <w:i/>
        </w:rPr>
        <w:t>Horace Plunkett</w:t>
      </w:r>
      <w:r>
        <w:t>, pp. 179, 183.</w:t>
      </w:r>
    </w:p>
  </w:footnote>
  <w:footnote w:id="137">
    <w:p w14:paraId="04DA023D" w14:textId="77777777" w:rsidR="008E3CF6" w:rsidRDefault="008E3CF6" w:rsidP="001B747D">
      <w:pPr>
        <w:pStyle w:val="FootnoteText"/>
      </w:pPr>
      <w:r>
        <w:rPr>
          <w:rStyle w:val="FootnoteReference"/>
        </w:rPr>
        <w:footnoteRef/>
      </w:r>
      <w:r>
        <w:t xml:space="preserve"> Hopkinson, </w:t>
      </w:r>
      <w:r>
        <w:rPr>
          <w:i/>
          <w:iCs/>
        </w:rPr>
        <w:t>The Irish War of Independence,</w:t>
      </w:r>
      <w:r>
        <w:t xml:space="preserve"> p. 181.</w:t>
      </w:r>
    </w:p>
  </w:footnote>
  <w:footnote w:id="138">
    <w:p w14:paraId="3A949F46" w14:textId="609CBAA0" w:rsidR="008E3CF6" w:rsidRDefault="008E3CF6" w:rsidP="001B747D">
      <w:pPr>
        <w:pStyle w:val="FootnoteText"/>
      </w:pPr>
      <w:r>
        <w:rPr>
          <w:rStyle w:val="FootnoteReference"/>
        </w:rPr>
        <w:footnoteRef/>
      </w:r>
      <w:r>
        <w:t xml:space="preserve"> Hopkinson, </w:t>
      </w:r>
      <w:r>
        <w:rPr>
          <w:i/>
          <w:iCs/>
        </w:rPr>
        <w:t>The Irish War of Independence,</w:t>
      </w:r>
      <w:r>
        <w:t xml:space="preserve"> p. 181; Hopkinson (ed.), </w:t>
      </w:r>
      <w:r w:rsidRPr="004A1B18">
        <w:rPr>
          <w:i/>
        </w:rPr>
        <w:t>Mark Sturgis diaries</w:t>
      </w:r>
      <w:r>
        <w:rPr>
          <w:i/>
        </w:rPr>
        <w:t>,</w:t>
      </w:r>
      <w:r>
        <w:t xml:space="preserve"> 9, 12 Nov</w:t>
      </w:r>
      <w:r w:rsidR="00F11DF6">
        <w:t>.</w:t>
      </w:r>
      <w:r>
        <w:t xml:space="preserve"> 1920.</w:t>
      </w:r>
    </w:p>
  </w:footnote>
  <w:footnote w:id="139">
    <w:p w14:paraId="72AF1459" w14:textId="77777777" w:rsidR="008E3CF6" w:rsidRDefault="008E3CF6" w:rsidP="001B747D">
      <w:pPr>
        <w:pStyle w:val="FootnoteText"/>
      </w:pPr>
      <w:r>
        <w:rPr>
          <w:rStyle w:val="FootnoteReference"/>
        </w:rPr>
        <w:footnoteRef/>
      </w:r>
      <w:r>
        <w:t xml:space="preserve"> </w:t>
      </w:r>
      <w:r w:rsidRPr="00A76334">
        <w:t>John T. McMahon</w:t>
      </w:r>
      <w:r>
        <w:t xml:space="preserve">, </w:t>
      </w:r>
      <w:r w:rsidRPr="00A76334">
        <w:rPr>
          <w:i/>
        </w:rPr>
        <w:t>‘The Cream of their Race’: Irish truce negotiations December 1920</w:t>
      </w:r>
      <w:r>
        <w:rPr>
          <w:i/>
        </w:rPr>
        <w:t>‒</w:t>
      </w:r>
      <w:r w:rsidRPr="00802E33">
        <w:rPr>
          <w:i/>
        </w:rPr>
        <w:t>January 1921</w:t>
      </w:r>
      <w:r>
        <w:t xml:space="preserve"> (Ennis, n.d.), p. 6. </w:t>
      </w:r>
    </w:p>
  </w:footnote>
  <w:footnote w:id="140">
    <w:p w14:paraId="41AC84F5" w14:textId="477ACCED" w:rsidR="008E3CF6" w:rsidRPr="00895272" w:rsidRDefault="008E3CF6" w:rsidP="001B747D">
      <w:pPr>
        <w:pStyle w:val="FootnoteText"/>
        <w:rPr>
          <w:b/>
        </w:rPr>
      </w:pPr>
      <w:r>
        <w:rPr>
          <w:rStyle w:val="FootnoteReference"/>
        </w:rPr>
        <w:footnoteRef/>
      </w:r>
      <w:r>
        <w:t xml:space="preserve"> Hopkinson (ed.), </w:t>
      </w:r>
      <w:r w:rsidRPr="004A1B18">
        <w:rPr>
          <w:i/>
        </w:rPr>
        <w:t>Mark Sturgis diaries</w:t>
      </w:r>
      <w:r>
        <w:rPr>
          <w:i/>
        </w:rPr>
        <w:t>,</w:t>
      </w:r>
      <w:r>
        <w:t xml:space="preserve"> 26 </w:t>
      </w:r>
      <w:r w:rsidR="00F11DF6">
        <w:t xml:space="preserve">Sept. </w:t>
      </w:r>
      <w:r>
        <w:t xml:space="preserve">1920; </w:t>
      </w:r>
      <w:r w:rsidR="00DF2E32">
        <w:t xml:space="preserve">Berkeley, ‘My experience with the peace with Ireland Council’, </w:t>
      </w:r>
      <w:proofErr w:type="spellStart"/>
      <w:r w:rsidR="00DF2E32">
        <w:t>ch.</w:t>
      </w:r>
      <w:proofErr w:type="spellEnd"/>
      <w:r w:rsidR="00DF2E32">
        <w:t xml:space="preserve"> 5 (</w:t>
      </w:r>
      <w:r>
        <w:t>NLI, Berkeley papers</w:t>
      </w:r>
      <w:r w:rsidR="00DF2E32">
        <w:t>)</w:t>
      </w:r>
      <w:r>
        <w:t xml:space="preserve">. </w:t>
      </w:r>
    </w:p>
  </w:footnote>
  <w:footnote w:id="141">
    <w:p w14:paraId="127570C4" w14:textId="77777777" w:rsidR="008E3CF6" w:rsidRPr="00760041" w:rsidRDefault="008E3CF6" w:rsidP="001B747D">
      <w:pPr>
        <w:pStyle w:val="FootnoteText"/>
      </w:pPr>
      <w:r>
        <w:rPr>
          <w:rStyle w:val="FootnoteReference"/>
        </w:rPr>
        <w:footnoteRef/>
      </w:r>
      <w:r>
        <w:t xml:space="preserve"> Hopkinson, </w:t>
      </w:r>
      <w:r>
        <w:rPr>
          <w:i/>
          <w:iCs/>
        </w:rPr>
        <w:t>The Irish War of Independence,</w:t>
      </w:r>
      <w:r>
        <w:t xml:space="preserve"> p. 62.</w:t>
      </w:r>
    </w:p>
  </w:footnote>
  <w:footnote w:id="142">
    <w:p w14:paraId="3E73C6CD" w14:textId="77777777" w:rsidR="008E3CF6" w:rsidRPr="00242B4F" w:rsidRDefault="008E3CF6" w:rsidP="001B747D">
      <w:pPr>
        <w:pStyle w:val="FootnoteText"/>
      </w:pPr>
      <w:r w:rsidRPr="004C70D5">
        <w:rPr>
          <w:rStyle w:val="FootnoteReference"/>
        </w:rPr>
        <w:footnoteRef/>
      </w:r>
      <w:r w:rsidRPr="004C70D5">
        <w:t xml:space="preserve"> </w:t>
      </w:r>
      <w:r>
        <w:t xml:space="preserve">Hopkinson (ed.), </w:t>
      </w:r>
      <w:r w:rsidRPr="004A1B18">
        <w:rPr>
          <w:i/>
        </w:rPr>
        <w:t>Mark Sturgis diaries</w:t>
      </w:r>
      <w:r>
        <w:rPr>
          <w:i/>
        </w:rPr>
        <w:t>,</w:t>
      </w:r>
      <w:r>
        <w:t xml:space="preserve"> p. 4; Nevil Macready, </w:t>
      </w:r>
      <w:r w:rsidRPr="00D12876">
        <w:rPr>
          <w:i/>
        </w:rPr>
        <w:t>Annals of an active life</w:t>
      </w:r>
      <w:r>
        <w:rPr>
          <w:i/>
        </w:rPr>
        <w:t xml:space="preserve">, </w:t>
      </w:r>
      <w:r>
        <w:t>II</w:t>
      </w:r>
      <w:r>
        <w:rPr>
          <w:i/>
        </w:rPr>
        <w:t xml:space="preserve"> </w:t>
      </w:r>
      <w:r>
        <w:t xml:space="preserve">(London, 1924), p. 405. </w:t>
      </w:r>
    </w:p>
  </w:footnote>
  <w:footnote w:id="143">
    <w:p w14:paraId="7A9E77C4" w14:textId="4D147358" w:rsidR="008E3CF6" w:rsidRPr="00BF1420" w:rsidRDefault="008E3CF6" w:rsidP="001B747D">
      <w:pPr>
        <w:pStyle w:val="FootnoteText"/>
        <w:rPr>
          <w:b/>
        </w:rPr>
      </w:pPr>
      <w:r>
        <w:rPr>
          <w:rStyle w:val="FootnoteReference"/>
        </w:rPr>
        <w:footnoteRef/>
      </w:r>
      <w:r>
        <w:t xml:space="preserve"> </w:t>
      </w:r>
      <w:r w:rsidR="00DF2E32">
        <w:t>Cabinet memorandum: the situation in Ireland: notes of a conference with the officers of the Irish Government’, 23 July 1920 (</w:t>
      </w:r>
      <w:r>
        <w:t>TNA, CP 1693 CAB24/108</w:t>
      </w:r>
      <w:r w:rsidR="00DF2E32">
        <w:t>)</w:t>
      </w:r>
      <w:r>
        <w:t xml:space="preserve">; Hopkinson (ed.), </w:t>
      </w:r>
      <w:r w:rsidRPr="004A1B18">
        <w:rPr>
          <w:i/>
        </w:rPr>
        <w:t>Mark Sturgis diaries</w:t>
      </w:r>
      <w:r>
        <w:rPr>
          <w:i/>
        </w:rPr>
        <w:t>,</w:t>
      </w:r>
      <w:r>
        <w:t xml:space="preserve"> 23 July 1920, and Appendix 1; Hopkinson, </w:t>
      </w:r>
      <w:r>
        <w:rPr>
          <w:i/>
          <w:iCs/>
        </w:rPr>
        <w:t>The Irish War of Independence,</w:t>
      </w:r>
      <w:r>
        <w:t xml:space="preserve"> pp. 64‒5ff. </w:t>
      </w:r>
    </w:p>
  </w:footnote>
  <w:footnote w:id="144">
    <w:p w14:paraId="2C659D7B" w14:textId="2499C93E" w:rsidR="008E3CF6" w:rsidRPr="00EB309F" w:rsidRDefault="008E3CF6" w:rsidP="001B747D">
      <w:pPr>
        <w:pStyle w:val="FootnoteText"/>
        <w:rPr>
          <w:b/>
        </w:rPr>
      </w:pPr>
      <w:r>
        <w:rPr>
          <w:rStyle w:val="FootnoteReference"/>
        </w:rPr>
        <w:footnoteRef/>
      </w:r>
      <w:r>
        <w:t xml:space="preserve"> León Ó </w:t>
      </w:r>
      <w:proofErr w:type="spellStart"/>
      <w:r>
        <w:t>Broin</w:t>
      </w:r>
      <w:proofErr w:type="spellEnd"/>
      <w:r>
        <w:t xml:space="preserve">, </w:t>
      </w:r>
      <w:r w:rsidRPr="00195CE5">
        <w:rPr>
          <w:i/>
        </w:rPr>
        <w:t>W.E. Wylie and the Irish revolution, 1916</w:t>
      </w:r>
      <w:r>
        <w:rPr>
          <w:i/>
        </w:rPr>
        <w:t>‒</w:t>
      </w:r>
      <w:r w:rsidRPr="00195CE5">
        <w:rPr>
          <w:i/>
        </w:rPr>
        <w:t xml:space="preserve">1921 </w:t>
      </w:r>
      <w:r>
        <w:t xml:space="preserve">(Dublin, 1989), p. 68‒9. For Lloyd George’s ‘double policy’ see Trevor Wilson (ed.), </w:t>
      </w:r>
      <w:r w:rsidRPr="00194E0D">
        <w:rPr>
          <w:i/>
        </w:rPr>
        <w:t>The political diaries of C.P. Scott, 1911</w:t>
      </w:r>
      <w:r>
        <w:rPr>
          <w:i/>
        </w:rPr>
        <w:t>‒</w:t>
      </w:r>
      <w:r w:rsidRPr="00194E0D">
        <w:rPr>
          <w:i/>
        </w:rPr>
        <w:t>1928</w:t>
      </w:r>
      <w:r>
        <w:t xml:space="preserve"> (London, 1970), 15 Dec</w:t>
      </w:r>
      <w:r w:rsidR="00F11DF6">
        <w:t>.</w:t>
      </w:r>
      <w:r>
        <w:t xml:space="preserve"> 1920, p. 389. </w:t>
      </w:r>
      <w:r>
        <w:rPr>
          <w:b/>
        </w:rPr>
        <w:t xml:space="preserve"> </w:t>
      </w:r>
    </w:p>
  </w:footnote>
  <w:footnote w:id="145">
    <w:p w14:paraId="51573426" w14:textId="3ACA13EF" w:rsidR="008E3CF6" w:rsidRDefault="008E3CF6" w:rsidP="001B747D">
      <w:pPr>
        <w:pStyle w:val="FootnoteText"/>
      </w:pPr>
      <w:r>
        <w:rPr>
          <w:rStyle w:val="FootnoteReference"/>
        </w:rPr>
        <w:footnoteRef/>
      </w:r>
      <w:r>
        <w:t xml:space="preserve"> Hopkinson (ed.), </w:t>
      </w:r>
      <w:r w:rsidRPr="004A1B18">
        <w:rPr>
          <w:i/>
        </w:rPr>
        <w:t>Mark Sturgis diaries</w:t>
      </w:r>
      <w:r>
        <w:rPr>
          <w:i/>
        </w:rPr>
        <w:t>,</w:t>
      </w:r>
      <w:r>
        <w:t xml:space="preserve"> 7 Sept</w:t>
      </w:r>
      <w:r w:rsidR="00F11DF6">
        <w:t>.</w:t>
      </w:r>
      <w:r>
        <w:t xml:space="preserve"> 1920. </w:t>
      </w:r>
    </w:p>
  </w:footnote>
  <w:footnote w:id="146">
    <w:p w14:paraId="1978860D" w14:textId="77777777" w:rsidR="008E3CF6" w:rsidRDefault="008E3CF6" w:rsidP="001B747D">
      <w:pPr>
        <w:pStyle w:val="FootnoteText"/>
      </w:pPr>
      <w:r>
        <w:rPr>
          <w:rStyle w:val="FootnoteReference"/>
        </w:rPr>
        <w:footnoteRef/>
      </w:r>
      <w:r>
        <w:t xml:space="preserve"> Hopkinson (ed.), </w:t>
      </w:r>
      <w:r w:rsidRPr="004A1B18">
        <w:rPr>
          <w:i/>
        </w:rPr>
        <w:t>Mark Sturgis diaries</w:t>
      </w:r>
      <w:r>
        <w:rPr>
          <w:i/>
        </w:rPr>
        <w:t>,</w:t>
      </w:r>
      <w:r>
        <w:t xml:space="preserve"> 3 June 1921. </w:t>
      </w:r>
    </w:p>
  </w:footnote>
  <w:footnote w:id="147">
    <w:p w14:paraId="3FBB57F2" w14:textId="756B8B71" w:rsidR="008E3CF6" w:rsidRPr="005801F4" w:rsidRDefault="008E3CF6" w:rsidP="001B747D">
      <w:pPr>
        <w:pStyle w:val="FootnoteText"/>
      </w:pPr>
      <w:r w:rsidRPr="004C70D5">
        <w:rPr>
          <w:rStyle w:val="FootnoteReference"/>
        </w:rPr>
        <w:footnoteRef/>
      </w:r>
      <w:r w:rsidRPr="004C70D5">
        <w:t xml:space="preserve"> </w:t>
      </w:r>
      <w:r>
        <w:t xml:space="preserve">Hopkinson (ed.), </w:t>
      </w:r>
      <w:r w:rsidRPr="004A1B18">
        <w:rPr>
          <w:i/>
        </w:rPr>
        <w:t>Mark Sturgis diaries</w:t>
      </w:r>
      <w:r>
        <w:rPr>
          <w:i/>
        </w:rPr>
        <w:t>,</w:t>
      </w:r>
      <w:r>
        <w:t xml:space="preserve"> 8 Sept</w:t>
      </w:r>
      <w:r w:rsidR="00F11DF6">
        <w:t>.</w:t>
      </w:r>
      <w:r>
        <w:t xml:space="preserve"> 1920. </w:t>
      </w:r>
    </w:p>
  </w:footnote>
  <w:footnote w:id="148">
    <w:p w14:paraId="1129B3BC" w14:textId="298DDBA5" w:rsidR="008E3CF6" w:rsidRDefault="008E3CF6" w:rsidP="001B747D">
      <w:pPr>
        <w:pStyle w:val="FootnoteText"/>
      </w:pPr>
      <w:r>
        <w:rPr>
          <w:rStyle w:val="FootnoteReference"/>
        </w:rPr>
        <w:footnoteRef/>
      </w:r>
      <w:r>
        <w:t xml:space="preserve"> Charles Townshend, </w:t>
      </w:r>
      <w:r w:rsidRPr="00BC4034">
        <w:rPr>
          <w:i/>
        </w:rPr>
        <w:t>The British campaign in Ireland: the development of political and military policies</w:t>
      </w:r>
      <w:r>
        <w:t xml:space="preserve"> (London and New York, 1975), p. 173</w:t>
      </w:r>
      <w:r w:rsidR="00270C75">
        <w:t>.</w:t>
      </w:r>
    </w:p>
  </w:footnote>
  <w:footnote w:id="149">
    <w:p w14:paraId="07E0FE74" w14:textId="30D61880" w:rsidR="008E3CF6" w:rsidRDefault="008E3CF6" w:rsidP="001B747D">
      <w:pPr>
        <w:pStyle w:val="FootnoteText"/>
      </w:pPr>
      <w:r>
        <w:rPr>
          <w:rStyle w:val="FootnoteReference"/>
        </w:rPr>
        <w:footnoteRef/>
      </w:r>
      <w:r>
        <w:t xml:space="preserve"> Thomas Jones, </w:t>
      </w:r>
      <w:r w:rsidRPr="00AC2B34">
        <w:rPr>
          <w:i/>
        </w:rPr>
        <w:t>Whitehall diary</w:t>
      </w:r>
      <w:r>
        <w:t xml:space="preserve">, III, </w:t>
      </w:r>
      <w:r w:rsidRPr="00AC2B34">
        <w:rPr>
          <w:i/>
        </w:rPr>
        <w:t>Ireland, 1918</w:t>
      </w:r>
      <w:r>
        <w:rPr>
          <w:i/>
        </w:rPr>
        <w:t>‒</w:t>
      </w:r>
      <w:r w:rsidRPr="00AC2B34">
        <w:rPr>
          <w:i/>
        </w:rPr>
        <w:t>1925</w:t>
      </w:r>
      <w:r>
        <w:t xml:space="preserve">, Keith </w:t>
      </w:r>
      <w:proofErr w:type="spellStart"/>
      <w:r>
        <w:t>Middlemas</w:t>
      </w:r>
      <w:proofErr w:type="spellEnd"/>
      <w:r>
        <w:t xml:space="preserve"> (ed.) (London, 1971), 8 Ma</w:t>
      </w:r>
      <w:r w:rsidR="00270C75">
        <w:t>r.</w:t>
      </w:r>
      <w:r>
        <w:t xml:space="preserve"> 1921, p. 54; </w:t>
      </w:r>
      <w:r w:rsidR="00270C75">
        <w:t>Resumé of a meeting at 103 Grafton St., Dublin, 5 Mar. 1921 (</w:t>
      </w:r>
      <w:r>
        <w:t xml:space="preserve">TNA, </w:t>
      </w:r>
      <w:proofErr w:type="spellStart"/>
      <w:r>
        <w:t>Midleton</w:t>
      </w:r>
      <w:proofErr w:type="spellEnd"/>
      <w:r>
        <w:t xml:space="preserve"> papers, PRO30/67/44</w:t>
      </w:r>
      <w:r w:rsidR="00270C75">
        <w:t>)</w:t>
      </w:r>
      <w:r>
        <w:t xml:space="preserve">. </w:t>
      </w:r>
    </w:p>
  </w:footnote>
  <w:footnote w:id="150">
    <w:p w14:paraId="5D8E62BC" w14:textId="2076C2F7" w:rsidR="008E3CF6" w:rsidRDefault="008E3CF6" w:rsidP="001B747D">
      <w:pPr>
        <w:pStyle w:val="FootnoteText"/>
      </w:pPr>
      <w:r>
        <w:rPr>
          <w:rStyle w:val="FootnoteReference"/>
        </w:rPr>
        <w:footnoteRef/>
      </w:r>
      <w:r>
        <w:t xml:space="preserve"> </w:t>
      </w:r>
      <w:r w:rsidR="00270C75">
        <w:t xml:space="preserve">John Blake Powell to Lord </w:t>
      </w:r>
      <w:proofErr w:type="spellStart"/>
      <w:r w:rsidR="00270C75">
        <w:t>Midleton</w:t>
      </w:r>
      <w:proofErr w:type="spellEnd"/>
      <w:r w:rsidR="00270C75">
        <w:t>, 12 Apr</w:t>
      </w:r>
      <w:r w:rsidR="00F11DF6">
        <w:t>.</w:t>
      </w:r>
      <w:r w:rsidR="00270C75">
        <w:t xml:space="preserve"> 1921 (</w:t>
      </w:r>
      <w:r>
        <w:t xml:space="preserve">TNA, </w:t>
      </w:r>
      <w:proofErr w:type="spellStart"/>
      <w:r>
        <w:t>Midleton</w:t>
      </w:r>
      <w:proofErr w:type="spellEnd"/>
      <w:r>
        <w:t xml:space="preserve"> papers, PRO30/67/44</w:t>
      </w:r>
      <w:r w:rsidR="00270C75">
        <w:t>)</w:t>
      </w:r>
      <w:r>
        <w:t xml:space="preserve">. </w:t>
      </w:r>
    </w:p>
  </w:footnote>
  <w:footnote w:id="151">
    <w:p w14:paraId="3A6EA1C9" w14:textId="77777777" w:rsidR="008E3CF6" w:rsidRPr="00AC1129" w:rsidRDefault="008E3CF6" w:rsidP="001B747D">
      <w:pPr>
        <w:pStyle w:val="FootnoteText"/>
      </w:pPr>
      <w:r>
        <w:rPr>
          <w:rStyle w:val="FootnoteReference"/>
        </w:rPr>
        <w:footnoteRef/>
      </w:r>
      <w:r>
        <w:t xml:space="preserve"> For text, see The Irish Dominion League, </w:t>
      </w:r>
      <w:r w:rsidRPr="007844EA">
        <w:rPr>
          <w:i/>
        </w:rPr>
        <w:t>Official report</w:t>
      </w:r>
      <w:r>
        <w:t xml:space="preserve">, pp. 21‒3. For signatories, see </w:t>
      </w:r>
      <w:r>
        <w:rPr>
          <w:i/>
        </w:rPr>
        <w:t xml:space="preserve">The Times, </w:t>
      </w:r>
      <w:r>
        <w:t xml:space="preserve">12 May 1921. </w:t>
      </w:r>
    </w:p>
  </w:footnote>
  <w:footnote w:id="152">
    <w:p w14:paraId="41416D8B" w14:textId="072236C1" w:rsidR="008E3CF6" w:rsidRDefault="008E3CF6" w:rsidP="001B747D">
      <w:pPr>
        <w:pStyle w:val="FootnoteText"/>
      </w:pPr>
      <w:r>
        <w:rPr>
          <w:rStyle w:val="FootnoteReference"/>
        </w:rPr>
        <w:footnoteRef/>
      </w:r>
      <w:r>
        <w:t xml:space="preserve"> HPD, 25 Apr</w:t>
      </w:r>
      <w:r w:rsidR="00F11DF6">
        <w:t>.</w:t>
      </w:r>
      <w:r>
        <w:t xml:space="preserve"> 1921. </w:t>
      </w:r>
    </w:p>
  </w:footnote>
  <w:footnote w:id="153">
    <w:p w14:paraId="061438F4" w14:textId="77777777" w:rsidR="008E3CF6" w:rsidRDefault="008E3CF6" w:rsidP="001B747D">
      <w:pPr>
        <w:pStyle w:val="FootnoteText"/>
      </w:pPr>
      <w:r>
        <w:rPr>
          <w:rStyle w:val="FootnoteReference"/>
        </w:rPr>
        <w:footnoteRef/>
      </w:r>
      <w:r>
        <w:t xml:space="preserve"> Hopkinson, </w:t>
      </w:r>
      <w:r>
        <w:rPr>
          <w:i/>
          <w:iCs/>
        </w:rPr>
        <w:t>The Irish War of Independence,</w:t>
      </w:r>
      <w:r>
        <w:t xml:space="preserve"> p. 178. </w:t>
      </w:r>
    </w:p>
  </w:footnote>
  <w:footnote w:id="154">
    <w:p w14:paraId="50D998BE" w14:textId="77777777" w:rsidR="008E3CF6" w:rsidRDefault="008E3CF6" w:rsidP="001B747D">
      <w:pPr>
        <w:pStyle w:val="FootnoteText"/>
      </w:pPr>
      <w:r>
        <w:rPr>
          <w:rStyle w:val="FootnoteReference"/>
        </w:rPr>
        <w:footnoteRef/>
      </w:r>
      <w:r>
        <w:t xml:space="preserve"> Jan Smuts, quoted in Hopkinson, </w:t>
      </w:r>
      <w:r>
        <w:rPr>
          <w:i/>
          <w:iCs/>
        </w:rPr>
        <w:t>The Irish War of Independence</w:t>
      </w:r>
      <w:r>
        <w:t xml:space="preserve">, p. 195. </w:t>
      </w:r>
    </w:p>
  </w:footnote>
  <w:footnote w:id="155">
    <w:p w14:paraId="46C5A264" w14:textId="77777777" w:rsidR="008E3CF6" w:rsidRDefault="008E3CF6" w:rsidP="001B747D">
      <w:pPr>
        <w:pStyle w:val="FootnoteText"/>
      </w:pPr>
      <w:r>
        <w:rPr>
          <w:rStyle w:val="FootnoteReference"/>
        </w:rPr>
        <w:footnoteRef/>
      </w:r>
      <w:r>
        <w:t xml:space="preserve"> Boyce, ‘How to settle the Irish question’, p. 156.  </w:t>
      </w:r>
    </w:p>
  </w:footnote>
  <w:footnote w:id="156">
    <w:p w14:paraId="26F3A95A" w14:textId="77777777" w:rsidR="008E3CF6" w:rsidRDefault="008E3CF6" w:rsidP="001B747D">
      <w:pPr>
        <w:pStyle w:val="FootnoteText"/>
      </w:pPr>
      <w:r>
        <w:rPr>
          <w:rStyle w:val="FootnoteReference"/>
        </w:rPr>
        <w:footnoteRef/>
      </w:r>
      <w:r>
        <w:t xml:space="preserve"> HPD, 29 June 1921.</w:t>
      </w:r>
    </w:p>
  </w:footnote>
  <w:footnote w:id="157">
    <w:p w14:paraId="6CB49F0F" w14:textId="77777777" w:rsidR="008E3CF6" w:rsidRDefault="008E3CF6" w:rsidP="001B747D">
      <w:pPr>
        <w:pStyle w:val="FootnoteText"/>
      </w:pPr>
      <w:r>
        <w:rPr>
          <w:rStyle w:val="FootnoteReference"/>
        </w:rPr>
        <w:footnoteRef/>
      </w:r>
      <w:r>
        <w:t xml:space="preserve"> Alan </w:t>
      </w:r>
      <w:proofErr w:type="spellStart"/>
      <w:r>
        <w:t>O’Day</w:t>
      </w:r>
      <w:proofErr w:type="spellEnd"/>
      <w:r>
        <w:t xml:space="preserve">, </w:t>
      </w:r>
      <w:r w:rsidRPr="0070666C">
        <w:rPr>
          <w:i/>
        </w:rPr>
        <w:t>Irish Home Rule: 1867</w:t>
      </w:r>
      <w:r>
        <w:rPr>
          <w:i/>
        </w:rPr>
        <w:t>‒</w:t>
      </w:r>
      <w:r w:rsidRPr="0070666C">
        <w:rPr>
          <w:i/>
        </w:rPr>
        <w:t xml:space="preserve">1921 </w:t>
      </w:r>
      <w:r>
        <w:t xml:space="preserve">(Manchester, 1998), pp. 301‒302. </w:t>
      </w:r>
    </w:p>
  </w:footnote>
  <w:footnote w:id="158">
    <w:p w14:paraId="6846F995" w14:textId="469B465B" w:rsidR="008E3CF6" w:rsidRDefault="008E3CF6" w:rsidP="001B747D">
      <w:pPr>
        <w:pStyle w:val="FootnoteText"/>
      </w:pPr>
      <w:r>
        <w:rPr>
          <w:rStyle w:val="FootnoteReference"/>
        </w:rPr>
        <w:footnoteRef/>
      </w:r>
      <w:r>
        <w:t xml:space="preserve"> Hopkinson (ed.), </w:t>
      </w:r>
      <w:r w:rsidRPr="004A1B18">
        <w:rPr>
          <w:i/>
        </w:rPr>
        <w:t>Mark Sturgis diaries</w:t>
      </w:r>
      <w:r>
        <w:rPr>
          <w:i/>
        </w:rPr>
        <w:t>,</w:t>
      </w:r>
      <w:r>
        <w:t xml:space="preserve"> 22 Aug</w:t>
      </w:r>
      <w:r w:rsidR="00F11DF6">
        <w:t>.</w:t>
      </w:r>
      <w:r>
        <w:t xml:space="preserve"> 1921. </w:t>
      </w:r>
    </w:p>
  </w:footnote>
  <w:footnote w:id="159">
    <w:p w14:paraId="05E1C224" w14:textId="2F07C8A4" w:rsidR="008E3CF6" w:rsidRPr="00E47286" w:rsidRDefault="008E3CF6" w:rsidP="001B747D">
      <w:pPr>
        <w:pStyle w:val="FootnoteText"/>
      </w:pPr>
      <w:r>
        <w:rPr>
          <w:rStyle w:val="FootnoteReference"/>
        </w:rPr>
        <w:footnoteRef/>
      </w:r>
      <w:r>
        <w:t xml:space="preserve"> See </w:t>
      </w:r>
      <w:r w:rsidRPr="0079764C">
        <w:t xml:space="preserve">West, </w:t>
      </w:r>
      <w:r w:rsidRPr="0079764C">
        <w:rPr>
          <w:i/>
        </w:rPr>
        <w:t>Horace Plunkett</w:t>
      </w:r>
      <w:r>
        <w:t>, p. 194. The organisation officially closed in Nov</w:t>
      </w:r>
      <w:r w:rsidR="00F11DF6">
        <w:t>.</w:t>
      </w:r>
      <w:r>
        <w:t xml:space="preserve"> 1921: </w:t>
      </w:r>
      <w:r>
        <w:rPr>
          <w:i/>
        </w:rPr>
        <w:t xml:space="preserve">IT, </w:t>
      </w:r>
      <w:r>
        <w:t>4 Nov</w:t>
      </w:r>
      <w:r w:rsidR="00F11DF6">
        <w:t>.</w:t>
      </w:r>
      <w:r>
        <w:t xml:space="preserve"> 1921. </w:t>
      </w:r>
    </w:p>
  </w:footnote>
  <w:footnote w:id="160">
    <w:p w14:paraId="40E19FF7" w14:textId="77777777" w:rsidR="008E3CF6" w:rsidRDefault="008E3CF6" w:rsidP="001B747D">
      <w:pPr>
        <w:pStyle w:val="FootnoteText"/>
      </w:pPr>
      <w:r>
        <w:rPr>
          <w:rStyle w:val="FootnoteReference"/>
        </w:rPr>
        <w:footnoteRef/>
      </w:r>
      <w:r>
        <w:t xml:space="preserve"> Charles Townshend, </w:t>
      </w:r>
      <w:r w:rsidRPr="0070666C">
        <w:rPr>
          <w:i/>
        </w:rPr>
        <w:t>The partition: Ireland divided, 1885</w:t>
      </w:r>
      <w:r>
        <w:rPr>
          <w:i/>
        </w:rPr>
        <w:t>‒</w:t>
      </w:r>
      <w:r w:rsidRPr="0070666C">
        <w:rPr>
          <w:i/>
        </w:rPr>
        <w:t>1925</w:t>
      </w:r>
      <w:r>
        <w:t xml:space="preserve"> (London, 2021), pp. 200‒204ff. </w:t>
      </w:r>
    </w:p>
  </w:footnote>
  <w:footnote w:id="161">
    <w:p w14:paraId="2AC2AC1C" w14:textId="58A90F46" w:rsidR="008E3CF6" w:rsidRDefault="008E3CF6" w:rsidP="001B747D">
      <w:pPr>
        <w:pStyle w:val="FootnoteText"/>
      </w:pPr>
      <w:r>
        <w:rPr>
          <w:rStyle w:val="FootnoteReference"/>
        </w:rPr>
        <w:footnoteRef/>
      </w:r>
      <w:r>
        <w:t xml:space="preserve"> The Irish Dominion League, </w:t>
      </w:r>
      <w:r w:rsidRPr="007844EA">
        <w:rPr>
          <w:i/>
        </w:rPr>
        <w:t>Official report</w:t>
      </w:r>
      <w:r>
        <w:t>, insert, dated 7 Dec</w:t>
      </w:r>
      <w:r w:rsidR="00F11DF6">
        <w:t>.</w:t>
      </w:r>
      <w:r>
        <w:t xml:space="preserve"> 1921 (</w:t>
      </w:r>
      <w:proofErr w:type="spellStart"/>
      <w:r>
        <w:t>n.p.</w:t>
      </w:r>
      <w:proofErr w:type="spellEnd"/>
      <w:r>
        <w:t xml:space="preserve">). </w:t>
      </w:r>
    </w:p>
  </w:footnote>
  <w:footnote w:id="162">
    <w:p w14:paraId="09517ECC" w14:textId="68BBC625" w:rsidR="008E3CF6" w:rsidRDefault="008E3CF6" w:rsidP="001B747D">
      <w:pPr>
        <w:pStyle w:val="FootnoteText"/>
      </w:pPr>
      <w:r>
        <w:rPr>
          <w:rStyle w:val="FootnoteReference"/>
        </w:rPr>
        <w:footnoteRef/>
      </w:r>
      <w:r>
        <w:t xml:space="preserve"> HPD, 7 Dec</w:t>
      </w:r>
      <w:r w:rsidR="00F11DF6">
        <w:t>.</w:t>
      </w:r>
      <w:r>
        <w:t xml:space="preserve"> 1921. </w:t>
      </w:r>
    </w:p>
  </w:footnote>
  <w:footnote w:id="163">
    <w:p w14:paraId="167A1CAC" w14:textId="77777777" w:rsidR="008E3CF6" w:rsidRDefault="008E3CF6" w:rsidP="001B747D">
      <w:pPr>
        <w:pStyle w:val="FootnoteText"/>
      </w:pPr>
      <w:r>
        <w:rPr>
          <w:rStyle w:val="FootnoteReference"/>
        </w:rPr>
        <w:footnoteRef/>
      </w:r>
      <w:r>
        <w:t xml:space="preserve"> HPD, year-end summary 1921. </w:t>
      </w:r>
    </w:p>
  </w:footnote>
  <w:footnote w:id="164">
    <w:p w14:paraId="65AAADAD" w14:textId="77777777" w:rsidR="008E3CF6" w:rsidRDefault="008E3CF6" w:rsidP="001B747D">
      <w:pPr>
        <w:pStyle w:val="FootnoteText"/>
      </w:pPr>
      <w:r>
        <w:rPr>
          <w:rStyle w:val="FootnoteReference"/>
        </w:rPr>
        <w:footnoteRef/>
      </w:r>
      <w:r>
        <w:t xml:space="preserve"> For Plunkett and the Irish Civil War, see West, </w:t>
      </w:r>
      <w:r w:rsidRPr="00D360F5">
        <w:rPr>
          <w:i/>
        </w:rPr>
        <w:t>Horace Plunkett</w:t>
      </w:r>
      <w:r>
        <w:t xml:space="preserve">, </w:t>
      </w:r>
      <w:proofErr w:type="spellStart"/>
      <w:r>
        <w:t>ch.</w:t>
      </w:r>
      <w:proofErr w:type="spellEnd"/>
      <w:r>
        <w:t xml:space="preserve"> xi. </w:t>
      </w:r>
    </w:p>
  </w:footnote>
  <w:footnote w:id="165">
    <w:p w14:paraId="5FD5B2B8" w14:textId="06AD71DB" w:rsidR="008E3CF6" w:rsidRDefault="008E3CF6" w:rsidP="001B747D">
      <w:pPr>
        <w:pStyle w:val="FootnoteText"/>
      </w:pPr>
      <w:r>
        <w:rPr>
          <w:rStyle w:val="FootnoteReference"/>
        </w:rPr>
        <w:footnoteRef/>
      </w:r>
      <w:r>
        <w:t xml:space="preserve"> HPD, 11 Apr</w:t>
      </w:r>
      <w:r w:rsidR="00F11DF6">
        <w:t>.</w:t>
      </w:r>
      <w:r>
        <w:t xml:space="preserve"> 1921. </w:t>
      </w:r>
    </w:p>
  </w:footnote>
  <w:footnote w:id="166">
    <w:p w14:paraId="243613C3" w14:textId="77777777" w:rsidR="008E3CF6" w:rsidRDefault="008E3CF6" w:rsidP="001B747D">
      <w:pPr>
        <w:pStyle w:val="FootnoteText"/>
      </w:pPr>
      <w:r>
        <w:rPr>
          <w:rStyle w:val="FootnoteReference"/>
        </w:rPr>
        <w:footnoteRef/>
      </w:r>
      <w:r>
        <w:t xml:space="preserve"> </w:t>
      </w:r>
      <w:proofErr w:type="spellStart"/>
      <w:r>
        <w:t>Midleton</w:t>
      </w:r>
      <w:proofErr w:type="spellEnd"/>
      <w:r>
        <w:t xml:space="preserve">, </w:t>
      </w:r>
      <w:r w:rsidRPr="001053FA">
        <w:rPr>
          <w:i/>
        </w:rPr>
        <w:t>Records &amp; reactions</w:t>
      </w:r>
      <w:r>
        <w:rPr>
          <w:i/>
        </w:rPr>
        <w:t>,</w:t>
      </w:r>
      <w:r>
        <w:t xml:space="preserve"> pp. 253‒4, 263‒4; The earl of </w:t>
      </w:r>
      <w:proofErr w:type="spellStart"/>
      <w:r>
        <w:t>Midleton</w:t>
      </w:r>
      <w:proofErr w:type="spellEnd"/>
      <w:r>
        <w:t xml:space="preserve">, </w:t>
      </w:r>
      <w:r w:rsidRPr="004302B7">
        <w:rPr>
          <w:i/>
        </w:rPr>
        <w:t>Ireland—dupe or heroine</w:t>
      </w:r>
      <w:r>
        <w:t xml:space="preserve"> (London, 1932), pp. 159‒60. </w:t>
      </w:r>
    </w:p>
  </w:footnote>
  <w:footnote w:id="167">
    <w:p w14:paraId="49A0EE4A" w14:textId="77777777" w:rsidR="008E3CF6" w:rsidRDefault="008E3CF6" w:rsidP="001B747D">
      <w:pPr>
        <w:pStyle w:val="FootnoteText"/>
      </w:pPr>
      <w:r>
        <w:rPr>
          <w:rStyle w:val="FootnoteReference"/>
        </w:rPr>
        <w:footnoteRef/>
      </w:r>
      <w:r>
        <w:t xml:space="preserve"> </w:t>
      </w:r>
      <w:r w:rsidRPr="00EF585C">
        <w:t xml:space="preserve">Buckland, </w:t>
      </w:r>
      <w:r>
        <w:rPr>
          <w:i/>
        </w:rPr>
        <w:t xml:space="preserve">Irish Unionism, </w:t>
      </w:r>
      <w:r>
        <w:t xml:space="preserve">I, pp. 274‒96ff.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50C8" w14:textId="77777777" w:rsidR="008E3CF6" w:rsidRDefault="008E3CF6" w:rsidP="001400F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709D5" w14:textId="77777777" w:rsidR="008E3CF6" w:rsidRDefault="008E3CF6" w:rsidP="001400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4E30" w14:textId="77777777" w:rsidR="008E3CF6" w:rsidRDefault="008E3CF6" w:rsidP="001400F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805A88" w14:textId="77777777" w:rsidR="008E3CF6" w:rsidRDefault="008E3CF6" w:rsidP="001400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21EB7"/>
    <w:multiLevelType w:val="hybridMultilevel"/>
    <w:tmpl w:val="2106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406AC5"/>
    <w:multiLevelType w:val="hybridMultilevel"/>
    <w:tmpl w:val="9A6229E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124918">
    <w:abstractNumId w:val="1"/>
  </w:num>
  <w:num w:numId="2" w16cid:durableId="164989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7D"/>
    <w:rsid w:val="001400FD"/>
    <w:rsid w:val="001924A4"/>
    <w:rsid w:val="001B56E6"/>
    <w:rsid w:val="001B747D"/>
    <w:rsid w:val="001C61FE"/>
    <w:rsid w:val="00270C75"/>
    <w:rsid w:val="002A32BD"/>
    <w:rsid w:val="003A6102"/>
    <w:rsid w:val="00421646"/>
    <w:rsid w:val="00450077"/>
    <w:rsid w:val="0049072F"/>
    <w:rsid w:val="00492427"/>
    <w:rsid w:val="004C5447"/>
    <w:rsid w:val="00526ECE"/>
    <w:rsid w:val="005311C9"/>
    <w:rsid w:val="005E1CC0"/>
    <w:rsid w:val="005F10B6"/>
    <w:rsid w:val="005F766B"/>
    <w:rsid w:val="005F7EBF"/>
    <w:rsid w:val="00616D4A"/>
    <w:rsid w:val="00623932"/>
    <w:rsid w:val="00641868"/>
    <w:rsid w:val="00672ADE"/>
    <w:rsid w:val="006B144A"/>
    <w:rsid w:val="00711650"/>
    <w:rsid w:val="00716408"/>
    <w:rsid w:val="007232AE"/>
    <w:rsid w:val="00832EA6"/>
    <w:rsid w:val="00836B29"/>
    <w:rsid w:val="008578C1"/>
    <w:rsid w:val="008B6334"/>
    <w:rsid w:val="008E3CF6"/>
    <w:rsid w:val="00967070"/>
    <w:rsid w:val="00A31E3B"/>
    <w:rsid w:val="00A46835"/>
    <w:rsid w:val="00A50B81"/>
    <w:rsid w:val="00AC3C73"/>
    <w:rsid w:val="00AC763C"/>
    <w:rsid w:val="00AD29B0"/>
    <w:rsid w:val="00B271F2"/>
    <w:rsid w:val="00B6627B"/>
    <w:rsid w:val="00B7278B"/>
    <w:rsid w:val="00B75D1B"/>
    <w:rsid w:val="00BE2E1B"/>
    <w:rsid w:val="00C00DD5"/>
    <w:rsid w:val="00C240A0"/>
    <w:rsid w:val="00D83462"/>
    <w:rsid w:val="00DA0C92"/>
    <w:rsid w:val="00DA5A13"/>
    <w:rsid w:val="00DC4DD7"/>
    <w:rsid w:val="00DF2E32"/>
    <w:rsid w:val="00E07627"/>
    <w:rsid w:val="00E10369"/>
    <w:rsid w:val="00E744C7"/>
    <w:rsid w:val="00E85CE7"/>
    <w:rsid w:val="00EF776C"/>
    <w:rsid w:val="00F11DF6"/>
    <w:rsid w:val="00F57D58"/>
    <w:rsid w:val="00F70621"/>
    <w:rsid w:val="00F954B5"/>
    <w:rsid w:val="00F97349"/>
    <w:rsid w:val="00FC4599"/>
    <w:rsid w:val="00FD372E"/>
    <w:rsid w:val="00FE2768"/>
    <w:rsid w:val="00FE3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D2F"/>
  <w15:docId w15:val="{0B4DA3EE-C1C0-D446-8DDE-E37BFA90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747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1B7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B747D"/>
    <w:rPr>
      <w:vertAlign w:val="superscript"/>
    </w:rPr>
  </w:style>
  <w:style w:type="paragraph" w:styleId="Header">
    <w:name w:val="header"/>
    <w:basedOn w:val="Normal"/>
    <w:link w:val="HeaderChar"/>
    <w:uiPriority w:val="99"/>
    <w:unhideWhenUsed/>
    <w:rsid w:val="001B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7D"/>
  </w:style>
  <w:style w:type="character" w:styleId="PageNumber">
    <w:name w:val="page number"/>
    <w:basedOn w:val="DefaultParagraphFont"/>
    <w:uiPriority w:val="99"/>
    <w:semiHidden/>
    <w:unhideWhenUsed/>
    <w:rsid w:val="001B747D"/>
  </w:style>
  <w:style w:type="paragraph" w:styleId="ListParagraph">
    <w:name w:val="List Paragraph"/>
    <w:basedOn w:val="Normal"/>
    <w:uiPriority w:val="34"/>
    <w:qFormat/>
    <w:rsid w:val="001B747D"/>
    <w:pPr>
      <w:ind w:left="720"/>
      <w:contextualSpacing/>
    </w:pPr>
  </w:style>
  <w:style w:type="table" w:styleId="TableGrid">
    <w:name w:val="Table Grid"/>
    <w:basedOn w:val="TableNormal"/>
    <w:uiPriority w:val="59"/>
    <w:rsid w:val="001B747D"/>
    <w:pPr>
      <w:spacing w:after="0" w:line="240" w:lineRule="auto"/>
    </w:pPr>
    <w:rPr>
      <w:rFonts w:ascii="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747D"/>
    <w:pPr>
      <w:spacing w:after="0" w:line="240" w:lineRule="auto"/>
    </w:pPr>
    <w:rPr>
      <w:rFonts w:ascii="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4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47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B747D"/>
    <w:rPr>
      <w:sz w:val="16"/>
      <w:szCs w:val="16"/>
    </w:rPr>
  </w:style>
  <w:style w:type="paragraph" w:styleId="CommentText">
    <w:name w:val="annotation text"/>
    <w:basedOn w:val="Normal"/>
    <w:link w:val="CommentTextChar"/>
    <w:uiPriority w:val="99"/>
    <w:semiHidden/>
    <w:unhideWhenUsed/>
    <w:rsid w:val="001B747D"/>
    <w:pPr>
      <w:spacing w:line="240" w:lineRule="auto"/>
    </w:pPr>
    <w:rPr>
      <w:sz w:val="20"/>
      <w:szCs w:val="20"/>
    </w:rPr>
  </w:style>
  <w:style w:type="character" w:customStyle="1" w:styleId="CommentTextChar">
    <w:name w:val="Comment Text Char"/>
    <w:basedOn w:val="DefaultParagraphFont"/>
    <w:link w:val="CommentText"/>
    <w:uiPriority w:val="99"/>
    <w:semiHidden/>
    <w:rsid w:val="001B747D"/>
    <w:rPr>
      <w:sz w:val="20"/>
      <w:szCs w:val="20"/>
    </w:rPr>
  </w:style>
  <w:style w:type="paragraph" w:styleId="CommentSubject">
    <w:name w:val="annotation subject"/>
    <w:basedOn w:val="CommentText"/>
    <w:next w:val="CommentText"/>
    <w:link w:val="CommentSubjectChar"/>
    <w:uiPriority w:val="99"/>
    <w:semiHidden/>
    <w:unhideWhenUsed/>
    <w:rsid w:val="001B747D"/>
    <w:rPr>
      <w:b/>
      <w:bCs/>
    </w:rPr>
  </w:style>
  <w:style w:type="character" w:customStyle="1" w:styleId="CommentSubjectChar">
    <w:name w:val="Comment Subject Char"/>
    <w:basedOn w:val="CommentTextChar"/>
    <w:link w:val="CommentSubject"/>
    <w:uiPriority w:val="99"/>
    <w:semiHidden/>
    <w:rsid w:val="001B747D"/>
    <w:rPr>
      <w:b/>
      <w:bCs/>
      <w:sz w:val="20"/>
      <w:szCs w:val="20"/>
    </w:rPr>
  </w:style>
  <w:style w:type="character" w:styleId="Hyperlink">
    <w:name w:val="Hyperlink"/>
    <w:basedOn w:val="DefaultParagraphFont"/>
    <w:uiPriority w:val="99"/>
    <w:unhideWhenUsed/>
    <w:rsid w:val="003A6102"/>
    <w:rPr>
      <w:color w:val="0000FF" w:themeColor="hyperlink"/>
      <w:u w:val="single"/>
    </w:rPr>
  </w:style>
  <w:style w:type="character" w:styleId="UnresolvedMention">
    <w:name w:val="Unresolved Mention"/>
    <w:basedOn w:val="DefaultParagraphFont"/>
    <w:uiPriority w:val="99"/>
    <w:semiHidden/>
    <w:unhideWhenUsed/>
    <w:rsid w:val="003A6102"/>
    <w:rPr>
      <w:color w:val="605E5C"/>
      <w:shd w:val="clear" w:color="auto" w:fill="E1DFDD"/>
    </w:rPr>
  </w:style>
  <w:style w:type="paragraph" w:styleId="Revision">
    <w:name w:val="Revision"/>
    <w:hidden/>
    <w:uiPriority w:val="99"/>
    <w:semiHidden/>
    <w:rsid w:val="00E74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nor.morrissey@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29</Pages>
  <Words>9497</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dc:creator>
  <cp:keywords/>
  <dc:description/>
  <cp:lastModifiedBy>Conor Morrissey</cp:lastModifiedBy>
  <cp:revision>29</cp:revision>
  <cp:lastPrinted>2024-02-13T15:54:00Z</cp:lastPrinted>
  <dcterms:created xsi:type="dcterms:W3CDTF">2024-02-12T11:56:00Z</dcterms:created>
  <dcterms:modified xsi:type="dcterms:W3CDTF">2024-04-26T14:33:00Z</dcterms:modified>
</cp:coreProperties>
</file>