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1908" w14:textId="06BB1BCD" w:rsidR="00D65E31" w:rsidRPr="00D22C5C" w:rsidRDefault="00C9251B" w:rsidP="00D65E31">
      <w:pPr>
        <w:rPr>
          <w:sz w:val="24"/>
          <w:szCs w:val="24"/>
          <w:lang w:val="en-US"/>
        </w:rPr>
      </w:pPr>
      <w:r>
        <w:rPr>
          <w:rFonts w:eastAsia="Times New Roman" w:cstheme="minorHAnsi"/>
          <w:b/>
          <w:sz w:val="24"/>
          <w:szCs w:val="24"/>
        </w:rPr>
        <w:t>Ext</w:t>
      </w:r>
      <w:r w:rsidR="006863C6" w:rsidRPr="00200CCC">
        <w:rPr>
          <w:rFonts w:eastAsia="Times New Roman" w:cstheme="minorHAnsi"/>
          <w:b/>
          <w:sz w:val="24"/>
          <w:szCs w:val="24"/>
        </w:rPr>
        <w:t>ended-Release Ketamine Tablets for Treatment-Resistant Depression: a randomized placebo-controlled Phase 2 trial.</w:t>
      </w:r>
      <w:r w:rsidR="006863C6" w:rsidRPr="00200CCC">
        <w:rPr>
          <w:rFonts w:eastAsia="Times New Roman" w:cstheme="minorHAnsi"/>
          <w:sz w:val="24"/>
          <w:szCs w:val="24"/>
        </w:rPr>
        <w:br/>
      </w:r>
      <w:r w:rsidR="005F27E6" w:rsidRPr="00200CCC">
        <w:rPr>
          <w:rFonts w:cstheme="minorHAnsi"/>
          <w:color w:val="000000" w:themeColor="text1"/>
          <w:sz w:val="24"/>
          <w:szCs w:val="24"/>
        </w:rPr>
        <w:t>Paul Glue</w:t>
      </w:r>
      <w:r w:rsidR="005F27E6" w:rsidRPr="00200CCC">
        <w:rPr>
          <w:rFonts w:cstheme="minorHAnsi"/>
          <w:color w:val="000000" w:themeColor="text1"/>
          <w:sz w:val="24"/>
          <w:szCs w:val="24"/>
          <w:vertAlign w:val="superscript"/>
        </w:rPr>
        <w:t>1</w:t>
      </w:r>
      <w:r w:rsidR="005F27E6" w:rsidRPr="00200CCC">
        <w:rPr>
          <w:rFonts w:cstheme="minorHAnsi"/>
          <w:color w:val="000000" w:themeColor="text1"/>
          <w:sz w:val="24"/>
          <w:szCs w:val="24"/>
        </w:rPr>
        <w:t>, Colleen Loo</w:t>
      </w:r>
      <w:r w:rsidR="005F27E6" w:rsidRPr="00200CCC">
        <w:rPr>
          <w:rFonts w:cstheme="minorHAnsi"/>
          <w:color w:val="000000" w:themeColor="text1"/>
          <w:sz w:val="24"/>
          <w:szCs w:val="24"/>
          <w:vertAlign w:val="superscript"/>
        </w:rPr>
        <w:t>2,</w:t>
      </w:r>
      <w:r w:rsidR="00965DF9" w:rsidRPr="00200CCC">
        <w:rPr>
          <w:rFonts w:cstheme="minorHAnsi"/>
          <w:color w:val="000000" w:themeColor="text1"/>
          <w:sz w:val="24"/>
          <w:szCs w:val="24"/>
          <w:vertAlign w:val="superscript"/>
        </w:rPr>
        <w:t>3</w:t>
      </w:r>
      <w:r w:rsidR="00965DF9" w:rsidRPr="00200CCC">
        <w:rPr>
          <w:rFonts w:cstheme="minorHAnsi"/>
          <w:color w:val="000000" w:themeColor="text1"/>
          <w:sz w:val="24"/>
          <w:szCs w:val="24"/>
        </w:rPr>
        <w:t xml:space="preserve">, </w:t>
      </w:r>
      <w:r w:rsidR="00965DF9" w:rsidRPr="00D22C5C">
        <w:rPr>
          <w:rFonts w:cstheme="minorHAnsi"/>
          <w:sz w:val="24"/>
          <w:szCs w:val="24"/>
        </w:rPr>
        <w:t>Johnson Fam</w:t>
      </w:r>
      <w:r w:rsidR="00965DF9" w:rsidRPr="00D22C5C">
        <w:rPr>
          <w:rFonts w:cstheme="minorHAnsi"/>
          <w:sz w:val="24"/>
          <w:szCs w:val="24"/>
          <w:vertAlign w:val="superscript"/>
        </w:rPr>
        <w:t>4</w:t>
      </w:r>
      <w:r w:rsidR="00965DF9" w:rsidRPr="00D22C5C">
        <w:rPr>
          <w:rFonts w:cstheme="minorHAnsi"/>
          <w:sz w:val="24"/>
          <w:szCs w:val="24"/>
        </w:rPr>
        <w:t>, Hsien-Yuan Lane</w:t>
      </w:r>
      <w:r w:rsidR="009972DD" w:rsidRPr="00D22C5C">
        <w:rPr>
          <w:rFonts w:cstheme="minorHAnsi"/>
          <w:sz w:val="24"/>
          <w:szCs w:val="24"/>
          <w:vertAlign w:val="superscript"/>
        </w:rPr>
        <w:t>5</w:t>
      </w:r>
      <w:r w:rsidR="009972DD" w:rsidRPr="00D22C5C">
        <w:rPr>
          <w:rFonts w:cstheme="minorHAnsi"/>
          <w:sz w:val="24"/>
          <w:szCs w:val="24"/>
        </w:rPr>
        <w:t>,</w:t>
      </w:r>
      <w:r w:rsidR="00965DF9" w:rsidRPr="00D22C5C">
        <w:rPr>
          <w:rFonts w:cstheme="minorHAnsi"/>
          <w:sz w:val="24"/>
          <w:szCs w:val="24"/>
        </w:rPr>
        <w:t xml:space="preserve"> Al</w:t>
      </w:r>
      <w:r w:rsidR="004E33BC" w:rsidRPr="00D22C5C">
        <w:rPr>
          <w:rFonts w:cstheme="minorHAnsi"/>
          <w:sz w:val="24"/>
          <w:szCs w:val="24"/>
        </w:rPr>
        <w:t>l</w:t>
      </w:r>
      <w:r w:rsidR="00965DF9" w:rsidRPr="00D22C5C">
        <w:rPr>
          <w:rFonts w:cstheme="minorHAnsi"/>
          <w:sz w:val="24"/>
          <w:szCs w:val="24"/>
        </w:rPr>
        <w:t>an Young</w:t>
      </w:r>
      <w:r w:rsidR="009972DD" w:rsidRPr="00D22C5C">
        <w:rPr>
          <w:rFonts w:cstheme="minorHAnsi"/>
          <w:sz w:val="24"/>
          <w:szCs w:val="24"/>
          <w:vertAlign w:val="superscript"/>
        </w:rPr>
        <w:t>6</w:t>
      </w:r>
      <w:r w:rsidR="009972DD" w:rsidRPr="00D22C5C">
        <w:rPr>
          <w:rFonts w:cstheme="minorHAnsi"/>
          <w:sz w:val="24"/>
          <w:szCs w:val="24"/>
        </w:rPr>
        <w:t xml:space="preserve">, </w:t>
      </w:r>
      <w:r w:rsidR="00965DF9" w:rsidRPr="00D22C5C">
        <w:rPr>
          <w:rFonts w:cstheme="minorHAnsi"/>
          <w:sz w:val="24"/>
          <w:szCs w:val="24"/>
        </w:rPr>
        <w:t>Peter Surman</w:t>
      </w:r>
      <w:r w:rsidR="009972DD" w:rsidRPr="00D22C5C">
        <w:rPr>
          <w:rFonts w:cstheme="minorHAnsi"/>
          <w:sz w:val="24"/>
          <w:szCs w:val="24"/>
          <w:vertAlign w:val="superscript"/>
        </w:rPr>
        <w:t>7</w:t>
      </w:r>
      <w:r w:rsidR="009972DD" w:rsidRPr="00D22C5C">
        <w:rPr>
          <w:rFonts w:cstheme="minorHAnsi"/>
          <w:sz w:val="24"/>
          <w:szCs w:val="24"/>
        </w:rPr>
        <w:t xml:space="preserve">, </w:t>
      </w:r>
      <w:r w:rsidR="00965DF9" w:rsidRPr="00D22C5C">
        <w:rPr>
          <w:rFonts w:cstheme="minorHAnsi"/>
          <w:sz w:val="24"/>
          <w:szCs w:val="24"/>
        </w:rPr>
        <w:t>on behalf of BEDROC study investigators</w:t>
      </w:r>
      <w:r w:rsidR="00E90109">
        <w:rPr>
          <w:rFonts w:cstheme="minorHAnsi"/>
          <w:sz w:val="24"/>
          <w:szCs w:val="24"/>
        </w:rPr>
        <w:t xml:space="preserve">. </w:t>
      </w:r>
      <w:r w:rsidR="006C54EE">
        <w:rPr>
          <w:rFonts w:cstheme="minorHAnsi"/>
          <w:sz w:val="24"/>
          <w:szCs w:val="24"/>
        </w:rPr>
        <w:t>*</w:t>
      </w:r>
      <w:r w:rsidR="00D65E31" w:rsidRPr="00D22C5C">
        <w:rPr>
          <w:sz w:val="24"/>
          <w:szCs w:val="24"/>
          <w:lang w:val="en-US"/>
        </w:rPr>
        <w:t xml:space="preserve">A list of authors and their affiliations appears at the end of the paper. </w:t>
      </w:r>
    </w:p>
    <w:p w14:paraId="2301FA25" w14:textId="77777777" w:rsidR="009972DD" w:rsidRPr="00200CCC" w:rsidRDefault="009972DD" w:rsidP="00965DF9">
      <w:pPr>
        <w:rPr>
          <w:rFonts w:cstheme="minorHAnsi"/>
          <w:sz w:val="24"/>
          <w:szCs w:val="24"/>
        </w:rPr>
      </w:pPr>
    </w:p>
    <w:p w14:paraId="1DE62DEB" w14:textId="77777777" w:rsidR="009972DD" w:rsidRPr="00200CCC" w:rsidRDefault="009972DD" w:rsidP="009972DD">
      <w:pPr>
        <w:spacing w:line="240" w:lineRule="auto"/>
        <w:rPr>
          <w:rFonts w:cstheme="minorHAnsi"/>
          <w:color w:val="000000" w:themeColor="text1"/>
          <w:sz w:val="24"/>
          <w:szCs w:val="24"/>
        </w:rPr>
      </w:pPr>
      <w:r w:rsidRPr="00200CCC">
        <w:rPr>
          <w:rFonts w:cstheme="minorHAnsi"/>
          <w:color w:val="000000" w:themeColor="text1"/>
          <w:sz w:val="24"/>
          <w:szCs w:val="24"/>
        </w:rPr>
        <w:t>1: University of Otago, Dunedin, New Zealand</w:t>
      </w:r>
    </w:p>
    <w:p w14:paraId="227C46FF" w14:textId="77777777" w:rsidR="009972DD" w:rsidRPr="00200CCC" w:rsidRDefault="009972DD" w:rsidP="009972DD">
      <w:pPr>
        <w:spacing w:line="240" w:lineRule="auto"/>
        <w:rPr>
          <w:rFonts w:cstheme="minorHAnsi"/>
          <w:color w:val="000000" w:themeColor="text1"/>
          <w:sz w:val="24"/>
          <w:szCs w:val="24"/>
        </w:rPr>
      </w:pPr>
      <w:r w:rsidRPr="00200CCC">
        <w:rPr>
          <w:rFonts w:cstheme="minorHAnsi"/>
          <w:color w:val="000000" w:themeColor="text1"/>
          <w:sz w:val="24"/>
          <w:szCs w:val="24"/>
        </w:rPr>
        <w:t>2: Black Dog Institute</w:t>
      </w:r>
      <w:r w:rsidR="00DC6CD2" w:rsidRPr="00200CCC">
        <w:rPr>
          <w:rFonts w:cstheme="minorHAnsi"/>
          <w:color w:val="000000" w:themeColor="text1"/>
          <w:sz w:val="24"/>
          <w:szCs w:val="24"/>
        </w:rPr>
        <w:t xml:space="preserve"> &amp;</w:t>
      </w:r>
      <w:r w:rsidRPr="00200CCC">
        <w:rPr>
          <w:rFonts w:cstheme="minorHAnsi"/>
          <w:color w:val="000000" w:themeColor="text1"/>
          <w:sz w:val="24"/>
          <w:szCs w:val="24"/>
        </w:rPr>
        <w:t xml:space="preserve"> University of New South Wales, Sydney, Australia </w:t>
      </w:r>
    </w:p>
    <w:p w14:paraId="14BC6813" w14:textId="77777777" w:rsidR="009972DD" w:rsidRPr="00200CCC" w:rsidRDefault="009972DD" w:rsidP="009972DD">
      <w:pPr>
        <w:spacing w:line="240" w:lineRule="auto"/>
        <w:rPr>
          <w:rFonts w:cstheme="minorHAnsi"/>
          <w:color w:val="000000" w:themeColor="text1"/>
          <w:sz w:val="24"/>
          <w:szCs w:val="24"/>
        </w:rPr>
      </w:pPr>
      <w:r w:rsidRPr="00200CCC">
        <w:rPr>
          <w:rFonts w:cstheme="minorHAnsi"/>
          <w:color w:val="000000" w:themeColor="text1"/>
          <w:sz w:val="24"/>
          <w:szCs w:val="24"/>
        </w:rPr>
        <w:t>3: George Institute for Global Health, Sydney, Australia</w:t>
      </w:r>
    </w:p>
    <w:p w14:paraId="1AF166AA" w14:textId="77777777" w:rsidR="009972DD" w:rsidRPr="00200CCC" w:rsidRDefault="009972DD" w:rsidP="009972DD">
      <w:pPr>
        <w:spacing w:line="240" w:lineRule="auto"/>
        <w:rPr>
          <w:rFonts w:cstheme="minorHAnsi"/>
          <w:color w:val="000000" w:themeColor="text1"/>
          <w:sz w:val="24"/>
          <w:szCs w:val="24"/>
        </w:rPr>
      </w:pPr>
      <w:r w:rsidRPr="00200CCC">
        <w:rPr>
          <w:rFonts w:cstheme="minorHAnsi"/>
          <w:color w:val="000000" w:themeColor="text1"/>
          <w:sz w:val="24"/>
          <w:szCs w:val="24"/>
        </w:rPr>
        <w:t>4: National University of Singapore, Singapore</w:t>
      </w:r>
    </w:p>
    <w:p w14:paraId="39FC3F5B" w14:textId="77777777" w:rsidR="009972DD" w:rsidRPr="00200CCC" w:rsidRDefault="009972DD" w:rsidP="009972DD">
      <w:pPr>
        <w:spacing w:line="240" w:lineRule="auto"/>
        <w:rPr>
          <w:rFonts w:cstheme="minorHAnsi"/>
          <w:sz w:val="24"/>
          <w:szCs w:val="24"/>
        </w:rPr>
      </w:pPr>
      <w:r w:rsidRPr="00200CCC">
        <w:rPr>
          <w:rFonts w:cstheme="minorHAnsi"/>
          <w:color w:val="000000" w:themeColor="text1"/>
          <w:sz w:val="24"/>
          <w:szCs w:val="24"/>
        </w:rPr>
        <w:t xml:space="preserve">5: </w:t>
      </w:r>
      <w:r w:rsidRPr="00200CCC">
        <w:rPr>
          <w:rFonts w:cstheme="minorHAnsi"/>
          <w:sz w:val="24"/>
          <w:szCs w:val="24"/>
        </w:rPr>
        <w:t>China Medical University Hospital, Taichung, Taiwan</w:t>
      </w:r>
    </w:p>
    <w:p w14:paraId="1D17575C" w14:textId="77777777" w:rsidR="009972DD" w:rsidRPr="00200CCC" w:rsidRDefault="009972DD" w:rsidP="009972DD">
      <w:pPr>
        <w:spacing w:line="240" w:lineRule="auto"/>
        <w:rPr>
          <w:rFonts w:cstheme="minorHAnsi"/>
          <w:sz w:val="24"/>
          <w:szCs w:val="24"/>
        </w:rPr>
      </w:pPr>
      <w:r w:rsidRPr="00200CCC">
        <w:rPr>
          <w:rFonts w:cstheme="minorHAnsi"/>
          <w:sz w:val="24"/>
          <w:szCs w:val="24"/>
        </w:rPr>
        <w:t>6: Institute of Psychiatry, Psychology, and Neuroscience, King's College London, London, UK</w:t>
      </w:r>
    </w:p>
    <w:p w14:paraId="237F1AF9" w14:textId="77777777" w:rsidR="009972DD" w:rsidRPr="00200CCC" w:rsidRDefault="009972DD" w:rsidP="009972DD">
      <w:pPr>
        <w:spacing w:line="240" w:lineRule="auto"/>
        <w:rPr>
          <w:rFonts w:cstheme="minorHAnsi"/>
          <w:color w:val="000000" w:themeColor="text1"/>
          <w:sz w:val="24"/>
          <w:szCs w:val="24"/>
        </w:rPr>
      </w:pPr>
      <w:r w:rsidRPr="00200CCC">
        <w:rPr>
          <w:rFonts w:cstheme="minorHAnsi"/>
          <w:sz w:val="24"/>
          <w:szCs w:val="24"/>
        </w:rPr>
        <w:t>7: Douglas Pharmaceuticals</w:t>
      </w:r>
      <w:r w:rsidRPr="00200CCC">
        <w:rPr>
          <w:rFonts w:cstheme="minorHAnsi"/>
          <w:color w:val="000000" w:themeColor="text1"/>
          <w:sz w:val="24"/>
          <w:szCs w:val="24"/>
        </w:rPr>
        <w:t>, Auckland, New Zealand</w:t>
      </w:r>
    </w:p>
    <w:p w14:paraId="5E3A7EEC" w14:textId="77777777" w:rsidR="00AE4A92" w:rsidRPr="00200CCC" w:rsidRDefault="00AE4A92" w:rsidP="00E849F6">
      <w:pPr>
        <w:spacing w:line="240" w:lineRule="auto"/>
        <w:jc w:val="both"/>
        <w:rPr>
          <w:rFonts w:cstheme="minorHAnsi"/>
          <w:color w:val="000000" w:themeColor="text1"/>
          <w:sz w:val="24"/>
          <w:szCs w:val="24"/>
        </w:rPr>
      </w:pPr>
    </w:p>
    <w:p w14:paraId="052413FB" w14:textId="77777777" w:rsidR="00BF2935" w:rsidRPr="00200CCC" w:rsidRDefault="00AE4A92" w:rsidP="00E849F6">
      <w:pPr>
        <w:spacing w:line="240" w:lineRule="auto"/>
        <w:rPr>
          <w:rFonts w:cstheme="minorHAnsi"/>
          <w:color w:val="000000" w:themeColor="text1"/>
          <w:sz w:val="24"/>
          <w:szCs w:val="24"/>
        </w:rPr>
      </w:pPr>
      <w:r w:rsidRPr="00200CCC">
        <w:rPr>
          <w:rFonts w:cstheme="minorHAnsi"/>
          <w:color w:val="000000" w:themeColor="text1"/>
          <w:sz w:val="24"/>
          <w:szCs w:val="24"/>
        </w:rPr>
        <w:t xml:space="preserve">Correspondence: Prof Paul Glue, </w:t>
      </w:r>
      <w:r w:rsidR="005F65F7" w:rsidRPr="00200CCC">
        <w:rPr>
          <w:rFonts w:cstheme="minorHAnsi"/>
          <w:color w:val="000000" w:themeColor="text1"/>
          <w:sz w:val="24"/>
          <w:szCs w:val="24"/>
        </w:rPr>
        <w:t>University of Otago, Dunedin New Zealand</w:t>
      </w:r>
    </w:p>
    <w:p w14:paraId="541F3B68" w14:textId="77777777" w:rsidR="005F65F7" w:rsidRPr="00200CCC" w:rsidRDefault="00087510" w:rsidP="00E849F6">
      <w:pPr>
        <w:spacing w:line="240" w:lineRule="auto"/>
        <w:rPr>
          <w:rFonts w:cstheme="minorHAnsi"/>
          <w:color w:val="000000" w:themeColor="text1"/>
          <w:sz w:val="24"/>
          <w:szCs w:val="24"/>
        </w:rPr>
      </w:pPr>
      <w:hyperlink r:id="rId11" w:history="1">
        <w:r w:rsidR="005F65F7" w:rsidRPr="00200CCC">
          <w:rPr>
            <w:rStyle w:val="Hyperlink"/>
            <w:rFonts w:cstheme="minorHAnsi"/>
            <w:color w:val="000000" w:themeColor="text1"/>
            <w:sz w:val="24"/>
            <w:szCs w:val="24"/>
          </w:rPr>
          <w:t>Paul.glue@otago.ac.nz</w:t>
        </w:r>
      </w:hyperlink>
    </w:p>
    <w:p w14:paraId="4D36D999" w14:textId="77777777" w:rsidR="005F65F7" w:rsidRPr="00200CCC" w:rsidRDefault="00C2285C" w:rsidP="00E849F6">
      <w:pPr>
        <w:spacing w:line="240" w:lineRule="auto"/>
        <w:rPr>
          <w:rFonts w:cstheme="minorHAnsi"/>
          <w:color w:val="000000" w:themeColor="text1"/>
          <w:sz w:val="24"/>
          <w:szCs w:val="24"/>
        </w:rPr>
      </w:pPr>
      <w:r w:rsidRPr="00200CCC">
        <w:rPr>
          <w:rFonts w:cstheme="minorHAnsi"/>
          <w:color w:val="000000" w:themeColor="text1"/>
          <w:sz w:val="24"/>
          <w:szCs w:val="24"/>
        </w:rPr>
        <w:t>+</w:t>
      </w:r>
      <w:r w:rsidR="005F65F7" w:rsidRPr="00200CCC">
        <w:rPr>
          <w:rFonts w:cstheme="minorHAnsi"/>
          <w:color w:val="000000" w:themeColor="text1"/>
          <w:sz w:val="24"/>
          <w:szCs w:val="24"/>
        </w:rPr>
        <w:t>64 21 243 3372</w:t>
      </w:r>
    </w:p>
    <w:p w14:paraId="4C46B419" w14:textId="0F2955BD" w:rsidR="008F5AEE" w:rsidRPr="00200CCC" w:rsidRDefault="00326CCF" w:rsidP="007E633C">
      <w:pPr>
        <w:rPr>
          <w:rFonts w:cstheme="minorHAnsi"/>
          <w:sz w:val="24"/>
          <w:szCs w:val="24"/>
        </w:rPr>
      </w:pPr>
      <w:r w:rsidRPr="00200CCC">
        <w:rPr>
          <w:rFonts w:cstheme="minorHAnsi"/>
          <w:sz w:val="24"/>
          <w:szCs w:val="24"/>
          <w:lang w:val="en-US"/>
        </w:rPr>
        <w:t xml:space="preserve">Tables: </w:t>
      </w:r>
      <w:r w:rsidR="00C36205" w:rsidRPr="00200CCC">
        <w:rPr>
          <w:rFonts w:cstheme="minorHAnsi"/>
          <w:sz w:val="24"/>
          <w:szCs w:val="24"/>
          <w:lang w:val="en-US"/>
        </w:rPr>
        <w:t>3</w:t>
      </w:r>
      <w:r w:rsidRPr="00200CCC">
        <w:rPr>
          <w:rFonts w:cstheme="minorHAnsi"/>
          <w:sz w:val="24"/>
          <w:szCs w:val="24"/>
          <w:lang w:val="en-US"/>
        </w:rPr>
        <w:t xml:space="preserve">; Figures: </w:t>
      </w:r>
      <w:r w:rsidR="00706A4D" w:rsidRPr="00200CCC">
        <w:rPr>
          <w:rFonts w:cstheme="minorHAnsi"/>
          <w:sz w:val="24"/>
          <w:szCs w:val="24"/>
          <w:lang w:val="en-US"/>
        </w:rPr>
        <w:t>3</w:t>
      </w:r>
      <w:r w:rsidRPr="00200CCC">
        <w:rPr>
          <w:rFonts w:cstheme="minorHAnsi"/>
          <w:sz w:val="24"/>
          <w:szCs w:val="24"/>
          <w:lang w:val="en-US"/>
        </w:rPr>
        <w:t>; References: 2</w:t>
      </w:r>
      <w:r w:rsidR="003763B7" w:rsidRPr="00200CCC">
        <w:rPr>
          <w:rFonts w:cstheme="minorHAnsi"/>
          <w:sz w:val="24"/>
          <w:szCs w:val="24"/>
          <w:lang w:val="en-US"/>
        </w:rPr>
        <w:t>8</w:t>
      </w:r>
      <w:r w:rsidRPr="00200CCC">
        <w:rPr>
          <w:rFonts w:cstheme="minorHAnsi"/>
          <w:sz w:val="24"/>
          <w:szCs w:val="24"/>
          <w:lang w:val="en-US"/>
        </w:rPr>
        <w:t>.</w:t>
      </w:r>
      <w:r w:rsidR="00407D91" w:rsidRPr="00200CCC">
        <w:rPr>
          <w:rFonts w:cstheme="minorHAnsi"/>
          <w:sz w:val="24"/>
          <w:szCs w:val="24"/>
          <w:lang w:val="en-US"/>
        </w:rPr>
        <w:br/>
      </w:r>
    </w:p>
    <w:p w14:paraId="4F78040A" w14:textId="77777777" w:rsidR="008F5AEE" w:rsidRPr="00200CCC" w:rsidRDefault="008F5AEE" w:rsidP="00407D91">
      <w:pPr>
        <w:rPr>
          <w:rFonts w:cstheme="minorHAnsi"/>
          <w:sz w:val="24"/>
          <w:szCs w:val="24"/>
          <w:lang w:val="en-US"/>
        </w:rPr>
      </w:pPr>
    </w:p>
    <w:p w14:paraId="4A3FCF1F" w14:textId="77777777" w:rsidR="009538A9" w:rsidRPr="00200CCC" w:rsidRDefault="009538A9">
      <w:pPr>
        <w:rPr>
          <w:rFonts w:eastAsia="Times New Roman" w:cstheme="minorHAnsi"/>
          <w:b/>
          <w:color w:val="000000" w:themeColor="text1"/>
          <w:sz w:val="24"/>
          <w:szCs w:val="24"/>
          <w:lang w:eastAsia="en-NZ"/>
        </w:rPr>
      </w:pPr>
      <w:r w:rsidRPr="00200CCC">
        <w:rPr>
          <w:rFonts w:eastAsia="Times New Roman" w:cstheme="minorHAnsi"/>
          <w:b/>
          <w:color w:val="000000" w:themeColor="text1"/>
          <w:sz w:val="24"/>
          <w:szCs w:val="24"/>
          <w:lang w:eastAsia="en-NZ"/>
        </w:rPr>
        <w:br w:type="page"/>
      </w:r>
    </w:p>
    <w:p w14:paraId="0CF9A9CA" w14:textId="77777777" w:rsidR="005F65F7" w:rsidRPr="00200CCC" w:rsidRDefault="003769FE" w:rsidP="0019676F">
      <w:pPr>
        <w:shd w:val="clear" w:color="auto" w:fill="FFFFFF"/>
        <w:spacing w:after="120" w:line="360" w:lineRule="auto"/>
        <w:outlineLvl w:val="1"/>
        <w:rPr>
          <w:rFonts w:eastAsia="Times New Roman" w:cstheme="minorHAnsi"/>
          <w:b/>
          <w:color w:val="000000" w:themeColor="text1"/>
          <w:sz w:val="24"/>
          <w:szCs w:val="24"/>
          <w:lang w:eastAsia="en-NZ"/>
        </w:rPr>
      </w:pPr>
      <w:r w:rsidRPr="00200CCC">
        <w:rPr>
          <w:rFonts w:eastAsia="Times New Roman" w:cstheme="minorHAnsi"/>
          <w:b/>
          <w:color w:val="000000" w:themeColor="text1"/>
          <w:sz w:val="24"/>
          <w:szCs w:val="24"/>
          <w:lang w:eastAsia="en-NZ"/>
        </w:rPr>
        <w:lastRenderedPageBreak/>
        <w:t>Abstract</w:t>
      </w:r>
    </w:p>
    <w:p w14:paraId="60F34F78" w14:textId="77777777" w:rsidR="003769FE" w:rsidRPr="00200CCC" w:rsidRDefault="005F65F7" w:rsidP="0019676F">
      <w:pPr>
        <w:spacing w:line="360" w:lineRule="auto"/>
        <w:rPr>
          <w:rFonts w:cstheme="minorHAnsi"/>
          <w:color w:val="000000" w:themeColor="text1"/>
          <w:sz w:val="24"/>
          <w:szCs w:val="24"/>
        </w:rPr>
      </w:pPr>
      <w:r w:rsidRPr="00200CCC">
        <w:rPr>
          <w:rFonts w:eastAsia="Times New Roman" w:cstheme="minorHAnsi"/>
          <w:color w:val="000000" w:themeColor="text1"/>
          <w:sz w:val="24"/>
          <w:szCs w:val="24"/>
          <w:lang w:eastAsia="en-NZ"/>
        </w:rPr>
        <w:t xml:space="preserve">Ketamine has rapid-onset antidepressant activity in patients with treatment-resistant </w:t>
      </w:r>
      <w:r w:rsidR="001A78BC" w:rsidRPr="00200CCC">
        <w:rPr>
          <w:rFonts w:eastAsia="Times New Roman" w:cstheme="minorHAnsi"/>
          <w:color w:val="000000" w:themeColor="text1"/>
          <w:sz w:val="24"/>
          <w:szCs w:val="24"/>
          <w:lang w:eastAsia="en-NZ"/>
        </w:rPr>
        <w:t xml:space="preserve">major </w:t>
      </w:r>
      <w:r w:rsidRPr="00200CCC">
        <w:rPr>
          <w:rFonts w:eastAsia="Times New Roman" w:cstheme="minorHAnsi"/>
          <w:color w:val="000000" w:themeColor="text1"/>
          <w:sz w:val="24"/>
          <w:szCs w:val="24"/>
          <w:lang w:eastAsia="en-NZ"/>
        </w:rPr>
        <w:t xml:space="preserve">depression (TRD). </w:t>
      </w:r>
      <w:r w:rsidRPr="00200CCC">
        <w:rPr>
          <w:rFonts w:cstheme="minorHAnsi"/>
          <w:color w:val="000000" w:themeColor="text1"/>
          <w:sz w:val="24"/>
          <w:szCs w:val="24"/>
        </w:rPr>
        <w:t>The safety and tolerability of racemic ketamine may be improved if given orally, as a</w:t>
      </w:r>
      <w:r w:rsidR="00EA449E" w:rsidRPr="00200CCC">
        <w:rPr>
          <w:rFonts w:cstheme="minorHAnsi"/>
          <w:color w:val="000000" w:themeColor="text1"/>
          <w:sz w:val="24"/>
          <w:szCs w:val="24"/>
        </w:rPr>
        <w:t xml:space="preserve">n </w:t>
      </w:r>
      <w:proofErr w:type="gramStart"/>
      <w:r w:rsidR="00EA449E" w:rsidRPr="00200CCC">
        <w:rPr>
          <w:rFonts w:cstheme="minorHAnsi"/>
          <w:color w:val="000000" w:themeColor="text1"/>
          <w:sz w:val="24"/>
          <w:szCs w:val="24"/>
        </w:rPr>
        <w:t xml:space="preserve">extended </w:t>
      </w:r>
      <w:r w:rsidRPr="00200CCC">
        <w:rPr>
          <w:rFonts w:cstheme="minorHAnsi"/>
          <w:color w:val="000000" w:themeColor="text1"/>
          <w:sz w:val="24"/>
          <w:szCs w:val="24"/>
        </w:rPr>
        <w:t>release</w:t>
      </w:r>
      <w:proofErr w:type="gramEnd"/>
      <w:r w:rsidRPr="00200CCC">
        <w:rPr>
          <w:rFonts w:cstheme="minorHAnsi"/>
          <w:color w:val="000000" w:themeColor="text1"/>
          <w:sz w:val="24"/>
          <w:szCs w:val="24"/>
        </w:rPr>
        <w:t xml:space="preserve"> table</w:t>
      </w:r>
      <w:r w:rsidR="00425EAD" w:rsidRPr="00200CCC">
        <w:rPr>
          <w:rFonts w:cstheme="minorHAnsi"/>
          <w:color w:val="000000" w:themeColor="text1"/>
          <w:sz w:val="24"/>
          <w:szCs w:val="24"/>
        </w:rPr>
        <w:t>t (</w:t>
      </w:r>
      <w:r w:rsidR="00B930A0" w:rsidRPr="00200CCC">
        <w:rPr>
          <w:rFonts w:cstheme="minorHAnsi"/>
          <w:color w:val="000000" w:themeColor="text1"/>
          <w:sz w:val="24"/>
          <w:szCs w:val="24"/>
        </w:rPr>
        <w:t>R-107)</w:t>
      </w:r>
      <w:r w:rsidRPr="00200CCC">
        <w:rPr>
          <w:rFonts w:cstheme="minorHAnsi"/>
          <w:color w:val="000000" w:themeColor="text1"/>
          <w:sz w:val="24"/>
          <w:szCs w:val="24"/>
        </w:rPr>
        <w:t>, compared with other routes of administration.</w:t>
      </w:r>
      <w:r w:rsidR="004D272D" w:rsidRPr="00200CCC">
        <w:rPr>
          <w:rFonts w:cstheme="minorHAnsi"/>
          <w:color w:val="000000" w:themeColor="text1"/>
          <w:sz w:val="24"/>
          <w:szCs w:val="24"/>
        </w:rPr>
        <w:t xml:space="preserve"> I</w:t>
      </w:r>
      <w:r w:rsidR="00D561F1" w:rsidRPr="00200CCC">
        <w:rPr>
          <w:rFonts w:eastAsiaTheme="minorEastAsia" w:cstheme="minorHAnsi"/>
          <w:color w:val="000000" w:themeColor="text1"/>
          <w:sz w:val="24"/>
          <w:szCs w:val="24"/>
        </w:rPr>
        <w:t xml:space="preserve">n this </w:t>
      </w:r>
      <w:r w:rsidRPr="00200CCC">
        <w:rPr>
          <w:rFonts w:eastAsiaTheme="minorEastAsia" w:cstheme="minorHAnsi"/>
          <w:color w:val="000000" w:themeColor="text1"/>
          <w:sz w:val="24"/>
          <w:szCs w:val="24"/>
        </w:rPr>
        <w:t xml:space="preserve">phase 2 </w:t>
      </w:r>
      <w:r w:rsidR="00686915" w:rsidRPr="00200CCC">
        <w:rPr>
          <w:rFonts w:eastAsiaTheme="minorEastAsia" w:cstheme="minorHAnsi"/>
          <w:color w:val="000000" w:themeColor="text1"/>
          <w:sz w:val="24"/>
          <w:szCs w:val="24"/>
        </w:rPr>
        <w:t>multicentre</w:t>
      </w:r>
      <w:r w:rsidRPr="00200CCC">
        <w:rPr>
          <w:rFonts w:eastAsiaTheme="minorEastAsia" w:cstheme="minorHAnsi"/>
          <w:color w:val="000000" w:themeColor="text1"/>
          <w:sz w:val="24"/>
          <w:szCs w:val="24"/>
        </w:rPr>
        <w:t xml:space="preserve"> clinical trial</w:t>
      </w:r>
      <w:r w:rsidR="00D561F1" w:rsidRPr="00200CCC">
        <w:rPr>
          <w:rFonts w:eastAsiaTheme="minorEastAsia" w:cstheme="minorHAnsi"/>
          <w:color w:val="000000" w:themeColor="text1"/>
          <w:sz w:val="24"/>
          <w:szCs w:val="24"/>
        </w:rPr>
        <w:t xml:space="preserve">, </w:t>
      </w:r>
      <w:r w:rsidR="009547F1" w:rsidRPr="00200CCC">
        <w:rPr>
          <w:rFonts w:eastAsiaTheme="minorEastAsia" w:cstheme="minorHAnsi"/>
          <w:color w:val="000000" w:themeColor="text1"/>
          <w:sz w:val="24"/>
          <w:szCs w:val="24"/>
        </w:rPr>
        <w:t xml:space="preserve">male and female </w:t>
      </w:r>
      <w:r w:rsidR="00D561F1" w:rsidRPr="00200CCC">
        <w:rPr>
          <w:rFonts w:eastAsiaTheme="minorEastAsia" w:cstheme="minorHAnsi"/>
          <w:color w:val="000000" w:themeColor="text1"/>
          <w:sz w:val="24"/>
          <w:szCs w:val="24"/>
        </w:rPr>
        <w:t>a</w:t>
      </w:r>
      <w:r w:rsidR="00686915" w:rsidRPr="00200CCC">
        <w:rPr>
          <w:rFonts w:eastAsiaTheme="minorEastAsia" w:cstheme="minorHAnsi"/>
          <w:color w:val="000000" w:themeColor="text1"/>
          <w:sz w:val="24"/>
          <w:szCs w:val="24"/>
        </w:rPr>
        <w:t xml:space="preserve">dult patients </w:t>
      </w:r>
      <w:r w:rsidRPr="00200CCC">
        <w:rPr>
          <w:rFonts w:eastAsiaTheme="minorEastAsia" w:cstheme="minorHAnsi"/>
          <w:color w:val="000000" w:themeColor="text1"/>
          <w:sz w:val="24"/>
          <w:szCs w:val="24"/>
        </w:rPr>
        <w:t xml:space="preserve">with TRD and </w:t>
      </w:r>
      <w:r w:rsidR="00743A49" w:rsidRPr="00200CCC">
        <w:rPr>
          <w:rFonts w:eastAsiaTheme="minorEastAsia" w:cstheme="minorHAnsi"/>
          <w:color w:val="000000" w:themeColor="text1"/>
          <w:sz w:val="24"/>
          <w:szCs w:val="24"/>
        </w:rPr>
        <w:t>Montgomery-Asberg Depression Rating Scale (</w:t>
      </w:r>
      <w:r w:rsidRPr="00200CCC">
        <w:rPr>
          <w:rFonts w:eastAsiaTheme="minorEastAsia" w:cstheme="minorHAnsi"/>
          <w:color w:val="000000" w:themeColor="text1"/>
          <w:sz w:val="24"/>
          <w:szCs w:val="24"/>
        </w:rPr>
        <w:t>MADRS</w:t>
      </w:r>
      <w:r w:rsidR="00743A49" w:rsidRPr="00200CCC">
        <w:rPr>
          <w:rFonts w:eastAsiaTheme="minorEastAsia" w:cstheme="minorHAnsi"/>
          <w:color w:val="000000" w:themeColor="text1"/>
          <w:sz w:val="24"/>
          <w:szCs w:val="24"/>
        </w:rPr>
        <w:t>)</w:t>
      </w:r>
      <w:r w:rsidRPr="00200CCC">
        <w:rPr>
          <w:rFonts w:eastAsiaTheme="minorEastAsia" w:cstheme="minorHAnsi"/>
          <w:color w:val="000000" w:themeColor="text1"/>
          <w:sz w:val="24"/>
          <w:szCs w:val="24"/>
        </w:rPr>
        <w:t xml:space="preserve"> scores </w:t>
      </w:r>
      <w:r w:rsidRPr="00200CCC">
        <w:rPr>
          <w:rFonts w:eastAsiaTheme="minorEastAsia" w:cstheme="minorHAnsi"/>
          <w:color w:val="000000" w:themeColor="text1"/>
          <w:sz w:val="24"/>
          <w:szCs w:val="24"/>
          <w:u w:val="single"/>
        </w:rPr>
        <w:t>&gt;</w:t>
      </w:r>
      <w:r w:rsidRPr="00200CCC">
        <w:rPr>
          <w:rFonts w:eastAsiaTheme="minorEastAsia" w:cstheme="minorHAnsi"/>
          <w:color w:val="000000" w:themeColor="text1"/>
          <w:sz w:val="24"/>
          <w:szCs w:val="24"/>
        </w:rPr>
        <w:t xml:space="preserve">20 received open label </w:t>
      </w:r>
      <w:r w:rsidR="00425EAD" w:rsidRPr="00200CCC">
        <w:rPr>
          <w:rFonts w:eastAsiaTheme="minorEastAsia" w:cstheme="minorHAnsi"/>
          <w:color w:val="000000" w:themeColor="text1"/>
          <w:sz w:val="24"/>
          <w:szCs w:val="24"/>
        </w:rPr>
        <w:t>R-107</w:t>
      </w:r>
      <w:r w:rsidR="00686915" w:rsidRPr="00200CCC">
        <w:rPr>
          <w:rFonts w:eastAsiaTheme="minorEastAsia" w:cstheme="minorHAnsi"/>
          <w:color w:val="000000" w:themeColor="text1"/>
          <w:sz w:val="24"/>
          <w:szCs w:val="24"/>
        </w:rPr>
        <w:t xml:space="preserve"> </w:t>
      </w:r>
      <w:r w:rsidRPr="00200CCC">
        <w:rPr>
          <w:rFonts w:eastAsiaTheme="minorEastAsia" w:cstheme="minorHAnsi"/>
          <w:color w:val="000000" w:themeColor="text1"/>
          <w:sz w:val="24"/>
          <w:szCs w:val="24"/>
        </w:rPr>
        <w:t>tablets 120mg/day for 5 days</w:t>
      </w:r>
      <w:r w:rsidR="00E215E9" w:rsidRPr="00200CCC">
        <w:rPr>
          <w:rFonts w:eastAsiaTheme="minorEastAsia" w:cstheme="minorHAnsi"/>
          <w:color w:val="000000" w:themeColor="text1"/>
          <w:sz w:val="24"/>
          <w:szCs w:val="24"/>
        </w:rPr>
        <w:t xml:space="preserve"> and </w:t>
      </w:r>
      <w:r w:rsidR="00335C66" w:rsidRPr="00200CCC">
        <w:rPr>
          <w:rFonts w:eastAsiaTheme="minorEastAsia" w:cstheme="minorHAnsi"/>
          <w:color w:val="000000" w:themeColor="text1"/>
          <w:sz w:val="24"/>
          <w:szCs w:val="24"/>
        </w:rPr>
        <w:t>were assessed on Day 8</w:t>
      </w:r>
      <w:r w:rsidR="00F830EB" w:rsidRPr="00200CCC">
        <w:rPr>
          <w:rFonts w:eastAsiaTheme="minorEastAsia" w:cstheme="minorHAnsi"/>
          <w:color w:val="000000" w:themeColor="text1"/>
          <w:sz w:val="24"/>
          <w:szCs w:val="24"/>
        </w:rPr>
        <w:t xml:space="preserve"> (enrichment phase)</w:t>
      </w:r>
      <w:r w:rsidRPr="00200CCC">
        <w:rPr>
          <w:rFonts w:eastAsiaTheme="minorEastAsia" w:cstheme="minorHAnsi"/>
          <w:color w:val="000000" w:themeColor="text1"/>
          <w:sz w:val="24"/>
          <w:szCs w:val="24"/>
        </w:rPr>
        <w:t xml:space="preserve">. On </w:t>
      </w:r>
      <w:r w:rsidR="00E849F6" w:rsidRPr="00200CCC">
        <w:rPr>
          <w:rFonts w:eastAsiaTheme="minorEastAsia" w:cstheme="minorHAnsi"/>
          <w:color w:val="000000" w:themeColor="text1"/>
          <w:sz w:val="24"/>
          <w:szCs w:val="24"/>
        </w:rPr>
        <w:t>D</w:t>
      </w:r>
      <w:r w:rsidRPr="00200CCC">
        <w:rPr>
          <w:rFonts w:eastAsiaTheme="minorEastAsia" w:cstheme="minorHAnsi"/>
          <w:color w:val="000000" w:themeColor="text1"/>
          <w:sz w:val="24"/>
          <w:szCs w:val="24"/>
        </w:rPr>
        <w:t>ay 8, responders (MADRS</w:t>
      </w:r>
      <w:r w:rsidR="00686915" w:rsidRPr="00200CCC">
        <w:rPr>
          <w:rFonts w:eastAsiaTheme="minorEastAsia" w:cstheme="minorHAnsi"/>
          <w:color w:val="000000" w:themeColor="text1"/>
          <w:sz w:val="24"/>
          <w:szCs w:val="24"/>
        </w:rPr>
        <w:t xml:space="preserve"> scores</w:t>
      </w:r>
      <w:r w:rsidRPr="00200CCC">
        <w:rPr>
          <w:rFonts w:eastAsiaTheme="minorEastAsia" w:cstheme="minorHAnsi"/>
          <w:color w:val="000000" w:themeColor="text1"/>
          <w:sz w:val="24"/>
          <w:szCs w:val="24"/>
        </w:rPr>
        <w:t xml:space="preserve"> </w:t>
      </w:r>
      <w:r w:rsidRPr="00200CCC">
        <w:rPr>
          <w:rFonts w:eastAsiaTheme="minorEastAsia" w:cstheme="minorHAnsi"/>
          <w:color w:val="000000" w:themeColor="text1"/>
          <w:sz w:val="24"/>
          <w:szCs w:val="24"/>
          <w:u w:val="single"/>
        </w:rPr>
        <w:t>&lt;</w:t>
      </w:r>
      <w:r w:rsidRPr="00200CCC">
        <w:rPr>
          <w:rFonts w:eastAsiaTheme="minorEastAsia" w:cstheme="minorHAnsi"/>
          <w:color w:val="000000" w:themeColor="text1"/>
          <w:sz w:val="24"/>
          <w:szCs w:val="24"/>
        </w:rPr>
        <w:t xml:space="preserve">12 and reduction </w:t>
      </w:r>
      <w:r w:rsidRPr="00200CCC">
        <w:rPr>
          <w:rFonts w:eastAsiaTheme="minorEastAsia" w:cstheme="minorHAnsi"/>
          <w:color w:val="000000" w:themeColor="text1"/>
          <w:sz w:val="24"/>
          <w:szCs w:val="24"/>
          <w:u w:val="single"/>
        </w:rPr>
        <w:t>&gt;</w:t>
      </w:r>
      <w:r w:rsidRPr="00200CCC">
        <w:rPr>
          <w:rFonts w:eastAsiaTheme="minorEastAsia" w:cstheme="minorHAnsi"/>
          <w:color w:val="000000" w:themeColor="text1"/>
          <w:sz w:val="24"/>
          <w:szCs w:val="24"/>
        </w:rPr>
        <w:t xml:space="preserve">50%) were randomized </w:t>
      </w:r>
      <w:r w:rsidR="00686915" w:rsidRPr="00200CCC">
        <w:rPr>
          <w:rFonts w:eastAsiaTheme="minorEastAsia" w:cstheme="minorHAnsi"/>
          <w:color w:val="000000" w:themeColor="text1"/>
          <w:sz w:val="24"/>
          <w:szCs w:val="24"/>
        </w:rPr>
        <w:t xml:space="preserve">on a 1:1:1:1:1 basis </w:t>
      </w:r>
      <w:r w:rsidRPr="00200CCC">
        <w:rPr>
          <w:rFonts w:eastAsiaTheme="minorEastAsia" w:cstheme="minorHAnsi"/>
          <w:color w:val="000000" w:themeColor="text1"/>
          <w:sz w:val="24"/>
          <w:szCs w:val="24"/>
        </w:rPr>
        <w:t xml:space="preserve">to receive </w:t>
      </w:r>
      <w:bookmarkStart w:id="0" w:name="_Hlk93925855"/>
      <w:r w:rsidRPr="00200CCC">
        <w:rPr>
          <w:rFonts w:cstheme="minorHAnsi"/>
          <w:color w:val="000000" w:themeColor="text1"/>
          <w:sz w:val="24"/>
          <w:szCs w:val="24"/>
        </w:rPr>
        <w:t xml:space="preserve">double-blind </w:t>
      </w:r>
      <w:r w:rsidR="00F851A7" w:rsidRPr="00200CCC">
        <w:rPr>
          <w:rFonts w:cstheme="minorHAnsi"/>
          <w:color w:val="000000" w:themeColor="text1"/>
          <w:sz w:val="24"/>
          <w:szCs w:val="24"/>
        </w:rPr>
        <w:t>R-107</w:t>
      </w:r>
      <w:r w:rsidRPr="00200CCC">
        <w:rPr>
          <w:rFonts w:cstheme="minorHAnsi"/>
          <w:color w:val="000000" w:themeColor="text1"/>
          <w:sz w:val="24"/>
          <w:szCs w:val="24"/>
        </w:rPr>
        <w:t xml:space="preserve"> doses of 30, 60, 120, or 180mg</w:t>
      </w:r>
      <w:r w:rsidR="00686915" w:rsidRPr="00200CCC">
        <w:rPr>
          <w:rFonts w:cstheme="minorHAnsi"/>
          <w:color w:val="000000" w:themeColor="text1"/>
          <w:sz w:val="24"/>
          <w:szCs w:val="24"/>
        </w:rPr>
        <w:t>,</w:t>
      </w:r>
      <w:r w:rsidRPr="00200CCC">
        <w:rPr>
          <w:rFonts w:cstheme="minorHAnsi"/>
          <w:color w:val="000000" w:themeColor="text1"/>
          <w:sz w:val="24"/>
          <w:szCs w:val="24"/>
        </w:rPr>
        <w:t xml:space="preserve"> or placebo</w:t>
      </w:r>
      <w:r w:rsidR="00FD4029" w:rsidRPr="00200CCC">
        <w:rPr>
          <w:rFonts w:cstheme="minorHAnsi"/>
          <w:color w:val="000000" w:themeColor="text1"/>
          <w:sz w:val="24"/>
          <w:szCs w:val="24"/>
        </w:rPr>
        <w:t>,</w:t>
      </w:r>
      <w:r w:rsidRPr="00200CCC">
        <w:rPr>
          <w:rFonts w:cstheme="minorHAnsi"/>
          <w:color w:val="000000" w:themeColor="text1"/>
          <w:sz w:val="24"/>
          <w:szCs w:val="24"/>
        </w:rPr>
        <w:t xml:space="preserve"> twice weekly for </w:t>
      </w:r>
      <w:r w:rsidR="00D32803" w:rsidRPr="00200CCC">
        <w:rPr>
          <w:rFonts w:cstheme="minorHAnsi"/>
          <w:color w:val="000000" w:themeColor="text1"/>
          <w:sz w:val="24"/>
          <w:szCs w:val="24"/>
        </w:rPr>
        <w:t xml:space="preserve">a further </w:t>
      </w:r>
      <w:r w:rsidR="00A6764B" w:rsidRPr="00200CCC">
        <w:rPr>
          <w:rFonts w:cstheme="minorHAnsi"/>
          <w:color w:val="000000" w:themeColor="text1"/>
          <w:sz w:val="24"/>
          <w:szCs w:val="24"/>
        </w:rPr>
        <w:t xml:space="preserve">12 </w:t>
      </w:r>
      <w:r w:rsidR="00C21684" w:rsidRPr="00200CCC">
        <w:rPr>
          <w:rFonts w:cstheme="minorHAnsi"/>
          <w:color w:val="000000" w:themeColor="text1"/>
          <w:sz w:val="24"/>
          <w:szCs w:val="24"/>
        </w:rPr>
        <w:t>weeks</w:t>
      </w:r>
      <w:bookmarkEnd w:id="0"/>
      <w:r w:rsidR="00686915" w:rsidRPr="00200CCC">
        <w:rPr>
          <w:rFonts w:cstheme="minorHAnsi"/>
          <w:color w:val="000000" w:themeColor="text1"/>
          <w:sz w:val="24"/>
          <w:szCs w:val="24"/>
        </w:rPr>
        <w:t>. N</w:t>
      </w:r>
      <w:r w:rsidRPr="00200CCC">
        <w:rPr>
          <w:rFonts w:cstheme="minorHAnsi"/>
          <w:color w:val="000000" w:themeColor="text1"/>
          <w:sz w:val="24"/>
          <w:szCs w:val="24"/>
        </w:rPr>
        <w:t xml:space="preserve">on-responders </w:t>
      </w:r>
      <w:r w:rsidR="00686915" w:rsidRPr="00200CCC">
        <w:rPr>
          <w:rFonts w:cstheme="minorHAnsi"/>
          <w:color w:val="000000" w:themeColor="text1"/>
          <w:sz w:val="24"/>
          <w:szCs w:val="24"/>
        </w:rPr>
        <w:t xml:space="preserve">on Day 8 </w:t>
      </w:r>
      <w:r w:rsidRPr="00200CCC">
        <w:rPr>
          <w:rFonts w:cstheme="minorHAnsi"/>
          <w:color w:val="000000" w:themeColor="text1"/>
          <w:sz w:val="24"/>
          <w:szCs w:val="24"/>
        </w:rPr>
        <w:t>exited the study</w:t>
      </w:r>
      <w:r w:rsidR="006C6B36" w:rsidRPr="00200CCC">
        <w:rPr>
          <w:rFonts w:cstheme="minorHAnsi"/>
          <w:sz w:val="24"/>
          <w:szCs w:val="24"/>
        </w:rPr>
        <w:t xml:space="preserve">. </w:t>
      </w:r>
      <w:r w:rsidR="00686915" w:rsidRPr="00200CCC">
        <w:rPr>
          <w:rFonts w:eastAsia="Times New Roman" w:cstheme="minorHAnsi"/>
          <w:color w:val="000000" w:themeColor="text1"/>
          <w:sz w:val="24"/>
          <w:szCs w:val="24"/>
          <w:lang w:eastAsia="en-NZ"/>
        </w:rPr>
        <w:t xml:space="preserve">The primary endpoint was </w:t>
      </w:r>
      <w:r w:rsidR="00743A49" w:rsidRPr="00200CCC">
        <w:rPr>
          <w:rFonts w:eastAsia="Times New Roman" w:cstheme="minorHAnsi"/>
          <w:color w:val="000000" w:themeColor="text1"/>
          <w:sz w:val="24"/>
          <w:szCs w:val="24"/>
          <w:lang w:eastAsia="en-NZ"/>
        </w:rPr>
        <w:t xml:space="preserve">least square mean </w:t>
      </w:r>
      <w:r w:rsidR="00BF507B" w:rsidRPr="00200CCC">
        <w:rPr>
          <w:rFonts w:eastAsia="Times New Roman" w:cstheme="minorHAnsi"/>
          <w:color w:val="000000" w:themeColor="text1"/>
          <w:sz w:val="24"/>
          <w:szCs w:val="24"/>
          <w:lang w:eastAsia="en-NZ"/>
        </w:rPr>
        <w:t xml:space="preserve">change </w:t>
      </w:r>
      <w:r w:rsidR="00686915" w:rsidRPr="00200CCC">
        <w:rPr>
          <w:rFonts w:eastAsia="Times New Roman" w:cstheme="minorHAnsi"/>
          <w:color w:val="000000" w:themeColor="text1"/>
          <w:sz w:val="24"/>
          <w:szCs w:val="24"/>
          <w:lang w:eastAsia="en-NZ"/>
        </w:rPr>
        <w:t xml:space="preserve">in MADRS </w:t>
      </w:r>
      <w:r w:rsidR="00743A49" w:rsidRPr="00200CCC">
        <w:rPr>
          <w:rFonts w:eastAsia="Times New Roman" w:cstheme="minorHAnsi"/>
          <w:color w:val="000000" w:themeColor="text1"/>
          <w:sz w:val="24"/>
          <w:szCs w:val="24"/>
          <w:lang w:eastAsia="en-NZ"/>
        </w:rPr>
        <w:t xml:space="preserve">for each active treatment compared with placebo </w:t>
      </w:r>
      <w:r w:rsidR="00BF507B" w:rsidRPr="00200CCC">
        <w:rPr>
          <w:rFonts w:eastAsia="Times New Roman" w:cstheme="minorHAnsi"/>
          <w:color w:val="000000" w:themeColor="text1"/>
          <w:sz w:val="24"/>
          <w:szCs w:val="24"/>
          <w:lang w:eastAsia="en-NZ"/>
        </w:rPr>
        <w:t>at 13 weeks</w:t>
      </w:r>
      <w:r w:rsidR="00743A49" w:rsidRPr="00200CCC">
        <w:rPr>
          <w:rFonts w:eastAsia="Times New Roman" w:cstheme="minorHAnsi"/>
          <w:color w:val="000000" w:themeColor="text1"/>
          <w:sz w:val="24"/>
          <w:szCs w:val="24"/>
          <w:lang w:eastAsia="en-NZ"/>
        </w:rPr>
        <w:t xml:space="preserve">, starting with the 180mg dose, using a </w:t>
      </w:r>
      <w:r w:rsidR="00743A49" w:rsidRPr="00200CCC">
        <w:rPr>
          <w:rFonts w:cstheme="minorHAnsi"/>
          <w:color w:val="000000" w:themeColor="text1"/>
          <w:sz w:val="24"/>
          <w:szCs w:val="24"/>
        </w:rPr>
        <w:t>fixed sequence step-down closed test procedure</w:t>
      </w:r>
      <w:r w:rsidR="00EA449E" w:rsidRPr="00200CCC">
        <w:rPr>
          <w:rFonts w:cstheme="minorHAnsi"/>
          <w:color w:val="000000" w:themeColor="text1"/>
          <w:sz w:val="24"/>
          <w:szCs w:val="24"/>
        </w:rPr>
        <w:t>.</w:t>
      </w:r>
      <w:r w:rsidR="00686915" w:rsidRPr="00200CCC">
        <w:rPr>
          <w:rFonts w:eastAsia="Times New Roman" w:cstheme="minorHAnsi"/>
          <w:color w:val="000000" w:themeColor="text1"/>
          <w:sz w:val="24"/>
          <w:szCs w:val="24"/>
          <w:lang w:eastAsia="en-NZ"/>
        </w:rPr>
        <w:t xml:space="preserve"> </w:t>
      </w:r>
      <w:r w:rsidRPr="00200CCC">
        <w:rPr>
          <w:rFonts w:eastAsia="Times New Roman" w:cstheme="minorHAnsi"/>
          <w:color w:val="000000" w:themeColor="text1"/>
          <w:sz w:val="24"/>
          <w:szCs w:val="24"/>
          <w:lang w:eastAsia="en-NZ"/>
        </w:rPr>
        <w:t>Between</w:t>
      </w:r>
      <w:r w:rsidR="00F830EB" w:rsidRPr="00200CCC">
        <w:rPr>
          <w:rFonts w:eastAsia="Times New Roman" w:cstheme="minorHAnsi"/>
          <w:color w:val="000000" w:themeColor="text1"/>
          <w:sz w:val="24"/>
          <w:szCs w:val="24"/>
          <w:lang w:eastAsia="en-NZ"/>
        </w:rPr>
        <w:t xml:space="preserve"> </w:t>
      </w:r>
      <w:r w:rsidR="009547F1" w:rsidRPr="00200CCC">
        <w:rPr>
          <w:rFonts w:eastAsia="Times New Roman" w:cstheme="minorHAnsi"/>
          <w:color w:val="000000" w:themeColor="text1"/>
          <w:sz w:val="24"/>
          <w:szCs w:val="24"/>
          <w:lang w:eastAsia="en-NZ"/>
        </w:rPr>
        <w:t>May 2019</w:t>
      </w:r>
      <w:r w:rsidRPr="00200CCC">
        <w:rPr>
          <w:rFonts w:eastAsia="Times New Roman" w:cstheme="minorHAnsi"/>
          <w:color w:val="000000" w:themeColor="text1"/>
          <w:sz w:val="24"/>
          <w:szCs w:val="24"/>
          <w:lang w:eastAsia="en-NZ"/>
        </w:rPr>
        <w:t xml:space="preserve"> and </w:t>
      </w:r>
      <w:r w:rsidR="009547F1" w:rsidRPr="00200CCC">
        <w:rPr>
          <w:rFonts w:eastAsia="Times New Roman" w:cstheme="minorHAnsi"/>
          <w:color w:val="000000" w:themeColor="text1"/>
          <w:sz w:val="24"/>
          <w:szCs w:val="24"/>
          <w:lang w:eastAsia="en-NZ"/>
        </w:rPr>
        <w:t xml:space="preserve">August </w:t>
      </w:r>
      <w:r w:rsidR="00312827" w:rsidRPr="00200CCC">
        <w:rPr>
          <w:rFonts w:eastAsia="Times New Roman" w:cstheme="minorHAnsi"/>
          <w:color w:val="000000" w:themeColor="text1"/>
          <w:sz w:val="24"/>
          <w:szCs w:val="24"/>
          <w:lang w:eastAsia="en-NZ"/>
        </w:rPr>
        <w:t>202</w:t>
      </w:r>
      <w:r w:rsidR="009547F1" w:rsidRPr="00200CCC">
        <w:rPr>
          <w:rFonts w:eastAsia="Times New Roman" w:cstheme="minorHAnsi"/>
          <w:color w:val="000000" w:themeColor="text1"/>
          <w:sz w:val="24"/>
          <w:szCs w:val="24"/>
          <w:lang w:eastAsia="en-NZ"/>
        </w:rPr>
        <w:t>1</w:t>
      </w:r>
      <w:r w:rsidRPr="00200CCC">
        <w:rPr>
          <w:rFonts w:eastAsia="Times New Roman" w:cstheme="minorHAnsi"/>
          <w:color w:val="000000" w:themeColor="text1"/>
          <w:sz w:val="24"/>
          <w:szCs w:val="24"/>
          <w:lang w:eastAsia="en-NZ"/>
        </w:rPr>
        <w:t xml:space="preserve">, </w:t>
      </w:r>
      <w:r w:rsidR="00F830EB" w:rsidRPr="00200CCC">
        <w:rPr>
          <w:rFonts w:eastAsia="Times New Roman" w:cstheme="minorHAnsi"/>
          <w:color w:val="000000" w:themeColor="text1"/>
          <w:sz w:val="24"/>
          <w:szCs w:val="24"/>
          <w:lang w:eastAsia="en-NZ"/>
        </w:rPr>
        <w:t>329</w:t>
      </w:r>
      <w:r w:rsidRPr="00200CCC">
        <w:rPr>
          <w:rFonts w:eastAsia="Times New Roman" w:cstheme="minorHAnsi"/>
          <w:color w:val="000000" w:themeColor="text1"/>
          <w:sz w:val="24"/>
          <w:szCs w:val="24"/>
          <w:lang w:eastAsia="en-NZ"/>
        </w:rPr>
        <w:t xml:space="preserve"> individuals were </w:t>
      </w:r>
      <w:r w:rsidR="00F830EB" w:rsidRPr="00200CCC">
        <w:rPr>
          <w:rFonts w:eastAsia="Times New Roman" w:cstheme="minorHAnsi"/>
          <w:color w:val="000000" w:themeColor="text1"/>
          <w:sz w:val="24"/>
          <w:szCs w:val="24"/>
          <w:lang w:eastAsia="en-NZ"/>
        </w:rPr>
        <w:t>screened</w:t>
      </w:r>
      <w:r w:rsidRPr="00200CCC">
        <w:rPr>
          <w:rFonts w:eastAsia="Times New Roman" w:cstheme="minorHAnsi"/>
          <w:color w:val="000000" w:themeColor="text1"/>
          <w:sz w:val="24"/>
          <w:szCs w:val="24"/>
          <w:lang w:eastAsia="en-NZ"/>
        </w:rPr>
        <w:t xml:space="preserve"> for eligibility</w:t>
      </w:r>
      <w:r w:rsidR="00F830EB" w:rsidRPr="00200CCC">
        <w:rPr>
          <w:rFonts w:eastAsia="Times New Roman" w:cstheme="minorHAnsi"/>
          <w:color w:val="000000" w:themeColor="text1"/>
          <w:sz w:val="24"/>
          <w:szCs w:val="24"/>
          <w:lang w:eastAsia="en-NZ"/>
        </w:rPr>
        <w:t>,</w:t>
      </w:r>
      <w:r w:rsidRPr="00200CCC">
        <w:rPr>
          <w:rFonts w:eastAsia="Times New Roman" w:cstheme="minorHAnsi"/>
          <w:color w:val="000000" w:themeColor="text1"/>
          <w:sz w:val="24"/>
          <w:szCs w:val="24"/>
          <w:lang w:eastAsia="en-NZ"/>
        </w:rPr>
        <w:t xml:space="preserve"> </w:t>
      </w:r>
      <w:r w:rsidR="00F830EB" w:rsidRPr="00200CCC">
        <w:rPr>
          <w:rFonts w:eastAsia="Times New Roman" w:cstheme="minorHAnsi"/>
          <w:color w:val="000000" w:themeColor="text1"/>
          <w:sz w:val="24"/>
          <w:szCs w:val="24"/>
          <w:lang w:eastAsia="en-NZ"/>
        </w:rPr>
        <w:t xml:space="preserve">231 entered the </w:t>
      </w:r>
      <w:r w:rsidR="00D32803" w:rsidRPr="00200CCC">
        <w:rPr>
          <w:rFonts w:eastAsia="Times New Roman" w:cstheme="minorHAnsi"/>
          <w:color w:val="000000" w:themeColor="text1"/>
          <w:sz w:val="24"/>
          <w:szCs w:val="24"/>
          <w:lang w:eastAsia="en-NZ"/>
        </w:rPr>
        <w:t xml:space="preserve">open label </w:t>
      </w:r>
      <w:r w:rsidR="00F830EB" w:rsidRPr="00200CCC">
        <w:rPr>
          <w:rFonts w:eastAsia="Times New Roman" w:cstheme="minorHAnsi"/>
          <w:color w:val="000000" w:themeColor="text1"/>
          <w:sz w:val="24"/>
          <w:szCs w:val="24"/>
          <w:lang w:eastAsia="en-NZ"/>
        </w:rPr>
        <w:t>enrichment phase (Days 1-</w:t>
      </w:r>
      <w:r w:rsidR="00373C00" w:rsidRPr="00200CCC">
        <w:rPr>
          <w:rFonts w:eastAsia="Times New Roman" w:cstheme="minorHAnsi"/>
          <w:color w:val="000000" w:themeColor="text1"/>
          <w:sz w:val="24"/>
          <w:szCs w:val="24"/>
          <w:lang w:eastAsia="en-NZ"/>
        </w:rPr>
        <w:t>8</w:t>
      </w:r>
      <w:r w:rsidR="00F830EB" w:rsidRPr="00200CCC">
        <w:rPr>
          <w:rFonts w:eastAsia="Times New Roman" w:cstheme="minorHAnsi"/>
          <w:color w:val="000000" w:themeColor="text1"/>
          <w:sz w:val="24"/>
          <w:szCs w:val="24"/>
          <w:lang w:eastAsia="en-NZ"/>
        </w:rPr>
        <w:t xml:space="preserve">), and 168 responders were randomized to double-blind treatment. </w:t>
      </w:r>
      <w:r w:rsidRPr="00200CCC">
        <w:rPr>
          <w:rFonts w:eastAsia="Times New Roman" w:cstheme="minorHAnsi"/>
          <w:color w:val="000000" w:themeColor="text1"/>
          <w:sz w:val="24"/>
          <w:szCs w:val="24"/>
          <w:lang w:eastAsia="en-NZ"/>
        </w:rPr>
        <w:t xml:space="preserve">The primary objective was met; </w:t>
      </w:r>
      <w:r w:rsidR="00F830EB" w:rsidRPr="00200CCC">
        <w:rPr>
          <w:rFonts w:eastAsia="Times New Roman" w:cstheme="minorHAnsi"/>
          <w:color w:val="000000" w:themeColor="text1"/>
          <w:sz w:val="24"/>
          <w:szCs w:val="24"/>
          <w:lang w:eastAsia="en-NZ"/>
        </w:rPr>
        <w:t xml:space="preserve">the least square mean difference of MADRS score for the 180mg tablet group and placebo was -6.1 </w:t>
      </w:r>
      <w:r w:rsidRPr="00200CCC">
        <w:rPr>
          <w:rFonts w:eastAsia="Times New Roman" w:cstheme="minorHAnsi"/>
          <w:color w:val="000000" w:themeColor="text1"/>
          <w:sz w:val="24"/>
          <w:szCs w:val="24"/>
          <w:lang w:eastAsia="en-NZ"/>
        </w:rPr>
        <w:t xml:space="preserve">(95% CI </w:t>
      </w:r>
      <w:r w:rsidR="00EA449E" w:rsidRPr="00200CCC">
        <w:rPr>
          <w:rFonts w:eastAsia="Times New Roman" w:cstheme="minorHAnsi"/>
          <w:color w:val="000000" w:themeColor="text1"/>
          <w:sz w:val="24"/>
          <w:szCs w:val="24"/>
          <w:lang w:eastAsia="en-NZ"/>
        </w:rPr>
        <w:t xml:space="preserve">1.0-11.16, </w:t>
      </w:r>
      <w:r w:rsidRPr="00200CCC">
        <w:rPr>
          <w:rFonts w:eastAsia="Times New Roman" w:cstheme="minorHAnsi"/>
          <w:color w:val="000000" w:themeColor="text1"/>
          <w:sz w:val="24"/>
          <w:szCs w:val="24"/>
          <w:lang w:eastAsia="en-NZ"/>
        </w:rPr>
        <w:t>p=0·0</w:t>
      </w:r>
      <w:r w:rsidR="00F830EB" w:rsidRPr="00200CCC">
        <w:rPr>
          <w:rFonts w:eastAsia="Times New Roman" w:cstheme="minorHAnsi"/>
          <w:color w:val="000000" w:themeColor="text1"/>
          <w:sz w:val="24"/>
          <w:szCs w:val="24"/>
          <w:lang w:eastAsia="en-NZ"/>
        </w:rPr>
        <w:t>19</w:t>
      </w:r>
      <w:r w:rsidRPr="00200CCC">
        <w:rPr>
          <w:rFonts w:eastAsia="Times New Roman" w:cstheme="minorHAnsi"/>
          <w:color w:val="000000" w:themeColor="text1"/>
          <w:sz w:val="24"/>
          <w:szCs w:val="24"/>
          <w:lang w:eastAsia="en-NZ"/>
        </w:rPr>
        <w:t xml:space="preserve">) at </w:t>
      </w:r>
      <w:r w:rsidR="00C21684" w:rsidRPr="00200CCC">
        <w:rPr>
          <w:rFonts w:eastAsia="Times New Roman" w:cstheme="minorHAnsi"/>
          <w:color w:val="000000" w:themeColor="text1"/>
          <w:sz w:val="24"/>
          <w:szCs w:val="24"/>
          <w:lang w:eastAsia="en-NZ"/>
        </w:rPr>
        <w:t>1</w:t>
      </w:r>
      <w:r w:rsidR="007E1BDE" w:rsidRPr="00200CCC">
        <w:rPr>
          <w:rFonts w:eastAsia="Times New Roman" w:cstheme="minorHAnsi"/>
          <w:color w:val="000000" w:themeColor="text1"/>
          <w:sz w:val="24"/>
          <w:szCs w:val="24"/>
          <w:lang w:eastAsia="en-NZ"/>
        </w:rPr>
        <w:t>3</w:t>
      </w:r>
      <w:r w:rsidR="00C21684" w:rsidRPr="00200CCC">
        <w:rPr>
          <w:rFonts w:eastAsia="Times New Roman" w:cstheme="minorHAnsi"/>
          <w:color w:val="000000" w:themeColor="text1"/>
          <w:sz w:val="24"/>
          <w:szCs w:val="24"/>
          <w:lang w:eastAsia="en-NZ"/>
        </w:rPr>
        <w:t xml:space="preserve"> weeks</w:t>
      </w:r>
      <w:r w:rsidR="00F830EB" w:rsidRPr="00200CCC">
        <w:rPr>
          <w:rFonts w:eastAsia="Times New Roman" w:cstheme="minorHAnsi"/>
          <w:color w:val="000000" w:themeColor="text1"/>
          <w:sz w:val="24"/>
          <w:szCs w:val="24"/>
          <w:lang w:eastAsia="en-NZ"/>
        </w:rPr>
        <w:t xml:space="preserve">. </w:t>
      </w:r>
      <w:r w:rsidR="00F830EB" w:rsidRPr="00200CCC">
        <w:rPr>
          <w:rFonts w:cstheme="minorHAnsi"/>
          <w:color w:val="000000" w:themeColor="text1"/>
          <w:sz w:val="24"/>
          <w:szCs w:val="24"/>
        </w:rPr>
        <w:t>Relapse rates during double-blind treatment showed a dose-response, from 70.</w:t>
      </w:r>
      <w:r w:rsidR="00BF507B" w:rsidRPr="00200CCC">
        <w:rPr>
          <w:rFonts w:cstheme="minorHAnsi"/>
          <w:color w:val="000000" w:themeColor="text1"/>
          <w:sz w:val="24"/>
          <w:szCs w:val="24"/>
        </w:rPr>
        <w:t>6</w:t>
      </w:r>
      <w:r w:rsidR="00F830EB" w:rsidRPr="00200CCC">
        <w:rPr>
          <w:rFonts w:cstheme="minorHAnsi"/>
          <w:color w:val="000000" w:themeColor="text1"/>
          <w:sz w:val="24"/>
          <w:szCs w:val="24"/>
        </w:rPr>
        <w:t xml:space="preserve">% for placebo, to </w:t>
      </w:r>
      <w:r w:rsidR="00BF507B" w:rsidRPr="00200CCC">
        <w:rPr>
          <w:rFonts w:cstheme="minorHAnsi"/>
          <w:color w:val="000000" w:themeColor="text1"/>
          <w:sz w:val="24"/>
          <w:szCs w:val="24"/>
        </w:rPr>
        <w:t>42.9</w:t>
      </w:r>
      <w:r w:rsidR="00F830EB" w:rsidRPr="00200CCC">
        <w:rPr>
          <w:rFonts w:cstheme="minorHAnsi"/>
          <w:color w:val="000000" w:themeColor="text1"/>
          <w:sz w:val="24"/>
          <w:szCs w:val="24"/>
        </w:rPr>
        <w:t xml:space="preserve">% for 180mg.  </w:t>
      </w:r>
      <w:r w:rsidR="00D561F1" w:rsidRPr="00200CCC">
        <w:rPr>
          <w:rFonts w:cstheme="minorHAnsi"/>
          <w:color w:val="000000" w:themeColor="text1"/>
          <w:sz w:val="24"/>
          <w:szCs w:val="24"/>
        </w:rPr>
        <w:t>T</w:t>
      </w:r>
      <w:r w:rsidR="000A241A" w:rsidRPr="00200CCC">
        <w:rPr>
          <w:rFonts w:cstheme="minorHAnsi"/>
          <w:color w:val="000000" w:themeColor="text1"/>
          <w:sz w:val="24"/>
          <w:szCs w:val="24"/>
        </w:rPr>
        <w:t xml:space="preserve">olerability </w:t>
      </w:r>
      <w:r w:rsidR="00D561F1" w:rsidRPr="00200CCC">
        <w:rPr>
          <w:rFonts w:cstheme="minorHAnsi"/>
          <w:color w:val="000000" w:themeColor="text1"/>
          <w:sz w:val="24"/>
          <w:szCs w:val="24"/>
        </w:rPr>
        <w:t>was excellent, with</w:t>
      </w:r>
      <w:r w:rsidR="000A241A" w:rsidRPr="00200CCC">
        <w:rPr>
          <w:rFonts w:cstheme="minorHAnsi"/>
          <w:color w:val="000000" w:themeColor="text1"/>
          <w:sz w:val="24"/>
          <w:szCs w:val="24"/>
        </w:rPr>
        <w:t xml:space="preserve"> no changes in blood pressure, minimal reports of sedation, and minimal d</w:t>
      </w:r>
      <w:r w:rsidR="00F830EB" w:rsidRPr="00200CCC">
        <w:rPr>
          <w:rFonts w:cstheme="minorHAnsi"/>
          <w:color w:val="000000" w:themeColor="text1"/>
          <w:sz w:val="24"/>
          <w:szCs w:val="24"/>
        </w:rPr>
        <w:t>issociation</w:t>
      </w:r>
      <w:r w:rsidR="00D561F1" w:rsidRPr="00200CCC">
        <w:rPr>
          <w:rFonts w:cstheme="minorHAnsi"/>
          <w:color w:val="000000" w:themeColor="text1"/>
          <w:sz w:val="24"/>
          <w:szCs w:val="24"/>
        </w:rPr>
        <w:t>.</w:t>
      </w:r>
      <w:r w:rsidR="00F830EB" w:rsidRPr="00200CCC">
        <w:rPr>
          <w:rFonts w:cstheme="minorHAnsi"/>
          <w:color w:val="000000" w:themeColor="text1"/>
          <w:sz w:val="24"/>
          <w:szCs w:val="24"/>
        </w:rPr>
        <w:t xml:space="preserve"> </w:t>
      </w:r>
      <w:r w:rsidR="00A171B6" w:rsidRPr="00200CCC">
        <w:rPr>
          <w:rFonts w:cstheme="minorHAnsi"/>
          <w:color w:val="000000" w:themeColor="text1"/>
          <w:sz w:val="24"/>
          <w:szCs w:val="24"/>
        </w:rPr>
        <w:t>The m</w:t>
      </w:r>
      <w:r w:rsidR="00F830EB" w:rsidRPr="00200CCC">
        <w:rPr>
          <w:rFonts w:cstheme="minorHAnsi"/>
          <w:color w:val="000000" w:themeColor="text1"/>
          <w:sz w:val="24"/>
          <w:szCs w:val="24"/>
        </w:rPr>
        <w:t xml:space="preserve">ost common </w:t>
      </w:r>
      <w:r w:rsidR="00D53F88" w:rsidRPr="00200CCC">
        <w:rPr>
          <w:rFonts w:cstheme="minorHAnsi"/>
          <w:color w:val="000000" w:themeColor="text1"/>
          <w:sz w:val="24"/>
          <w:szCs w:val="24"/>
        </w:rPr>
        <w:t>adverse events</w:t>
      </w:r>
      <w:r w:rsidR="00F830EB" w:rsidRPr="00200CCC">
        <w:rPr>
          <w:rFonts w:cstheme="minorHAnsi"/>
          <w:color w:val="000000" w:themeColor="text1"/>
          <w:sz w:val="24"/>
          <w:szCs w:val="24"/>
        </w:rPr>
        <w:t xml:space="preserve"> were headache, dizziness and anxiety. </w:t>
      </w:r>
      <w:r w:rsidR="00D561F1" w:rsidRPr="00200CCC">
        <w:rPr>
          <w:rFonts w:cstheme="minorHAnsi"/>
          <w:color w:val="000000" w:themeColor="text1"/>
          <w:sz w:val="24"/>
          <w:szCs w:val="24"/>
        </w:rPr>
        <w:t>D</w:t>
      </w:r>
      <w:r w:rsidR="005A27A2" w:rsidRPr="00200CCC">
        <w:rPr>
          <w:rFonts w:cstheme="minorHAnsi"/>
          <w:color w:val="000000" w:themeColor="text1"/>
          <w:sz w:val="24"/>
          <w:szCs w:val="24"/>
        </w:rPr>
        <w:t xml:space="preserve">uring the randomised phase of the study </w:t>
      </w:r>
      <w:r w:rsidR="00B83329" w:rsidRPr="00200CCC">
        <w:rPr>
          <w:rFonts w:cstheme="minorHAnsi"/>
          <w:color w:val="000000" w:themeColor="text1"/>
          <w:sz w:val="24"/>
          <w:szCs w:val="24"/>
        </w:rPr>
        <w:t>m</w:t>
      </w:r>
      <w:r w:rsidR="00F830EB" w:rsidRPr="00200CCC">
        <w:rPr>
          <w:rFonts w:cstheme="minorHAnsi"/>
          <w:color w:val="000000" w:themeColor="text1"/>
          <w:sz w:val="24"/>
          <w:szCs w:val="24"/>
        </w:rPr>
        <w:t>ost patient dosing occurred at home.</w:t>
      </w:r>
      <w:r w:rsidR="00FC14D2" w:rsidRPr="00200CCC">
        <w:rPr>
          <w:rFonts w:cstheme="minorHAnsi"/>
          <w:color w:val="000000" w:themeColor="text1"/>
          <w:sz w:val="24"/>
          <w:szCs w:val="24"/>
        </w:rPr>
        <w:t xml:space="preserve"> </w:t>
      </w:r>
      <w:r w:rsidR="00822F13" w:rsidRPr="00200CCC">
        <w:rPr>
          <w:rFonts w:cstheme="minorHAnsi"/>
          <w:color w:val="000000" w:themeColor="text1"/>
          <w:sz w:val="24"/>
          <w:szCs w:val="24"/>
        </w:rPr>
        <w:t xml:space="preserve">R-107 </w:t>
      </w:r>
      <w:r w:rsidR="00425EAD" w:rsidRPr="00200CCC">
        <w:rPr>
          <w:rFonts w:cstheme="minorHAnsi"/>
          <w:color w:val="000000" w:themeColor="text1"/>
          <w:sz w:val="24"/>
          <w:szCs w:val="24"/>
        </w:rPr>
        <w:t xml:space="preserve">tablets </w:t>
      </w:r>
      <w:r w:rsidR="00F830EB" w:rsidRPr="00200CCC">
        <w:rPr>
          <w:rFonts w:cstheme="minorHAnsi"/>
          <w:color w:val="000000" w:themeColor="text1"/>
          <w:sz w:val="24"/>
          <w:szCs w:val="24"/>
        </w:rPr>
        <w:t xml:space="preserve">were effective, safe and well-tolerated in </w:t>
      </w:r>
      <w:r w:rsidR="00EA449E" w:rsidRPr="00200CCC">
        <w:rPr>
          <w:rFonts w:cstheme="minorHAnsi"/>
          <w:color w:val="000000" w:themeColor="text1"/>
          <w:sz w:val="24"/>
          <w:szCs w:val="24"/>
        </w:rPr>
        <w:t xml:space="preserve">a </w:t>
      </w:r>
      <w:r w:rsidR="00F830EB" w:rsidRPr="00200CCC">
        <w:rPr>
          <w:rFonts w:cstheme="minorHAnsi"/>
          <w:color w:val="000000" w:themeColor="text1"/>
          <w:sz w:val="24"/>
          <w:szCs w:val="24"/>
        </w:rPr>
        <w:t>patient</w:t>
      </w:r>
      <w:r w:rsidR="00EA449E" w:rsidRPr="00200CCC">
        <w:rPr>
          <w:rFonts w:cstheme="minorHAnsi"/>
          <w:color w:val="000000" w:themeColor="text1"/>
          <w:sz w:val="24"/>
          <w:szCs w:val="24"/>
        </w:rPr>
        <w:t xml:space="preserve"> population </w:t>
      </w:r>
      <w:r w:rsidR="00F830EB" w:rsidRPr="00200CCC">
        <w:rPr>
          <w:rFonts w:cstheme="minorHAnsi"/>
          <w:color w:val="000000" w:themeColor="text1"/>
          <w:sz w:val="24"/>
          <w:szCs w:val="24"/>
        </w:rPr>
        <w:t>with TRD</w:t>
      </w:r>
      <w:r w:rsidR="007140B8" w:rsidRPr="00200CCC">
        <w:rPr>
          <w:rFonts w:cstheme="minorHAnsi"/>
          <w:color w:val="000000" w:themeColor="text1"/>
          <w:sz w:val="24"/>
          <w:szCs w:val="24"/>
        </w:rPr>
        <w:t>, enriched for initial response to R-107 tablets</w:t>
      </w:r>
      <w:r w:rsidR="00F830EB" w:rsidRPr="00200CCC">
        <w:rPr>
          <w:rFonts w:cstheme="minorHAnsi"/>
          <w:color w:val="000000" w:themeColor="text1"/>
          <w:sz w:val="24"/>
          <w:szCs w:val="24"/>
        </w:rPr>
        <w:t>.</w:t>
      </w:r>
      <w:r w:rsidR="005A78CE" w:rsidRPr="00200CCC">
        <w:rPr>
          <w:rFonts w:eastAsia="Times New Roman" w:cstheme="minorHAnsi"/>
          <w:color w:val="000000" w:themeColor="text1"/>
          <w:sz w:val="24"/>
          <w:szCs w:val="24"/>
          <w:lang w:eastAsia="en-NZ"/>
        </w:rPr>
        <w:t xml:space="preserve">  </w:t>
      </w:r>
      <w:r w:rsidR="00AD6F36" w:rsidRPr="00200CCC">
        <w:rPr>
          <w:rFonts w:eastAsia="Times New Roman" w:cstheme="minorHAnsi"/>
          <w:color w:val="000000" w:themeColor="text1"/>
          <w:sz w:val="24"/>
          <w:szCs w:val="24"/>
          <w:lang w:eastAsia="en-NZ"/>
        </w:rPr>
        <w:t>C</w:t>
      </w:r>
      <w:r w:rsidR="003769FE" w:rsidRPr="00200CCC">
        <w:rPr>
          <w:rFonts w:eastAsia="Times New Roman" w:cstheme="minorHAnsi"/>
          <w:color w:val="000000" w:themeColor="text1"/>
          <w:sz w:val="24"/>
          <w:szCs w:val="24"/>
          <w:lang w:eastAsia="en-NZ"/>
        </w:rPr>
        <w:t>linical Tr</w:t>
      </w:r>
      <w:r w:rsidR="00D70060" w:rsidRPr="00200CCC">
        <w:rPr>
          <w:rFonts w:eastAsia="Times New Roman" w:cstheme="minorHAnsi"/>
          <w:color w:val="000000" w:themeColor="text1"/>
          <w:sz w:val="24"/>
          <w:szCs w:val="24"/>
          <w:lang w:eastAsia="en-NZ"/>
        </w:rPr>
        <w:t>ial Registration</w:t>
      </w:r>
      <w:r w:rsidR="005A78CE" w:rsidRPr="00200CCC">
        <w:rPr>
          <w:rFonts w:eastAsia="Times New Roman" w:cstheme="minorHAnsi"/>
          <w:color w:val="000000" w:themeColor="text1"/>
          <w:sz w:val="24"/>
          <w:szCs w:val="24"/>
          <w:lang w:eastAsia="en-NZ"/>
        </w:rPr>
        <w:t xml:space="preserve"> </w:t>
      </w:r>
      <w:r w:rsidR="003769FE" w:rsidRPr="00200CCC">
        <w:rPr>
          <w:rFonts w:eastAsia="Times New Roman" w:cstheme="minorHAnsi"/>
          <w:color w:val="000000" w:themeColor="text1"/>
          <w:sz w:val="24"/>
          <w:szCs w:val="24"/>
          <w:lang w:eastAsia="en-NZ"/>
        </w:rPr>
        <w:t>A</w:t>
      </w:r>
      <w:r w:rsidR="003769FE" w:rsidRPr="00200CCC">
        <w:rPr>
          <w:rFonts w:cstheme="minorHAnsi"/>
          <w:color w:val="000000" w:themeColor="text1"/>
          <w:sz w:val="24"/>
          <w:szCs w:val="24"/>
        </w:rPr>
        <w:t>CTRN12618001042235.</w:t>
      </w:r>
    </w:p>
    <w:p w14:paraId="713CAB6C" w14:textId="77777777" w:rsidR="00B031DF" w:rsidRPr="00200CCC" w:rsidRDefault="00B031DF" w:rsidP="00E849F6">
      <w:pPr>
        <w:shd w:val="clear" w:color="auto" w:fill="FFFFFF"/>
        <w:spacing w:after="120" w:line="240" w:lineRule="auto"/>
        <w:outlineLvl w:val="1"/>
        <w:rPr>
          <w:rFonts w:eastAsia="Times New Roman" w:cstheme="minorHAnsi"/>
          <w:color w:val="000000" w:themeColor="text1"/>
          <w:sz w:val="24"/>
          <w:szCs w:val="24"/>
          <w:lang w:eastAsia="en-NZ"/>
        </w:rPr>
      </w:pPr>
    </w:p>
    <w:p w14:paraId="3F893F9A" w14:textId="77777777" w:rsidR="009B5B9B" w:rsidRPr="00200CCC" w:rsidRDefault="009B5B9B" w:rsidP="00D70060">
      <w:pPr>
        <w:shd w:val="clear" w:color="auto" w:fill="FFFFFF"/>
        <w:spacing w:after="120" w:line="240" w:lineRule="auto"/>
        <w:outlineLvl w:val="1"/>
        <w:rPr>
          <w:rFonts w:eastAsia="Times New Roman" w:cstheme="minorHAnsi"/>
          <w:b/>
          <w:color w:val="000000" w:themeColor="text1"/>
          <w:sz w:val="24"/>
          <w:szCs w:val="24"/>
          <w:lang w:eastAsia="en-NZ"/>
        </w:rPr>
      </w:pPr>
      <w:r w:rsidRPr="00200CCC">
        <w:rPr>
          <w:rFonts w:eastAsia="Times New Roman" w:cstheme="minorHAnsi"/>
          <w:color w:val="000000" w:themeColor="text1"/>
          <w:sz w:val="24"/>
          <w:szCs w:val="24"/>
          <w:lang w:eastAsia="en-NZ"/>
        </w:rPr>
        <w:br w:type="page"/>
      </w:r>
    </w:p>
    <w:p w14:paraId="0F59CA0B" w14:textId="77777777" w:rsidR="00070B98" w:rsidRPr="00200CCC" w:rsidRDefault="000329AC"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lastRenderedPageBreak/>
        <w:t>Over the past 2 decades, there ha</w:t>
      </w:r>
      <w:r w:rsidR="007A3916" w:rsidRPr="00200CCC">
        <w:rPr>
          <w:rFonts w:eastAsia="Times New Roman" w:cstheme="minorHAnsi"/>
          <w:color w:val="000000" w:themeColor="text1"/>
          <w:sz w:val="24"/>
          <w:szCs w:val="24"/>
          <w:lang w:eastAsia="en-NZ"/>
        </w:rPr>
        <w:t>s</w:t>
      </w:r>
      <w:r w:rsidRPr="00200CCC">
        <w:rPr>
          <w:rFonts w:eastAsia="Times New Roman" w:cstheme="minorHAnsi"/>
          <w:color w:val="000000" w:themeColor="text1"/>
          <w:sz w:val="24"/>
          <w:szCs w:val="24"/>
          <w:lang w:eastAsia="en-NZ"/>
        </w:rPr>
        <w:t xml:space="preserve"> been a growing evidence base demonstrating the rapid-onset</w:t>
      </w:r>
      <w:r w:rsidR="00070B98" w:rsidRPr="00200CCC">
        <w:rPr>
          <w:rFonts w:eastAsia="Times New Roman" w:cstheme="minorHAnsi"/>
          <w:color w:val="000000" w:themeColor="text1"/>
          <w:sz w:val="24"/>
          <w:szCs w:val="24"/>
          <w:lang w:eastAsia="en-NZ"/>
        </w:rPr>
        <w:t xml:space="preserve"> antidepressant </w:t>
      </w:r>
      <w:r w:rsidRPr="00200CCC">
        <w:rPr>
          <w:rFonts w:eastAsia="Times New Roman" w:cstheme="minorHAnsi"/>
          <w:color w:val="000000" w:themeColor="text1"/>
          <w:sz w:val="24"/>
          <w:szCs w:val="24"/>
          <w:lang w:eastAsia="en-NZ"/>
        </w:rPr>
        <w:t>properties of ketamine in patients with treatment resistant depression (TRD)</w:t>
      </w:r>
      <w:r w:rsidR="00344451" w:rsidRPr="00200CCC">
        <w:rPr>
          <w:rFonts w:eastAsia="Times New Roman" w:cstheme="minorHAnsi"/>
          <w:color w:val="000000" w:themeColor="text1"/>
          <w:sz w:val="24"/>
          <w:szCs w:val="24"/>
          <w:lang w:eastAsia="en-NZ"/>
        </w:rPr>
        <w:t>. The majority of published research has been with off-label use of racemic ketamine,</w:t>
      </w:r>
      <w:r w:rsidR="009538A9" w:rsidRPr="00200CCC">
        <w:rPr>
          <w:rFonts w:eastAsia="Times New Roman" w:cstheme="minorHAnsi"/>
          <w:color w:val="000000" w:themeColor="text1"/>
          <w:sz w:val="24"/>
          <w:szCs w:val="24"/>
          <w:vertAlign w:val="superscript"/>
          <w:lang w:eastAsia="en-NZ"/>
        </w:rPr>
        <w:t>1</w:t>
      </w:r>
      <w:r w:rsidR="00344451" w:rsidRPr="00200CCC">
        <w:rPr>
          <w:rFonts w:eastAsia="Times New Roman" w:cstheme="minorHAnsi"/>
          <w:color w:val="000000" w:themeColor="text1"/>
          <w:sz w:val="24"/>
          <w:szCs w:val="24"/>
          <w:lang w:eastAsia="en-NZ"/>
        </w:rPr>
        <w:t xml:space="preserve"> </w:t>
      </w:r>
      <w:r w:rsidR="00582446" w:rsidRPr="00200CCC">
        <w:rPr>
          <w:rFonts w:eastAsia="Times New Roman" w:cstheme="minorHAnsi"/>
          <w:color w:val="000000" w:themeColor="text1"/>
          <w:sz w:val="24"/>
          <w:szCs w:val="24"/>
          <w:lang w:eastAsia="en-NZ"/>
        </w:rPr>
        <w:t xml:space="preserve">most commonly administered intravenously, </w:t>
      </w:r>
      <w:r w:rsidR="000A241A" w:rsidRPr="00200CCC">
        <w:rPr>
          <w:rFonts w:eastAsia="Times New Roman" w:cstheme="minorHAnsi"/>
          <w:color w:val="000000" w:themeColor="text1"/>
          <w:sz w:val="24"/>
          <w:szCs w:val="24"/>
          <w:lang w:eastAsia="en-NZ"/>
        </w:rPr>
        <w:t>with</w:t>
      </w:r>
      <w:r w:rsidR="00344451" w:rsidRPr="00200CCC">
        <w:rPr>
          <w:rFonts w:eastAsia="Times New Roman" w:cstheme="minorHAnsi"/>
          <w:color w:val="000000" w:themeColor="text1"/>
          <w:sz w:val="24"/>
          <w:szCs w:val="24"/>
          <w:lang w:eastAsia="en-NZ"/>
        </w:rPr>
        <w:t xml:space="preserve"> a more recent regulatory approval of </w:t>
      </w:r>
      <w:r w:rsidR="00582446" w:rsidRPr="00200CCC">
        <w:rPr>
          <w:rFonts w:eastAsia="Times New Roman" w:cstheme="minorHAnsi"/>
          <w:color w:val="000000" w:themeColor="text1"/>
          <w:sz w:val="24"/>
          <w:szCs w:val="24"/>
          <w:lang w:eastAsia="en-NZ"/>
        </w:rPr>
        <w:t xml:space="preserve">intranasal </w:t>
      </w:r>
      <w:proofErr w:type="spellStart"/>
      <w:r w:rsidR="00344451" w:rsidRPr="00200CCC">
        <w:rPr>
          <w:rFonts w:eastAsia="Times New Roman" w:cstheme="minorHAnsi"/>
          <w:color w:val="000000" w:themeColor="text1"/>
          <w:sz w:val="24"/>
          <w:szCs w:val="24"/>
          <w:lang w:eastAsia="en-NZ"/>
        </w:rPr>
        <w:t>esketamine</w:t>
      </w:r>
      <w:proofErr w:type="spellEnd"/>
      <w:r w:rsidR="000A241A" w:rsidRPr="00200CCC">
        <w:rPr>
          <w:rFonts w:eastAsia="Times New Roman" w:cstheme="minorHAnsi"/>
          <w:color w:val="000000" w:themeColor="text1"/>
          <w:sz w:val="24"/>
          <w:szCs w:val="24"/>
          <w:lang w:eastAsia="en-NZ"/>
        </w:rPr>
        <w:t xml:space="preserve"> for TRD</w:t>
      </w:r>
      <w:r w:rsidR="00BE45AA" w:rsidRPr="00200CCC">
        <w:rPr>
          <w:rFonts w:eastAsia="Times New Roman" w:cstheme="minorHAnsi"/>
          <w:color w:val="000000" w:themeColor="text1"/>
          <w:sz w:val="24"/>
          <w:szCs w:val="24"/>
          <w:lang w:eastAsia="en-NZ"/>
        </w:rPr>
        <w:t>.</w:t>
      </w:r>
      <w:r w:rsidR="009538A9" w:rsidRPr="00200CCC">
        <w:rPr>
          <w:rFonts w:eastAsia="Times New Roman" w:cstheme="minorHAnsi"/>
          <w:color w:val="000000" w:themeColor="text1"/>
          <w:sz w:val="24"/>
          <w:szCs w:val="24"/>
          <w:vertAlign w:val="superscript"/>
          <w:lang w:eastAsia="en-NZ"/>
        </w:rPr>
        <w:t>2</w:t>
      </w:r>
      <w:r w:rsidR="009538A9" w:rsidRPr="00200CCC">
        <w:rPr>
          <w:rFonts w:eastAsia="Times New Roman" w:cstheme="minorHAnsi"/>
          <w:color w:val="000000" w:themeColor="text1"/>
          <w:sz w:val="24"/>
          <w:szCs w:val="24"/>
          <w:lang w:eastAsia="en-NZ"/>
        </w:rPr>
        <w:t xml:space="preserve"> </w:t>
      </w:r>
      <w:bookmarkStart w:id="1" w:name="_Hlk153292996"/>
      <w:r w:rsidR="00833448" w:rsidRPr="00200CCC">
        <w:rPr>
          <w:rFonts w:eastAsia="Times New Roman" w:cstheme="minorHAnsi"/>
          <w:color w:val="000000" w:themeColor="text1"/>
          <w:sz w:val="24"/>
          <w:szCs w:val="24"/>
          <w:lang w:eastAsia="en-NZ"/>
        </w:rPr>
        <w:t xml:space="preserve">Only 2/72 treatment arms in published randomized controlled trials </w:t>
      </w:r>
      <w:r w:rsidR="009547F1" w:rsidRPr="00200CCC">
        <w:rPr>
          <w:rFonts w:eastAsia="Times New Roman" w:cstheme="minorHAnsi"/>
          <w:color w:val="000000" w:themeColor="text1"/>
          <w:sz w:val="24"/>
          <w:szCs w:val="24"/>
          <w:lang w:eastAsia="en-NZ"/>
        </w:rPr>
        <w:t>for TRD</w:t>
      </w:r>
      <w:r w:rsidR="003B73EF" w:rsidRPr="00200CCC">
        <w:rPr>
          <w:rFonts w:eastAsia="Times New Roman" w:cstheme="minorHAnsi"/>
          <w:color w:val="000000" w:themeColor="text1"/>
          <w:sz w:val="24"/>
          <w:szCs w:val="24"/>
          <w:lang w:eastAsia="en-NZ"/>
        </w:rPr>
        <w:t xml:space="preserve"> </w:t>
      </w:r>
      <w:r w:rsidR="00833448" w:rsidRPr="00200CCC">
        <w:rPr>
          <w:rFonts w:eastAsia="Times New Roman" w:cstheme="minorHAnsi"/>
          <w:color w:val="000000" w:themeColor="text1"/>
          <w:sz w:val="24"/>
          <w:szCs w:val="24"/>
          <w:lang w:eastAsia="en-NZ"/>
        </w:rPr>
        <w:t>involved oral dosing.</w:t>
      </w:r>
      <w:r w:rsidR="00833448" w:rsidRPr="00200CCC">
        <w:rPr>
          <w:rFonts w:eastAsia="Times New Roman" w:cstheme="minorHAnsi"/>
          <w:color w:val="000000" w:themeColor="text1"/>
          <w:sz w:val="24"/>
          <w:szCs w:val="24"/>
          <w:vertAlign w:val="superscript"/>
          <w:lang w:eastAsia="en-NZ"/>
        </w:rPr>
        <w:t xml:space="preserve">1 </w:t>
      </w:r>
      <w:bookmarkEnd w:id="1"/>
      <w:r w:rsidR="00070B98" w:rsidRPr="00200CCC">
        <w:rPr>
          <w:rFonts w:eastAsia="Times New Roman" w:cstheme="minorHAnsi"/>
          <w:color w:val="000000" w:themeColor="text1"/>
          <w:sz w:val="24"/>
          <w:szCs w:val="24"/>
          <w:lang w:eastAsia="en-NZ"/>
        </w:rPr>
        <w:t xml:space="preserve">Ketamine and </w:t>
      </w:r>
      <w:proofErr w:type="spellStart"/>
      <w:r w:rsidR="00070B98" w:rsidRPr="00200CCC">
        <w:rPr>
          <w:rFonts w:eastAsia="Times New Roman" w:cstheme="minorHAnsi"/>
          <w:color w:val="000000" w:themeColor="text1"/>
          <w:sz w:val="24"/>
          <w:szCs w:val="24"/>
          <w:lang w:eastAsia="en-NZ"/>
        </w:rPr>
        <w:t>esketamine</w:t>
      </w:r>
      <w:proofErr w:type="spellEnd"/>
      <w:r w:rsidR="00070B98" w:rsidRPr="00200CCC">
        <w:rPr>
          <w:rFonts w:eastAsia="Times New Roman" w:cstheme="minorHAnsi"/>
          <w:color w:val="000000" w:themeColor="text1"/>
          <w:sz w:val="24"/>
          <w:szCs w:val="24"/>
          <w:lang w:eastAsia="en-NZ"/>
        </w:rPr>
        <w:t xml:space="preserve"> can be effectively administered via multiple routes, </w:t>
      </w:r>
      <w:r w:rsidR="00207011" w:rsidRPr="00200CCC">
        <w:rPr>
          <w:rFonts w:eastAsia="Times New Roman" w:cstheme="minorHAnsi"/>
          <w:color w:val="000000" w:themeColor="text1"/>
          <w:sz w:val="24"/>
          <w:szCs w:val="24"/>
          <w:lang w:eastAsia="en-NZ"/>
        </w:rPr>
        <w:t>with higher doses associated with greater improvement in depression</w:t>
      </w:r>
      <w:r w:rsidR="00833448" w:rsidRPr="00200CCC">
        <w:rPr>
          <w:rFonts w:eastAsia="Times New Roman" w:cstheme="minorHAnsi"/>
          <w:color w:val="000000" w:themeColor="text1"/>
          <w:sz w:val="24"/>
          <w:szCs w:val="24"/>
          <w:lang w:eastAsia="en-NZ"/>
        </w:rPr>
        <w:t xml:space="preserve"> compared with lower doses</w:t>
      </w:r>
      <w:r w:rsidR="00207011" w:rsidRPr="00200CCC">
        <w:rPr>
          <w:rFonts w:eastAsia="Times New Roman" w:cstheme="minorHAnsi"/>
          <w:color w:val="000000" w:themeColor="text1"/>
          <w:sz w:val="24"/>
          <w:szCs w:val="24"/>
          <w:lang w:eastAsia="en-NZ"/>
        </w:rPr>
        <w:t>.</w:t>
      </w:r>
      <w:r w:rsidR="00207011" w:rsidRPr="00200CCC">
        <w:rPr>
          <w:rFonts w:eastAsia="Times New Roman" w:cstheme="minorHAnsi"/>
          <w:color w:val="000000" w:themeColor="text1"/>
          <w:sz w:val="24"/>
          <w:szCs w:val="24"/>
          <w:vertAlign w:val="superscript"/>
          <w:lang w:eastAsia="en-NZ"/>
        </w:rPr>
        <w:t>1</w:t>
      </w:r>
      <w:r w:rsidR="00207011" w:rsidRPr="00200CCC">
        <w:rPr>
          <w:rFonts w:eastAsia="Times New Roman" w:cstheme="minorHAnsi"/>
          <w:color w:val="000000" w:themeColor="text1"/>
          <w:sz w:val="24"/>
          <w:szCs w:val="24"/>
          <w:lang w:eastAsia="en-NZ"/>
        </w:rPr>
        <w:t xml:space="preserve"> Published </w:t>
      </w:r>
      <w:r w:rsidR="00070B98" w:rsidRPr="00200CCC">
        <w:rPr>
          <w:rFonts w:eastAsia="Times New Roman" w:cstheme="minorHAnsi"/>
          <w:color w:val="000000" w:themeColor="text1"/>
          <w:sz w:val="24"/>
          <w:szCs w:val="24"/>
          <w:lang w:eastAsia="en-NZ"/>
        </w:rPr>
        <w:t>dose ranges and bioavailability vary by</w:t>
      </w:r>
      <w:r w:rsidR="00207011" w:rsidRPr="00200CCC">
        <w:rPr>
          <w:rFonts w:eastAsia="Times New Roman" w:cstheme="minorHAnsi"/>
          <w:color w:val="000000" w:themeColor="text1"/>
          <w:sz w:val="24"/>
          <w:szCs w:val="24"/>
          <w:lang w:eastAsia="en-NZ"/>
        </w:rPr>
        <w:t xml:space="preserve"> formulation and </w:t>
      </w:r>
      <w:r w:rsidR="00070B98" w:rsidRPr="00200CCC">
        <w:rPr>
          <w:rFonts w:eastAsia="Times New Roman" w:cstheme="minorHAnsi"/>
          <w:color w:val="000000" w:themeColor="text1"/>
          <w:sz w:val="24"/>
          <w:szCs w:val="24"/>
          <w:lang w:eastAsia="en-NZ"/>
        </w:rPr>
        <w:t>route of administration</w:t>
      </w:r>
      <w:r w:rsidR="00BE45AA" w:rsidRPr="00200CCC">
        <w:rPr>
          <w:rFonts w:eastAsia="Times New Roman" w:cstheme="minorHAnsi"/>
          <w:color w:val="000000" w:themeColor="text1"/>
          <w:sz w:val="24"/>
          <w:szCs w:val="24"/>
          <w:lang w:eastAsia="en-NZ"/>
        </w:rPr>
        <w:t>.</w:t>
      </w:r>
      <w:r w:rsidR="009538A9" w:rsidRPr="00200CCC">
        <w:rPr>
          <w:rFonts w:eastAsia="Times New Roman" w:cstheme="minorHAnsi"/>
          <w:color w:val="000000" w:themeColor="text1"/>
          <w:sz w:val="24"/>
          <w:szCs w:val="24"/>
          <w:vertAlign w:val="superscript"/>
          <w:lang w:eastAsia="en-NZ"/>
        </w:rPr>
        <w:t>3</w:t>
      </w:r>
      <w:r w:rsidR="009538A9" w:rsidRPr="00200CCC">
        <w:rPr>
          <w:rFonts w:eastAsia="Times New Roman" w:cstheme="minorHAnsi"/>
          <w:color w:val="000000" w:themeColor="text1"/>
          <w:sz w:val="24"/>
          <w:szCs w:val="24"/>
          <w:lang w:eastAsia="en-NZ"/>
        </w:rPr>
        <w:t xml:space="preserve"> </w:t>
      </w:r>
    </w:p>
    <w:p w14:paraId="02A8CC56" w14:textId="77777777" w:rsidR="009B5B9B" w:rsidRPr="00200CCC" w:rsidRDefault="00344451" w:rsidP="0019676F">
      <w:pPr>
        <w:shd w:val="clear" w:color="auto" w:fill="FFFFFF"/>
        <w:spacing w:after="240" w:line="360" w:lineRule="auto"/>
        <w:rPr>
          <w:rFonts w:eastAsia="Times New Roman" w:cstheme="minorHAnsi"/>
          <w:color w:val="000000" w:themeColor="text1"/>
          <w:sz w:val="24"/>
          <w:szCs w:val="24"/>
        </w:rPr>
      </w:pPr>
      <w:r w:rsidRPr="00200CCC">
        <w:rPr>
          <w:rFonts w:eastAsia="Times New Roman" w:cstheme="minorHAnsi"/>
          <w:color w:val="000000" w:themeColor="text1"/>
          <w:sz w:val="24"/>
          <w:szCs w:val="24"/>
          <w:lang w:eastAsia="en-NZ"/>
        </w:rPr>
        <w:t xml:space="preserve">The pharmacology of ketamine </w:t>
      </w:r>
      <w:r w:rsidR="00070B98" w:rsidRPr="00200CCC">
        <w:rPr>
          <w:rFonts w:eastAsia="Times New Roman" w:cstheme="minorHAnsi"/>
          <w:color w:val="000000" w:themeColor="text1"/>
          <w:sz w:val="24"/>
          <w:szCs w:val="24"/>
          <w:lang w:eastAsia="en-NZ"/>
        </w:rPr>
        <w:t xml:space="preserve">relating to its antidepressant activity has been linked to several of </w:t>
      </w:r>
      <w:r w:rsidR="004B5279" w:rsidRPr="00200CCC">
        <w:rPr>
          <w:rFonts w:eastAsia="Times New Roman" w:cstheme="minorHAnsi"/>
          <w:color w:val="000000" w:themeColor="text1"/>
          <w:sz w:val="24"/>
          <w:szCs w:val="24"/>
          <w:lang w:eastAsia="en-NZ"/>
        </w:rPr>
        <w:t>its</w:t>
      </w:r>
      <w:r w:rsidR="00070B98" w:rsidRPr="00200CCC">
        <w:rPr>
          <w:rFonts w:eastAsia="Times New Roman" w:cstheme="minorHAnsi"/>
          <w:color w:val="000000" w:themeColor="text1"/>
          <w:sz w:val="24"/>
          <w:szCs w:val="24"/>
          <w:lang w:eastAsia="en-NZ"/>
        </w:rPr>
        <w:t xml:space="preserve"> metabolites, including norketamine and the hydronorketamines</w:t>
      </w:r>
      <w:r w:rsidR="00BE45AA" w:rsidRPr="00200CCC">
        <w:rPr>
          <w:rFonts w:eastAsia="Times New Roman" w:cstheme="minorHAnsi"/>
          <w:color w:val="000000" w:themeColor="text1"/>
          <w:sz w:val="24"/>
          <w:szCs w:val="24"/>
          <w:lang w:eastAsia="en-NZ"/>
        </w:rPr>
        <w:t>.</w:t>
      </w:r>
      <w:r w:rsidR="009538A9" w:rsidRPr="00200CCC">
        <w:rPr>
          <w:rFonts w:eastAsia="Times New Roman" w:cstheme="minorHAnsi"/>
          <w:color w:val="000000" w:themeColor="text1"/>
          <w:sz w:val="24"/>
          <w:szCs w:val="24"/>
          <w:vertAlign w:val="superscript"/>
          <w:lang w:eastAsia="en-NZ"/>
        </w:rPr>
        <w:t>4,5</w:t>
      </w:r>
      <w:r w:rsidRPr="00200CCC">
        <w:rPr>
          <w:rFonts w:eastAsia="Times New Roman" w:cstheme="minorHAnsi"/>
          <w:color w:val="000000" w:themeColor="text1"/>
          <w:sz w:val="24"/>
          <w:szCs w:val="24"/>
          <w:lang w:eastAsia="en-NZ"/>
        </w:rPr>
        <w:t xml:space="preserve"> </w:t>
      </w:r>
      <w:r w:rsidR="000A241A" w:rsidRPr="00200CCC">
        <w:rPr>
          <w:rFonts w:eastAsia="Times New Roman" w:cstheme="minorHAnsi"/>
          <w:color w:val="000000" w:themeColor="text1"/>
          <w:sz w:val="24"/>
          <w:szCs w:val="24"/>
          <w:lang w:eastAsia="en-NZ"/>
        </w:rPr>
        <w:t>After oral dosing, p</w:t>
      </w:r>
      <w:r w:rsidR="00070B98" w:rsidRPr="00200CCC">
        <w:rPr>
          <w:rFonts w:eastAsia="Times New Roman" w:cstheme="minorHAnsi"/>
          <w:color w:val="000000" w:themeColor="text1"/>
          <w:sz w:val="24"/>
          <w:szCs w:val="24"/>
          <w:lang w:eastAsia="en-NZ"/>
        </w:rPr>
        <w:t>harmacokinetic exposure to norketamine and the hydronorketamines is considerably more prolonged than exposure to ketamine</w:t>
      </w:r>
      <w:r w:rsidR="00BE45AA" w:rsidRPr="00200CCC">
        <w:rPr>
          <w:rFonts w:eastAsia="Times New Roman" w:cstheme="minorHAnsi"/>
          <w:color w:val="000000" w:themeColor="text1"/>
          <w:sz w:val="24"/>
          <w:szCs w:val="24"/>
          <w:lang w:eastAsia="en-NZ"/>
        </w:rPr>
        <w:t>.</w:t>
      </w:r>
      <w:r w:rsidR="009538A9" w:rsidRPr="00200CCC">
        <w:rPr>
          <w:rFonts w:eastAsia="Times New Roman" w:cstheme="minorHAnsi"/>
          <w:color w:val="000000" w:themeColor="text1"/>
          <w:sz w:val="24"/>
          <w:szCs w:val="24"/>
          <w:vertAlign w:val="superscript"/>
          <w:lang w:eastAsia="en-NZ"/>
        </w:rPr>
        <w:t>6</w:t>
      </w:r>
      <w:r w:rsidR="009538A9" w:rsidRPr="00200CCC">
        <w:rPr>
          <w:rFonts w:eastAsia="Times New Roman" w:cstheme="minorHAnsi"/>
          <w:color w:val="000000" w:themeColor="text1"/>
          <w:sz w:val="24"/>
          <w:szCs w:val="24"/>
          <w:lang w:eastAsia="en-NZ"/>
        </w:rPr>
        <w:t xml:space="preserve">  </w:t>
      </w:r>
      <w:r w:rsidR="00070B98" w:rsidRPr="00200CCC">
        <w:rPr>
          <w:rFonts w:eastAsia="Times New Roman" w:cstheme="minorHAnsi"/>
          <w:color w:val="000000" w:themeColor="text1"/>
          <w:sz w:val="24"/>
          <w:szCs w:val="24"/>
          <w:lang w:eastAsia="en-NZ"/>
        </w:rPr>
        <w:t xml:space="preserve">Furthermore, </w:t>
      </w:r>
      <w:r w:rsidR="004B5279" w:rsidRPr="00200CCC">
        <w:rPr>
          <w:rFonts w:eastAsia="Times New Roman" w:cstheme="minorHAnsi"/>
          <w:color w:val="000000" w:themeColor="text1"/>
          <w:sz w:val="24"/>
          <w:szCs w:val="24"/>
          <w:lang w:eastAsia="en-NZ"/>
        </w:rPr>
        <w:t xml:space="preserve">ketamine is still active as an antidepressant even when dosed by routes where bioavailability </w:t>
      </w:r>
      <w:r w:rsidR="00FE43F1" w:rsidRPr="00200CCC">
        <w:rPr>
          <w:rFonts w:eastAsia="Times New Roman" w:cstheme="minorHAnsi"/>
          <w:color w:val="000000" w:themeColor="text1"/>
          <w:sz w:val="24"/>
          <w:szCs w:val="24"/>
          <w:lang w:eastAsia="en-NZ"/>
        </w:rPr>
        <w:t xml:space="preserve">of parent ketamine </w:t>
      </w:r>
      <w:r w:rsidR="004B5279" w:rsidRPr="00200CCC">
        <w:rPr>
          <w:rFonts w:eastAsia="Times New Roman" w:cstheme="minorHAnsi"/>
          <w:color w:val="000000" w:themeColor="text1"/>
          <w:sz w:val="24"/>
          <w:szCs w:val="24"/>
          <w:lang w:eastAsia="en-NZ"/>
        </w:rPr>
        <w:t>is low</w:t>
      </w:r>
      <w:r w:rsidR="00BE45AA" w:rsidRPr="00200CCC">
        <w:rPr>
          <w:rFonts w:eastAsia="Times New Roman" w:cstheme="minorHAnsi"/>
          <w:color w:val="000000" w:themeColor="text1"/>
          <w:sz w:val="24"/>
          <w:szCs w:val="24"/>
          <w:lang w:eastAsia="en-NZ"/>
        </w:rPr>
        <w:t>.</w:t>
      </w:r>
      <w:r w:rsidR="009538A9" w:rsidRPr="00200CCC">
        <w:rPr>
          <w:rFonts w:eastAsia="Times New Roman" w:cstheme="minorHAnsi"/>
          <w:color w:val="000000" w:themeColor="text1"/>
          <w:sz w:val="24"/>
          <w:szCs w:val="24"/>
          <w:vertAlign w:val="superscript"/>
          <w:lang w:eastAsia="en-NZ"/>
        </w:rPr>
        <w:t>7</w:t>
      </w:r>
      <w:r w:rsidR="009538A9" w:rsidRPr="00200CCC">
        <w:rPr>
          <w:rFonts w:eastAsia="Times New Roman" w:cstheme="minorHAnsi"/>
          <w:color w:val="000000" w:themeColor="text1"/>
          <w:sz w:val="24"/>
          <w:szCs w:val="24"/>
          <w:lang w:eastAsia="en-NZ"/>
        </w:rPr>
        <w:t xml:space="preserve"> </w:t>
      </w:r>
      <w:r w:rsidR="00F7772E" w:rsidRPr="00200CCC">
        <w:rPr>
          <w:rFonts w:eastAsia="Times New Roman" w:cstheme="minorHAnsi"/>
          <w:color w:val="000000" w:themeColor="text1"/>
          <w:sz w:val="24"/>
          <w:szCs w:val="24"/>
          <w:lang w:eastAsia="en-NZ"/>
        </w:rPr>
        <w:t>A synthesis of these observations suggests that</w:t>
      </w:r>
      <w:r w:rsidR="004B5279" w:rsidRPr="00200CCC">
        <w:rPr>
          <w:rFonts w:eastAsia="Times New Roman" w:cstheme="minorHAnsi"/>
          <w:color w:val="000000" w:themeColor="text1"/>
          <w:sz w:val="24"/>
          <w:szCs w:val="24"/>
          <w:lang w:eastAsia="en-NZ"/>
        </w:rPr>
        <w:t xml:space="preserve"> ketamine may be acting as a prodrug</w:t>
      </w:r>
      <w:r w:rsidR="0099562D" w:rsidRPr="00200CCC">
        <w:rPr>
          <w:rFonts w:eastAsia="Times New Roman" w:cstheme="minorHAnsi"/>
          <w:color w:val="000000" w:themeColor="text1"/>
          <w:sz w:val="24"/>
          <w:szCs w:val="24"/>
          <w:lang w:eastAsia="en-NZ"/>
        </w:rPr>
        <w:t xml:space="preserve">, where </w:t>
      </w:r>
      <w:r w:rsidR="00A63439" w:rsidRPr="00200CCC">
        <w:rPr>
          <w:rFonts w:eastAsia="Times New Roman" w:cstheme="minorHAnsi"/>
          <w:color w:val="000000" w:themeColor="text1"/>
          <w:sz w:val="24"/>
          <w:szCs w:val="24"/>
          <w:lang w:eastAsia="en-NZ"/>
        </w:rPr>
        <w:t>its antidepressant activity is substantially due to its metabolites</w:t>
      </w:r>
      <w:r w:rsidR="004B5279" w:rsidRPr="00200CCC">
        <w:rPr>
          <w:rFonts w:eastAsia="Times New Roman" w:cstheme="minorHAnsi"/>
          <w:color w:val="000000" w:themeColor="text1"/>
          <w:sz w:val="24"/>
          <w:szCs w:val="24"/>
          <w:lang w:eastAsia="en-NZ"/>
        </w:rPr>
        <w:t>. A meta-analysis of ketamine formulations</w:t>
      </w:r>
      <w:r w:rsidR="00F7772E" w:rsidRPr="00200CCC">
        <w:rPr>
          <w:rFonts w:eastAsia="Times New Roman" w:cstheme="minorHAnsi"/>
          <w:color w:val="000000" w:themeColor="text1"/>
          <w:sz w:val="24"/>
          <w:szCs w:val="24"/>
          <w:lang w:eastAsia="en-NZ"/>
        </w:rPr>
        <w:t xml:space="preserve"> identified that formulations </w:t>
      </w:r>
      <w:r w:rsidR="007545EB" w:rsidRPr="00200CCC">
        <w:rPr>
          <w:rFonts w:eastAsia="Times New Roman" w:cstheme="minorHAnsi"/>
          <w:color w:val="000000" w:themeColor="text1"/>
          <w:sz w:val="24"/>
          <w:szCs w:val="24"/>
        </w:rPr>
        <w:t>that maximize first pass metabolism</w:t>
      </w:r>
      <w:r w:rsidR="000A241A" w:rsidRPr="00200CCC">
        <w:rPr>
          <w:rFonts w:eastAsia="Times New Roman" w:cstheme="minorHAnsi"/>
          <w:color w:val="000000" w:themeColor="text1"/>
          <w:sz w:val="24"/>
          <w:szCs w:val="24"/>
        </w:rPr>
        <w:t xml:space="preserve"> of </w:t>
      </w:r>
      <w:r w:rsidR="00FB4E74" w:rsidRPr="00200CCC">
        <w:rPr>
          <w:rFonts w:eastAsia="Times New Roman" w:cstheme="minorHAnsi"/>
          <w:color w:val="000000" w:themeColor="text1"/>
          <w:sz w:val="24"/>
          <w:szCs w:val="24"/>
        </w:rPr>
        <w:t>ketamine and</w:t>
      </w:r>
      <w:r w:rsidR="007545EB" w:rsidRPr="00200CCC">
        <w:rPr>
          <w:rFonts w:eastAsia="Times New Roman" w:cstheme="minorHAnsi"/>
          <w:color w:val="000000" w:themeColor="text1"/>
          <w:sz w:val="24"/>
          <w:szCs w:val="24"/>
        </w:rPr>
        <w:t xml:space="preserve"> delay time to maximum concentrations </w:t>
      </w:r>
      <w:r w:rsidR="00F7772E" w:rsidRPr="00200CCC">
        <w:rPr>
          <w:rFonts w:eastAsia="Times New Roman" w:cstheme="minorHAnsi"/>
          <w:color w:val="000000" w:themeColor="text1"/>
          <w:sz w:val="24"/>
          <w:szCs w:val="24"/>
        </w:rPr>
        <w:t>were</w:t>
      </w:r>
      <w:r w:rsidR="007545EB" w:rsidRPr="00200CCC">
        <w:rPr>
          <w:rFonts w:eastAsia="Times New Roman" w:cstheme="minorHAnsi"/>
          <w:color w:val="000000" w:themeColor="text1"/>
          <w:sz w:val="24"/>
          <w:szCs w:val="24"/>
        </w:rPr>
        <w:t xml:space="preserve"> better tolerated (less dissociation) and safer (less </w:t>
      </w:r>
      <w:r w:rsidR="00F7772E" w:rsidRPr="00200CCC">
        <w:rPr>
          <w:rFonts w:eastAsia="Times New Roman" w:cstheme="minorHAnsi"/>
          <w:color w:val="000000" w:themeColor="text1"/>
          <w:sz w:val="24"/>
          <w:szCs w:val="24"/>
        </w:rPr>
        <w:t>blood pressure</w:t>
      </w:r>
      <w:r w:rsidR="007545EB" w:rsidRPr="00200CCC">
        <w:rPr>
          <w:rFonts w:eastAsia="Times New Roman" w:cstheme="minorHAnsi"/>
          <w:color w:val="000000" w:themeColor="text1"/>
          <w:sz w:val="24"/>
          <w:szCs w:val="24"/>
        </w:rPr>
        <w:t xml:space="preserve"> change) than formulations which lack those characteristics</w:t>
      </w:r>
      <w:r w:rsidR="00BE45AA" w:rsidRPr="00200CCC">
        <w:rPr>
          <w:rFonts w:eastAsia="Times New Roman" w:cstheme="minorHAnsi"/>
          <w:color w:val="000000" w:themeColor="text1"/>
          <w:sz w:val="24"/>
          <w:szCs w:val="24"/>
        </w:rPr>
        <w:t>.</w:t>
      </w:r>
      <w:r w:rsidR="009538A9" w:rsidRPr="00200CCC">
        <w:rPr>
          <w:rFonts w:eastAsia="Times New Roman" w:cstheme="minorHAnsi"/>
          <w:color w:val="000000" w:themeColor="text1"/>
          <w:sz w:val="24"/>
          <w:szCs w:val="24"/>
          <w:vertAlign w:val="superscript"/>
        </w:rPr>
        <w:t xml:space="preserve">8 </w:t>
      </w:r>
      <w:r w:rsidR="00F7772E" w:rsidRPr="00200CCC">
        <w:rPr>
          <w:rFonts w:eastAsia="Times New Roman" w:cstheme="minorHAnsi"/>
          <w:color w:val="000000" w:themeColor="text1"/>
          <w:sz w:val="24"/>
          <w:szCs w:val="24"/>
        </w:rPr>
        <w:t xml:space="preserve">We hypothesized that an </w:t>
      </w:r>
      <w:proofErr w:type="gramStart"/>
      <w:r w:rsidR="00F7772E" w:rsidRPr="00200CCC">
        <w:rPr>
          <w:rFonts w:eastAsia="Times New Roman" w:cstheme="minorHAnsi"/>
          <w:color w:val="000000" w:themeColor="text1"/>
          <w:sz w:val="24"/>
          <w:szCs w:val="24"/>
        </w:rPr>
        <w:t>extended release</w:t>
      </w:r>
      <w:proofErr w:type="gramEnd"/>
      <w:r w:rsidR="00F7772E" w:rsidRPr="00200CCC">
        <w:rPr>
          <w:rFonts w:eastAsia="Times New Roman" w:cstheme="minorHAnsi"/>
          <w:color w:val="000000" w:themeColor="text1"/>
          <w:sz w:val="24"/>
          <w:szCs w:val="24"/>
        </w:rPr>
        <w:t xml:space="preserve"> tablet formulation of ketamine could be an effective and well tolerated treatment option for patients with TRD. Details of the formulation and </w:t>
      </w:r>
      <w:r w:rsidR="002260B6" w:rsidRPr="00200CCC">
        <w:rPr>
          <w:rFonts w:eastAsia="Times New Roman" w:cstheme="minorHAnsi"/>
          <w:color w:val="000000" w:themeColor="text1"/>
          <w:sz w:val="24"/>
          <w:szCs w:val="24"/>
        </w:rPr>
        <w:t xml:space="preserve">its </w:t>
      </w:r>
      <w:r w:rsidR="00F7772E" w:rsidRPr="00200CCC">
        <w:rPr>
          <w:rFonts w:eastAsia="Times New Roman" w:cstheme="minorHAnsi"/>
          <w:color w:val="000000" w:themeColor="text1"/>
          <w:sz w:val="24"/>
          <w:szCs w:val="24"/>
        </w:rPr>
        <w:t>pharmacokinetic profile have been published</w:t>
      </w:r>
      <w:r w:rsidR="00BE45AA" w:rsidRPr="00200CCC">
        <w:rPr>
          <w:rFonts w:eastAsia="Times New Roman" w:cstheme="minorHAnsi"/>
          <w:color w:val="000000" w:themeColor="text1"/>
          <w:sz w:val="24"/>
          <w:szCs w:val="24"/>
        </w:rPr>
        <w:t>.</w:t>
      </w:r>
      <w:r w:rsidR="009538A9" w:rsidRPr="00200CCC">
        <w:rPr>
          <w:rFonts w:eastAsia="Times New Roman" w:cstheme="minorHAnsi"/>
          <w:color w:val="000000" w:themeColor="text1"/>
          <w:sz w:val="24"/>
          <w:szCs w:val="24"/>
          <w:vertAlign w:val="superscript"/>
        </w:rPr>
        <w:t>9,10</w:t>
      </w:r>
      <w:r w:rsidR="002260B6" w:rsidRPr="00200CCC">
        <w:rPr>
          <w:rFonts w:eastAsia="Times New Roman" w:cstheme="minorHAnsi"/>
          <w:color w:val="000000" w:themeColor="text1"/>
          <w:sz w:val="24"/>
          <w:szCs w:val="24"/>
        </w:rPr>
        <w:t xml:space="preserve"> </w:t>
      </w:r>
      <w:r w:rsidR="008B5295" w:rsidRPr="00200CCC">
        <w:rPr>
          <w:rFonts w:eastAsia="Times New Roman" w:cstheme="minorHAnsi"/>
          <w:color w:val="000000" w:themeColor="text1"/>
          <w:sz w:val="24"/>
          <w:szCs w:val="24"/>
        </w:rPr>
        <w:t xml:space="preserve">Due to its pronged </w:t>
      </w:r>
      <w:r w:rsidR="003763B7" w:rsidRPr="00200CCC">
        <w:rPr>
          <w:rFonts w:eastAsia="Times New Roman" w:cstheme="minorHAnsi"/>
          <w:color w:val="000000" w:themeColor="text1"/>
          <w:sz w:val="24"/>
          <w:szCs w:val="24"/>
        </w:rPr>
        <w:t>absorption phase</w:t>
      </w:r>
      <w:r w:rsidR="008B5295" w:rsidRPr="00200CCC">
        <w:rPr>
          <w:rFonts w:eastAsia="Times New Roman" w:cstheme="minorHAnsi"/>
          <w:color w:val="000000" w:themeColor="text1"/>
          <w:sz w:val="24"/>
          <w:szCs w:val="24"/>
        </w:rPr>
        <w:t>, it undergoes extensive first-pass metabolism, and its absolute bioavailability is &lt;20%.</w:t>
      </w:r>
      <w:r w:rsidR="008B5295" w:rsidRPr="00200CCC">
        <w:rPr>
          <w:rFonts w:eastAsia="Times New Roman" w:cstheme="minorHAnsi"/>
          <w:color w:val="000000" w:themeColor="text1"/>
          <w:sz w:val="24"/>
          <w:szCs w:val="24"/>
          <w:vertAlign w:val="superscript"/>
        </w:rPr>
        <w:t>8</w:t>
      </w:r>
      <w:r w:rsidR="008B5295" w:rsidRPr="00200CCC">
        <w:rPr>
          <w:rFonts w:eastAsia="Times New Roman" w:cstheme="minorHAnsi"/>
          <w:color w:val="000000" w:themeColor="text1"/>
          <w:sz w:val="24"/>
          <w:szCs w:val="24"/>
        </w:rPr>
        <w:t xml:space="preserve"> </w:t>
      </w:r>
      <w:r w:rsidR="007545EB" w:rsidRPr="00200CCC">
        <w:rPr>
          <w:rFonts w:eastAsia="Times New Roman" w:cstheme="minorHAnsi"/>
          <w:color w:val="000000" w:themeColor="text1"/>
          <w:sz w:val="24"/>
          <w:szCs w:val="24"/>
        </w:rPr>
        <w:t xml:space="preserve">We report here on a </w:t>
      </w:r>
      <w:r w:rsidR="000A241A" w:rsidRPr="00200CCC">
        <w:rPr>
          <w:rFonts w:eastAsia="Times New Roman" w:cstheme="minorHAnsi"/>
          <w:color w:val="000000" w:themeColor="text1"/>
          <w:sz w:val="24"/>
          <w:szCs w:val="24"/>
        </w:rPr>
        <w:t xml:space="preserve">multicentre </w:t>
      </w:r>
      <w:r w:rsidR="007545EB" w:rsidRPr="00200CCC">
        <w:rPr>
          <w:rFonts w:eastAsia="Times New Roman" w:cstheme="minorHAnsi"/>
          <w:color w:val="000000" w:themeColor="text1"/>
          <w:sz w:val="24"/>
          <w:szCs w:val="24"/>
        </w:rPr>
        <w:t xml:space="preserve">Phase 2 study of the </w:t>
      </w:r>
      <w:proofErr w:type="gramStart"/>
      <w:r w:rsidR="007545EB" w:rsidRPr="00200CCC">
        <w:rPr>
          <w:rFonts w:eastAsia="Times New Roman" w:cstheme="minorHAnsi"/>
          <w:color w:val="000000" w:themeColor="text1"/>
          <w:sz w:val="24"/>
          <w:szCs w:val="24"/>
        </w:rPr>
        <w:t>extended release</w:t>
      </w:r>
      <w:proofErr w:type="gramEnd"/>
      <w:r w:rsidR="007545EB" w:rsidRPr="00200CCC">
        <w:rPr>
          <w:rFonts w:eastAsia="Times New Roman" w:cstheme="minorHAnsi"/>
          <w:color w:val="000000" w:themeColor="text1"/>
          <w:sz w:val="24"/>
          <w:szCs w:val="24"/>
        </w:rPr>
        <w:t xml:space="preserve"> ketamine tablets</w:t>
      </w:r>
      <w:r w:rsidR="00AA79AE" w:rsidRPr="00200CCC">
        <w:rPr>
          <w:rFonts w:eastAsia="Times New Roman" w:cstheme="minorHAnsi"/>
          <w:color w:val="000000" w:themeColor="text1"/>
          <w:sz w:val="24"/>
          <w:szCs w:val="24"/>
        </w:rPr>
        <w:t xml:space="preserve"> (R-107)</w:t>
      </w:r>
      <w:r w:rsidR="007545EB" w:rsidRPr="00200CCC">
        <w:rPr>
          <w:rFonts w:eastAsia="Times New Roman" w:cstheme="minorHAnsi"/>
          <w:color w:val="000000" w:themeColor="text1"/>
          <w:sz w:val="24"/>
          <w:szCs w:val="24"/>
        </w:rPr>
        <w:t xml:space="preserve"> in patients with TRD.</w:t>
      </w:r>
    </w:p>
    <w:p w14:paraId="20B3A588" w14:textId="3F823513" w:rsidR="00C628B4" w:rsidRPr="00200CCC" w:rsidRDefault="000F0EE4"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t xml:space="preserve">The study design </w:t>
      </w:r>
      <w:r w:rsidR="00636CDE" w:rsidRPr="00200CCC">
        <w:rPr>
          <w:rFonts w:eastAsia="Times New Roman" w:cstheme="minorHAnsi"/>
          <w:color w:val="000000" w:themeColor="text1"/>
          <w:sz w:val="24"/>
          <w:szCs w:val="24"/>
        </w:rPr>
        <w:t xml:space="preserve">for this proof-of-concept trial </w:t>
      </w:r>
      <w:r w:rsidRPr="00200CCC">
        <w:rPr>
          <w:rFonts w:eastAsia="Times New Roman" w:cstheme="minorHAnsi"/>
          <w:color w:val="000000" w:themeColor="text1"/>
          <w:sz w:val="24"/>
          <w:szCs w:val="24"/>
          <w:lang w:eastAsia="en-NZ"/>
        </w:rPr>
        <w:t>is shown in Figure 1. We chose this design due to observation</w:t>
      </w:r>
      <w:r w:rsidR="00FE43F1" w:rsidRPr="00200CCC">
        <w:rPr>
          <w:rFonts w:eastAsia="Times New Roman" w:cstheme="minorHAnsi"/>
          <w:color w:val="000000" w:themeColor="text1"/>
          <w:sz w:val="24"/>
          <w:szCs w:val="24"/>
          <w:lang w:eastAsia="en-NZ"/>
        </w:rPr>
        <w:t>s</w:t>
      </w:r>
      <w:r w:rsidRPr="00200CCC">
        <w:rPr>
          <w:rFonts w:eastAsia="Times New Roman" w:cstheme="minorHAnsi"/>
          <w:color w:val="000000" w:themeColor="text1"/>
          <w:sz w:val="24"/>
          <w:szCs w:val="24"/>
          <w:lang w:eastAsia="en-NZ"/>
        </w:rPr>
        <w:t xml:space="preserve"> that a</w:t>
      </w:r>
      <w:r w:rsidR="00AA79AE" w:rsidRPr="00200CCC">
        <w:rPr>
          <w:rFonts w:eastAsia="Times New Roman" w:cstheme="minorHAnsi"/>
          <w:color w:val="000000" w:themeColor="text1"/>
          <w:sz w:val="24"/>
          <w:szCs w:val="24"/>
          <w:lang w:eastAsia="en-NZ"/>
        </w:rPr>
        <w:t xml:space="preserve">cute antidepressant clinical trials </w:t>
      </w:r>
      <w:r w:rsidR="00FE43F1" w:rsidRPr="00200CCC">
        <w:rPr>
          <w:rFonts w:eastAsia="Times New Roman" w:cstheme="minorHAnsi"/>
          <w:color w:val="000000" w:themeColor="text1"/>
          <w:sz w:val="24"/>
          <w:szCs w:val="24"/>
          <w:lang w:eastAsia="en-NZ"/>
        </w:rPr>
        <w:t xml:space="preserve">in non-TRD depression </w:t>
      </w:r>
      <w:r w:rsidR="00AA79AE" w:rsidRPr="00200CCC">
        <w:rPr>
          <w:rFonts w:eastAsia="Times New Roman" w:cstheme="minorHAnsi"/>
          <w:color w:val="000000" w:themeColor="text1"/>
          <w:sz w:val="24"/>
          <w:szCs w:val="24"/>
          <w:lang w:eastAsia="en-NZ"/>
        </w:rPr>
        <w:t xml:space="preserve">have high </w:t>
      </w:r>
      <w:r w:rsidR="00FE43F1" w:rsidRPr="00200CCC">
        <w:rPr>
          <w:rFonts w:eastAsia="Times New Roman" w:cstheme="minorHAnsi"/>
          <w:color w:val="000000" w:themeColor="text1"/>
          <w:sz w:val="24"/>
          <w:szCs w:val="24"/>
          <w:lang w:eastAsia="en-NZ"/>
        </w:rPr>
        <w:t xml:space="preserve">failure </w:t>
      </w:r>
      <w:r w:rsidR="00AA79AE" w:rsidRPr="00200CCC">
        <w:rPr>
          <w:rFonts w:eastAsia="Times New Roman" w:cstheme="minorHAnsi"/>
          <w:color w:val="000000" w:themeColor="text1"/>
          <w:sz w:val="24"/>
          <w:szCs w:val="24"/>
          <w:lang w:eastAsia="en-NZ"/>
        </w:rPr>
        <w:t>rates</w:t>
      </w:r>
      <w:r w:rsidR="0062072C" w:rsidRPr="00200CCC">
        <w:rPr>
          <w:rFonts w:eastAsia="Times New Roman" w:cstheme="minorHAnsi"/>
          <w:color w:val="000000" w:themeColor="text1"/>
          <w:sz w:val="24"/>
          <w:szCs w:val="24"/>
          <w:lang w:eastAsia="en-NZ"/>
        </w:rPr>
        <w:t xml:space="preserve"> (inability to separate </w:t>
      </w:r>
      <w:r w:rsidRPr="00200CCC">
        <w:rPr>
          <w:rFonts w:eastAsia="Times New Roman" w:cstheme="minorHAnsi"/>
          <w:color w:val="000000" w:themeColor="text1"/>
          <w:sz w:val="24"/>
          <w:szCs w:val="24"/>
          <w:lang w:eastAsia="en-NZ"/>
        </w:rPr>
        <w:t>clinical response between active and placebo arms)</w:t>
      </w:r>
      <w:r w:rsidR="00AA79AE" w:rsidRPr="00200CCC">
        <w:rPr>
          <w:rFonts w:eastAsia="Times New Roman" w:cstheme="minorHAnsi"/>
          <w:color w:val="000000" w:themeColor="text1"/>
          <w:sz w:val="24"/>
          <w:szCs w:val="24"/>
          <w:lang w:eastAsia="en-NZ"/>
        </w:rPr>
        <w:t xml:space="preserve">, </w:t>
      </w:r>
      <w:r w:rsidRPr="00200CCC">
        <w:rPr>
          <w:rFonts w:eastAsia="Times New Roman" w:cstheme="minorHAnsi"/>
          <w:color w:val="000000" w:themeColor="text1"/>
          <w:sz w:val="24"/>
          <w:szCs w:val="24"/>
          <w:lang w:eastAsia="en-NZ"/>
        </w:rPr>
        <w:t>as high as</w:t>
      </w:r>
      <w:r w:rsidR="00AA79AE" w:rsidRPr="00200CCC">
        <w:rPr>
          <w:rFonts w:eastAsia="Times New Roman" w:cstheme="minorHAnsi"/>
          <w:color w:val="000000" w:themeColor="text1"/>
          <w:sz w:val="24"/>
          <w:szCs w:val="24"/>
          <w:lang w:eastAsia="en-NZ"/>
        </w:rPr>
        <w:t xml:space="preserve"> 50%</w:t>
      </w:r>
      <w:r w:rsidR="00BE45AA" w:rsidRPr="00200CCC">
        <w:rPr>
          <w:rFonts w:eastAsia="Times New Roman" w:cstheme="minorHAnsi"/>
          <w:color w:val="000000" w:themeColor="text1"/>
          <w:sz w:val="24"/>
          <w:szCs w:val="24"/>
          <w:lang w:eastAsia="en-NZ"/>
        </w:rPr>
        <w:t>.</w:t>
      </w:r>
      <w:r w:rsidR="009538A9" w:rsidRPr="00200CCC">
        <w:rPr>
          <w:rFonts w:eastAsia="Times New Roman" w:cstheme="minorHAnsi"/>
          <w:color w:val="000000" w:themeColor="text1"/>
          <w:sz w:val="24"/>
          <w:szCs w:val="24"/>
          <w:vertAlign w:val="superscript"/>
          <w:lang w:eastAsia="en-NZ"/>
        </w:rPr>
        <w:t>11,12</w:t>
      </w:r>
      <w:r w:rsidR="00FE43F1" w:rsidRPr="00200CCC">
        <w:rPr>
          <w:rFonts w:eastAsia="Times New Roman" w:cstheme="minorHAnsi"/>
          <w:color w:val="000000" w:themeColor="text1"/>
          <w:sz w:val="24"/>
          <w:szCs w:val="24"/>
          <w:lang w:eastAsia="en-NZ"/>
        </w:rPr>
        <w:t xml:space="preserve"> </w:t>
      </w:r>
      <w:r w:rsidR="00AA79AE" w:rsidRPr="00200CCC">
        <w:rPr>
          <w:rFonts w:eastAsia="Times New Roman" w:cstheme="minorHAnsi"/>
          <w:color w:val="000000" w:themeColor="text1"/>
          <w:sz w:val="24"/>
          <w:szCs w:val="24"/>
          <w:lang w:eastAsia="en-NZ"/>
        </w:rPr>
        <w:t>Failure rates can be reduced by using an enrichment design</w:t>
      </w:r>
      <w:r w:rsidR="0062072C" w:rsidRPr="00200CCC">
        <w:rPr>
          <w:rFonts w:eastAsia="Times New Roman" w:cstheme="minorHAnsi"/>
          <w:color w:val="000000" w:themeColor="text1"/>
          <w:sz w:val="24"/>
          <w:szCs w:val="24"/>
          <w:lang w:eastAsia="en-NZ"/>
        </w:rPr>
        <w:t>, in which non-responders</w:t>
      </w:r>
      <w:r w:rsidRPr="00200CCC">
        <w:rPr>
          <w:rFonts w:eastAsia="Times New Roman" w:cstheme="minorHAnsi"/>
          <w:color w:val="000000" w:themeColor="text1"/>
          <w:sz w:val="24"/>
          <w:szCs w:val="24"/>
          <w:lang w:eastAsia="en-NZ"/>
        </w:rPr>
        <w:t xml:space="preserve"> to acute treatment are excluded</w:t>
      </w:r>
      <w:r w:rsidR="00AA79AE" w:rsidRPr="00200CCC">
        <w:rPr>
          <w:rFonts w:eastAsia="Times New Roman" w:cstheme="minorHAnsi"/>
          <w:color w:val="000000" w:themeColor="text1"/>
          <w:sz w:val="24"/>
          <w:szCs w:val="24"/>
          <w:lang w:eastAsia="en-NZ"/>
        </w:rPr>
        <w:t xml:space="preserve">, followed by a </w:t>
      </w:r>
      <w:r w:rsidR="00B65681" w:rsidRPr="00200CCC">
        <w:rPr>
          <w:rFonts w:eastAsia="Times New Roman" w:cstheme="minorHAnsi"/>
          <w:color w:val="000000" w:themeColor="text1"/>
          <w:sz w:val="24"/>
          <w:szCs w:val="24"/>
          <w:lang w:eastAsia="en-NZ"/>
        </w:rPr>
        <w:t xml:space="preserve">subsequent </w:t>
      </w:r>
      <w:r w:rsidR="00AA79AE" w:rsidRPr="00200CCC">
        <w:rPr>
          <w:rFonts w:eastAsia="Times New Roman" w:cstheme="minorHAnsi"/>
          <w:color w:val="000000" w:themeColor="text1"/>
          <w:sz w:val="24"/>
          <w:szCs w:val="24"/>
          <w:lang w:eastAsia="en-NZ"/>
        </w:rPr>
        <w:t>relapse-prevention phase</w:t>
      </w:r>
      <w:r w:rsidRPr="00200CCC">
        <w:rPr>
          <w:rFonts w:eastAsia="Times New Roman" w:cstheme="minorHAnsi"/>
          <w:color w:val="000000" w:themeColor="text1"/>
          <w:sz w:val="24"/>
          <w:szCs w:val="24"/>
          <w:lang w:eastAsia="en-NZ"/>
        </w:rPr>
        <w:t xml:space="preserve"> in treatment responders</w:t>
      </w:r>
      <w:r w:rsidR="00BE45AA" w:rsidRPr="00200CCC">
        <w:rPr>
          <w:rFonts w:eastAsia="Times New Roman" w:cstheme="minorHAnsi"/>
          <w:color w:val="000000" w:themeColor="text1"/>
          <w:sz w:val="24"/>
          <w:szCs w:val="24"/>
          <w:lang w:eastAsia="en-NZ"/>
        </w:rPr>
        <w:t>;</w:t>
      </w:r>
      <w:r w:rsidR="009F4978" w:rsidRPr="00200CCC">
        <w:rPr>
          <w:rFonts w:eastAsia="Times New Roman" w:cstheme="minorHAnsi"/>
          <w:color w:val="000000" w:themeColor="text1"/>
          <w:sz w:val="24"/>
          <w:szCs w:val="24"/>
          <w:vertAlign w:val="superscript"/>
          <w:lang w:eastAsia="en-NZ"/>
        </w:rPr>
        <w:t>13</w:t>
      </w:r>
      <w:r w:rsidR="009F4978" w:rsidRPr="00200CCC">
        <w:rPr>
          <w:rFonts w:eastAsia="Times New Roman" w:cstheme="minorHAnsi"/>
          <w:color w:val="000000" w:themeColor="text1"/>
          <w:sz w:val="24"/>
          <w:szCs w:val="24"/>
          <w:lang w:eastAsia="en-NZ"/>
        </w:rPr>
        <w:t xml:space="preserve"> </w:t>
      </w:r>
      <w:r w:rsidR="00EF76BD" w:rsidRPr="00200CCC">
        <w:rPr>
          <w:rFonts w:eastAsia="Times New Roman" w:cstheme="minorHAnsi"/>
          <w:color w:val="000000" w:themeColor="text1"/>
          <w:sz w:val="24"/>
          <w:szCs w:val="24"/>
          <w:lang w:eastAsia="en-NZ"/>
        </w:rPr>
        <w:t xml:space="preserve">study </w:t>
      </w:r>
      <w:r w:rsidRPr="00200CCC">
        <w:rPr>
          <w:rFonts w:eastAsia="Times New Roman" w:cstheme="minorHAnsi"/>
          <w:color w:val="000000" w:themeColor="text1"/>
          <w:sz w:val="24"/>
          <w:szCs w:val="24"/>
          <w:lang w:eastAsia="en-NZ"/>
        </w:rPr>
        <w:t xml:space="preserve">failure rates </w:t>
      </w:r>
      <w:r w:rsidR="00EF76BD" w:rsidRPr="00200CCC">
        <w:rPr>
          <w:rFonts w:eastAsia="Times New Roman" w:cstheme="minorHAnsi"/>
          <w:color w:val="000000" w:themeColor="text1"/>
          <w:sz w:val="24"/>
          <w:szCs w:val="24"/>
          <w:lang w:eastAsia="en-NZ"/>
        </w:rPr>
        <w:t>using this design</w:t>
      </w:r>
      <w:r w:rsidRPr="00200CCC">
        <w:rPr>
          <w:rFonts w:eastAsia="Times New Roman" w:cstheme="minorHAnsi"/>
          <w:color w:val="000000" w:themeColor="text1"/>
          <w:sz w:val="24"/>
          <w:szCs w:val="24"/>
          <w:lang w:eastAsia="en-NZ"/>
        </w:rPr>
        <w:t xml:space="preserve"> are as low as </w:t>
      </w:r>
      <w:r w:rsidR="00B65681" w:rsidRPr="00200CCC">
        <w:rPr>
          <w:rFonts w:eastAsia="Times New Roman" w:cstheme="minorHAnsi"/>
          <w:color w:val="000000" w:themeColor="text1"/>
          <w:sz w:val="24"/>
          <w:szCs w:val="24"/>
          <w:lang w:eastAsia="en-NZ"/>
        </w:rPr>
        <w:t>25</w:t>
      </w:r>
      <w:r w:rsidRPr="00200CCC">
        <w:rPr>
          <w:rFonts w:eastAsia="Times New Roman" w:cstheme="minorHAnsi"/>
          <w:color w:val="000000" w:themeColor="text1"/>
          <w:sz w:val="24"/>
          <w:szCs w:val="24"/>
          <w:lang w:eastAsia="en-NZ"/>
        </w:rPr>
        <w:t>%</w:t>
      </w:r>
      <w:r w:rsidR="00AA79AE" w:rsidRPr="00200CCC">
        <w:rPr>
          <w:rFonts w:eastAsia="Times New Roman" w:cstheme="minorHAnsi"/>
          <w:color w:val="000000" w:themeColor="text1"/>
          <w:sz w:val="24"/>
          <w:szCs w:val="24"/>
          <w:lang w:eastAsia="en-NZ"/>
        </w:rPr>
        <w:t>.</w:t>
      </w:r>
      <w:r w:rsidR="00C628B4" w:rsidRPr="00200CCC">
        <w:rPr>
          <w:rFonts w:eastAsia="Times New Roman" w:cstheme="minorHAnsi"/>
          <w:color w:val="000000" w:themeColor="text1"/>
          <w:sz w:val="24"/>
          <w:szCs w:val="24"/>
          <w:lang w:eastAsia="en-NZ"/>
        </w:rPr>
        <w:t xml:space="preserve"> </w:t>
      </w:r>
      <w:r w:rsidR="00423D03" w:rsidRPr="00200CCC">
        <w:rPr>
          <w:rFonts w:eastAsia="Times New Roman" w:cstheme="minorHAnsi"/>
          <w:color w:val="000000" w:themeColor="text1"/>
          <w:sz w:val="24"/>
          <w:szCs w:val="24"/>
        </w:rPr>
        <w:lastRenderedPageBreak/>
        <w:t>Temple has described this strategy as a type of p</w:t>
      </w:r>
      <w:r w:rsidR="00423D03" w:rsidRPr="00200CCC">
        <w:rPr>
          <w:rFonts w:cstheme="minorHAnsi"/>
          <w:color w:val="222222"/>
          <w:sz w:val="24"/>
          <w:szCs w:val="24"/>
          <w:shd w:val="clear" w:color="auto" w:fill="FFFFFF"/>
        </w:rPr>
        <w:t>redictive enrichment, producing a more treatment-responsive sample, and thus increasing effect size.</w:t>
      </w:r>
      <w:proofErr w:type="gramStart"/>
      <w:r w:rsidR="00423D03" w:rsidRPr="00200CCC">
        <w:rPr>
          <w:rFonts w:cstheme="minorHAnsi"/>
          <w:color w:val="222222"/>
          <w:sz w:val="24"/>
          <w:szCs w:val="24"/>
          <w:shd w:val="clear" w:color="auto" w:fill="FFFFFF"/>
          <w:vertAlign w:val="superscript"/>
        </w:rPr>
        <w:t>14</w:t>
      </w:r>
      <w:r w:rsidR="00423D03" w:rsidRPr="00200CCC">
        <w:rPr>
          <w:rFonts w:cstheme="minorHAnsi"/>
          <w:color w:val="222222"/>
          <w:sz w:val="24"/>
          <w:szCs w:val="24"/>
          <w:shd w:val="clear" w:color="auto" w:fill="FFFFFF"/>
        </w:rPr>
        <w:t xml:space="preserve"> </w:t>
      </w:r>
      <w:r w:rsidR="004A3D52" w:rsidRPr="00200CCC">
        <w:rPr>
          <w:rFonts w:cstheme="minorHAnsi"/>
          <w:color w:val="222222"/>
          <w:sz w:val="24"/>
          <w:szCs w:val="24"/>
          <w:shd w:val="clear" w:color="auto" w:fill="FFFFFF"/>
        </w:rPr>
        <w:t xml:space="preserve"> </w:t>
      </w:r>
      <w:r w:rsidR="004A3D52" w:rsidRPr="00200CCC">
        <w:rPr>
          <w:rFonts w:eastAsia="Times New Roman" w:cstheme="minorHAnsi"/>
          <w:color w:val="000000" w:themeColor="text1"/>
          <w:sz w:val="24"/>
          <w:szCs w:val="24"/>
        </w:rPr>
        <w:t>A</w:t>
      </w:r>
      <w:proofErr w:type="gramEnd"/>
      <w:r w:rsidR="004A3D52" w:rsidRPr="00200CCC">
        <w:rPr>
          <w:rFonts w:eastAsia="Times New Roman" w:cstheme="minorHAnsi"/>
          <w:color w:val="000000" w:themeColor="text1"/>
          <w:sz w:val="24"/>
          <w:szCs w:val="24"/>
        </w:rPr>
        <w:t xml:space="preserve"> similar design was used in Daly’s </w:t>
      </w:r>
      <w:proofErr w:type="spellStart"/>
      <w:r w:rsidR="004A3D52" w:rsidRPr="00200CCC">
        <w:rPr>
          <w:rFonts w:eastAsia="Times New Roman" w:cstheme="minorHAnsi"/>
          <w:color w:val="000000" w:themeColor="text1"/>
          <w:sz w:val="24"/>
          <w:szCs w:val="24"/>
        </w:rPr>
        <w:t>esketamine</w:t>
      </w:r>
      <w:proofErr w:type="spellEnd"/>
      <w:r w:rsidR="004A3D52" w:rsidRPr="00200CCC">
        <w:rPr>
          <w:rFonts w:eastAsia="Times New Roman" w:cstheme="minorHAnsi"/>
          <w:color w:val="000000" w:themeColor="text1"/>
          <w:sz w:val="24"/>
          <w:szCs w:val="24"/>
        </w:rPr>
        <w:t xml:space="preserve"> randomized withdrawal study.</w:t>
      </w:r>
      <w:r w:rsidR="004A3D52" w:rsidRPr="00200CCC">
        <w:rPr>
          <w:rFonts w:eastAsia="Times New Roman" w:cstheme="minorHAnsi"/>
          <w:color w:val="000000" w:themeColor="text1"/>
          <w:sz w:val="24"/>
          <w:szCs w:val="24"/>
          <w:vertAlign w:val="superscript"/>
        </w:rPr>
        <w:t>15</w:t>
      </w:r>
      <w:r w:rsidR="004A3D52" w:rsidRPr="00200CCC">
        <w:rPr>
          <w:rFonts w:eastAsia="Times New Roman" w:cstheme="minorHAnsi"/>
          <w:color w:val="000000" w:themeColor="text1"/>
          <w:sz w:val="24"/>
          <w:szCs w:val="24"/>
        </w:rPr>
        <w:t xml:space="preserve"> </w:t>
      </w:r>
      <w:r w:rsidR="00AA79AE" w:rsidRPr="00200CCC">
        <w:rPr>
          <w:rFonts w:eastAsia="Times New Roman" w:cstheme="minorHAnsi"/>
          <w:color w:val="000000" w:themeColor="text1"/>
          <w:sz w:val="24"/>
          <w:szCs w:val="24"/>
          <w:lang w:eastAsia="en-NZ"/>
        </w:rPr>
        <w:t xml:space="preserve">We included a dose-finding component in </w:t>
      </w:r>
      <w:r w:rsidR="00FE43F1" w:rsidRPr="00200CCC">
        <w:rPr>
          <w:rFonts w:eastAsia="Times New Roman" w:cstheme="minorHAnsi"/>
          <w:color w:val="000000" w:themeColor="text1"/>
          <w:sz w:val="24"/>
          <w:szCs w:val="24"/>
          <w:lang w:eastAsia="en-NZ"/>
        </w:rPr>
        <w:t>our</w:t>
      </w:r>
      <w:r w:rsidRPr="00200CCC">
        <w:rPr>
          <w:rFonts w:eastAsia="Times New Roman" w:cstheme="minorHAnsi"/>
          <w:color w:val="000000" w:themeColor="text1"/>
          <w:sz w:val="24"/>
          <w:szCs w:val="24"/>
          <w:lang w:eastAsia="en-NZ"/>
        </w:rPr>
        <w:t xml:space="preserve"> </w:t>
      </w:r>
      <w:r w:rsidR="00AA79AE" w:rsidRPr="00200CCC">
        <w:rPr>
          <w:rFonts w:eastAsia="Times New Roman" w:cstheme="minorHAnsi"/>
          <w:color w:val="000000" w:themeColor="text1"/>
          <w:sz w:val="24"/>
          <w:szCs w:val="24"/>
          <w:lang w:eastAsia="en-NZ"/>
        </w:rPr>
        <w:t xml:space="preserve">double-blind relapse prevention phase as it was </w:t>
      </w:r>
      <w:r w:rsidR="00FE43F1" w:rsidRPr="00200CCC">
        <w:rPr>
          <w:rFonts w:eastAsia="Times New Roman" w:cstheme="minorHAnsi"/>
          <w:color w:val="000000" w:themeColor="text1"/>
          <w:sz w:val="24"/>
          <w:szCs w:val="24"/>
          <w:lang w:eastAsia="en-NZ"/>
        </w:rPr>
        <w:t>un</w:t>
      </w:r>
      <w:r w:rsidR="00AA79AE" w:rsidRPr="00200CCC">
        <w:rPr>
          <w:rFonts w:eastAsia="Times New Roman" w:cstheme="minorHAnsi"/>
          <w:color w:val="000000" w:themeColor="text1"/>
          <w:sz w:val="24"/>
          <w:szCs w:val="24"/>
          <w:lang w:eastAsia="en-NZ"/>
        </w:rPr>
        <w:t xml:space="preserve">clear what the effective oral dose range might be. </w:t>
      </w:r>
    </w:p>
    <w:p w14:paraId="26E22548" w14:textId="77777777" w:rsidR="009B5B9B" w:rsidRPr="00200CCC" w:rsidRDefault="009B5B9B" w:rsidP="0019676F">
      <w:pPr>
        <w:shd w:val="clear" w:color="auto" w:fill="FFFFFF"/>
        <w:spacing w:after="240" w:line="360" w:lineRule="auto"/>
        <w:rPr>
          <w:rFonts w:eastAsia="Times New Roman" w:cstheme="minorHAnsi"/>
          <w:b/>
          <w:color w:val="000000" w:themeColor="text1"/>
          <w:sz w:val="24"/>
          <w:szCs w:val="24"/>
          <w:lang w:eastAsia="en-NZ"/>
        </w:rPr>
      </w:pPr>
      <w:r w:rsidRPr="00200CCC">
        <w:rPr>
          <w:rFonts w:eastAsia="Times New Roman" w:cstheme="minorHAnsi"/>
          <w:b/>
          <w:color w:val="000000" w:themeColor="text1"/>
          <w:sz w:val="24"/>
          <w:szCs w:val="24"/>
          <w:lang w:eastAsia="en-NZ"/>
        </w:rPr>
        <w:t>Results</w:t>
      </w:r>
      <w:r w:rsidR="0016767C" w:rsidRPr="00200CCC">
        <w:rPr>
          <w:rFonts w:eastAsia="Times New Roman" w:cstheme="minorHAnsi"/>
          <w:b/>
          <w:color w:val="000000" w:themeColor="text1"/>
          <w:sz w:val="24"/>
          <w:szCs w:val="24"/>
          <w:lang w:eastAsia="en-NZ"/>
        </w:rPr>
        <w:t xml:space="preserve"> </w:t>
      </w:r>
    </w:p>
    <w:p w14:paraId="4CBD0197" w14:textId="77777777" w:rsidR="007D19F0" w:rsidRPr="00200CCC" w:rsidRDefault="007D19F0"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t xml:space="preserve">Between </w:t>
      </w:r>
      <w:r w:rsidR="008461C4" w:rsidRPr="00200CCC">
        <w:rPr>
          <w:rFonts w:eastAsia="Times New Roman" w:cstheme="minorHAnsi"/>
          <w:color w:val="000000" w:themeColor="text1"/>
          <w:sz w:val="24"/>
          <w:szCs w:val="24"/>
          <w:lang w:eastAsia="en-NZ"/>
        </w:rPr>
        <w:t>May 2019 and August 2021</w:t>
      </w:r>
      <w:r w:rsidRPr="00200CCC">
        <w:rPr>
          <w:rFonts w:eastAsia="Times New Roman" w:cstheme="minorHAnsi"/>
          <w:color w:val="000000" w:themeColor="text1"/>
          <w:sz w:val="24"/>
          <w:szCs w:val="24"/>
          <w:lang w:eastAsia="en-NZ"/>
        </w:rPr>
        <w:t xml:space="preserve">, 329 individuals were screened for eligibility, 231 entered the </w:t>
      </w:r>
      <w:r w:rsidR="005058DC" w:rsidRPr="00200CCC">
        <w:rPr>
          <w:rFonts w:eastAsia="Times New Roman" w:cstheme="minorHAnsi"/>
          <w:color w:val="000000" w:themeColor="text1"/>
          <w:sz w:val="24"/>
          <w:szCs w:val="24"/>
          <w:lang w:eastAsia="en-NZ"/>
        </w:rPr>
        <w:t xml:space="preserve">open-label </w:t>
      </w:r>
      <w:r w:rsidRPr="00200CCC">
        <w:rPr>
          <w:rFonts w:eastAsia="Times New Roman" w:cstheme="minorHAnsi"/>
          <w:color w:val="000000" w:themeColor="text1"/>
          <w:sz w:val="24"/>
          <w:szCs w:val="24"/>
          <w:lang w:eastAsia="en-NZ"/>
        </w:rPr>
        <w:t>enrichment phase (Days 1-5)</w:t>
      </w:r>
      <w:r w:rsidR="004C4AAB" w:rsidRPr="00200CCC">
        <w:rPr>
          <w:rFonts w:eastAsia="Times New Roman" w:cstheme="minorHAnsi"/>
          <w:color w:val="000000" w:themeColor="text1"/>
          <w:sz w:val="24"/>
          <w:szCs w:val="24"/>
          <w:lang w:eastAsia="en-NZ"/>
        </w:rPr>
        <w:t>. At day 8 assessment, 132/231 (57.1%) of participants were in remission, and 168/231 (72.7%) were responders.  A</w:t>
      </w:r>
      <w:r w:rsidR="007B04AC" w:rsidRPr="00200CCC">
        <w:rPr>
          <w:rFonts w:eastAsia="Times New Roman" w:cstheme="minorHAnsi"/>
          <w:color w:val="000000" w:themeColor="text1"/>
          <w:sz w:val="24"/>
          <w:szCs w:val="24"/>
          <w:lang w:eastAsia="en-NZ"/>
        </w:rPr>
        <w:t xml:space="preserve">fter exclusion of </w:t>
      </w:r>
      <w:proofErr w:type="spellStart"/>
      <w:r w:rsidR="007B04AC" w:rsidRPr="00200CCC">
        <w:rPr>
          <w:rFonts w:eastAsia="Times New Roman" w:cstheme="minorHAnsi"/>
          <w:color w:val="000000" w:themeColor="text1"/>
          <w:sz w:val="24"/>
          <w:szCs w:val="24"/>
          <w:lang w:eastAsia="en-NZ"/>
        </w:rPr>
        <w:t>nonresponders</w:t>
      </w:r>
      <w:proofErr w:type="spellEnd"/>
      <w:r w:rsidR="007B04AC" w:rsidRPr="00200CCC">
        <w:rPr>
          <w:rFonts w:eastAsia="Times New Roman" w:cstheme="minorHAnsi"/>
          <w:color w:val="000000" w:themeColor="text1"/>
          <w:sz w:val="24"/>
          <w:szCs w:val="24"/>
          <w:lang w:eastAsia="en-NZ"/>
        </w:rPr>
        <w:t xml:space="preserve">, </w:t>
      </w:r>
      <w:r w:rsidR="004C4AAB" w:rsidRPr="00200CCC">
        <w:rPr>
          <w:rFonts w:eastAsia="Times New Roman" w:cstheme="minorHAnsi"/>
          <w:color w:val="000000" w:themeColor="text1"/>
          <w:sz w:val="24"/>
          <w:szCs w:val="24"/>
          <w:lang w:eastAsia="en-NZ"/>
        </w:rPr>
        <w:t xml:space="preserve">the </w:t>
      </w:r>
      <w:r w:rsidRPr="00200CCC">
        <w:rPr>
          <w:rFonts w:eastAsia="Times New Roman" w:cstheme="minorHAnsi"/>
          <w:color w:val="000000" w:themeColor="text1"/>
          <w:sz w:val="24"/>
          <w:szCs w:val="24"/>
          <w:lang w:eastAsia="en-NZ"/>
        </w:rPr>
        <w:t>168</w:t>
      </w:r>
      <w:r w:rsidR="004C4AAB" w:rsidRPr="00200CCC">
        <w:rPr>
          <w:rFonts w:eastAsia="Times New Roman" w:cstheme="minorHAnsi"/>
          <w:color w:val="000000" w:themeColor="text1"/>
          <w:sz w:val="24"/>
          <w:szCs w:val="24"/>
          <w:lang w:eastAsia="en-NZ"/>
        </w:rPr>
        <w:t xml:space="preserve"> r</w:t>
      </w:r>
      <w:r w:rsidRPr="00200CCC">
        <w:rPr>
          <w:rFonts w:eastAsia="Times New Roman" w:cstheme="minorHAnsi"/>
          <w:color w:val="000000" w:themeColor="text1"/>
          <w:sz w:val="24"/>
          <w:szCs w:val="24"/>
          <w:lang w:eastAsia="en-NZ"/>
        </w:rPr>
        <w:t xml:space="preserve">esponders were randomized to double-blind treatment (see Consort diagram (Figure </w:t>
      </w:r>
      <w:r w:rsidR="00AA79AE" w:rsidRPr="00200CCC">
        <w:rPr>
          <w:rFonts w:eastAsia="Times New Roman" w:cstheme="minorHAnsi"/>
          <w:color w:val="000000" w:themeColor="text1"/>
          <w:sz w:val="24"/>
          <w:szCs w:val="24"/>
          <w:lang w:eastAsia="en-NZ"/>
        </w:rPr>
        <w:t>2</w:t>
      </w:r>
      <w:r w:rsidRPr="00200CCC">
        <w:rPr>
          <w:rFonts w:eastAsia="Times New Roman" w:cstheme="minorHAnsi"/>
          <w:color w:val="000000" w:themeColor="text1"/>
          <w:sz w:val="24"/>
          <w:szCs w:val="24"/>
          <w:lang w:eastAsia="en-NZ"/>
        </w:rPr>
        <w:t xml:space="preserve">)). </w:t>
      </w:r>
      <w:r w:rsidR="00FC3944" w:rsidRPr="00200CCC">
        <w:rPr>
          <w:rFonts w:eastAsia="Times New Roman" w:cstheme="minorHAnsi"/>
          <w:color w:val="000000" w:themeColor="text1"/>
          <w:sz w:val="24"/>
          <w:szCs w:val="24"/>
          <w:lang w:eastAsia="en-NZ"/>
        </w:rPr>
        <w:t xml:space="preserve">Participant demographic details are provided in Table 1. </w:t>
      </w:r>
      <w:r w:rsidR="00493698" w:rsidRPr="00200CCC">
        <w:rPr>
          <w:rFonts w:eastAsia="Times New Roman" w:cstheme="minorHAnsi"/>
          <w:color w:val="000000" w:themeColor="text1"/>
          <w:sz w:val="24"/>
          <w:szCs w:val="24"/>
          <w:lang w:eastAsia="en-NZ"/>
        </w:rPr>
        <w:t xml:space="preserve">Mean </w:t>
      </w:r>
      <w:r w:rsidR="004C4AAB" w:rsidRPr="00200CCC">
        <w:rPr>
          <w:rFonts w:eastAsia="Times New Roman" w:cstheme="minorHAnsi"/>
          <w:color w:val="000000" w:themeColor="text1"/>
          <w:sz w:val="24"/>
          <w:szCs w:val="24"/>
          <w:lang w:eastAsia="en-NZ"/>
        </w:rPr>
        <w:t>pretreatment</w:t>
      </w:r>
      <w:r w:rsidR="00493698" w:rsidRPr="00200CCC">
        <w:rPr>
          <w:rFonts w:eastAsia="Times New Roman" w:cstheme="minorHAnsi"/>
          <w:color w:val="000000" w:themeColor="text1"/>
          <w:sz w:val="24"/>
          <w:szCs w:val="24"/>
          <w:lang w:eastAsia="en-NZ"/>
        </w:rPr>
        <w:t xml:space="preserve"> </w:t>
      </w:r>
      <w:r w:rsidR="005453A2" w:rsidRPr="00200CCC">
        <w:rPr>
          <w:rFonts w:eastAsia="Times New Roman" w:cstheme="minorHAnsi"/>
          <w:color w:val="000000" w:themeColor="text1"/>
          <w:sz w:val="24"/>
          <w:szCs w:val="24"/>
          <w:lang w:eastAsia="en-NZ"/>
        </w:rPr>
        <w:t>MADRS scores were</w:t>
      </w:r>
      <w:r w:rsidR="00493698" w:rsidRPr="00200CCC">
        <w:rPr>
          <w:rFonts w:eastAsia="Times New Roman" w:cstheme="minorHAnsi"/>
          <w:color w:val="000000" w:themeColor="text1"/>
          <w:sz w:val="24"/>
          <w:szCs w:val="24"/>
          <w:lang w:eastAsia="en-NZ"/>
        </w:rPr>
        <w:t xml:space="preserve"> approximately 30, and mean number of failed antidepressant trials </w:t>
      </w:r>
      <w:r w:rsidR="005453A2" w:rsidRPr="00200CCC">
        <w:rPr>
          <w:rFonts w:eastAsia="Times New Roman" w:cstheme="minorHAnsi"/>
          <w:color w:val="000000" w:themeColor="text1"/>
          <w:sz w:val="24"/>
          <w:szCs w:val="24"/>
          <w:lang w:eastAsia="en-NZ"/>
        </w:rPr>
        <w:t xml:space="preserve">was approximately 4.8 (Table 1). </w:t>
      </w:r>
      <w:r w:rsidR="00366520" w:rsidRPr="00200CCC">
        <w:rPr>
          <w:rFonts w:eastAsia="Times New Roman" w:cstheme="minorHAnsi"/>
          <w:color w:val="000000" w:themeColor="text1"/>
          <w:sz w:val="24"/>
          <w:szCs w:val="24"/>
          <w:lang w:eastAsia="en-NZ"/>
        </w:rPr>
        <w:t>By the end of the study (</w:t>
      </w:r>
      <w:r w:rsidR="008461C4" w:rsidRPr="00200CCC">
        <w:rPr>
          <w:rFonts w:eastAsia="Times New Roman" w:cstheme="minorHAnsi"/>
          <w:color w:val="000000" w:themeColor="text1"/>
          <w:sz w:val="24"/>
          <w:szCs w:val="24"/>
          <w:lang w:eastAsia="en-NZ"/>
        </w:rPr>
        <w:t>day 92</w:t>
      </w:r>
      <w:r w:rsidR="00366520" w:rsidRPr="00200CCC">
        <w:rPr>
          <w:rFonts w:eastAsia="Times New Roman" w:cstheme="minorHAnsi"/>
          <w:color w:val="000000" w:themeColor="text1"/>
          <w:sz w:val="24"/>
          <w:szCs w:val="24"/>
          <w:lang w:eastAsia="en-NZ"/>
        </w:rPr>
        <w:t>), 100 participants had discontinued</w:t>
      </w:r>
      <w:r w:rsidR="00D27FB0" w:rsidRPr="00200CCC">
        <w:rPr>
          <w:rFonts w:eastAsia="Times New Roman" w:cstheme="minorHAnsi"/>
          <w:color w:val="000000" w:themeColor="text1"/>
          <w:sz w:val="24"/>
          <w:szCs w:val="24"/>
          <w:lang w:eastAsia="en-NZ"/>
        </w:rPr>
        <w:t xml:space="preserve"> </w:t>
      </w:r>
      <w:r w:rsidR="007867D1" w:rsidRPr="00200CCC">
        <w:rPr>
          <w:rFonts w:eastAsia="Times New Roman" w:cstheme="minorHAnsi"/>
          <w:color w:val="000000" w:themeColor="text1"/>
          <w:sz w:val="24"/>
          <w:szCs w:val="24"/>
          <w:lang w:eastAsia="en-NZ"/>
        </w:rPr>
        <w:t>of which 94 were</w:t>
      </w:r>
      <w:r w:rsidR="00366520" w:rsidRPr="00200CCC">
        <w:rPr>
          <w:rFonts w:eastAsia="Times New Roman" w:cstheme="minorHAnsi"/>
          <w:color w:val="000000" w:themeColor="text1"/>
          <w:sz w:val="24"/>
          <w:szCs w:val="24"/>
          <w:lang w:eastAsia="en-NZ"/>
        </w:rPr>
        <w:t xml:space="preserve"> for lack of efficacy</w:t>
      </w:r>
      <w:r w:rsidR="00984BDB" w:rsidRPr="00200CCC">
        <w:rPr>
          <w:rFonts w:eastAsia="Times New Roman" w:cstheme="minorHAnsi"/>
          <w:color w:val="000000" w:themeColor="text1"/>
          <w:sz w:val="24"/>
          <w:szCs w:val="24"/>
          <w:lang w:eastAsia="en-NZ"/>
        </w:rPr>
        <w:t xml:space="preserve"> </w:t>
      </w:r>
      <w:r w:rsidR="00044278" w:rsidRPr="00200CCC">
        <w:rPr>
          <w:rFonts w:eastAsia="Times New Roman" w:cstheme="minorHAnsi"/>
          <w:color w:val="000000" w:themeColor="text1"/>
          <w:sz w:val="24"/>
          <w:szCs w:val="24"/>
          <w:lang w:eastAsia="en-NZ"/>
        </w:rPr>
        <w:t>as defined by a MADRS total score of ≥22</w:t>
      </w:r>
      <w:r w:rsidR="00FC644E" w:rsidRPr="00200CCC">
        <w:rPr>
          <w:rFonts w:eastAsia="Times New Roman" w:cstheme="minorHAnsi"/>
          <w:color w:val="000000" w:themeColor="text1"/>
          <w:sz w:val="24"/>
          <w:szCs w:val="24"/>
          <w:lang w:eastAsia="en-NZ"/>
        </w:rPr>
        <w:t xml:space="preserve"> </w:t>
      </w:r>
      <w:r w:rsidR="00D56173" w:rsidRPr="00200CCC">
        <w:rPr>
          <w:rFonts w:eastAsia="Times New Roman" w:cstheme="minorHAnsi"/>
          <w:color w:val="000000" w:themeColor="text1"/>
          <w:sz w:val="24"/>
          <w:szCs w:val="24"/>
          <w:lang w:eastAsia="en-NZ"/>
        </w:rPr>
        <w:t>(</w:t>
      </w:r>
      <w:r w:rsidR="00E03D14" w:rsidRPr="00200CCC">
        <w:rPr>
          <w:rFonts w:eastAsia="Times New Roman" w:cstheme="minorHAnsi"/>
          <w:color w:val="000000" w:themeColor="text1"/>
          <w:sz w:val="24"/>
          <w:szCs w:val="24"/>
          <w:lang w:eastAsia="en-NZ"/>
        </w:rPr>
        <w:t>placebo</w:t>
      </w:r>
      <w:r w:rsidR="00FF46DD" w:rsidRPr="00200CCC">
        <w:rPr>
          <w:rFonts w:eastAsia="Times New Roman" w:cstheme="minorHAnsi"/>
          <w:color w:val="000000" w:themeColor="text1"/>
          <w:sz w:val="24"/>
          <w:szCs w:val="24"/>
          <w:lang w:eastAsia="en-NZ"/>
        </w:rPr>
        <w:t>=26</w:t>
      </w:r>
      <w:r w:rsidR="00753037" w:rsidRPr="00200CCC">
        <w:rPr>
          <w:rFonts w:eastAsia="Times New Roman" w:cstheme="minorHAnsi"/>
          <w:color w:val="000000" w:themeColor="text1"/>
          <w:sz w:val="24"/>
          <w:szCs w:val="24"/>
          <w:lang w:eastAsia="en-NZ"/>
        </w:rPr>
        <w:t xml:space="preserve">, </w:t>
      </w:r>
      <w:r w:rsidR="008E257E" w:rsidRPr="00200CCC">
        <w:rPr>
          <w:rFonts w:eastAsia="Times New Roman" w:cstheme="minorHAnsi"/>
          <w:color w:val="000000" w:themeColor="text1"/>
          <w:sz w:val="24"/>
          <w:szCs w:val="24"/>
          <w:lang w:eastAsia="en-NZ"/>
        </w:rPr>
        <w:t>30mg=</w:t>
      </w:r>
      <w:r w:rsidR="005F67DB" w:rsidRPr="00200CCC">
        <w:rPr>
          <w:rFonts w:eastAsia="Times New Roman" w:cstheme="minorHAnsi"/>
          <w:color w:val="000000" w:themeColor="text1"/>
          <w:sz w:val="24"/>
          <w:szCs w:val="24"/>
          <w:lang w:eastAsia="en-NZ"/>
        </w:rPr>
        <w:t xml:space="preserve">22, </w:t>
      </w:r>
      <w:r w:rsidR="00441A38" w:rsidRPr="00200CCC">
        <w:rPr>
          <w:rFonts w:eastAsia="Times New Roman" w:cstheme="minorHAnsi"/>
          <w:color w:val="000000" w:themeColor="text1"/>
          <w:sz w:val="24"/>
          <w:szCs w:val="24"/>
          <w:lang w:eastAsia="en-NZ"/>
        </w:rPr>
        <w:t>60mg</w:t>
      </w:r>
      <w:r w:rsidR="00EC1C17" w:rsidRPr="00200CCC">
        <w:rPr>
          <w:rFonts w:eastAsia="Times New Roman" w:cstheme="minorHAnsi"/>
          <w:color w:val="000000" w:themeColor="text1"/>
          <w:sz w:val="24"/>
          <w:szCs w:val="24"/>
          <w:lang w:eastAsia="en-NZ"/>
        </w:rPr>
        <w:t>=</w:t>
      </w:r>
      <w:r w:rsidR="002B715D" w:rsidRPr="00200CCC">
        <w:rPr>
          <w:rFonts w:eastAsia="Times New Roman" w:cstheme="minorHAnsi"/>
          <w:color w:val="000000" w:themeColor="text1"/>
          <w:sz w:val="24"/>
          <w:szCs w:val="24"/>
          <w:lang w:eastAsia="en-NZ"/>
        </w:rPr>
        <w:t>19</w:t>
      </w:r>
      <w:r w:rsidR="00553ECC" w:rsidRPr="00200CCC">
        <w:rPr>
          <w:rFonts w:eastAsia="Times New Roman" w:cstheme="minorHAnsi"/>
          <w:color w:val="000000" w:themeColor="text1"/>
          <w:sz w:val="24"/>
          <w:szCs w:val="24"/>
          <w:lang w:eastAsia="en-NZ"/>
        </w:rPr>
        <w:t>, 120mg=</w:t>
      </w:r>
      <w:r w:rsidR="006A16EC" w:rsidRPr="00200CCC">
        <w:rPr>
          <w:rFonts w:eastAsia="Times New Roman" w:cstheme="minorHAnsi"/>
          <w:color w:val="000000" w:themeColor="text1"/>
          <w:sz w:val="24"/>
          <w:szCs w:val="24"/>
          <w:lang w:eastAsia="en-NZ"/>
        </w:rPr>
        <w:t>16, and 180mg=</w:t>
      </w:r>
      <w:r w:rsidR="00233CE8" w:rsidRPr="00200CCC">
        <w:rPr>
          <w:rFonts w:eastAsia="Times New Roman" w:cstheme="minorHAnsi"/>
          <w:color w:val="000000" w:themeColor="text1"/>
          <w:sz w:val="24"/>
          <w:szCs w:val="24"/>
          <w:lang w:eastAsia="en-NZ"/>
        </w:rPr>
        <w:t>11)</w:t>
      </w:r>
      <w:r w:rsidR="00366520" w:rsidRPr="00200CCC">
        <w:rPr>
          <w:rFonts w:eastAsia="Times New Roman" w:cstheme="minorHAnsi"/>
          <w:color w:val="000000" w:themeColor="text1"/>
          <w:sz w:val="24"/>
          <w:szCs w:val="24"/>
          <w:lang w:eastAsia="en-NZ"/>
        </w:rPr>
        <w:t xml:space="preserve"> (see Figure </w:t>
      </w:r>
      <w:r w:rsidR="00DE061F" w:rsidRPr="00200CCC">
        <w:rPr>
          <w:rFonts w:eastAsia="Times New Roman" w:cstheme="minorHAnsi"/>
          <w:color w:val="000000" w:themeColor="text1"/>
          <w:sz w:val="24"/>
          <w:szCs w:val="24"/>
          <w:lang w:eastAsia="en-NZ"/>
        </w:rPr>
        <w:t>2</w:t>
      </w:r>
      <w:r w:rsidR="00366520" w:rsidRPr="00200CCC">
        <w:rPr>
          <w:rFonts w:eastAsia="Times New Roman" w:cstheme="minorHAnsi"/>
          <w:color w:val="000000" w:themeColor="text1"/>
          <w:sz w:val="24"/>
          <w:szCs w:val="24"/>
          <w:lang w:eastAsia="en-NZ"/>
        </w:rPr>
        <w:t>). The proportion of participants who completed the study ranged from 29.7% in the placebo arm through to 56.2% for the 180mg dose arm</w:t>
      </w:r>
      <w:r w:rsidR="0018548A" w:rsidRPr="00200CCC">
        <w:rPr>
          <w:rFonts w:eastAsia="Times New Roman" w:cstheme="minorHAnsi"/>
          <w:color w:val="000000" w:themeColor="text1"/>
          <w:sz w:val="24"/>
          <w:szCs w:val="24"/>
          <w:lang w:eastAsia="en-NZ"/>
        </w:rPr>
        <w:t xml:space="preserve">, with higher proportions </w:t>
      </w:r>
      <w:r w:rsidR="006B340F" w:rsidRPr="00200CCC">
        <w:rPr>
          <w:rFonts w:eastAsia="Times New Roman" w:cstheme="minorHAnsi"/>
          <w:color w:val="000000" w:themeColor="text1"/>
          <w:sz w:val="24"/>
          <w:szCs w:val="24"/>
          <w:lang w:eastAsia="en-NZ"/>
        </w:rPr>
        <w:t xml:space="preserve">of completers </w:t>
      </w:r>
      <w:r w:rsidR="0018548A" w:rsidRPr="00200CCC">
        <w:rPr>
          <w:rFonts w:eastAsia="Times New Roman" w:cstheme="minorHAnsi"/>
          <w:color w:val="000000" w:themeColor="text1"/>
          <w:sz w:val="24"/>
          <w:szCs w:val="24"/>
          <w:lang w:eastAsia="en-NZ"/>
        </w:rPr>
        <w:t xml:space="preserve">associated with higher </w:t>
      </w:r>
      <w:r w:rsidR="006343E6" w:rsidRPr="00200CCC">
        <w:rPr>
          <w:rFonts w:eastAsia="Times New Roman" w:cstheme="minorHAnsi"/>
          <w:color w:val="000000" w:themeColor="text1"/>
          <w:sz w:val="24"/>
          <w:szCs w:val="24"/>
          <w:lang w:eastAsia="en-NZ"/>
        </w:rPr>
        <w:t>R-107</w:t>
      </w:r>
      <w:r w:rsidR="00C7055E" w:rsidRPr="00200CCC">
        <w:rPr>
          <w:rFonts w:eastAsia="Times New Roman" w:cstheme="minorHAnsi"/>
          <w:color w:val="000000" w:themeColor="text1"/>
          <w:sz w:val="24"/>
          <w:szCs w:val="24"/>
          <w:lang w:eastAsia="en-NZ"/>
        </w:rPr>
        <w:t xml:space="preserve"> </w:t>
      </w:r>
      <w:r w:rsidR="0018548A" w:rsidRPr="00200CCC">
        <w:rPr>
          <w:rFonts w:eastAsia="Times New Roman" w:cstheme="minorHAnsi"/>
          <w:color w:val="000000" w:themeColor="text1"/>
          <w:sz w:val="24"/>
          <w:szCs w:val="24"/>
          <w:lang w:eastAsia="en-NZ"/>
        </w:rPr>
        <w:t>doses</w:t>
      </w:r>
      <w:r w:rsidR="00D13297" w:rsidRPr="00200CCC">
        <w:rPr>
          <w:rFonts w:eastAsia="Times New Roman" w:cstheme="minorHAnsi"/>
          <w:color w:val="000000" w:themeColor="text1"/>
          <w:sz w:val="24"/>
          <w:szCs w:val="24"/>
          <w:lang w:eastAsia="en-NZ"/>
        </w:rPr>
        <w:t xml:space="preserve">. </w:t>
      </w:r>
      <w:r w:rsidR="006C6B36" w:rsidRPr="00200CCC">
        <w:rPr>
          <w:rFonts w:cstheme="minorHAnsi"/>
          <w:sz w:val="24"/>
          <w:szCs w:val="24"/>
          <w:lang w:val="en-US"/>
        </w:rPr>
        <w:t>Treatment compliance was high with almost all participants (96.4%) reported to have compliance of 80% or more (at home and in clinic).</w:t>
      </w:r>
      <w:r w:rsidR="0016767C" w:rsidRPr="00200CCC">
        <w:rPr>
          <w:rFonts w:cstheme="minorHAnsi"/>
          <w:sz w:val="24"/>
          <w:szCs w:val="24"/>
          <w:lang w:val="en-US"/>
        </w:rPr>
        <w:t xml:space="preserve"> </w:t>
      </w:r>
      <w:r w:rsidR="00D13297" w:rsidRPr="00200CCC">
        <w:rPr>
          <w:rFonts w:cstheme="minorHAnsi"/>
          <w:sz w:val="24"/>
          <w:szCs w:val="24"/>
          <w:lang w:val="en-US"/>
        </w:rPr>
        <w:t xml:space="preserve"> </w:t>
      </w:r>
      <w:r w:rsidR="00EE7D93" w:rsidRPr="00200CCC">
        <w:rPr>
          <w:rFonts w:cstheme="minorHAnsi"/>
          <w:sz w:val="24"/>
          <w:szCs w:val="24"/>
          <w:lang w:val="en-US"/>
        </w:rPr>
        <w:t xml:space="preserve"> </w:t>
      </w:r>
      <w:r w:rsidR="00AA79AE" w:rsidRPr="00200CCC">
        <w:rPr>
          <w:rFonts w:cstheme="minorHAnsi"/>
          <w:sz w:val="24"/>
          <w:szCs w:val="24"/>
          <w:lang w:val="en-US"/>
        </w:rPr>
        <w:t xml:space="preserve"> </w:t>
      </w:r>
    </w:p>
    <w:p w14:paraId="09F2CDCF" w14:textId="77777777" w:rsidR="009B5B9B" w:rsidRPr="00200CCC" w:rsidRDefault="00AC7219" w:rsidP="0019676F">
      <w:pPr>
        <w:shd w:val="clear" w:color="auto" w:fill="FFFFFF"/>
        <w:spacing w:after="240" w:line="360" w:lineRule="auto"/>
        <w:rPr>
          <w:rFonts w:eastAsia="Times New Roman" w:cstheme="minorHAnsi"/>
          <w:b/>
          <w:color w:val="000000" w:themeColor="text1"/>
          <w:sz w:val="24"/>
          <w:szCs w:val="24"/>
          <w:lang w:eastAsia="en-NZ"/>
        </w:rPr>
      </w:pPr>
      <w:r w:rsidRPr="00200CCC">
        <w:rPr>
          <w:rFonts w:eastAsia="Times New Roman" w:cstheme="minorHAnsi"/>
          <w:b/>
          <w:color w:val="000000" w:themeColor="text1"/>
          <w:sz w:val="24"/>
          <w:szCs w:val="24"/>
          <w:lang w:eastAsia="en-NZ"/>
        </w:rPr>
        <w:t>Primary Outcome</w:t>
      </w:r>
    </w:p>
    <w:p w14:paraId="42CE2A68" w14:textId="3D219739" w:rsidR="00AC7219" w:rsidRPr="00200CCC" w:rsidRDefault="00594BC9"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cstheme="minorHAnsi"/>
          <w:color w:val="000000" w:themeColor="text1"/>
          <w:sz w:val="24"/>
          <w:szCs w:val="24"/>
        </w:rPr>
        <w:t xml:space="preserve">Estimated marginal mean reductions at Days 36, 64 and 92 are shown in </w:t>
      </w:r>
      <w:r w:rsidR="00D34C01" w:rsidRPr="00200CCC">
        <w:rPr>
          <w:rFonts w:cstheme="minorHAnsi"/>
          <w:color w:val="000000" w:themeColor="text1"/>
          <w:sz w:val="24"/>
          <w:szCs w:val="24"/>
        </w:rPr>
        <w:t xml:space="preserve">Extended Data </w:t>
      </w:r>
      <w:r w:rsidRPr="00200CCC">
        <w:rPr>
          <w:rFonts w:cstheme="minorHAnsi"/>
          <w:color w:val="000000" w:themeColor="text1"/>
          <w:sz w:val="24"/>
          <w:szCs w:val="24"/>
        </w:rPr>
        <w:t xml:space="preserve">Table </w:t>
      </w:r>
      <w:r w:rsidR="00D34C01" w:rsidRPr="00200CCC">
        <w:rPr>
          <w:rFonts w:cstheme="minorHAnsi"/>
          <w:color w:val="000000" w:themeColor="text1"/>
          <w:sz w:val="24"/>
          <w:szCs w:val="24"/>
        </w:rPr>
        <w:t>1</w:t>
      </w:r>
      <w:r w:rsidRPr="00200CCC">
        <w:rPr>
          <w:rFonts w:cstheme="minorHAnsi"/>
          <w:color w:val="000000" w:themeColor="text1"/>
          <w:sz w:val="24"/>
          <w:szCs w:val="24"/>
        </w:rPr>
        <w:t xml:space="preserve">. </w:t>
      </w:r>
      <w:r w:rsidR="00A06D7D" w:rsidRPr="00200CCC">
        <w:rPr>
          <w:rFonts w:cstheme="minorHAnsi"/>
          <w:color w:val="000000" w:themeColor="text1"/>
          <w:sz w:val="24"/>
          <w:szCs w:val="24"/>
        </w:rPr>
        <w:t xml:space="preserve">Numerically, </w:t>
      </w:r>
      <w:r w:rsidR="00303DEB" w:rsidRPr="00200CCC">
        <w:rPr>
          <w:rFonts w:cstheme="minorHAnsi"/>
          <w:color w:val="000000" w:themeColor="text1"/>
          <w:sz w:val="24"/>
          <w:szCs w:val="24"/>
        </w:rPr>
        <w:t xml:space="preserve">greater mean </w:t>
      </w:r>
      <w:r w:rsidR="00C7055E" w:rsidRPr="00200CCC">
        <w:rPr>
          <w:rFonts w:cstheme="minorHAnsi"/>
          <w:color w:val="000000" w:themeColor="text1"/>
          <w:sz w:val="24"/>
          <w:szCs w:val="24"/>
        </w:rPr>
        <w:t>reduction</w:t>
      </w:r>
      <w:r w:rsidR="00303DEB" w:rsidRPr="00200CCC">
        <w:rPr>
          <w:rFonts w:cstheme="minorHAnsi"/>
          <w:color w:val="000000" w:themeColor="text1"/>
          <w:sz w:val="24"/>
          <w:szCs w:val="24"/>
        </w:rPr>
        <w:t>s</w:t>
      </w:r>
      <w:r w:rsidR="00C7055E" w:rsidRPr="00200CCC">
        <w:rPr>
          <w:rFonts w:cstheme="minorHAnsi"/>
          <w:color w:val="000000" w:themeColor="text1"/>
          <w:sz w:val="24"/>
          <w:szCs w:val="24"/>
        </w:rPr>
        <w:t xml:space="preserve"> in the MADRS total score from baseline to </w:t>
      </w:r>
      <w:r w:rsidR="007F2B63" w:rsidRPr="00200CCC">
        <w:rPr>
          <w:rFonts w:cstheme="minorHAnsi"/>
          <w:color w:val="000000" w:themeColor="text1"/>
          <w:sz w:val="24"/>
          <w:szCs w:val="24"/>
        </w:rPr>
        <w:t>Day 92</w:t>
      </w:r>
      <w:r w:rsidR="00C7055E" w:rsidRPr="00200CCC">
        <w:rPr>
          <w:rFonts w:cstheme="minorHAnsi"/>
          <w:color w:val="000000" w:themeColor="text1"/>
          <w:sz w:val="24"/>
          <w:szCs w:val="24"/>
        </w:rPr>
        <w:t xml:space="preserve"> </w:t>
      </w:r>
      <w:r w:rsidR="00A06D7D" w:rsidRPr="00200CCC">
        <w:rPr>
          <w:rFonts w:cstheme="minorHAnsi"/>
          <w:color w:val="000000" w:themeColor="text1"/>
          <w:sz w:val="24"/>
          <w:szCs w:val="24"/>
        </w:rPr>
        <w:t xml:space="preserve">were observed </w:t>
      </w:r>
      <w:r w:rsidR="00C7055E" w:rsidRPr="00200CCC">
        <w:rPr>
          <w:rFonts w:cstheme="minorHAnsi"/>
          <w:color w:val="000000" w:themeColor="text1"/>
          <w:sz w:val="24"/>
          <w:szCs w:val="24"/>
        </w:rPr>
        <w:t>in all treatment groups compared with placebo (</w:t>
      </w:r>
      <w:r w:rsidR="00425EAD" w:rsidRPr="00200CCC">
        <w:rPr>
          <w:rFonts w:cstheme="minorHAnsi"/>
          <w:color w:val="000000" w:themeColor="text1"/>
          <w:sz w:val="24"/>
          <w:szCs w:val="24"/>
        </w:rPr>
        <w:t>R-107</w:t>
      </w:r>
      <w:r w:rsidR="00C7055E" w:rsidRPr="00200CCC">
        <w:rPr>
          <w:rFonts w:cstheme="minorHAnsi"/>
          <w:color w:val="000000" w:themeColor="text1"/>
          <w:sz w:val="24"/>
          <w:szCs w:val="24"/>
        </w:rPr>
        <w:t xml:space="preserve"> 30 mg: 1.9 [95% CI: −3.08 to 6.92], p=0.450; 60 mg: 0.7 [95% CI: −4.32 to 5.70], p=0.785; 120 mg: 4.5 [95% CI: −0.60 to 9.69], p=0.083)</w:t>
      </w:r>
      <w:r w:rsidR="00113C16" w:rsidRPr="00200CCC">
        <w:rPr>
          <w:rFonts w:cstheme="minorHAnsi"/>
          <w:color w:val="000000" w:themeColor="text1"/>
          <w:sz w:val="24"/>
          <w:szCs w:val="24"/>
        </w:rPr>
        <w:t xml:space="preserve">.  The </w:t>
      </w:r>
      <w:r w:rsidR="00C7055E" w:rsidRPr="00200CCC">
        <w:rPr>
          <w:rFonts w:cstheme="minorHAnsi"/>
          <w:color w:val="000000" w:themeColor="text1"/>
          <w:sz w:val="24"/>
          <w:szCs w:val="24"/>
        </w:rPr>
        <w:t xml:space="preserve">largest reduction was in the 180 mg treatment group: 6.1 [95% CI: 1.00 to 11.16; p=0.019] and this result was statistically significant.  </w:t>
      </w:r>
      <w:r w:rsidR="00A815D8" w:rsidRPr="00200CCC">
        <w:rPr>
          <w:rFonts w:cstheme="minorHAnsi"/>
          <w:color w:val="000000" w:themeColor="text1"/>
          <w:sz w:val="24"/>
          <w:szCs w:val="24"/>
        </w:rPr>
        <w:t xml:space="preserve">Mean (SD) reductions in MADRS scores by treatment group are shown in </w:t>
      </w:r>
      <w:r w:rsidR="005E58B7" w:rsidRPr="00200CCC">
        <w:rPr>
          <w:rFonts w:cstheme="minorHAnsi"/>
          <w:color w:val="000000" w:themeColor="text1"/>
          <w:sz w:val="24"/>
          <w:szCs w:val="24"/>
        </w:rPr>
        <w:t>Table 2</w:t>
      </w:r>
      <w:r w:rsidR="00A815D8" w:rsidRPr="00200CCC">
        <w:rPr>
          <w:rFonts w:cstheme="minorHAnsi"/>
          <w:color w:val="000000" w:themeColor="text1"/>
          <w:sz w:val="24"/>
          <w:szCs w:val="24"/>
        </w:rPr>
        <w:t xml:space="preserve">. The 120mg and 180mg dose groups had lower mean reductions (&lt;10 points) compared with lower dose groups. </w:t>
      </w:r>
      <w:r w:rsidR="005A15AA" w:rsidRPr="00200CCC">
        <w:rPr>
          <w:rFonts w:cstheme="minorHAnsi"/>
          <w:color w:val="000000" w:themeColor="text1"/>
          <w:sz w:val="24"/>
          <w:szCs w:val="24"/>
        </w:rPr>
        <w:t xml:space="preserve"> </w:t>
      </w:r>
      <w:bookmarkStart w:id="2" w:name="_Hlk153458926"/>
      <w:r w:rsidR="00D63A66" w:rsidRPr="00200CCC">
        <w:rPr>
          <w:rFonts w:cstheme="minorHAnsi"/>
          <w:color w:val="000000" w:themeColor="text1"/>
          <w:sz w:val="24"/>
          <w:szCs w:val="24"/>
        </w:rPr>
        <w:t>Compared</w:t>
      </w:r>
      <w:r w:rsidR="005A15AA" w:rsidRPr="00200CCC">
        <w:rPr>
          <w:rFonts w:cstheme="minorHAnsi"/>
          <w:color w:val="000000" w:themeColor="text1"/>
          <w:sz w:val="24"/>
          <w:szCs w:val="24"/>
        </w:rPr>
        <w:t xml:space="preserve"> with placebo</w:t>
      </w:r>
      <w:r w:rsidR="00D63A66" w:rsidRPr="00200CCC">
        <w:rPr>
          <w:rFonts w:cstheme="minorHAnsi"/>
          <w:color w:val="000000" w:themeColor="text1"/>
          <w:sz w:val="24"/>
          <w:szCs w:val="24"/>
        </w:rPr>
        <w:t xml:space="preserve">, </w:t>
      </w:r>
      <w:r w:rsidR="009547F1" w:rsidRPr="00200CCC">
        <w:rPr>
          <w:rFonts w:cstheme="minorHAnsi"/>
          <w:color w:val="000000" w:themeColor="text1"/>
          <w:sz w:val="24"/>
          <w:szCs w:val="24"/>
        </w:rPr>
        <w:t xml:space="preserve">numerically </w:t>
      </w:r>
      <w:r w:rsidR="00D63A66" w:rsidRPr="00200CCC">
        <w:rPr>
          <w:rFonts w:cstheme="minorHAnsi"/>
          <w:color w:val="000000" w:themeColor="text1"/>
          <w:sz w:val="24"/>
          <w:szCs w:val="24"/>
        </w:rPr>
        <w:t xml:space="preserve">greater reductions in Day 92 MADRS scores </w:t>
      </w:r>
      <w:r w:rsidR="00D63A66" w:rsidRPr="00200CCC">
        <w:rPr>
          <w:rFonts w:cstheme="minorHAnsi"/>
          <w:color w:val="000000" w:themeColor="text1"/>
          <w:sz w:val="24"/>
          <w:szCs w:val="24"/>
        </w:rPr>
        <w:lastRenderedPageBreak/>
        <w:t xml:space="preserve">(95%CI) were observed for females (-10.1 (-18.7, -1.5)) compared with males (-4.2 (-10.8, 2.4)), </w:t>
      </w:r>
      <w:bookmarkEnd w:id="2"/>
      <w:r w:rsidR="00D63A66" w:rsidRPr="00200CCC">
        <w:rPr>
          <w:rFonts w:cstheme="minorHAnsi"/>
          <w:color w:val="000000" w:themeColor="text1"/>
          <w:sz w:val="24"/>
          <w:szCs w:val="24"/>
        </w:rPr>
        <w:t>patients younger than 65 years (-6.9 (-12.3, -1.6)) compared with patients 65 years and older (0.1 (-23.4, 23.7)), those taking antidepressants (-6.5 (-12.5, -0.6)) compared with those not taking antidepressants (-2.5 (-12.6, 7.7)), and those with greater than median body weight (-7.1 (-14.0, -0.1)) compared with those below median body weight (-5.3 (-13.1, 2.5)).</w:t>
      </w:r>
    </w:p>
    <w:p w14:paraId="7A3DB810" w14:textId="77777777" w:rsidR="00637943" w:rsidRPr="00200CCC" w:rsidRDefault="0079646B" w:rsidP="0019676F">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t xml:space="preserve">Secondary Efficacy Outcomes </w:t>
      </w:r>
    </w:p>
    <w:p w14:paraId="2CCB2750" w14:textId="77777777" w:rsidR="005265BF" w:rsidRPr="00200CCC" w:rsidRDefault="00637943" w:rsidP="0019676F">
      <w:pPr>
        <w:shd w:val="clear" w:color="auto" w:fill="FFFFFF"/>
        <w:spacing w:after="240" w:line="360" w:lineRule="auto"/>
        <w:rPr>
          <w:rFonts w:cstheme="minorHAnsi"/>
          <w:sz w:val="24"/>
          <w:szCs w:val="24"/>
        </w:rPr>
      </w:pPr>
      <w:r w:rsidRPr="00200CCC">
        <w:rPr>
          <w:rFonts w:cstheme="minorHAnsi"/>
          <w:color w:val="000000" w:themeColor="text1"/>
          <w:sz w:val="24"/>
          <w:szCs w:val="24"/>
        </w:rPr>
        <w:t xml:space="preserve">During the </w:t>
      </w:r>
      <w:r w:rsidR="005058DC" w:rsidRPr="00200CCC">
        <w:rPr>
          <w:rFonts w:cstheme="minorHAnsi"/>
          <w:color w:val="000000" w:themeColor="text1"/>
          <w:sz w:val="24"/>
          <w:szCs w:val="24"/>
        </w:rPr>
        <w:t xml:space="preserve">open-label </w:t>
      </w:r>
      <w:r w:rsidRPr="00200CCC">
        <w:rPr>
          <w:rFonts w:cstheme="minorHAnsi"/>
          <w:color w:val="000000" w:themeColor="text1"/>
          <w:sz w:val="24"/>
          <w:szCs w:val="24"/>
        </w:rPr>
        <w:t xml:space="preserve">enrichment phase (Days 1-8), there was </w:t>
      </w:r>
      <w:r w:rsidR="005453A2" w:rsidRPr="00200CCC">
        <w:rPr>
          <w:rFonts w:cstheme="minorHAnsi"/>
          <w:color w:val="000000" w:themeColor="text1"/>
          <w:sz w:val="24"/>
          <w:szCs w:val="24"/>
        </w:rPr>
        <w:t xml:space="preserve">mean </w:t>
      </w:r>
      <w:r w:rsidRPr="00200CCC">
        <w:rPr>
          <w:rFonts w:cstheme="minorHAnsi"/>
          <w:color w:val="000000" w:themeColor="text1"/>
          <w:sz w:val="24"/>
          <w:szCs w:val="24"/>
        </w:rPr>
        <w:t xml:space="preserve">reduction in MADRS total score of 18.5 points (95% CI: 17.37 to 19.69) at Day 8. A total of 132 </w:t>
      </w:r>
      <w:r w:rsidR="009A2B62" w:rsidRPr="00200CCC">
        <w:rPr>
          <w:rFonts w:cstheme="minorHAnsi"/>
          <w:color w:val="000000" w:themeColor="text1"/>
          <w:sz w:val="24"/>
          <w:szCs w:val="24"/>
        </w:rPr>
        <w:t>participants</w:t>
      </w:r>
      <w:r w:rsidRPr="00200CCC">
        <w:rPr>
          <w:rFonts w:cstheme="minorHAnsi"/>
          <w:color w:val="000000" w:themeColor="text1"/>
          <w:sz w:val="24"/>
          <w:szCs w:val="24"/>
        </w:rPr>
        <w:t xml:space="preserve"> (57.1%) of the 231 </w:t>
      </w:r>
      <w:r w:rsidR="009A2B62" w:rsidRPr="00200CCC">
        <w:rPr>
          <w:rFonts w:cstheme="minorHAnsi"/>
          <w:color w:val="000000" w:themeColor="text1"/>
          <w:sz w:val="24"/>
          <w:szCs w:val="24"/>
        </w:rPr>
        <w:t xml:space="preserve">enrolled in the enrichment phase </w:t>
      </w:r>
      <w:r w:rsidRPr="00200CCC">
        <w:rPr>
          <w:rFonts w:cstheme="minorHAnsi"/>
          <w:color w:val="000000" w:themeColor="text1"/>
          <w:sz w:val="24"/>
          <w:szCs w:val="24"/>
        </w:rPr>
        <w:t>achieved remission with a MADRS total score ≤10 at Day 8</w:t>
      </w:r>
      <w:r w:rsidR="005453A2" w:rsidRPr="00200CCC">
        <w:rPr>
          <w:rFonts w:cstheme="minorHAnsi"/>
          <w:color w:val="000000" w:themeColor="text1"/>
          <w:sz w:val="24"/>
          <w:szCs w:val="24"/>
        </w:rPr>
        <w:t xml:space="preserve">. A </w:t>
      </w:r>
      <w:r w:rsidR="008D27D7" w:rsidRPr="00200CCC">
        <w:rPr>
          <w:rFonts w:cstheme="minorHAnsi"/>
          <w:sz w:val="24"/>
          <w:szCs w:val="24"/>
        </w:rPr>
        <w:t xml:space="preserve">total of </w:t>
      </w:r>
      <w:r w:rsidR="00D13297" w:rsidRPr="00200CCC">
        <w:rPr>
          <w:rFonts w:cstheme="minorHAnsi"/>
          <w:sz w:val="24"/>
          <w:szCs w:val="24"/>
        </w:rPr>
        <w:t>168</w:t>
      </w:r>
      <w:r w:rsidR="008D27D7" w:rsidRPr="00200CCC">
        <w:rPr>
          <w:rFonts w:cstheme="minorHAnsi"/>
          <w:sz w:val="24"/>
          <w:szCs w:val="24"/>
        </w:rPr>
        <w:t xml:space="preserve"> </w:t>
      </w:r>
      <w:r w:rsidR="0000557F" w:rsidRPr="00200CCC">
        <w:rPr>
          <w:rFonts w:cstheme="minorHAnsi"/>
          <w:color w:val="000000" w:themeColor="text1"/>
          <w:sz w:val="24"/>
          <w:szCs w:val="24"/>
        </w:rPr>
        <w:t xml:space="preserve">participants </w:t>
      </w:r>
      <w:r w:rsidR="008D27D7" w:rsidRPr="00200CCC">
        <w:rPr>
          <w:rFonts w:cstheme="minorHAnsi"/>
          <w:sz w:val="24"/>
          <w:szCs w:val="24"/>
        </w:rPr>
        <w:t>(</w:t>
      </w:r>
      <w:r w:rsidR="00D13297" w:rsidRPr="00200CCC">
        <w:rPr>
          <w:rFonts w:cstheme="minorHAnsi"/>
          <w:sz w:val="24"/>
          <w:szCs w:val="24"/>
        </w:rPr>
        <w:t>72.7</w:t>
      </w:r>
      <w:r w:rsidR="008D27D7" w:rsidRPr="00200CCC">
        <w:rPr>
          <w:rFonts w:cstheme="minorHAnsi"/>
          <w:sz w:val="24"/>
          <w:szCs w:val="24"/>
        </w:rPr>
        <w:t xml:space="preserve">%) of the 231 </w:t>
      </w:r>
      <w:r w:rsidR="0000557F" w:rsidRPr="00200CCC">
        <w:rPr>
          <w:rFonts w:cstheme="minorHAnsi"/>
          <w:sz w:val="24"/>
          <w:szCs w:val="24"/>
        </w:rPr>
        <w:t xml:space="preserve">patients </w:t>
      </w:r>
      <w:r w:rsidR="0000557F" w:rsidRPr="00200CCC">
        <w:rPr>
          <w:rFonts w:cstheme="minorHAnsi"/>
          <w:color w:val="000000" w:themeColor="text1"/>
          <w:sz w:val="24"/>
          <w:szCs w:val="24"/>
        </w:rPr>
        <w:t xml:space="preserve">enrolled in the enrichment phase </w:t>
      </w:r>
      <w:r w:rsidR="0000557F" w:rsidRPr="00200CCC">
        <w:rPr>
          <w:rFonts w:cstheme="minorHAnsi"/>
          <w:sz w:val="24"/>
          <w:szCs w:val="24"/>
        </w:rPr>
        <w:t xml:space="preserve">achieved </w:t>
      </w:r>
      <w:r w:rsidR="008D27D7" w:rsidRPr="00200CCC">
        <w:rPr>
          <w:rFonts w:cstheme="minorHAnsi"/>
          <w:sz w:val="24"/>
          <w:szCs w:val="24"/>
        </w:rPr>
        <w:t>a response to treatment, defined as ≥50% reduction from baseline</w:t>
      </w:r>
      <w:r w:rsidR="00EE7D93" w:rsidRPr="00200CCC">
        <w:rPr>
          <w:rFonts w:cstheme="minorHAnsi"/>
          <w:sz w:val="24"/>
          <w:szCs w:val="24"/>
        </w:rPr>
        <w:t xml:space="preserve"> </w:t>
      </w:r>
      <w:r w:rsidR="008D27D7" w:rsidRPr="00200CCC">
        <w:rPr>
          <w:rFonts w:cstheme="minorHAnsi"/>
          <w:sz w:val="24"/>
          <w:szCs w:val="24"/>
        </w:rPr>
        <w:t>in MADRS score at Day 8</w:t>
      </w:r>
      <w:r w:rsidR="00DC0AA6" w:rsidRPr="00200CCC">
        <w:rPr>
          <w:rFonts w:cstheme="minorHAnsi"/>
          <w:sz w:val="24"/>
          <w:szCs w:val="24"/>
        </w:rPr>
        <w:t>.</w:t>
      </w:r>
      <w:r w:rsidR="008D27D7" w:rsidRPr="00200CCC">
        <w:rPr>
          <w:rFonts w:cstheme="minorHAnsi"/>
          <w:sz w:val="24"/>
          <w:szCs w:val="24"/>
        </w:rPr>
        <w:t xml:space="preserve"> </w:t>
      </w:r>
    </w:p>
    <w:p w14:paraId="08AFF850" w14:textId="2824D499" w:rsidR="00637943" w:rsidRPr="00200CCC" w:rsidRDefault="009A2B62" w:rsidP="0019676F">
      <w:pPr>
        <w:shd w:val="clear" w:color="auto" w:fill="FFFFFF"/>
        <w:spacing w:after="240" w:line="360" w:lineRule="auto"/>
        <w:rPr>
          <w:rFonts w:cstheme="minorHAnsi"/>
          <w:color w:val="000000" w:themeColor="text1"/>
          <w:sz w:val="24"/>
          <w:szCs w:val="24"/>
        </w:rPr>
      </w:pPr>
      <w:r w:rsidRPr="00200CCC">
        <w:rPr>
          <w:rFonts w:cstheme="minorHAnsi"/>
          <w:color w:val="000000" w:themeColor="text1"/>
          <w:sz w:val="24"/>
          <w:szCs w:val="24"/>
        </w:rPr>
        <w:t xml:space="preserve">Rates of remission and response at week </w:t>
      </w:r>
      <w:r w:rsidR="00BF507B" w:rsidRPr="00200CCC">
        <w:rPr>
          <w:rFonts w:cstheme="minorHAnsi"/>
          <w:color w:val="000000" w:themeColor="text1"/>
          <w:sz w:val="24"/>
          <w:szCs w:val="24"/>
        </w:rPr>
        <w:t>13</w:t>
      </w:r>
      <w:r w:rsidRPr="00200CCC">
        <w:rPr>
          <w:rFonts w:cstheme="minorHAnsi"/>
          <w:color w:val="000000" w:themeColor="text1"/>
          <w:sz w:val="24"/>
          <w:szCs w:val="24"/>
        </w:rPr>
        <w:t xml:space="preserve"> were numerically greater for the active treatment arms compared with placebo, however these were not statistically significant (remission)</w:t>
      </w:r>
      <w:r w:rsidR="00643A7B" w:rsidRPr="00200CCC">
        <w:rPr>
          <w:rFonts w:cstheme="minorHAnsi"/>
          <w:color w:val="000000" w:themeColor="text1"/>
          <w:sz w:val="24"/>
          <w:szCs w:val="24"/>
        </w:rPr>
        <w:t>,</w:t>
      </w:r>
      <w:r w:rsidRPr="00200CCC">
        <w:rPr>
          <w:rFonts w:cstheme="minorHAnsi"/>
          <w:color w:val="000000" w:themeColor="text1"/>
          <w:sz w:val="24"/>
          <w:szCs w:val="24"/>
        </w:rPr>
        <w:t xml:space="preserve"> or </w:t>
      </w:r>
      <w:r w:rsidR="00643A7B" w:rsidRPr="00200CCC">
        <w:rPr>
          <w:rFonts w:cstheme="minorHAnsi"/>
          <w:color w:val="000000" w:themeColor="text1"/>
          <w:sz w:val="24"/>
          <w:szCs w:val="24"/>
        </w:rPr>
        <w:t xml:space="preserve">were </w:t>
      </w:r>
      <w:r w:rsidR="004E663F" w:rsidRPr="00200CCC">
        <w:rPr>
          <w:rFonts w:cstheme="minorHAnsi"/>
          <w:color w:val="000000" w:themeColor="text1"/>
          <w:sz w:val="24"/>
          <w:szCs w:val="24"/>
        </w:rPr>
        <w:t xml:space="preserve">significant for </w:t>
      </w:r>
      <w:r w:rsidR="00303DEB" w:rsidRPr="00200CCC">
        <w:rPr>
          <w:rFonts w:cstheme="minorHAnsi"/>
          <w:color w:val="000000" w:themeColor="text1"/>
          <w:sz w:val="24"/>
          <w:szCs w:val="24"/>
        </w:rPr>
        <w:t xml:space="preserve">only </w:t>
      </w:r>
      <w:r w:rsidR="004E663F" w:rsidRPr="00200CCC">
        <w:rPr>
          <w:rFonts w:cstheme="minorHAnsi"/>
          <w:color w:val="000000" w:themeColor="text1"/>
          <w:sz w:val="24"/>
          <w:szCs w:val="24"/>
        </w:rPr>
        <w:t>the 120mg dose group for treatment response (</w:t>
      </w:r>
      <w:r w:rsidR="005A7510" w:rsidRPr="00200CCC">
        <w:rPr>
          <w:rFonts w:cstheme="minorHAnsi"/>
          <w:color w:val="000000" w:themeColor="text1"/>
          <w:sz w:val="24"/>
          <w:szCs w:val="24"/>
        </w:rPr>
        <w:t>48%</w:t>
      </w:r>
      <w:r w:rsidR="004E663F" w:rsidRPr="00200CCC">
        <w:rPr>
          <w:rFonts w:cstheme="minorHAnsi"/>
          <w:color w:val="000000" w:themeColor="text1"/>
          <w:sz w:val="24"/>
          <w:szCs w:val="24"/>
        </w:rPr>
        <w:t xml:space="preserve"> vs </w:t>
      </w:r>
      <w:r w:rsidR="00DC545A" w:rsidRPr="00200CCC">
        <w:rPr>
          <w:rFonts w:cstheme="minorHAnsi"/>
          <w:color w:val="000000" w:themeColor="text1"/>
          <w:sz w:val="24"/>
          <w:szCs w:val="24"/>
        </w:rPr>
        <w:t>24.3%</w:t>
      </w:r>
      <w:r w:rsidR="004E663F" w:rsidRPr="00200CCC">
        <w:rPr>
          <w:rFonts w:cstheme="minorHAnsi"/>
          <w:color w:val="000000" w:themeColor="text1"/>
          <w:sz w:val="24"/>
          <w:szCs w:val="24"/>
        </w:rPr>
        <w:t>, p=0.046</w:t>
      </w:r>
      <w:r w:rsidR="00F30368" w:rsidRPr="00200CCC">
        <w:rPr>
          <w:rFonts w:cstheme="minorHAnsi"/>
          <w:color w:val="000000" w:themeColor="text1"/>
          <w:sz w:val="24"/>
          <w:szCs w:val="24"/>
        </w:rPr>
        <w:t>; Extended Data Tables 2 and 3</w:t>
      </w:r>
      <w:r w:rsidR="004E663F" w:rsidRPr="00200CCC">
        <w:rPr>
          <w:rFonts w:cstheme="minorHAnsi"/>
          <w:color w:val="000000" w:themeColor="text1"/>
          <w:sz w:val="24"/>
          <w:szCs w:val="24"/>
        </w:rPr>
        <w:t>). Compared with baseline, CGI-S scores improved in participants randomized to ketamine, however this was not statistically significant</w:t>
      </w:r>
      <w:r w:rsidR="006E62E3" w:rsidRPr="00200CCC">
        <w:rPr>
          <w:rFonts w:cstheme="minorHAnsi"/>
          <w:color w:val="000000" w:themeColor="text1"/>
          <w:sz w:val="24"/>
          <w:szCs w:val="24"/>
        </w:rPr>
        <w:t xml:space="preserve"> compared with placebo</w:t>
      </w:r>
      <w:r w:rsidR="004E663F" w:rsidRPr="00200CCC">
        <w:rPr>
          <w:rFonts w:cstheme="minorHAnsi"/>
          <w:color w:val="000000" w:themeColor="text1"/>
          <w:sz w:val="24"/>
          <w:szCs w:val="24"/>
        </w:rPr>
        <w:t xml:space="preserve">. With the exception of the 60mg dose group, the </w:t>
      </w:r>
      <w:r w:rsidR="00413C3B" w:rsidRPr="00200CCC">
        <w:rPr>
          <w:rFonts w:cstheme="minorHAnsi"/>
          <w:color w:val="000000" w:themeColor="text1"/>
          <w:sz w:val="24"/>
          <w:szCs w:val="24"/>
        </w:rPr>
        <w:t xml:space="preserve">120mg and 180mg </w:t>
      </w:r>
      <w:r w:rsidR="004E663F" w:rsidRPr="00200CCC">
        <w:rPr>
          <w:rFonts w:cstheme="minorHAnsi"/>
          <w:color w:val="000000" w:themeColor="text1"/>
          <w:sz w:val="24"/>
          <w:szCs w:val="24"/>
        </w:rPr>
        <w:t xml:space="preserve">ketamine dose groups had higher </w:t>
      </w:r>
      <w:r w:rsidR="00671994" w:rsidRPr="00200CCC">
        <w:rPr>
          <w:rFonts w:cstheme="minorHAnsi"/>
          <w:color w:val="000000" w:themeColor="text1"/>
          <w:sz w:val="24"/>
          <w:szCs w:val="24"/>
        </w:rPr>
        <w:t xml:space="preserve">probability </w:t>
      </w:r>
      <w:r w:rsidR="004E663F" w:rsidRPr="00200CCC">
        <w:rPr>
          <w:rFonts w:cstheme="minorHAnsi"/>
          <w:color w:val="000000" w:themeColor="text1"/>
          <w:sz w:val="24"/>
          <w:szCs w:val="24"/>
        </w:rPr>
        <w:t>of improvement in depression severity from the subject’s perspective, using the PGI-I scale, compared with the placebo group</w:t>
      </w:r>
      <w:r w:rsidR="00671994" w:rsidRPr="00200CCC">
        <w:rPr>
          <w:rFonts w:cstheme="minorHAnsi"/>
          <w:color w:val="000000" w:themeColor="text1"/>
          <w:sz w:val="24"/>
          <w:szCs w:val="24"/>
        </w:rPr>
        <w:t xml:space="preserve"> (OR (95% CI) 30mg: 0.52 (0.09, 2.78); 60mg</w:t>
      </w:r>
      <w:r w:rsidR="00284822" w:rsidRPr="00200CCC">
        <w:rPr>
          <w:rFonts w:cstheme="minorHAnsi"/>
          <w:color w:val="000000" w:themeColor="text1"/>
          <w:sz w:val="24"/>
          <w:szCs w:val="24"/>
        </w:rPr>
        <w:t>:</w:t>
      </w:r>
      <w:r w:rsidR="00671994" w:rsidRPr="00200CCC">
        <w:rPr>
          <w:rFonts w:cstheme="minorHAnsi"/>
          <w:color w:val="000000" w:themeColor="text1"/>
          <w:sz w:val="24"/>
          <w:szCs w:val="24"/>
        </w:rPr>
        <w:t xml:space="preserve"> 1.62 (0.36, 7.42)</w:t>
      </w:r>
      <w:r w:rsidR="00284822" w:rsidRPr="00200CCC">
        <w:rPr>
          <w:rFonts w:cstheme="minorHAnsi"/>
          <w:color w:val="000000" w:themeColor="text1"/>
          <w:sz w:val="24"/>
          <w:szCs w:val="24"/>
        </w:rPr>
        <w:t xml:space="preserve">; 120mg: 0.28 (0.06, 1.25); 180mg: 0.82 (0.19, 3.51) </w:t>
      </w:r>
      <w:r w:rsidR="007A6172" w:rsidRPr="00200CCC">
        <w:rPr>
          <w:rFonts w:cstheme="minorHAnsi"/>
          <w:color w:val="000000" w:themeColor="text1"/>
          <w:sz w:val="24"/>
          <w:szCs w:val="24"/>
        </w:rPr>
        <w:t>(</w:t>
      </w:r>
      <w:r w:rsidR="00284822" w:rsidRPr="00200CCC">
        <w:rPr>
          <w:rFonts w:cstheme="minorHAnsi"/>
          <w:color w:val="000000" w:themeColor="text1"/>
          <w:sz w:val="24"/>
          <w:szCs w:val="24"/>
        </w:rPr>
        <w:t xml:space="preserve">ORs&lt;1 </w:t>
      </w:r>
      <w:r w:rsidR="00284822" w:rsidRPr="00200CCC">
        <w:rPr>
          <w:rFonts w:cstheme="minorHAnsi"/>
          <w:sz w:val="24"/>
          <w:szCs w:val="24"/>
        </w:rPr>
        <w:t>signify higher probabilities for the active treatment group for lower categories compared with the placebo group)</w:t>
      </w:r>
      <w:r w:rsidR="00671994" w:rsidRPr="00200CCC">
        <w:rPr>
          <w:rFonts w:cstheme="minorHAnsi"/>
          <w:color w:val="000000" w:themeColor="text1"/>
          <w:sz w:val="24"/>
          <w:szCs w:val="24"/>
        </w:rPr>
        <w:t xml:space="preserve"> </w:t>
      </w:r>
      <w:r w:rsidR="007A6172" w:rsidRPr="00200CCC">
        <w:rPr>
          <w:rFonts w:cstheme="minorHAnsi"/>
          <w:color w:val="000000" w:themeColor="text1"/>
          <w:sz w:val="24"/>
          <w:szCs w:val="24"/>
        </w:rPr>
        <w:t>(</w:t>
      </w:r>
      <w:r w:rsidR="005F6FA3" w:rsidRPr="00200CCC">
        <w:rPr>
          <w:sz w:val="24"/>
          <w:szCs w:val="24"/>
        </w:rPr>
        <w:t xml:space="preserve">Extended Data </w:t>
      </w:r>
      <w:r w:rsidR="007A6172" w:rsidRPr="00200CCC">
        <w:rPr>
          <w:rFonts w:cstheme="minorHAnsi"/>
          <w:color w:val="000000" w:themeColor="text1"/>
          <w:sz w:val="24"/>
          <w:szCs w:val="24"/>
        </w:rPr>
        <w:t>Table 4)</w:t>
      </w:r>
      <w:r w:rsidR="004E663F" w:rsidRPr="00200CCC">
        <w:rPr>
          <w:rFonts w:cstheme="minorHAnsi"/>
          <w:color w:val="000000" w:themeColor="text1"/>
          <w:sz w:val="24"/>
          <w:szCs w:val="24"/>
        </w:rPr>
        <w:t>.</w:t>
      </w:r>
    </w:p>
    <w:p w14:paraId="61D5DD24" w14:textId="77777777" w:rsidR="00C80241" w:rsidRPr="00200CCC" w:rsidRDefault="00C80241" w:rsidP="0019676F">
      <w:pPr>
        <w:shd w:val="clear" w:color="auto" w:fill="FFFFFF"/>
        <w:spacing w:after="240" w:line="360" w:lineRule="auto"/>
        <w:rPr>
          <w:rFonts w:cstheme="minorHAnsi"/>
          <w:color w:val="000000" w:themeColor="text1"/>
          <w:sz w:val="24"/>
          <w:szCs w:val="24"/>
        </w:rPr>
      </w:pPr>
      <w:r w:rsidRPr="00200CCC">
        <w:rPr>
          <w:rFonts w:cstheme="minorHAnsi"/>
          <w:color w:val="000000" w:themeColor="text1"/>
          <w:sz w:val="24"/>
          <w:szCs w:val="24"/>
        </w:rPr>
        <w:t xml:space="preserve">Temporal trends in relapse </w:t>
      </w:r>
      <w:r w:rsidR="00104D47" w:rsidRPr="00200CCC">
        <w:rPr>
          <w:rFonts w:cstheme="minorHAnsi"/>
          <w:color w:val="000000" w:themeColor="text1"/>
          <w:sz w:val="24"/>
          <w:szCs w:val="24"/>
        </w:rPr>
        <w:t>and numbers of patients in each</w:t>
      </w:r>
      <w:r w:rsidRPr="00200CCC">
        <w:rPr>
          <w:rFonts w:cstheme="minorHAnsi"/>
          <w:color w:val="000000" w:themeColor="text1"/>
          <w:sz w:val="24"/>
          <w:szCs w:val="24"/>
        </w:rPr>
        <w:t xml:space="preserve"> dose group </w:t>
      </w:r>
      <w:r w:rsidR="00104D47" w:rsidRPr="00200CCC">
        <w:rPr>
          <w:rFonts w:cstheme="minorHAnsi"/>
          <w:color w:val="000000" w:themeColor="text1"/>
          <w:sz w:val="24"/>
          <w:szCs w:val="24"/>
        </w:rPr>
        <w:t xml:space="preserve">are </w:t>
      </w:r>
      <w:r w:rsidRPr="00200CCC">
        <w:rPr>
          <w:rFonts w:cstheme="minorHAnsi"/>
          <w:color w:val="000000" w:themeColor="text1"/>
          <w:sz w:val="24"/>
          <w:szCs w:val="24"/>
        </w:rPr>
        <w:t xml:space="preserve">shown in </w:t>
      </w:r>
      <w:r w:rsidR="00002BD7" w:rsidRPr="00200CCC">
        <w:rPr>
          <w:rFonts w:cstheme="minorHAnsi"/>
          <w:color w:val="000000" w:themeColor="text1"/>
          <w:sz w:val="24"/>
          <w:szCs w:val="24"/>
        </w:rPr>
        <w:t>the Kaplan-Meier plot (</w:t>
      </w:r>
      <w:r w:rsidRPr="00200CCC">
        <w:rPr>
          <w:rFonts w:cstheme="minorHAnsi"/>
          <w:color w:val="000000" w:themeColor="text1"/>
          <w:sz w:val="24"/>
          <w:szCs w:val="24"/>
        </w:rPr>
        <w:t xml:space="preserve">Figure </w:t>
      </w:r>
      <w:r w:rsidR="00D93702" w:rsidRPr="00200CCC">
        <w:rPr>
          <w:rFonts w:cstheme="minorHAnsi"/>
          <w:color w:val="000000" w:themeColor="text1"/>
          <w:sz w:val="24"/>
          <w:szCs w:val="24"/>
        </w:rPr>
        <w:t>3</w:t>
      </w:r>
      <w:r w:rsidR="00002BD7" w:rsidRPr="00200CCC">
        <w:rPr>
          <w:rFonts w:cstheme="minorHAnsi"/>
          <w:color w:val="000000" w:themeColor="text1"/>
          <w:sz w:val="24"/>
          <w:szCs w:val="24"/>
        </w:rPr>
        <w:t>)</w:t>
      </w:r>
      <w:r w:rsidRPr="00200CCC">
        <w:rPr>
          <w:rFonts w:cstheme="minorHAnsi"/>
          <w:color w:val="000000" w:themeColor="text1"/>
          <w:sz w:val="24"/>
          <w:szCs w:val="24"/>
        </w:rPr>
        <w:t xml:space="preserve">. </w:t>
      </w:r>
      <w:proofErr w:type="gramStart"/>
      <w:r w:rsidR="007D04C5" w:rsidRPr="00200CCC">
        <w:rPr>
          <w:rFonts w:cstheme="minorHAnsi"/>
          <w:color w:val="000000" w:themeColor="text1"/>
          <w:sz w:val="24"/>
          <w:szCs w:val="24"/>
        </w:rPr>
        <w:t>The majority of</w:t>
      </w:r>
      <w:proofErr w:type="gramEnd"/>
      <w:r w:rsidR="007D04C5" w:rsidRPr="00200CCC">
        <w:rPr>
          <w:rFonts w:cstheme="minorHAnsi"/>
          <w:color w:val="000000" w:themeColor="text1"/>
          <w:sz w:val="24"/>
          <w:szCs w:val="24"/>
        </w:rPr>
        <w:t xml:space="preserve"> relapses occurred within the first 4 weeks</w:t>
      </w:r>
      <w:r w:rsidR="00002BD7" w:rsidRPr="00200CCC">
        <w:rPr>
          <w:rFonts w:cstheme="minorHAnsi"/>
          <w:color w:val="000000" w:themeColor="text1"/>
          <w:sz w:val="24"/>
          <w:szCs w:val="24"/>
        </w:rPr>
        <w:t xml:space="preserve"> of double-blind treatment</w:t>
      </w:r>
      <w:r w:rsidR="007D04C5" w:rsidRPr="00200CCC">
        <w:rPr>
          <w:rFonts w:cstheme="minorHAnsi"/>
          <w:color w:val="000000" w:themeColor="text1"/>
          <w:sz w:val="24"/>
          <w:szCs w:val="24"/>
        </w:rPr>
        <w:t xml:space="preserve">. </w:t>
      </w:r>
      <w:r w:rsidRPr="00200CCC">
        <w:rPr>
          <w:rFonts w:cstheme="minorHAnsi"/>
          <w:color w:val="000000" w:themeColor="text1"/>
          <w:sz w:val="24"/>
          <w:szCs w:val="24"/>
        </w:rPr>
        <w:t xml:space="preserve">The median relapse time after randomization increased with higher </w:t>
      </w:r>
      <w:r w:rsidR="00E90BE7" w:rsidRPr="00200CCC">
        <w:rPr>
          <w:rFonts w:cstheme="minorHAnsi"/>
          <w:color w:val="000000" w:themeColor="text1"/>
          <w:sz w:val="24"/>
          <w:szCs w:val="24"/>
        </w:rPr>
        <w:t xml:space="preserve">R-107 </w:t>
      </w:r>
      <w:r w:rsidRPr="00200CCC">
        <w:rPr>
          <w:rFonts w:cstheme="minorHAnsi"/>
          <w:color w:val="000000" w:themeColor="text1"/>
          <w:sz w:val="24"/>
          <w:szCs w:val="24"/>
        </w:rPr>
        <w:t xml:space="preserve">doses (placebo: 45 days; 30mg: 28 days; 60 mg: 56 days; 120 mg: 64 days; and 180mg: </w:t>
      </w:r>
      <w:r w:rsidRPr="00200CCC">
        <w:rPr>
          <w:rFonts w:cstheme="minorHAnsi"/>
          <w:color w:val="000000" w:themeColor="text1"/>
          <w:sz w:val="24"/>
          <w:szCs w:val="24"/>
        </w:rPr>
        <w:lastRenderedPageBreak/>
        <w:t>&gt;85 days). The difference in the r</w:t>
      </w:r>
      <w:r w:rsidRPr="00200CCC">
        <w:rPr>
          <w:rFonts w:cstheme="minorHAnsi"/>
          <w:color w:val="000000" w:themeColor="text1"/>
          <w:sz w:val="24"/>
          <w:szCs w:val="24"/>
          <w:shd w:val="clear" w:color="auto" w:fill="FFFFFF"/>
        </w:rPr>
        <w:t>estricted mean survival time</w:t>
      </w:r>
      <w:r w:rsidRPr="00200CCC">
        <w:rPr>
          <w:rFonts w:cstheme="minorHAnsi"/>
          <w:color w:val="000000" w:themeColor="text1"/>
          <w:sz w:val="24"/>
          <w:szCs w:val="24"/>
        </w:rPr>
        <w:t xml:space="preserve"> for the 180 mg treatment group was significantly </w:t>
      </w:r>
      <w:r w:rsidR="00303DEB" w:rsidRPr="00200CCC">
        <w:rPr>
          <w:rFonts w:cstheme="minorHAnsi"/>
          <w:color w:val="000000" w:themeColor="text1"/>
          <w:sz w:val="24"/>
          <w:szCs w:val="24"/>
        </w:rPr>
        <w:t>greater</w:t>
      </w:r>
      <w:r w:rsidRPr="00200CCC">
        <w:rPr>
          <w:rFonts w:cstheme="minorHAnsi"/>
          <w:color w:val="000000" w:themeColor="text1"/>
          <w:sz w:val="24"/>
          <w:szCs w:val="24"/>
        </w:rPr>
        <w:t xml:space="preserve"> compared with the placebo group (19.0 [95% CI: 4.9 </w:t>
      </w:r>
      <w:r w:rsidR="007A6172" w:rsidRPr="00200CCC">
        <w:rPr>
          <w:rFonts w:cstheme="minorHAnsi"/>
          <w:color w:val="000000" w:themeColor="text1"/>
          <w:sz w:val="24"/>
          <w:szCs w:val="24"/>
        </w:rPr>
        <w:t>-</w:t>
      </w:r>
      <w:r w:rsidRPr="00200CCC">
        <w:rPr>
          <w:rFonts w:cstheme="minorHAnsi"/>
          <w:color w:val="000000" w:themeColor="text1"/>
          <w:sz w:val="24"/>
          <w:szCs w:val="24"/>
        </w:rPr>
        <w:t xml:space="preserve"> 33.1]).</w:t>
      </w:r>
    </w:p>
    <w:p w14:paraId="6491A43D" w14:textId="77777777" w:rsidR="00506281" w:rsidRPr="00200CCC" w:rsidRDefault="004E663F" w:rsidP="0019676F">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t>Safety Outcomes</w:t>
      </w:r>
      <w:r w:rsidR="00B83329" w:rsidRPr="00200CCC">
        <w:rPr>
          <w:rFonts w:cstheme="minorHAnsi"/>
          <w:b/>
          <w:color w:val="000000" w:themeColor="text1"/>
          <w:sz w:val="24"/>
          <w:szCs w:val="24"/>
        </w:rPr>
        <w:t xml:space="preserve"> </w:t>
      </w:r>
    </w:p>
    <w:p w14:paraId="4256A328" w14:textId="77777777" w:rsidR="00B67E6C" w:rsidRPr="00200CCC" w:rsidRDefault="0040508D" w:rsidP="0040508D">
      <w:pPr>
        <w:pStyle w:val="CommentText"/>
        <w:spacing w:line="360" w:lineRule="auto"/>
        <w:rPr>
          <w:rFonts w:cstheme="minorHAnsi"/>
          <w:color w:val="000000" w:themeColor="text1"/>
          <w:sz w:val="24"/>
          <w:szCs w:val="24"/>
        </w:rPr>
      </w:pPr>
      <w:r w:rsidRPr="00200CCC">
        <w:rPr>
          <w:rFonts w:cstheme="minorHAnsi"/>
          <w:sz w:val="24"/>
          <w:szCs w:val="24"/>
        </w:rPr>
        <w:t xml:space="preserve">Adverse events were rated </w:t>
      </w:r>
      <w:proofErr w:type="spellStart"/>
      <w:r w:rsidRPr="00200CCC">
        <w:rPr>
          <w:rFonts w:cstheme="minorHAnsi"/>
          <w:sz w:val="24"/>
          <w:szCs w:val="24"/>
        </w:rPr>
        <w:t>predose</w:t>
      </w:r>
      <w:proofErr w:type="spellEnd"/>
      <w:r w:rsidRPr="00200CCC">
        <w:rPr>
          <w:rFonts w:cstheme="minorHAnsi"/>
          <w:sz w:val="24"/>
          <w:szCs w:val="24"/>
        </w:rPr>
        <w:t xml:space="preserve"> and post dose prior to leaving clinic, and on scheduled telephone calls.  </w:t>
      </w:r>
      <w:r w:rsidR="00B67E6C" w:rsidRPr="00200CCC">
        <w:rPr>
          <w:rFonts w:cstheme="minorHAnsi"/>
          <w:color w:val="000000" w:themeColor="text1"/>
          <w:sz w:val="24"/>
          <w:szCs w:val="24"/>
        </w:rPr>
        <w:t xml:space="preserve">During the </w:t>
      </w:r>
      <w:r w:rsidR="003B4F3F" w:rsidRPr="00200CCC">
        <w:rPr>
          <w:rFonts w:cstheme="minorHAnsi"/>
          <w:color w:val="000000" w:themeColor="text1"/>
          <w:sz w:val="24"/>
          <w:szCs w:val="24"/>
        </w:rPr>
        <w:t xml:space="preserve">open-label </w:t>
      </w:r>
      <w:r w:rsidR="00B67E6C" w:rsidRPr="00200CCC">
        <w:rPr>
          <w:rFonts w:cstheme="minorHAnsi"/>
          <w:color w:val="000000" w:themeColor="text1"/>
          <w:sz w:val="24"/>
          <w:szCs w:val="24"/>
        </w:rPr>
        <w:t xml:space="preserve">enrichment phase, </w:t>
      </w:r>
      <w:r w:rsidR="00363E48" w:rsidRPr="00200CCC">
        <w:rPr>
          <w:rFonts w:cstheme="minorHAnsi"/>
          <w:color w:val="000000" w:themeColor="text1"/>
          <w:sz w:val="24"/>
          <w:szCs w:val="24"/>
        </w:rPr>
        <w:t xml:space="preserve">the most common adverse events included </w:t>
      </w:r>
      <w:r w:rsidR="00363E48" w:rsidRPr="00200CCC">
        <w:rPr>
          <w:rFonts w:cstheme="minorHAnsi"/>
          <w:sz w:val="24"/>
          <w:szCs w:val="24"/>
        </w:rPr>
        <w:t xml:space="preserve">dizziness, headache, dissociation, feeling abnormal, fatigue, and nausea. </w:t>
      </w:r>
      <w:r w:rsidR="00B67E6C" w:rsidRPr="00200CCC">
        <w:rPr>
          <w:rFonts w:cstheme="minorHAnsi"/>
          <w:color w:val="000000" w:themeColor="text1"/>
          <w:sz w:val="24"/>
          <w:szCs w:val="24"/>
        </w:rPr>
        <w:t>26 participants (11.6%) reported dissociation</w:t>
      </w:r>
      <w:r w:rsidR="00F75703" w:rsidRPr="00200CCC">
        <w:rPr>
          <w:rFonts w:cstheme="minorHAnsi"/>
          <w:color w:val="000000" w:themeColor="text1"/>
          <w:sz w:val="24"/>
          <w:szCs w:val="24"/>
        </w:rPr>
        <w:t xml:space="preserve">. Mean </w:t>
      </w:r>
      <w:r w:rsidR="0068144D" w:rsidRPr="00200CCC">
        <w:rPr>
          <w:rFonts w:cstheme="minorHAnsi"/>
          <w:color w:val="000000" w:themeColor="text1"/>
          <w:sz w:val="24"/>
          <w:szCs w:val="24"/>
        </w:rPr>
        <w:t>dissociation (</w:t>
      </w:r>
      <w:r w:rsidR="00F75703" w:rsidRPr="00200CCC">
        <w:rPr>
          <w:rFonts w:cstheme="minorHAnsi"/>
          <w:color w:val="000000" w:themeColor="text1"/>
          <w:sz w:val="24"/>
          <w:szCs w:val="24"/>
        </w:rPr>
        <w:t>CADSS</w:t>
      </w:r>
      <w:r w:rsidR="0068144D" w:rsidRPr="00200CCC">
        <w:rPr>
          <w:rFonts w:cstheme="minorHAnsi"/>
          <w:color w:val="000000" w:themeColor="text1"/>
          <w:sz w:val="24"/>
          <w:szCs w:val="24"/>
        </w:rPr>
        <w:t>)</w:t>
      </w:r>
      <w:r w:rsidR="00F75703" w:rsidRPr="00200CCC">
        <w:rPr>
          <w:rFonts w:cstheme="minorHAnsi"/>
          <w:color w:val="000000" w:themeColor="text1"/>
          <w:sz w:val="24"/>
          <w:szCs w:val="24"/>
        </w:rPr>
        <w:t xml:space="preserve"> scores were &lt;3 for all participants</w:t>
      </w:r>
      <w:r w:rsidR="00303DEB" w:rsidRPr="00200CCC">
        <w:rPr>
          <w:rFonts w:cstheme="minorHAnsi"/>
          <w:color w:val="000000" w:themeColor="text1"/>
          <w:sz w:val="24"/>
          <w:szCs w:val="24"/>
        </w:rPr>
        <w:t xml:space="preserve"> throughout this phase</w:t>
      </w:r>
      <w:r w:rsidR="00B67E6C" w:rsidRPr="00200CCC">
        <w:rPr>
          <w:rFonts w:cstheme="minorHAnsi"/>
          <w:color w:val="000000" w:themeColor="text1"/>
          <w:sz w:val="24"/>
          <w:szCs w:val="24"/>
        </w:rPr>
        <w:t xml:space="preserve">. </w:t>
      </w:r>
      <w:r w:rsidR="003B4F3F" w:rsidRPr="00200CCC">
        <w:rPr>
          <w:rFonts w:cstheme="minorHAnsi"/>
          <w:color w:val="000000" w:themeColor="text1"/>
          <w:sz w:val="24"/>
          <w:szCs w:val="24"/>
        </w:rPr>
        <w:t xml:space="preserve">Mean blood pressure changes after 5 days of </w:t>
      </w:r>
      <w:proofErr w:type="gramStart"/>
      <w:r w:rsidR="003B4F3F" w:rsidRPr="00200CCC">
        <w:rPr>
          <w:rFonts w:cstheme="minorHAnsi"/>
          <w:color w:val="000000" w:themeColor="text1"/>
          <w:sz w:val="24"/>
          <w:szCs w:val="24"/>
        </w:rPr>
        <w:t>open-label</w:t>
      </w:r>
      <w:proofErr w:type="gramEnd"/>
      <w:r w:rsidR="003B4F3F" w:rsidRPr="00200CCC">
        <w:rPr>
          <w:rFonts w:cstheme="minorHAnsi"/>
          <w:color w:val="000000" w:themeColor="text1"/>
          <w:sz w:val="24"/>
          <w:szCs w:val="24"/>
        </w:rPr>
        <w:t xml:space="preserve"> 120mg daily dosing in the enrichment phase were systolic and diastolic blood pressure changes of -1.2mmHg and -0.1mmHg, respectively.</w:t>
      </w:r>
    </w:p>
    <w:p w14:paraId="10BE1E0F" w14:textId="77777777" w:rsidR="00B67E6C" w:rsidRPr="00200CCC" w:rsidRDefault="002B08B9" w:rsidP="0019676F">
      <w:pPr>
        <w:shd w:val="clear" w:color="auto" w:fill="FFFFFF"/>
        <w:spacing w:after="240" w:line="360" w:lineRule="auto"/>
        <w:rPr>
          <w:rFonts w:cstheme="minorHAnsi"/>
          <w:color w:val="000000" w:themeColor="text1"/>
          <w:sz w:val="24"/>
          <w:szCs w:val="24"/>
        </w:rPr>
      </w:pPr>
      <w:r w:rsidRPr="00200CCC">
        <w:rPr>
          <w:rFonts w:cstheme="minorHAnsi"/>
          <w:color w:val="000000" w:themeColor="text1"/>
          <w:sz w:val="24"/>
          <w:szCs w:val="24"/>
        </w:rPr>
        <w:t xml:space="preserve">The most common side effects reported in the double-blind treatment phase are shown in Table </w:t>
      </w:r>
      <w:r w:rsidR="0020720E" w:rsidRPr="00200CCC">
        <w:rPr>
          <w:rFonts w:cstheme="minorHAnsi"/>
          <w:color w:val="000000" w:themeColor="text1"/>
          <w:sz w:val="24"/>
          <w:szCs w:val="24"/>
        </w:rPr>
        <w:t>3</w:t>
      </w:r>
      <w:r w:rsidRPr="00200CCC">
        <w:rPr>
          <w:rFonts w:cstheme="minorHAnsi"/>
          <w:color w:val="000000" w:themeColor="text1"/>
          <w:sz w:val="24"/>
          <w:szCs w:val="24"/>
        </w:rPr>
        <w:t xml:space="preserve">. The majority of these were of mild intensity (131 subjects; 56.7%) or moderate intensity (42 subjects; 18.2%). </w:t>
      </w:r>
      <w:r w:rsidR="00363E48" w:rsidRPr="00200CCC">
        <w:rPr>
          <w:rFonts w:cstheme="minorHAnsi"/>
          <w:color w:val="000000" w:themeColor="text1"/>
          <w:sz w:val="24"/>
          <w:szCs w:val="24"/>
        </w:rPr>
        <w:t>Mean CADSS scores were &lt;</w:t>
      </w:r>
      <w:r w:rsidR="00F75703" w:rsidRPr="00200CCC">
        <w:rPr>
          <w:rFonts w:cstheme="minorHAnsi"/>
          <w:color w:val="000000" w:themeColor="text1"/>
          <w:sz w:val="24"/>
          <w:szCs w:val="24"/>
        </w:rPr>
        <w:t>1 point</w:t>
      </w:r>
      <w:r w:rsidR="00363E48" w:rsidRPr="00200CCC">
        <w:rPr>
          <w:rFonts w:cstheme="minorHAnsi"/>
          <w:color w:val="000000" w:themeColor="text1"/>
          <w:sz w:val="24"/>
          <w:szCs w:val="24"/>
        </w:rPr>
        <w:t xml:space="preserve"> at all </w:t>
      </w:r>
      <w:r w:rsidR="00C21684" w:rsidRPr="00200CCC">
        <w:rPr>
          <w:rFonts w:cstheme="minorHAnsi"/>
          <w:color w:val="000000" w:themeColor="text1"/>
          <w:sz w:val="24"/>
          <w:szCs w:val="24"/>
        </w:rPr>
        <w:t>visits</w:t>
      </w:r>
      <w:r w:rsidR="00363E48" w:rsidRPr="00200CCC">
        <w:rPr>
          <w:rFonts w:cstheme="minorHAnsi"/>
          <w:color w:val="000000" w:themeColor="text1"/>
          <w:sz w:val="24"/>
          <w:szCs w:val="24"/>
        </w:rPr>
        <w:t xml:space="preserve"> during the double-blind phase of the study.</w:t>
      </w:r>
      <w:r w:rsidR="003B4F3F" w:rsidRPr="00200CCC">
        <w:rPr>
          <w:rFonts w:cstheme="minorHAnsi"/>
          <w:color w:val="000000" w:themeColor="text1"/>
          <w:sz w:val="24"/>
          <w:szCs w:val="24"/>
        </w:rPr>
        <w:t xml:space="preserve"> Sedation of mild severity was reported by a total of 5 participants (30mg – n=4; 120mg – n=1). Mean CADSS scores were &lt;1 point at all timepoints during this phase of the study. Mean ratings of cystitis symptoms using the BPIC questionnaire remained less than 3 points throughout the study, out of a maximum of 38, with no differences between placebo and 180mg dose groups.</w:t>
      </w:r>
    </w:p>
    <w:p w14:paraId="6893E7D5" w14:textId="77777777" w:rsidR="00C364EA" w:rsidRPr="00200CCC" w:rsidRDefault="00B8456D" w:rsidP="0019676F">
      <w:pPr>
        <w:shd w:val="clear" w:color="auto" w:fill="FFFFFF"/>
        <w:spacing w:after="240" w:line="360" w:lineRule="auto"/>
        <w:rPr>
          <w:rFonts w:cstheme="minorHAnsi"/>
          <w:color w:val="000000" w:themeColor="text1"/>
          <w:sz w:val="24"/>
          <w:szCs w:val="24"/>
        </w:rPr>
      </w:pPr>
      <w:r w:rsidRPr="00200CCC">
        <w:rPr>
          <w:rFonts w:cstheme="minorHAnsi"/>
          <w:color w:val="000000" w:themeColor="text1"/>
          <w:sz w:val="24"/>
          <w:szCs w:val="24"/>
        </w:rPr>
        <w:t>During double-blind treatment, t</w:t>
      </w:r>
      <w:r w:rsidR="004E663F" w:rsidRPr="00200CCC">
        <w:rPr>
          <w:rFonts w:cstheme="minorHAnsi"/>
          <w:color w:val="000000" w:themeColor="text1"/>
          <w:sz w:val="24"/>
          <w:szCs w:val="24"/>
        </w:rPr>
        <w:t xml:space="preserve">here were </w:t>
      </w:r>
      <w:r w:rsidR="002B08B9" w:rsidRPr="00200CCC">
        <w:rPr>
          <w:rFonts w:cstheme="minorHAnsi"/>
          <w:color w:val="000000" w:themeColor="text1"/>
          <w:sz w:val="24"/>
          <w:szCs w:val="24"/>
        </w:rPr>
        <w:t>10 severe adverse events in 8 participants: severe headache (30mg and 60mg dose groups); severe depression (120mg and 180mg dose groups); completed suicide</w:t>
      </w:r>
      <w:r w:rsidR="00B67E6C" w:rsidRPr="00200CCC">
        <w:rPr>
          <w:rFonts w:cstheme="minorHAnsi"/>
          <w:color w:val="000000" w:themeColor="text1"/>
          <w:sz w:val="24"/>
          <w:szCs w:val="24"/>
        </w:rPr>
        <w:t xml:space="preserve"> at day 42 in a </w:t>
      </w:r>
      <w:r w:rsidR="00972A7B" w:rsidRPr="00200CCC">
        <w:rPr>
          <w:rFonts w:cstheme="minorHAnsi"/>
          <w:color w:val="000000" w:themeColor="text1"/>
          <w:sz w:val="24"/>
          <w:szCs w:val="24"/>
        </w:rPr>
        <w:t>65-year-old</w:t>
      </w:r>
      <w:r w:rsidR="00B67E6C" w:rsidRPr="00200CCC">
        <w:rPr>
          <w:rFonts w:cstheme="minorHAnsi"/>
          <w:color w:val="000000" w:themeColor="text1"/>
          <w:sz w:val="24"/>
          <w:szCs w:val="24"/>
        </w:rPr>
        <w:t xml:space="preserve"> male</w:t>
      </w:r>
      <w:r w:rsidR="002B08B9" w:rsidRPr="00200CCC">
        <w:rPr>
          <w:rFonts w:cstheme="minorHAnsi"/>
          <w:color w:val="000000" w:themeColor="text1"/>
          <w:sz w:val="24"/>
          <w:szCs w:val="24"/>
        </w:rPr>
        <w:t xml:space="preserve"> (180mg dose group); non-cardiac chest pain (60mg dose group); nausea (30mg dose group); intervertebral disc protrusion (120mg dose group); and nephrolithiasis and ureter</w:t>
      </w:r>
      <w:r w:rsidR="00B67E6C" w:rsidRPr="00200CCC">
        <w:rPr>
          <w:rFonts w:cstheme="minorHAnsi"/>
          <w:color w:val="000000" w:themeColor="text1"/>
          <w:sz w:val="24"/>
          <w:szCs w:val="24"/>
        </w:rPr>
        <w:t>olithiasis (</w:t>
      </w:r>
      <w:r w:rsidR="006C6B36" w:rsidRPr="00200CCC">
        <w:rPr>
          <w:rFonts w:cstheme="minorHAnsi"/>
          <w:color w:val="000000" w:themeColor="text1"/>
          <w:sz w:val="24"/>
          <w:szCs w:val="24"/>
        </w:rPr>
        <w:t xml:space="preserve">in 1 participant in the </w:t>
      </w:r>
      <w:r w:rsidR="00B67E6C" w:rsidRPr="00200CCC">
        <w:rPr>
          <w:rFonts w:cstheme="minorHAnsi"/>
          <w:color w:val="000000" w:themeColor="text1"/>
          <w:sz w:val="24"/>
          <w:szCs w:val="24"/>
        </w:rPr>
        <w:t xml:space="preserve">placebo group). </w:t>
      </w:r>
      <w:r w:rsidR="00F17A4E" w:rsidRPr="00200CCC">
        <w:rPr>
          <w:rFonts w:cstheme="minorHAnsi"/>
          <w:color w:val="000000" w:themeColor="text1"/>
          <w:sz w:val="24"/>
          <w:szCs w:val="24"/>
        </w:rPr>
        <w:t>F</w:t>
      </w:r>
      <w:r w:rsidR="00F17A4E" w:rsidRPr="00200CCC">
        <w:rPr>
          <w:rFonts w:cstheme="minorHAnsi"/>
          <w:sz w:val="24"/>
          <w:szCs w:val="24"/>
        </w:rPr>
        <w:t>ive subjects experienced serious adverse events (SAEs): three participants in the 180 mg group (wound dehiscence (n=1), suicidal ideation (n=1), and completed suicide (n=1); one participant in the 60 mg group had non-cardiac chest pain; and one participant in the placebo group had a urinary calculus. None of the SAEs were considered treatment related</w:t>
      </w:r>
      <w:r w:rsidR="002775FD" w:rsidRPr="00200CCC">
        <w:rPr>
          <w:rFonts w:cstheme="minorHAnsi"/>
          <w:sz w:val="24"/>
          <w:szCs w:val="24"/>
        </w:rPr>
        <w:t xml:space="preserve"> (the suicide was considered </w:t>
      </w:r>
      <w:r w:rsidR="000D0186" w:rsidRPr="00200CCC">
        <w:rPr>
          <w:rFonts w:cstheme="minorHAnsi"/>
          <w:sz w:val="24"/>
          <w:szCs w:val="24"/>
        </w:rPr>
        <w:t xml:space="preserve">by the site PI </w:t>
      </w:r>
      <w:r w:rsidR="002775FD" w:rsidRPr="00200CCC">
        <w:rPr>
          <w:rFonts w:cstheme="minorHAnsi"/>
          <w:sz w:val="24"/>
          <w:szCs w:val="24"/>
        </w:rPr>
        <w:t>to be due to the disease under study)</w:t>
      </w:r>
      <w:r w:rsidR="00F17A4E" w:rsidRPr="00200CCC">
        <w:rPr>
          <w:rFonts w:cstheme="minorHAnsi"/>
          <w:sz w:val="24"/>
          <w:szCs w:val="24"/>
        </w:rPr>
        <w:t xml:space="preserve">, and all SAEs resolved except </w:t>
      </w:r>
      <w:r w:rsidR="000D0186" w:rsidRPr="00200CCC">
        <w:rPr>
          <w:rFonts w:cstheme="minorHAnsi"/>
          <w:sz w:val="24"/>
          <w:szCs w:val="24"/>
        </w:rPr>
        <w:t xml:space="preserve">for </w:t>
      </w:r>
      <w:r w:rsidR="00F17A4E" w:rsidRPr="00200CCC">
        <w:rPr>
          <w:rFonts w:cstheme="minorHAnsi"/>
          <w:sz w:val="24"/>
          <w:szCs w:val="24"/>
        </w:rPr>
        <w:t xml:space="preserve">the completed suicide. </w:t>
      </w:r>
    </w:p>
    <w:p w14:paraId="0D31D409" w14:textId="77777777" w:rsidR="00363E48" w:rsidRPr="00200CCC" w:rsidRDefault="00363E48" w:rsidP="0019676F">
      <w:pPr>
        <w:shd w:val="clear" w:color="auto" w:fill="FFFFFF"/>
        <w:spacing w:after="240" w:line="360" w:lineRule="auto"/>
        <w:rPr>
          <w:rFonts w:cstheme="minorHAnsi"/>
          <w:color w:val="000000" w:themeColor="text1"/>
          <w:sz w:val="24"/>
          <w:szCs w:val="24"/>
        </w:rPr>
      </w:pPr>
      <w:r w:rsidRPr="00200CCC">
        <w:rPr>
          <w:rFonts w:cstheme="minorHAnsi"/>
          <w:color w:val="000000" w:themeColor="text1"/>
          <w:sz w:val="24"/>
          <w:szCs w:val="24"/>
        </w:rPr>
        <w:lastRenderedPageBreak/>
        <w:t>There were no changes of note in safety laboratory tests, urinalyses, vital signs</w:t>
      </w:r>
      <w:r w:rsidR="00F75703" w:rsidRPr="00200CCC">
        <w:rPr>
          <w:rFonts w:cstheme="minorHAnsi"/>
          <w:color w:val="000000" w:themeColor="text1"/>
          <w:sz w:val="24"/>
          <w:szCs w:val="24"/>
        </w:rPr>
        <w:t>, body weights</w:t>
      </w:r>
      <w:r w:rsidRPr="00200CCC">
        <w:rPr>
          <w:rFonts w:cstheme="minorHAnsi"/>
          <w:color w:val="000000" w:themeColor="text1"/>
          <w:sz w:val="24"/>
          <w:szCs w:val="24"/>
        </w:rPr>
        <w:t xml:space="preserve"> or ECGs. There were no changes of note in BPRS+ or MOCA scores during the study.</w:t>
      </w:r>
    </w:p>
    <w:p w14:paraId="4BA02833" w14:textId="77777777" w:rsidR="009B5B9B" w:rsidRPr="00200CCC" w:rsidRDefault="009B5B9B" w:rsidP="0019676F">
      <w:pPr>
        <w:shd w:val="clear" w:color="auto" w:fill="FFFFFF"/>
        <w:spacing w:after="240" w:line="360" w:lineRule="auto"/>
        <w:rPr>
          <w:rFonts w:eastAsia="Times New Roman" w:cstheme="minorHAnsi"/>
          <w:b/>
          <w:color w:val="000000" w:themeColor="text1"/>
          <w:sz w:val="24"/>
          <w:szCs w:val="24"/>
          <w:lang w:eastAsia="en-NZ"/>
        </w:rPr>
      </w:pPr>
      <w:r w:rsidRPr="00200CCC">
        <w:rPr>
          <w:rFonts w:eastAsia="Times New Roman" w:cstheme="minorHAnsi"/>
          <w:b/>
          <w:color w:val="000000" w:themeColor="text1"/>
          <w:sz w:val="24"/>
          <w:szCs w:val="24"/>
          <w:lang w:eastAsia="en-NZ"/>
        </w:rPr>
        <w:t>Discussion</w:t>
      </w:r>
      <w:r w:rsidR="00AD1DCD" w:rsidRPr="00200CCC">
        <w:rPr>
          <w:rFonts w:eastAsia="Times New Roman" w:cstheme="minorHAnsi"/>
          <w:b/>
          <w:color w:val="000000" w:themeColor="text1"/>
          <w:sz w:val="24"/>
          <w:szCs w:val="24"/>
          <w:lang w:eastAsia="en-NZ"/>
        </w:rPr>
        <w:t xml:space="preserve"> </w:t>
      </w:r>
    </w:p>
    <w:p w14:paraId="5A32F894" w14:textId="77777777" w:rsidR="00407D91" w:rsidRPr="00200CCC" w:rsidRDefault="00214215" w:rsidP="0019676F">
      <w:pPr>
        <w:spacing w:line="360" w:lineRule="auto"/>
        <w:rPr>
          <w:rFonts w:cstheme="minorHAnsi"/>
          <w:color w:val="000000" w:themeColor="text1"/>
          <w:sz w:val="24"/>
          <w:szCs w:val="24"/>
        </w:rPr>
      </w:pPr>
      <w:r w:rsidRPr="00200CCC">
        <w:rPr>
          <w:rFonts w:eastAsia="Times New Roman" w:cstheme="minorHAnsi"/>
          <w:color w:val="000000" w:themeColor="text1"/>
          <w:sz w:val="24"/>
          <w:szCs w:val="24"/>
          <w:lang w:eastAsia="en-NZ"/>
        </w:rPr>
        <w:t xml:space="preserve">In this study, 231 patients with TRD were treated with </w:t>
      </w:r>
      <w:r w:rsidR="00A0616A" w:rsidRPr="00200CCC">
        <w:rPr>
          <w:rFonts w:cstheme="minorHAnsi"/>
          <w:color w:val="000000" w:themeColor="text1"/>
          <w:sz w:val="24"/>
          <w:szCs w:val="24"/>
        </w:rPr>
        <w:t xml:space="preserve">R-107 </w:t>
      </w:r>
      <w:r w:rsidR="004C4AAB" w:rsidRPr="00200CCC">
        <w:rPr>
          <w:rFonts w:cstheme="minorHAnsi"/>
          <w:color w:val="000000" w:themeColor="text1"/>
          <w:sz w:val="24"/>
          <w:szCs w:val="24"/>
        </w:rPr>
        <w:t xml:space="preserve">120mg/day </w:t>
      </w:r>
      <w:r w:rsidRPr="00200CCC">
        <w:rPr>
          <w:rFonts w:eastAsia="Times New Roman" w:cstheme="minorHAnsi"/>
          <w:color w:val="000000" w:themeColor="text1"/>
          <w:sz w:val="24"/>
          <w:szCs w:val="24"/>
          <w:lang w:eastAsia="en-NZ"/>
        </w:rPr>
        <w:t xml:space="preserve">for 5 days, and 168 (72.7%) </w:t>
      </w:r>
      <w:r w:rsidR="00577648" w:rsidRPr="00200CCC">
        <w:rPr>
          <w:rFonts w:eastAsia="Times New Roman" w:cstheme="minorHAnsi"/>
          <w:color w:val="000000" w:themeColor="text1"/>
          <w:sz w:val="24"/>
          <w:szCs w:val="24"/>
          <w:lang w:eastAsia="en-NZ"/>
        </w:rPr>
        <w:t xml:space="preserve">were included </w:t>
      </w:r>
      <w:r w:rsidR="00BC54A3" w:rsidRPr="00200CCC">
        <w:rPr>
          <w:rFonts w:eastAsia="Times New Roman" w:cstheme="minorHAnsi"/>
          <w:color w:val="000000" w:themeColor="text1"/>
          <w:sz w:val="24"/>
          <w:szCs w:val="24"/>
          <w:lang w:eastAsia="en-NZ"/>
        </w:rPr>
        <w:t xml:space="preserve">as </w:t>
      </w:r>
      <w:r w:rsidRPr="00200CCC">
        <w:rPr>
          <w:rFonts w:eastAsia="Times New Roman" w:cstheme="minorHAnsi"/>
          <w:color w:val="000000" w:themeColor="text1"/>
          <w:sz w:val="24"/>
          <w:szCs w:val="24"/>
          <w:lang w:eastAsia="en-NZ"/>
        </w:rPr>
        <w:t>an enriched responder population</w:t>
      </w:r>
      <w:r w:rsidR="00BC1C34" w:rsidRPr="00200CCC">
        <w:rPr>
          <w:rFonts w:eastAsia="Times New Roman" w:cstheme="minorHAnsi"/>
          <w:color w:val="000000" w:themeColor="text1"/>
          <w:sz w:val="24"/>
          <w:szCs w:val="24"/>
          <w:lang w:eastAsia="en-NZ"/>
        </w:rPr>
        <w:t xml:space="preserve"> who</w:t>
      </w:r>
      <w:r w:rsidRPr="00200CCC">
        <w:rPr>
          <w:rFonts w:eastAsia="Times New Roman" w:cstheme="minorHAnsi"/>
          <w:color w:val="000000" w:themeColor="text1"/>
          <w:sz w:val="24"/>
          <w:szCs w:val="24"/>
          <w:lang w:eastAsia="en-NZ"/>
        </w:rPr>
        <w:t xml:space="preserve"> </w:t>
      </w:r>
      <w:r w:rsidR="00D13297" w:rsidRPr="00200CCC">
        <w:rPr>
          <w:rFonts w:eastAsia="Times New Roman" w:cstheme="minorHAnsi"/>
          <w:color w:val="000000" w:themeColor="text1"/>
          <w:sz w:val="24"/>
          <w:szCs w:val="24"/>
          <w:lang w:eastAsia="en-NZ"/>
        </w:rPr>
        <w:t xml:space="preserve">were </w:t>
      </w:r>
      <w:r w:rsidR="00577648" w:rsidRPr="00200CCC">
        <w:rPr>
          <w:rFonts w:eastAsia="Times New Roman" w:cstheme="minorHAnsi"/>
          <w:color w:val="000000" w:themeColor="text1"/>
          <w:sz w:val="24"/>
          <w:szCs w:val="24"/>
          <w:lang w:eastAsia="en-NZ"/>
        </w:rPr>
        <w:t xml:space="preserve">randomized to a range of double-blind </w:t>
      </w:r>
      <w:r w:rsidR="00083100" w:rsidRPr="00200CCC">
        <w:rPr>
          <w:rFonts w:cstheme="minorHAnsi"/>
          <w:color w:val="000000" w:themeColor="text1"/>
          <w:sz w:val="24"/>
          <w:szCs w:val="24"/>
        </w:rPr>
        <w:t xml:space="preserve">R-107 </w:t>
      </w:r>
      <w:r w:rsidR="00577648" w:rsidRPr="00200CCC">
        <w:rPr>
          <w:rFonts w:eastAsia="Times New Roman" w:cstheme="minorHAnsi"/>
          <w:color w:val="000000" w:themeColor="text1"/>
          <w:sz w:val="24"/>
          <w:szCs w:val="24"/>
          <w:lang w:eastAsia="en-NZ"/>
        </w:rPr>
        <w:t xml:space="preserve">doses or placebo for </w:t>
      </w:r>
      <w:r w:rsidR="00C364EA" w:rsidRPr="00200CCC">
        <w:rPr>
          <w:rFonts w:eastAsia="Times New Roman" w:cstheme="minorHAnsi"/>
          <w:color w:val="000000" w:themeColor="text1"/>
          <w:sz w:val="24"/>
          <w:szCs w:val="24"/>
          <w:lang w:eastAsia="en-NZ"/>
        </w:rPr>
        <w:t xml:space="preserve">the next </w:t>
      </w:r>
      <w:r w:rsidR="00407D91" w:rsidRPr="00200CCC">
        <w:rPr>
          <w:rFonts w:eastAsia="Times New Roman" w:cstheme="minorHAnsi"/>
          <w:color w:val="000000" w:themeColor="text1"/>
          <w:sz w:val="24"/>
          <w:szCs w:val="24"/>
          <w:lang w:eastAsia="en-NZ"/>
        </w:rPr>
        <w:t>12</w:t>
      </w:r>
      <w:r w:rsidR="00C21684" w:rsidRPr="00200CCC">
        <w:rPr>
          <w:rFonts w:eastAsia="Times New Roman" w:cstheme="minorHAnsi"/>
          <w:color w:val="000000" w:themeColor="text1"/>
          <w:sz w:val="24"/>
          <w:szCs w:val="24"/>
          <w:lang w:eastAsia="en-NZ"/>
        </w:rPr>
        <w:t xml:space="preserve"> weeks</w:t>
      </w:r>
      <w:r w:rsidR="00577648" w:rsidRPr="00200CCC">
        <w:rPr>
          <w:rFonts w:eastAsia="Times New Roman" w:cstheme="minorHAnsi"/>
          <w:color w:val="000000" w:themeColor="text1"/>
          <w:sz w:val="24"/>
          <w:szCs w:val="24"/>
          <w:lang w:eastAsia="en-NZ"/>
        </w:rPr>
        <w:t xml:space="preserve">. In this </w:t>
      </w:r>
      <w:r w:rsidR="007B04AC" w:rsidRPr="00200CCC">
        <w:rPr>
          <w:rFonts w:eastAsia="Times New Roman" w:cstheme="minorHAnsi"/>
          <w:color w:val="000000" w:themeColor="text1"/>
          <w:sz w:val="24"/>
          <w:szCs w:val="24"/>
          <w:lang w:eastAsia="en-NZ"/>
        </w:rPr>
        <w:t xml:space="preserve">double-blind </w:t>
      </w:r>
      <w:r w:rsidR="00577648" w:rsidRPr="00200CCC">
        <w:rPr>
          <w:rFonts w:eastAsia="Times New Roman" w:cstheme="minorHAnsi"/>
          <w:color w:val="000000" w:themeColor="text1"/>
          <w:sz w:val="24"/>
          <w:szCs w:val="24"/>
          <w:lang w:eastAsia="en-NZ"/>
        </w:rPr>
        <w:t xml:space="preserve">phase, </w:t>
      </w:r>
      <w:r w:rsidR="00F17A4E" w:rsidRPr="00200CCC">
        <w:rPr>
          <w:rFonts w:eastAsia="Times New Roman" w:cstheme="minorHAnsi"/>
          <w:color w:val="000000" w:themeColor="text1"/>
          <w:sz w:val="24"/>
          <w:szCs w:val="24"/>
          <w:lang w:eastAsia="en-NZ"/>
        </w:rPr>
        <w:t>t</w:t>
      </w:r>
      <w:r w:rsidR="00BC1C34" w:rsidRPr="00200CCC">
        <w:rPr>
          <w:rFonts w:eastAsia="Times New Roman" w:cstheme="minorHAnsi"/>
          <w:color w:val="000000" w:themeColor="text1"/>
          <w:sz w:val="24"/>
          <w:szCs w:val="24"/>
          <w:lang w:eastAsia="en-NZ"/>
        </w:rPr>
        <w:t xml:space="preserve">he </w:t>
      </w:r>
      <w:r w:rsidR="00577648" w:rsidRPr="00200CCC">
        <w:rPr>
          <w:rFonts w:eastAsia="Times New Roman" w:cstheme="minorHAnsi"/>
          <w:color w:val="000000" w:themeColor="text1"/>
          <w:sz w:val="24"/>
          <w:szCs w:val="24"/>
          <w:lang w:eastAsia="en-NZ"/>
        </w:rPr>
        <w:t xml:space="preserve">180mg </w:t>
      </w:r>
      <w:r w:rsidR="006C6B36" w:rsidRPr="00200CCC">
        <w:rPr>
          <w:rFonts w:eastAsia="Times New Roman" w:cstheme="minorHAnsi"/>
          <w:color w:val="000000" w:themeColor="text1"/>
          <w:sz w:val="24"/>
          <w:szCs w:val="24"/>
          <w:lang w:eastAsia="en-NZ"/>
        </w:rPr>
        <w:t xml:space="preserve">dose given </w:t>
      </w:r>
      <w:r w:rsidR="00577648" w:rsidRPr="00200CCC">
        <w:rPr>
          <w:rFonts w:eastAsia="Times New Roman" w:cstheme="minorHAnsi"/>
          <w:color w:val="000000" w:themeColor="text1"/>
          <w:sz w:val="24"/>
          <w:szCs w:val="24"/>
          <w:lang w:eastAsia="en-NZ"/>
        </w:rPr>
        <w:t xml:space="preserve">twice weekly showed </w:t>
      </w:r>
      <w:r w:rsidRPr="00200CCC">
        <w:rPr>
          <w:rFonts w:eastAsia="Times New Roman" w:cstheme="minorHAnsi"/>
          <w:color w:val="000000" w:themeColor="text1"/>
          <w:sz w:val="24"/>
          <w:szCs w:val="24"/>
          <w:lang w:eastAsia="en-NZ"/>
        </w:rPr>
        <w:t>statistically significant and clinically meaningful improvement in depressive symptoms</w:t>
      </w:r>
      <w:r w:rsidR="00577648" w:rsidRPr="00200CCC">
        <w:rPr>
          <w:rFonts w:eastAsia="Times New Roman" w:cstheme="minorHAnsi"/>
          <w:color w:val="000000" w:themeColor="text1"/>
          <w:sz w:val="24"/>
          <w:szCs w:val="24"/>
          <w:lang w:eastAsia="en-NZ"/>
        </w:rPr>
        <w:t xml:space="preserve"> based on MADRS score compared with placebo, with a group-treatment difference of 6.1</w:t>
      </w:r>
      <w:r w:rsidRPr="00200CCC">
        <w:rPr>
          <w:rFonts w:eastAsia="Times New Roman" w:cstheme="minorHAnsi"/>
          <w:color w:val="000000" w:themeColor="text1"/>
          <w:sz w:val="24"/>
          <w:szCs w:val="24"/>
          <w:lang w:eastAsia="en-NZ"/>
        </w:rPr>
        <w:t xml:space="preserve">.  </w:t>
      </w:r>
      <w:r w:rsidR="00577648" w:rsidRPr="00200CCC">
        <w:rPr>
          <w:rFonts w:cstheme="minorHAnsi"/>
          <w:color w:val="000000" w:themeColor="text1"/>
          <w:sz w:val="24"/>
          <w:szCs w:val="24"/>
        </w:rPr>
        <w:t xml:space="preserve">Side effects commonly observed in clinical trials of injected or </w:t>
      </w:r>
      <w:r w:rsidR="00F17A4E" w:rsidRPr="00200CCC">
        <w:rPr>
          <w:rFonts w:cstheme="minorHAnsi"/>
          <w:color w:val="000000" w:themeColor="text1"/>
          <w:sz w:val="24"/>
          <w:szCs w:val="24"/>
        </w:rPr>
        <w:t>intra</w:t>
      </w:r>
      <w:r w:rsidR="00577648" w:rsidRPr="00200CCC">
        <w:rPr>
          <w:rFonts w:cstheme="minorHAnsi"/>
          <w:color w:val="000000" w:themeColor="text1"/>
          <w:sz w:val="24"/>
          <w:szCs w:val="24"/>
        </w:rPr>
        <w:t xml:space="preserve">nasal ketamine (e.g. dissociation, </w:t>
      </w:r>
      <w:r w:rsidR="005453A2" w:rsidRPr="00200CCC">
        <w:rPr>
          <w:rFonts w:cstheme="minorHAnsi"/>
          <w:color w:val="000000" w:themeColor="text1"/>
          <w:sz w:val="24"/>
          <w:szCs w:val="24"/>
        </w:rPr>
        <w:t xml:space="preserve">sedation, </w:t>
      </w:r>
      <w:r w:rsidR="00577648" w:rsidRPr="00200CCC">
        <w:rPr>
          <w:rFonts w:cstheme="minorHAnsi"/>
          <w:color w:val="000000" w:themeColor="text1"/>
          <w:sz w:val="24"/>
          <w:szCs w:val="24"/>
        </w:rPr>
        <w:t xml:space="preserve">increased blood pressure) were minimal, and </w:t>
      </w:r>
      <w:r w:rsidR="00391E26" w:rsidRPr="00200CCC">
        <w:rPr>
          <w:rFonts w:cstheme="minorHAnsi"/>
          <w:color w:val="000000" w:themeColor="text1"/>
          <w:sz w:val="24"/>
          <w:szCs w:val="24"/>
        </w:rPr>
        <w:t xml:space="preserve">overall tolerability was good. </w:t>
      </w:r>
      <w:r w:rsidR="00D53F88" w:rsidRPr="00200CCC">
        <w:rPr>
          <w:rFonts w:cstheme="minorHAnsi"/>
          <w:color w:val="000000" w:themeColor="text1"/>
          <w:sz w:val="24"/>
          <w:szCs w:val="24"/>
        </w:rPr>
        <w:t xml:space="preserve">Most patient dosing </w:t>
      </w:r>
      <w:r w:rsidR="007B04AC" w:rsidRPr="00200CCC">
        <w:rPr>
          <w:rFonts w:cstheme="minorHAnsi"/>
          <w:color w:val="000000" w:themeColor="text1"/>
          <w:sz w:val="24"/>
          <w:szCs w:val="24"/>
        </w:rPr>
        <w:t xml:space="preserve">during the </w:t>
      </w:r>
      <w:r w:rsidR="007B04AC" w:rsidRPr="00200CCC">
        <w:rPr>
          <w:rFonts w:eastAsia="Times New Roman" w:cstheme="minorHAnsi"/>
          <w:color w:val="000000" w:themeColor="text1"/>
          <w:sz w:val="24"/>
          <w:szCs w:val="24"/>
          <w:lang w:eastAsia="en-NZ"/>
        </w:rPr>
        <w:t>double-blind phase</w:t>
      </w:r>
      <w:r w:rsidR="007B04AC" w:rsidRPr="00200CCC">
        <w:rPr>
          <w:rFonts w:cstheme="minorHAnsi"/>
          <w:color w:val="000000" w:themeColor="text1"/>
          <w:sz w:val="24"/>
          <w:szCs w:val="24"/>
        </w:rPr>
        <w:t xml:space="preserve"> </w:t>
      </w:r>
      <w:r w:rsidR="00D53F88" w:rsidRPr="00200CCC">
        <w:rPr>
          <w:rFonts w:cstheme="minorHAnsi"/>
          <w:color w:val="000000" w:themeColor="text1"/>
          <w:sz w:val="24"/>
          <w:szCs w:val="24"/>
        </w:rPr>
        <w:t>occurred at home.</w:t>
      </w:r>
      <w:r w:rsidR="00407D91" w:rsidRPr="00200CCC">
        <w:rPr>
          <w:rFonts w:cstheme="minorHAnsi"/>
          <w:color w:val="000000" w:themeColor="text1"/>
          <w:sz w:val="24"/>
          <w:szCs w:val="24"/>
        </w:rPr>
        <w:t xml:space="preserve"> </w:t>
      </w:r>
      <w:r w:rsidR="007B04AC" w:rsidRPr="00200CCC">
        <w:rPr>
          <w:rFonts w:cstheme="minorHAnsi"/>
          <w:color w:val="000000" w:themeColor="text1"/>
          <w:sz w:val="24"/>
          <w:szCs w:val="24"/>
        </w:rPr>
        <w:t xml:space="preserve"> </w:t>
      </w:r>
    </w:p>
    <w:p w14:paraId="70772D9D" w14:textId="77777777" w:rsidR="009B5B9B" w:rsidRPr="00200CCC" w:rsidRDefault="00391E26"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t>A</w:t>
      </w:r>
      <w:r w:rsidR="00E47B18" w:rsidRPr="00200CCC">
        <w:rPr>
          <w:rFonts w:eastAsia="Times New Roman" w:cstheme="minorHAnsi"/>
          <w:color w:val="000000" w:themeColor="text1"/>
          <w:sz w:val="24"/>
          <w:szCs w:val="24"/>
          <w:lang w:eastAsia="en-NZ"/>
        </w:rPr>
        <w:t xml:space="preserve">cute </w:t>
      </w:r>
      <w:r w:rsidR="00A04327" w:rsidRPr="00200CCC">
        <w:rPr>
          <w:rFonts w:eastAsia="Times New Roman" w:cstheme="minorHAnsi"/>
          <w:color w:val="000000" w:themeColor="text1"/>
          <w:sz w:val="24"/>
          <w:szCs w:val="24"/>
          <w:lang w:eastAsia="en-NZ"/>
        </w:rPr>
        <w:t xml:space="preserve">placebo-controlled </w:t>
      </w:r>
      <w:r w:rsidR="00E47B18" w:rsidRPr="00200CCC">
        <w:rPr>
          <w:rFonts w:eastAsia="Times New Roman" w:cstheme="minorHAnsi"/>
          <w:color w:val="000000" w:themeColor="text1"/>
          <w:sz w:val="24"/>
          <w:szCs w:val="24"/>
          <w:lang w:eastAsia="en-NZ"/>
        </w:rPr>
        <w:t>a</w:t>
      </w:r>
      <w:r w:rsidRPr="00200CCC">
        <w:rPr>
          <w:rFonts w:eastAsia="Times New Roman" w:cstheme="minorHAnsi"/>
          <w:color w:val="000000" w:themeColor="text1"/>
          <w:sz w:val="24"/>
          <w:szCs w:val="24"/>
          <w:lang w:eastAsia="en-NZ"/>
        </w:rPr>
        <w:t xml:space="preserve">ntidepressant clinical trials </w:t>
      </w:r>
      <w:r w:rsidR="004C530C" w:rsidRPr="00200CCC">
        <w:rPr>
          <w:rFonts w:eastAsia="Times New Roman" w:cstheme="minorHAnsi"/>
          <w:color w:val="000000" w:themeColor="text1"/>
          <w:sz w:val="24"/>
          <w:szCs w:val="24"/>
          <w:lang w:eastAsia="en-NZ"/>
        </w:rPr>
        <w:t xml:space="preserve">in non-TRD patients </w:t>
      </w:r>
      <w:r w:rsidRPr="00200CCC">
        <w:rPr>
          <w:rFonts w:eastAsia="Times New Roman" w:cstheme="minorHAnsi"/>
          <w:color w:val="000000" w:themeColor="text1"/>
          <w:sz w:val="24"/>
          <w:szCs w:val="24"/>
          <w:lang w:eastAsia="en-NZ"/>
        </w:rPr>
        <w:t xml:space="preserve">have </w:t>
      </w:r>
      <w:r w:rsidR="00E47B18" w:rsidRPr="00200CCC">
        <w:rPr>
          <w:rFonts w:eastAsia="Times New Roman" w:cstheme="minorHAnsi"/>
          <w:color w:val="000000" w:themeColor="text1"/>
          <w:sz w:val="24"/>
          <w:szCs w:val="24"/>
          <w:lang w:eastAsia="en-NZ"/>
        </w:rPr>
        <w:t xml:space="preserve">high </w:t>
      </w:r>
      <w:r w:rsidRPr="00200CCC">
        <w:rPr>
          <w:rFonts w:eastAsia="Times New Roman" w:cstheme="minorHAnsi"/>
          <w:color w:val="000000" w:themeColor="text1"/>
          <w:sz w:val="24"/>
          <w:szCs w:val="24"/>
          <w:lang w:eastAsia="en-NZ"/>
        </w:rPr>
        <w:t>failure rates</w:t>
      </w:r>
      <w:r w:rsidR="00E47B18" w:rsidRPr="00200CCC">
        <w:rPr>
          <w:rFonts w:eastAsia="Times New Roman" w:cstheme="minorHAnsi"/>
          <w:color w:val="000000" w:themeColor="text1"/>
          <w:sz w:val="24"/>
          <w:szCs w:val="24"/>
          <w:lang w:eastAsia="en-NZ"/>
        </w:rPr>
        <w:t>, up to 50%</w:t>
      </w:r>
      <w:r w:rsidR="0000557F" w:rsidRPr="00200CCC">
        <w:rPr>
          <w:rFonts w:eastAsia="Times New Roman" w:cstheme="minorHAnsi"/>
          <w:color w:val="000000" w:themeColor="text1"/>
          <w:sz w:val="24"/>
          <w:szCs w:val="24"/>
          <w:lang w:eastAsia="en-NZ"/>
        </w:rPr>
        <w:t>.</w:t>
      </w:r>
      <w:r w:rsidR="00284822" w:rsidRPr="00200CCC">
        <w:rPr>
          <w:rFonts w:eastAsia="Times New Roman" w:cstheme="minorHAnsi"/>
          <w:color w:val="000000" w:themeColor="text1"/>
          <w:sz w:val="24"/>
          <w:szCs w:val="24"/>
          <w:vertAlign w:val="superscript"/>
          <w:lang w:eastAsia="en-NZ"/>
        </w:rPr>
        <w:t>11,12</w:t>
      </w:r>
      <w:r w:rsidR="00C364EA" w:rsidRPr="00200CCC">
        <w:rPr>
          <w:rFonts w:eastAsia="Times New Roman" w:cstheme="minorHAnsi"/>
          <w:color w:val="000000" w:themeColor="text1"/>
          <w:sz w:val="24"/>
          <w:szCs w:val="24"/>
          <w:lang w:eastAsia="en-NZ"/>
        </w:rPr>
        <w:t xml:space="preserve"> Study failure rates in patients with TRD </w:t>
      </w:r>
      <w:r w:rsidR="004C530C" w:rsidRPr="00200CCC">
        <w:rPr>
          <w:rFonts w:eastAsia="Times New Roman" w:cstheme="minorHAnsi"/>
          <w:color w:val="000000" w:themeColor="text1"/>
          <w:sz w:val="24"/>
          <w:szCs w:val="24"/>
          <w:lang w:eastAsia="en-NZ"/>
        </w:rPr>
        <w:t>may be similarly high (47%), based on the proportion of industry-funded studies of ketamine/</w:t>
      </w:r>
      <w:proofErr w:type="spellStart"/>
      <w:r w:rsidR="004C530C" w:rsidRPr="00200CCC">
        <w:rPr>
          <w:rFonts w:eastAsia="Times New Roman" w:cstheme="minorHAnsi"/>
          <w:color w:val="000000" w:themeColor="text1"/>
          <w:sz w:val="24"/>
          <w:szCs w:val="24"/>
          <w:lang w:eastAsia="en-NZ"/>
        </w:rPr>
        <w:t>esketamine</w:t>
      </w:r>
      <w:proofErr w:type="spellEnd"/>
      <w:r w:rsidR="004C530C" w:rsidRPr="00200CCC">
        <w:rPr>
          <w:rFonts w:eastAsia="Times New Roman" w:cstheme="minorHAnsi"/>
          <w:color w:val="000000" w:themeColor="text1"/>
          <w:sz w:val="24"/>
          <w:szCs w:val="24"/>
          <w:lang w:eastAsia="en-NZ"/>
        </w:rPr>
        <w:t xml:space="preserve"> registered on clinicaltrials.gov between 2010-2022, where no results have been published.  </w:t>
      </w:r>
      <w:r w:rsidR="00321AC2" w:rsidRPr="00200CCC">
        <w:rPr>
          <w:rFonts w:eastAsia="Times New Roman" w:cstheme="minorHAnsi"/>
          <w:color w:val="000000" w:themeColor="text1"/>
          <w:sz w:val="24"/>
          <w:szCs w:val="24"/>
          <w:lang w:eastAsia="en-NZ"/>
        </w:rPr>
        <w:t>As discussed in the introduction, f</w:t>
      </w:r>
      <w:r w:rsidR="00E47B18" w:rsidRPr="00200CCC">
        <w:rPr>
          <w:rFonts w:eastAsia="Times New Roman" w:cstheme="minorHAnsi"/>
          <w:color w:val="000000" w:themeColor="text1"/>
          <w:sz w:val="24"/>
          <w:szCs w:val="24"/>
          <w:lang w:eastAsia="en-NZ"/>
        </w:rPr>
        <w:t xml:space="preserve">ailure rates </w:t>
      </w:r>
      <w:r w:rsidR="0034749A" w:rsidRPr="00200CCC">
        <w:rPr>
          <w:rFonts w:eastAsia="Times New Roman" w:cstheme="minorHAnsi"/>
          <w:color w:val="000000" w:themeColor="text1"/>
          <w:sz w:val="24"/>
          <w:szCs w:val="24"/>
          <w:lang w:eastAsia="en-NZ"/>
        </w:rPr>
        <w:t xml:space="preserve">(inability to separate responses between active and placebo arms) </w:t>
      </w:r>
      <w:r w:rsidR="00E47B18" w:rsidRPr="00200CCC">
        <w:rPr>
          <w:rFonts w:eastAsia="Times New Roman" w:cstheme="minorHAnsi"/>
          <w:color w:val="000000" w:themeColor="text1"/>
          <w:sz w:val="24"/>
          <w:szCs w:val="24"/>
          <w:lang w:eastAsia="en-NZ"/>
        </w:rPr>
        <w:t xml:space="preserve">can be reduced by using an </w:t>
      </w:r>
      <w:r w:rsidRPr="00200CCC">
        <w:rPr>
          <w:rFonts w:eastAsia="Times New Roman" w:cstheme="minorHAnsi"/>
          <w:color w:val="000000" w:themeColor="text1"/>
          <w:sz w:val="24"/>
          <w:szCs w:val="24"/>
          <w:lang w:eastAsia="en-NZ"/>
        </w:rPr>
        <w:t xml:space="preserve">enrichment </w:t>
      </w:r>
      <w:r w:rsidR="00E47B18" w:rsidRPr="00200CCC">
        <w:rPr>
          <w:rFonts w:eastAsia="Times New Roman" w:cstheme="minorHAnsi"/>
          <w:color w:val="000000" w:themeColor="text1"/>
          <w:sz w:val="24"/>
          <w:szCs w:val="24"/>
          <w:lang w:eastAsia="en-NZ"/>
        </w:rPr>
        <w:t>design</w:t>
      </w:r>
      <w:r w:rsidR="004C530C" w:rsidRPr="00200CCC">
        <w:rPr>
          <w:rFonts w:eastAsia="Times New Roman" w:cstheme="minorHAnsi"/>
          <w:color w:val="000000" w:themeColor="text1"/>
          <w:sz w:val="24"/>
          <w:szCs w:val="24"/>
          <w:lang w:eastAsia="en-NZ"/>
        </w:rPr>
        <w:t xml:space="preserve"> to remove treatment </w:t>
      </w:r>
      <w:proofErr w:type="spellStart"/>
      <w:r w:rsidR="004C530C" w:rsidRPr="00200CCC">
        <w:rPr>
          <w:rFonts w:eastAsia="Times New Roman" w:cstheme="minorHAnsi"/>
          <w:color w:val="000000" w:themeColor="text1"/>
          <w:sz w:val="24"/>
          <w:szCs w:val="24"/>
          <w:lang w:eastAsia="en-NZ"/>
        </w:rPr>
        <w:t>nonresponders</w:t>
      </w:r>
      <w:proofErr w:type="spellEnd"/>
      <w:r w:rsidR="00E47B18" w:rsidRPr="00200CCC">
        <w:rPr>
          <w:rFonts w:eastAsia="Times New Roman" w:cstheme="minorHAnsi"/>
          <w:color w:val="000000" w:themeColor="text1"/>
          <w:sz w:val="24"/>
          <w:szCs w:val="24"/>
          <w:lang w:eastAsia="en-NZ"/>
        </w:rPr>
        <w:t xml:space="preserve">, </w:t>
      </w:r>
      <w:r w:rsidR="0034749A" w:rsidRPr="00200CCC">
        <w:rPr>
          <w:rFonts w:eastAsia="Times New Roman" w:cstheme="minorHAnsi"/>
          <w:color w:val="000000" w:themeColor="text1"/>
          <w:sz w:val="24"/>
          <w:szCs w:val="24"/>
          <w:lang w:eastAsia="en-NZ"/>
        </w:rPr>
        <w:t>prior to</w:t>
      </w:r>
      <w:r w:rsidRPr="00200CCC">
        <w:rPr>
          <w:rFonts w:eastAsia="Times New Roman" w:cstheme="minorHAnsi"/>
          <w:color w:val="000000" w:themeColor="text1"/>
          <w:sz w:val="24"/>
          <w:szCs w:val="24"/>
          <w:lang w:eastAsia="en-NZ"/>
        </w:rPr>
        <w:t xml:space="preserve"> a </w:t>
      </w:r>
      <w:r w:rsidR="004C530C" w:rsidRPr="00200CCC">
        <w:rPr>
          <w:rFonts w:eastAsia="Times New Roman" w:cstheme="minorHAnsi"/>
          <w:color w:val="000000" w:themeColor="text1"/>
          <w:sz w:val="24"/>
          <w:szCs w:val="24"/>
          <w:lang w:eastAsia="en-NZ"/>
        </w:rPr>
        <w:t xml:space="preserve">double-blind </w:t>
      </w:r>
      <w:r w:rsidRPr="00200CCC">
        <w:rPr>
          <w:rFonts w:eastAsia="Times New Roman" w:cstheme="minorHAnsi"/>
          <w:color w:val="000000" w:themeColor="text1"/>
          <w:sz w:val="24"/>
          <w:szCs w:val="24"/>
          <w:lang w:eastAsia="en-NZ"/>
        </w:rPr>
        <w:t xml:space="preserve">relapse-prevention </w:t>
      </w:r>
      <w:r w:rsidR="00E47B18" w:rsidRPr="00200CCC">
        <w:rPr>
          <w:rFonts w:eastAsia="Times New Roman" w:cstheme="minorHAnsi"/>
          <w:color w:val="000000" w:themeColor="text1"/>
          <w:sz w:val="24"/>
          <w:szCs w:val="24"/>
          <w:lang w:eastAsia="en-NZ"/>
        </w:rPr>
        <w:t>phase</w:t>
      </w:r>
      <w:r w:rsidR="00284822" w:rsidRPr="00200CCC">
        <w:rPr>
          <w:rFonts w:eastAsia="Times New Roman" w:cstheme="minorHAnsi"/>
          <w:color w:val="000000" w:themeColor="text1"/>
          <w:sz w:val="24"/>
          <w:szCs w:val="24"/>
          <w:vertAlign w:val="superscript"/>
          <w:lang w:eastAsia="en-NZ"/>
        </w:rPr>
        <w:t>13</w:t>
      </w:r>
      <w:r w:rsidR="00284822" w:rsidRPr="00200CCC">
        <w:rPr>
          <w:rFonts w:eastAsia="Times New Roman" w:cstheme="minorHAnsi"/>
          <w:color w:val="000000" w:themeColor="text1"/>
          <w:sz w:val="24"/>
          <w:szCs w:val="24"/>
          <w:lang w:eastAsia="en-NZ"/>
        </w:rPr>
        <w:t xml:space="preserve"> </w:t>
      </w:r>
      <w:r w:rsidR="002A58BC" w:rsidRPr="00200CCC">
        <w:rPr>
          <w:rFonts w:eastAsia="Times New Roman" w:cstheme="minorHAnsi"/>
          <w:color w:val="000000" w:themeColor="text1"/>
          <w:sz w:val="24"/>
          <w:szCs w:val="24"/>
          <w:lang w:eastAsia="en-NZ"/>
        </w:rPr>
        <w:t>, and is consistent with a regulatory guidance on enrichment designs.</w:t>
      </w:r>
      <w:r w:rsidR="004A3D52" w:rsidRPr="00200CCC">
        <w:rPr>
          <w:rFonts w:eastAsia="Times New Roman" w:cstheme="minorHAnsi"/>
          <w:color w:val="000000" w:themeColor="text1"/>
          <w:sz w:val="24"/>
          <w:szCs w:val="24"/>
          <w:vertAlign w:val="superscript"/>
          <w:lang w:eastAsia="en-NZ"/>
        </w:rPr>
        <w:t xml:space="preserve">16 </w:t>
      </w:r>
      <w:r w:rsidR="002A58BC" w:rsidRPr="00200CCC">
        <w:rPr>
          <w:rFonts w:eastAsia="Times New Roman" w:cstheme="minorHAnsi"/>
          <w:color w:val="000000" w:themeColor="text1"/>
          <w:sz w:val="24"/>
          <w:szCs w:val="24"/>
          <w:vertAlign w:val="superscript"/>
          <w:lang w:eastAsia="en-NZ"/>
        </w:rPr>
        <w:t xml:space="preserve"> </w:t>
      </w:r>
      <w:r w:rsidR="00A04327" w:rsidRPr="00200CCC">
        <w:rPr>
          <w:rFonts w:eastAsia="Times New Roman" w:cstheme="minorHAnsi"/>
          <w:color w:val="000000" w:themeColor="text1"/>
          <w:sz w:val="24"/>
          <w:szCs w:val="24"/>
          <w:lang w:eastAsia="en-NZ"/>
        </w:rPr>
        <w:t xml:space="preserve">Failure rate </w:t>
      </w:r>
      <w:r w:rsidR="0034749A" w:rsidRPr="00200CCC">
        <w:rPr>
          <w:rFonts w:eastAsia="Times New Roman" w:cstheme="minorHAnsi"/>
          <w:color w:val="000000" w:themeColor="text1"/>
          <w:sz w:val="24"/>
          <w:szCs w:val="24"/>
          <w:lang w:eastAsia="en-NZ"/>
        </w:rPr>
        <w:t xml:space="preserve">across all studies </w:t>
      </w:r>
      <w:r w:rsidR="00A04327" w:rsidRPr="00200CCC">
        <w:rPr>
          <w:rFonts w:eastAsia="Times New Roman" w:cstheme="minorHAnsi"/>
          <w:color w:val="000000" w:themeColor="text1"/>
          <w:sz w:val="24"/>
          <w:szCs w:val="24"/>
          <w:lang w:eastAsia="en-NZ"/>
        </w:rPr>
        <w:t>using this design was 25%.</w:t>
      </w:r>
      <w:r w:rsidR="00284822" w:rsidRPr="00200CCC">
        <w:rPr>
          <w:rFonts w:eastAsia="Times New Roman" w:cstheme="minorHAnsi"/>
          <w:color w:val="000000" w:themeColor="text1"/>
          <w:sz w:val="24"/>
          <w:szCs w:val="24"/>
          <w:vertAlign w:val="superscript"/>
          <w:lang w:eastAsia="en-NZ"/>
        </w:rPr>
        <w:t>13</w:t>
      </w:r>
      <w:r w:rsidR="00284822" w:rsidRPr="00200CCC">
        <w:rPr>
          <w:rFonts w:eastAsia="Times New Roman" w:cstheme="minorHAnsi"/>
          <w:color w:val="000000" w:themeColor="text1"/>
          <w:sz w:val="24"/>
          <w:szCs w:val="24"/>
          <w:lang w:eastAsia="en-NZ"/>
        </w:rPr>
        <w:t xml:space="preserve"> </w:t>
      </w:r>
      <w:r w:rsidR="00E47B18" w:rsidRPr="00200CCC">
        <w:rPr>
          <w:rFonts w:eastAsia="Times New Roman" w:cstheme="minorHAnsi"/>
          <w:color w:val="000000" w:themeColor="text1"/>
          <w:sz w:val="24"/>
          <w:szCs w:val="24"/>
          <w:lang w:eastAsia="en-NZ"/>
        </w:rPr>
        <w:t xml:space="preserve">We included a dose-finding component in </w:t>
      </w:r>
      <w:r w:rsidR="00F23E04" w:rsidRPr="00200CCC">
        <w:rPr>
          <w:rFonts w:eastAsia="Times New Roman" w:cstheme="minorHAnsi"/>
          <w:color w:val="000000" w:themeColor="text1"/>
          <w:sz w:val="24"/>
          <w:szCs w:val="24"/>
          <w:lang w:eastAsia="en-NZ"/>
        </w:rPr>
        <w:t>the</w:t>
      </w:r>
      <w:r w:rsidR="00A04327" w:rsidRPr="00200CCC">
        <w:rPr>
          <w:rFonts w:eastAsia="Times New Roman" w:cstheme="minorHAnsi"/>
          <w:color w:val="000000" w:themeColor="text1"/>
          <w:sz w:val="24"/>
          <w:szCs w:val="24"/>
          <w:lang w:eastAsia="en-NZ"/>
        </w:rPr>
        <w:t xml:space="preserve"> </w:t>
      </w:r>
      <w:r w:rsidR="002E1881" w:rsidRPr="00200CCC">
        <w:rPr>
          <w:rFonts w:eastAsia="Times New Roman" w:cstheme="minorHAnsi"/>
          <w:color w:val="000000" w:themeColor="text1"/>
          <w:sz w:val="24"/>
          <w:szCs w:val="24"/>
          <w:lang w:eastAsia="en-NZ"/>
        </w:rPr>
        <w:t xml:space="preserve">double-blind </w:t>
      </w:r>
      <w:r w:rsidR="00321AC2" w:rsidRPr="00200CCC">
        <w:rPr>
          <w:rFonts w:eastAsia="Times New Roman" w:cstheme="minorHAnsi"/>
          <w:color w:val="000000" w:themeColor="text1"/>
          <w:sz w:val="24"/>
          <w:szCs w:val="24"/>
          <w:lang w:eastAsia="en-NZ"/>
        </w:rPr>
        <w:t>phase</w:t>
      </w:r>
      <w:r w:rsidR="00EA4D3A" w:rsidRPr="00200CCC">
        <w:rPr>
          <w:rFonts w:eastAsia="Times New Roman" w:cstheme="minorHAnsi"/>
          <w:color w:val="000000" w:themeColor="text1"/>
          <w:sz w:val="24"/>
          <w:szCs w:val="24"/>
          <w:lang w:eastAsia="en-NZ"/>
        </w:rPr>
        <w:t xml:space="preserve"> </w:t>
      </w:r>
      <w:r w:rsidR="0034749A" w:rsidRPr="00200CCC">
        <w:rPr>
          <w:rFonts w:eastAsia="Times New Roman" w:cstheme="minorHAnsi"/>
          <w:color w:val="000000" w:themeColor="text1"/>
          <w:sz w:val="24"/>
          <w:szCs w:val="24"/>
          <w:lang w:eastAsia="en-NZ"/>
        </w:rPr>
        <w:t xml:space="preserve">of the present study </w:t>
      </w:r>
      <w:r w:rsidR="00EA4D3A" w:rsidRPr="00200CCC">
        <w:rPr>
          <w:rFonts w:eastAsia="Times New Roman" w:cstheme="minorHAnsi"/>
          <w:color w:val="000000" w:themeColor="text1"/>
          <w:sz w:val="24"/>
          <w:szCs w:val="24"/>
          <w:lang w:eastAsia="en-NZ"/>
        </w:rPr>
        <w:t xml:space="preserve">as it was not clear what the effective </w:t>
      </w:r>
      <w:r w:rsidR="00C75BAD" w:rsidRPr="00200CCC">
        <w:rPr>
          <w:rFonts w:eastAsia="Times New Roman" w:cstheme="minorHAnsi"/>
          <w:color w:val="000000" w:themeColor="text1"/>
          <w:sz w:val="24"/>
          <w:szCs w:val="24"/>
          <w:lang w:eastAsia="en-NZ"/>
        </w:rPr>
        <w:t xml:space="preserve">oral </w:t>
      </w:r>
      <w:r w:rsidR="00EA4D3A" w:rsidRPr="00200CCC">
        <w:rPr>
          <w:rFonts w:eastAsia="Times New Roman" w:cstheme="minorHAnsi"/>
          <w:color w:val="000000" w:themeColor="text1"/>
          <w:sz w:val="24"/>
          <w:szCs w:val="24"/>
          <w:lang w:eastAsia="en-NZ"/>
        </w:rPr>
        <w:t xml:space="preserve">dose range might be. The </w:t>
      </w:r>
      <w:r w:rsidR="00675E0F" w:rsidRPr="00200CCC">
        <w:rPr>
          <w:rFonts w:cstheme="minorHAnsi"/>
          <w:color w:val="000000" w:themeColor="text1"/>
          <w:sz w:val="24"/>
          <w:szCs w:val="24"/>
        </w:rPr>
        <w:t xml:space="preserve">R-107 </w:t>
      </w:r>
      <w:r w:rsidR="00EA4D3A" w:rsidRPr="00200CCC">
        <w:rPr>
          <w:rFonts w:eastAsia="Times New Roman" w:cstheme="minorHAnsi"/>
          <w:color w:val="000000" w:themeColor="text1"/>
          <w:sz w:val="24"/>
          <w:szCs w:val="24"/>
          <w:lang w:eastAsia="en-NZ"/>
        </w:rPr>
        <w:t xml:space="preserve">dose used in the enrichment </w:t>
      </w:r>
      <w:r w:rsidR="00B93FF9" w:rsidRPr="00200CCC">
        <w:rPr>
          <w:rFonts w:eastAsia="Times New Roman" w:cstheme="minorHAnsi"/>
          <w:color w:val="000000" w:themeColor="text1"/>
          <w:sz w:val="24"/>
          <w:szCs w:val="24"/>
          <w:lang w:eastAsia="en-NZ"/>
        </w:rPr>
        <w:t>phase</w:t>
      </w:r>
      <w:r w:rsidR="00EA4D3A" w:rsidRPr="00200CCC">
        <w:rPr>
          <w:rFonts w:eastAsia="Times New Roman" w:cstheme="minorHAnsi"/>
          <w:color w:val="000000" w:themeColor="text1"/>
          <w:sz w:val="24"/>
          <w:szCs w:val="24"/>
          <w:lang w:eastAsia="en-NZ"/>
        </w:rPr>
        <w:t xml:space="preserve"> (120mg daily for 5 days) was based on observations from case reports </w:t>
      </w:r>
      <w:r w:rsidR="00C75BAD" w:rsidRPr="00200CCC">
        <w:rPr>
          <w:rFonts w:eastAsia="Times New Roman" w:cstheme="minorHAnsi"/>
          <w:color w:val="000000" w:themeColor="text1"/>
          <w:sz w:val="24"/>
          <w:szCs w:val="24"/>
          <w:lang w:eastAsia="en-NZ"/>
        </w:rPr>
        <w:t>from</w:t>
      </w:r>
      <w:r w:rsidR="00EA4D3A" w:rsidRPr="00200CCC">
        <w:rPr>
          <w:rFonts w:eastAsia="Times New Roman" w:cstheme="minorHAnsi"/>
          <w:color w:val="000000" w:themeColor="text1"/>
          <w:sz w:val="24"/>
          <w:szCs w:val="24"/>
          <w:lang w:eastAsia="en-NZ"/>
        </w:rPr>
        <w:t xml:space="preserve"> patients with pain and TRD receiving continuous ketamine infusions for 5 days, </w:t>
      </w:r>
      <w:r w:rsidR="00C75BAD" w:rsidRPr="00200CCC">
        <w:rPr>
          <w:rFonts w:eastAsia="Times New Roman" w:cstheme="minorHAnsi"/>
          <w:color w:val="000000" w:themeColor="text1"/>
          <w:sz w:val="24"/>
          <w:szCs w:val="24"/>
          <w:lang w:eastAsia="en-NZ"/>
        </w:rPr>
        <w:t>who</w:t>
      </w:r>
      <w:r w:rsidR="00EA4D3A" w:rsidRPr="00200CCC">
        <w:rPr>
          <w:rFonts w:eastAsia="Times New Roman" w:cstheme="minorHAnsi"/>
          <w:color w:val="000000" w:themeColor="text1"/>
          <w:sz w:val="24"/>
          <w:szCs w:val="24"/>
          <w:lang w:eastAsia="en-NZ"/>
        </w:rPr>
        <w:t xml:space="preserve"> report</w:t>
      </w:r>
      <w:r w:rsidR="00B93FF9" w:rsidRPr="00200CCC">
        <w:rPr>
          <w:rFonts w:eastAsia="Times New Roman" w:cstheme="minorHAnsi"/>
          <w:color w:val="000000" w:themeColor="text1"/>
          <w:sz w:val="24"/>
          <w:szCs w:val="24"/>
          <w:lang w:eastAsia="en-NZ"/>
        </w:rPr>
        <w:t>ed</w:t>
      </w:r>
      <w:r w:rsidR="00EA4D3A" w:rsidRPr="00200CCC">
        <w:rPr>
          <w:rFonts w:eastAsia="Times New Roman" w:cstheme="minorHAnsi"/>
          <w:color w:val="000000" w:themeColor="text1"/>
          <w:sz w:val="24"/>
          <w:szCs w:val="24"/>
          <w:lang w:eastAsia="en-NZ"/>
        </w:rPr>
        <w:t xml:space="preserve"> mood improvements </w:t>
      </w:r>
      <w:r w:rsidR="00B93FF9" w:rsidRPr="00200CCC">
        <w:rPr>
          <w:rFonts w:eastAsia="Times New Roman" w:cstheme="minorHAnsi"/>
          <w:color w:val="000000" w:themeColor="text1"/>
          <w:sz w:val="24"/>
          <w:szCs w:val="24"/>
          <w:lang w:eastAsia="en-NZ"/>
        </w:rPr>
        <w:t>occurring by</w:t>
      </w:r>
      <w:r w:rsidR="00EA4D3A" w:rsidRPr="00200CCC">
        <w:rPr>
          <w:rFonts w:eastAsia="Times New Roman" w:cstheme="minorHAnsi"/>
          <w:color w:val="000000" w:themeColor="text1"/>
          <w:sz w:val="24"/>
          <w:szCs w:val="24"/>
          <w:lang w:eastAsia="en-NZ"/>
        </w:rPr>
        <w:t xml:space="preserve"> 24-72 hour</w:t>
      </w:r>
      <w:r w:rsidR="0000557F" w:rsidRPr="00200CCC">
        <w:rPr>
          <w:rFonts w:eastAsia="Times New Roman" w:cstheme="minorHAnsi"/>
          <w:color w:val="000000" w:themeColor="text1"/>
          <w:sz w:val="24"/>
          <w:szCs w:val="24"/>
          <w:lang w:eastAsia="en-NZ"/>
        </w:rPr>
        <w:t>s.</w:t>
      </w:r>
      <w:r w:rsidR="00426302" w:rsidRPr="00200CCC">
        <w:rPr>
          <w:rFonts w:eastAsia="Times New Roman" w:cstheme="minorHAnsi"/>
          <w:color w:val="000000" w:themeColor="text1"/>
          <w:sz w:val="24"/>
          <w:szCs w:val="24"/>
          <w:vertAlign w:val="superscript"/>
          <w:lang w:eastAsia="en-NZ"/>
        </w:rPr>
        <w:t>1</w:t>
      </w:r>
      <w:r w:rsidR="004A3D52" w:rsidRPr="00200CCC">
        <w:rPr>
          <w:rFonts w:eastAsia="Times New Roman" w:cstheme="minorHAnsi"/>
          <w:color w:val="000000" w:themeColor="text1"/>
          <w:sz w:val="24"/>
          <w:szCs w:val="24"/>
          <w:vertAlign w:val="superscript"/>
          <w:lang w:eastAsia="en-NZ"/>
        </w:rPr>
        <w:t>7</w:t>
      </w:r>
      <w:r w:rsidR="00284822" w:rsidRPr="00200CCC">
        <w:rPr>
          <w:rFonts w:eastAsia="Times New Roman" w:cstheme="minorHAnsi"/>
          <w:color w:val="000000" w:themeColor="text1"/>
          <w:sz w:val="24"/>
          <w:szCs w:val="24"/>
          <w:lang w:eastAsia="en-NZ"/>
        </w:rPr>
        <w:t xml:space="preserve"> </w:t>
      </w:r>
      <w:bookmarkStart w:id="3" w:name="_Hlk153446431"/>
      <w:r w:rsidR="00C75BAD" w:rsidRPr="00200CCC">
        <w:rPr>
          <w:rFonts w:eastAsia="Times New Roman" w:cstheme="minorHAnsi"/>
          <w:color w:val="000000" w:themeColor="text1"/>
          <w:sz w:val="24"/>
          <w:szCs w:val="24"/>
          <w:lang w:eastAsia="en-NZ"/>
        </w:rPr>
        <w:t xml:space="preserve">The tablet </w:t>
      </w:r>
      <w:r w:rsidR="00FA64BC" w:rsidRPr="00200CCC">
        <w:rPr>
          <w:rFonts w:eastAsia="Times New Roman" w:cstheme="minorHAnsi"/>
          <w:color w:val="000000" w:themeColor="text1"/>
          <w:sz w:val="24"/>
          <w:szCs w:val="24"/>
          <w:lang w:eastAsia="en-NZ"/>
        </w:rPr>
        <w:t xml:space="preserve">formulation’s sustained </w:t>
      </w:r>
      <w:r w:rsidR="00C75BAD" w:rsidRPr="00200CCC">
        <w:rPr>
          <w:rFonts w:eastAsia="Times New Roman" w:cstheme="minorHAnsi"/>
          <w:color w:val="000000" w:themeColor="text1"/>
          <w:sz w:val="24"/>
          <w:szCs w:val="24"/>
          <w:lang w:eastAsia="en-NZ"/>
        </w:rPr>
        <w:t xml:space="preserve">exposure </w:t>
      </w:r>
      <w:r w:rsidR="00900E20" w:rsidRPr="00200CCC">
        <w:rPr>
          <w:rFonts w:eastAsia="Times New Roman" w:cstheme="minorHAnsi"/>
          <w:color w:val="000000" w:themeColor="text1"/>
          <w:sz w:val="24"/>
          <w:szCs w:val="24"/>
          <w:lang w:eastAsia="en-NZ"/>
        </w:rPr>
        <w:t xml:space="preserve">to </w:t>
      </w:r>
      <w:r w:rsidR="00FA64BC" w:rsidRPr="00200CCC">
        <w:rPr>
          <w:rFonts w:eastAsia="Times New Roman" w:cstheme="minorHAnsi"/>
          <w:color w:val="000000" w:themeColor="text1"/>
          <w:sz w:val="24"/>
          <w:szCs w:val="24"/>
          <w:lang w:eastAsia="en-NZ"/>
        </w:rPr>
        <w:t xml:space="preserve">norketamine over 24 hours after once-daily dosing </w:t>
      </w:r>
      <w:r w:rsidR="00C75BAD" w:rsidRPr="00200CCC">
        <w:rPr>
          <w:rFonts w:eastAsia="Times New Roman" w:cstheme="minorHAnsi"/>
          <w:color w:val="000000" w:themeColor="text1"/>
          <w:sz w:val="24"/>
          <w:szCs w:val="24"/>
          <w:lang w:eastAsia="en-NZ"/>
        </w:rPr>
        <w:t>provided a similar prolonged pharmacokinetic exposure</w:t>
      </w:r>
      <w:r w:rsidR="0000557F" w:rsidRPr="00200CCC">
        <w:rPr>
          <w:rFonts w:eastAsia="Times New Roman" w:cstheme="minorHAnsi"/>
          <w:color w:val="000000" w:themeColor="text1"/>
          <w:sz w:val="24"/>
          <w:szCs w:val="24"/>
          <w:lang w:eastAsia="en-NZ"/>
        </w:rPr>
        <w:t>.</w:t>
      </w:r>
      <w:bookmarkEnd w:id="3"/>
      <w:r w:rsidR="00284822" w:rsidRPr="00200CCC">
        <w:rPr>
          <w:rFonts w:eastAsia="Times New Roman" w:cstheme="minorHAnsi"/>
          <w:color w:val="000000" w:themeColor="text1"/>
          <w:sz w:val="24"/>
          <w:szCs w:val="24"/>
          <w:vertAlign w:val="superscript"/>
          <w:lang w:eastAsia="en-NZ"/>
        </w:rPr>
        <w:t>9</w:t>
      </w:r>
      <w:r w:rsidR="00284822" w:rsidRPr="00200CCC">
        <w:rPr>
          <w:rFonts w:eastAsia="Times New Roman" w:cstheme="minorHAnsi"/>
          <w:color w:val="000000" w:themeColor="text1"/>
          <w:sz w:val="24"/>
          <w:szCs w:val="24"/>
          <w:lang w:eastAsia="en-NZ"/>
        </w:rPr>
        <w:t xml:space="preserve"> </w:t>
      </w:r>
      <w:r w:rsidR="00C75BAD" w:rsidRPr="00200CCC">
        <w:rPr>
          <w:rFonts w:eastAsia="Times New Roman" w:cstheme="minorHAnsi"/>
          <w:color w:val="000000" w:themeColor="text1"/>
          <w:sz w:val="24"/>
          <w:szCs w:val="24"/>
          <w:lang w:eastAsia="en-NZ"/>
        </w:rPr>
        <w:t>Ketamine dosing was open-label during the enrichment phase, therefore th</w:t>
      </w:r>
      <w:r w:rsidR="00257B72" w:rsidRPr="00200CCC">
        <w:rPr>
          <w:rFonts w:eastAsia="Times New Roman" w:cstheme="minorHAnsi"/>
          <w:color w:val="000000" w:themeColor="text1"/>
          <w:sz w:val="24"/>
          <w:szCs w:val="24"/>
          <w:lang w:eastAsia="en-NZ"/>
        </w:rPr>
        <w:t xml:space="preserve">e </w:t>
      </w:r>
      <w:r w:rsidR="00B93FF9" w:rsidRPr="00200CCC">
        <w:rPr>
          <w:rFonts w:eastAsia="Times New Roman" w:cstheme="minorHAnsi"/>
          <w:color w:val="000000" w:themeColor="text1"/>
          <w:sz w:val="24"/>
          <w:szCs w:val="24"/>
          <w:lang w:eastAsia="en-NZ"/>
        </w:rPr>
        <w:t xml:space="preserve">high </w:t>
      </w:r>
      <w:r w:rsidR="00257B72" w:rsidRPr="00200CCC">
        <w:rPr>
          <w:rFonts w:eastAsia="Times New Roman" w:cstheme="minorHAnsi"/>
          <w:color w:val="000000" w:themeColor="text1"/>
          <w:sz w:val="24"/>
          <w:szCs w:val="24"/>
          <w:lang w:eastAsia="en-NZ"/>
        </w:rPr>
        <w:t>r</w:t>
      </w:r>
      <w:r w:rsidR="00F758A0" w:rsidRPr="00200CCC">
        <w:rPr>
          <w:rFonts w:eastAsia="Times New Roman" w:cstheme="minorHAnsi"/>
          <w:color w:val="000000" w:themeColor="text1"/>
          <w:sz w:val="24"/>
          <w:szCs w:val="24"/>
          <w:lang w:eastAsia="en-NZ"/>
        </w:rPr>
        <w:t xml:space="preserve">emission </w:t>
      </w:r>
      <w:r w:rsidR="00257B72" w:rsidRPr="00200CCC">
        <w:rPr>
          <w:rFonts w:eastAsia="Times New Roman" w:cstheme="minorHAnsi"/>
          <w:color w:val="000000" w:themeColor="text1"/>
          <w:sz w:val="24"/>
          <w:szCs w:val="24"/>
          <w:lang w:eastAsia="en-NZ"/>
        </w:rPr>
        <w:t>(</w:t>
      </w:r>
      <w:r w:rsidR="00F758A0" w:rsidRPr="00200CCC">
        <w:rPr>
          <w:rFonts w:eastAsia="Times New Roman" w:cstheme="minorHAnsi"/>
          <w:color w:val="000000" w:themeColor="text1"/>
          <w:sz w:val="24"/>
          <w:szCs w:val="24"/>
          <w:lang w:eastAsia="en-NZ"/>
        </w:rPr>
        <w:t>57.1%</w:t>
      </w:r>
      <w:r w:rsidR="00257B72" w:rsidRPr="00200CCC">
        <w:rPr>
          <w:rFonts w:eastAsia="Times New Roman" w:cstheme="minorHAnsi"/>
          <w:color w:val="000000" w:themeColor="text1"/>
          <w:sz w:val="24"/>
          <w:szCs w:val="24"/>
          <w:lang w:eastAsia="en-NZ"/>
        </w:rPr>
        <w:t xml:space="preserve">) and response (72.7%) rates for </w:t>
      </w:r>
      <w:r w:rsidR="00F758A0" w:rsidRPr="00200CCC">
        <w:rPr>
          <w:rFonts w:eastAsia="Times New Roman" w:cstheme="minorHAnsi"/>
          <w:color w:val="000000" w:themeColor="text1"/>
          <w:sz w:val="24"/>
          <w:szCs w:val="24"/>
          <w:lang w:eastAsia="en-NZ"/>
        </w:rPr>
        <w:t>participants during th</w:t>
      </w:r>
      <w:r w:rsidR="00C75BAD" w:rsidRPr="00200CCC">
        <w:rPr>
          <w:rFonts w:eastAsia="Times New Roman" w:cstheme="minorHAnsi"/>
          <w:color w:val="000000" w:themeColor="text1"/>
          <w:sz w:val="24"/>
          <w:szCs w:val="24"/>
          <w:lang w:eastAsia="en-NZ"/>
        </w:rPr>
        <w:t xml:space="preserve">is </w:t>
      </w:r>
      <w:r w:rsidR="00F758A0" w:rsidRPr="00200CCC">
        <w:rPr>
          <w:rFonts w:eastAsia="Times New Roman" w:cstheme="minorHAnsi"/>
          <w:color w:val="000000" w:themeColor="text1"/>
          <w:sz w:val="24"/>
          <w:szCs w:val="24"/>
          <w:lang w:eastAsia="en-NZ"/>
        </w:rPr>
        <w:t>phase</w:t>
      </w:r>
      <w:r w:rsidR="00257B72" w:rsidRPr="00200CCC">
        <w:rPr>
          <w:rFonts w:eastAsia="Times New Roman" w:cstheme="minorHAnsi"/>
          <w:color w:val="000000" w:themeColor="text1"/>
          <w:sz w:val="24"/>
          <w:szCs w:val="24"/>
          <w:lang w:eastAsia="en-NZ"/>
        </w:rPr>
        <w:t xml:space="preserve"> have to be considered </w:t>
      </w:r>
      <w:r w:rsidR="00B93FF9" w:rsidRPr="00200CCC">
        <w:rPr>
          <w:rFonts w:eastAsia="Times New Roman" w:cstheme="minorHAnsi"/>
          <w:color w:val="000000" w:themeColor="text1"/>
          <w:sz w:val="24"/>
          <w:szCs w:val="24"/>
          <w:lang w:eastAsia="en-NZ"/>
        </w:rPr>
        <w:t xml:space="preserve">cautiously due to </w:t>
      </w:r>
      <w:r w:rsidR="00257B72" w:rsidRPr="00200CCC">
        <w:rPr>
          <w:rFonts w:eastAsia="Times New Roman" w:cstheme="minorHAnsi"/>
          <w:color w:val="000000" w:themeColor="text1"/>
          <w:sz w:val="24"/>
          <w:szCs w:val="24"/>
          <w:lang w:eastAsia="en-NZ"/>
        </w:rPr>
        <w:t>likely expectation effects</w:t>
      </w:r>
      <w:r w:rsidR="0000557F" w:rsidRPr="00200CCC">
        <w:rPr>
          <w:rFonts w:eastAsia="Times New Roman" w:cstheme="minorHAnsi"/>
          <w:color w:val="000000" w:themeColor="text1"/>
          <w:sz w:val="24"/>
          <w:szCs w:val="24"/>
          <w:lang w:eastAsia="en-NZ"/>
        </w:rPr>
        <w:t>.</w:t>
      </w:r>
      <w:r w:rsidR="00426302" w:rsidRPr="00200CCC">
        <w:rPr>
          <w:rFonts w:eastAsia="Times New Roman" w:cstheme="minorHAnsi"/>
          <w:color w:val="000000" w:themeColor="text1"/>
          <w:sz w:val="24"/>
          <w:szCs w:val="24"/>
          <w:vertAlign w:val="superscript"/>
          <w:lang w:eastAsia="en-NZ"/>
        </w:rPr>
        <w:t>1</w:t>
      </w:r>
      <w:r w:rsidR="004A3D52" w:rsidRPr="00200CCC">
        <w:rPr>
          <w:rFonts w:eastAsia="Times New Roman" w:cstheme="minorHAnsi"/>
          <w:color w:val="000000" w:themeColor="text1"/>
          <w:sz w:val="24"/>
          <w:szCs w:val="24"/>
          <w:vertAlign w:val="superscript"/>
          <w:lang w:eastAsia="en-NZ"/>
        </w:rPr>
        <w:t>8</w:t>
      </w:r>
      <w:r w:rsidR="00284822" w:rsidRPr="00200CCC">
        <w:rPr>
          <w:rFonts w:eastAsia="Times New Roman" w:cstheme="minorHAnsi"/>
          <w:color w:val="000000" w:themeColor="text1"/>
          <w:sz w:val="24"/>
          <w:szCs w:val="24"/>
          <w:lang w:eastAsia="en-NZ"/>
        </w:rPr>
        <w:t xml:space="preserve"> </w:t>
      </w:r>
      <w:r w:rsidR="009C6409" w:rsidRPr="00200CCC">
        <w:rPr>
          <w:rFonts w:eastAsia="Times New Roman" w:cstheme="minorHAnsi"/>
          <w:color w:val="000000" w:themeColor="text1"/>
          <w:sz w:val="24"/>
          <w:szCs w:val="24"/>
          <w:lang w:eastAsia="en-NZ"/>
        </w:rPr>
        <w:t xml:space="preserve">During the </w:t>
      </w:r>
      <w:r w:rsidR="00321AC2" w:rsidRPr="00200CCC">
        <w:rPr>
          <w:rFonts w:eastAsia="Times New Roman" w:cstheme="minorHAnsi"/>
          <w:color w:val="000000" w:themeColor="text1"/>
          <w:sz w:val="24"/>
          <w:szCs w:val="24"/>
          <w:lang w:eastAsia="en-NZ"/>
        </w:rPr>
        <w:t>double-blind treatment</w:t>
      </w:r>
      <w:r w:rsidR="009C6409" w:rsidRPr="00200CCC">
        <w:rPr>
          <w:rFonts w:eastAsia="Times New Roman" w:cstheme="minorHAnsi"/>
          <w:color w:val="000000" w:themeColor="text1"/>
          <w:sz w:val="24"/>
          <w:szCs w:val="24"/>
          <w:lang w:eastAsia="en-NZ"/>
        </w:rPr>
        <w:t xml:space="preserve"> phase, clear-dose responses were observed, for </w:t>
      </w:r>
      <w:r w:rsidR="0068144D" w:rsidRPr="00200CCC">
        <w:rPr>
          <w:rFonts w:eastAsia="Times New Roman" w:cstheme="minorHAnsi"/>
          <w:color w:val="000000" w:themeColor="text1"/>
          <w:sz w:val="24"/>
          <w:szCs w:val="24"/>
          <w:lang w:eastAsia="en-NZ"/>
        </w:rPr>
        <w:lastRenderedPageBreak/>
        <w:t xml:space="preserve">the </w:t>
      </w:r>
      <w:r w:rsidR="009C6409" w:rsidRPr="00200CCC">
        <w:rPr>
          <w:rFonts w:eastAsia="Times New Roman" w:cstheme="minorHAnsi"/>
          <w:color w:val="000000" w:themeColor="text1"/>
          <w:sz w:val="24"/>
          <w:szCs w:val="24"/>
          <w:lang w:eastAsia="en-NZ"/>
        </w:rPr>
        <w:t xml:space="preserve">proportion of patients relapsing and median time to relapse, and </w:t>
      </w:r>
      <w:r w:rsidR="00B93FF9" w:rsidRPr="00200CCC">
        <w:rPr>
          <w:rFonts w:eastAsia="Times New Roman" w:cstheme="minorHAnsi"/>
          <w:color w:val="000000" w:themeColor="text1"/>
          <w:sz w:val="24"/>
          <w:szCs w:val="24"/>
          <w:lang w:eastAsia="en-NZ"/>
        </w:rPr>
        <w:t xml:space="preserve">there were </w:t>
      </w:r>
      <w:r w:rsidR="009C6409" w:rsidRPr="00200CCC">
        <w:rPr>
          <w:rFonts w:eastAsia="Times New Roman" w:cstheme="minorHAnsi"/>
          <w:color w:val="000000" w:themeColor="text1"/>
          <w:sz w:val="24"/>
          <w:szCs w:val="24"/>
          <w:lang w:eastAsia="en-NZ"/>
        </w:rPr>
        <w:t xml:space="preserve">dose-related trends for </w:t>
      </w:r>
      <w:r w:rsidR="009C6409" w:rsidRPr="00200CCC">
        <w:rPr>
          <w:rFonts w:cstheme="minorHAnsi"/>
          <w:color w:val="000000" w:themeColor="text1"/>
          <w:sz w:val="24"/>
          <w:szCs w:val="24"/>
        </w:rPr>
        <w:t>reductions in the MADRS total score</w:t>
      </w:r>
      <w:r w:rsidR="009C6409" w:rsidRPr="00200CCC">
        <w:rPr>
          <w:rFonts w:eastAsia="Times New Roman" w:cstheme="minorHAnsi"/>
          <w:color w:val="000000" w:themeColor="text1"/>
          <w:sz w:val="24"/>
          <w:szCs w:val="24"/>
          <w:lang w:eastAsia="en-NZ"/>
        </w:rPr>
        <w:t xml:space="preserve">. </w:t>
      </w:r>
      <w:r w:rsidR="00F758A0" w:rsidRPr="00200CCC">
        <w:rPr>
          <w:rFonts w:eastAsia="Times New Roman" w:cstheme="minorHAnsi"/>
          <w:color w:val="000000" w:themeColor="text1"/>
          <w:sz w:val="24"/>
          <w:szCs w:val="24"/>
          <w:lang w:eastAsia="en-NZ"/>
        </w:rPr>
        <w:t>M</w:t>
      </w:r>
      <w:r w:rsidR="009C6409" w:rsidRPr="00200CCC">
        <w:rPr>
          <w:rFonts w:cstheme="minorHAnsi"/>
          <w:color w:val="000000" w:themeColor="text1"/>
          <w:sz w:val="24"/>
          <w:szCs w:val="24"/>
        </w:rPr>
        <w:t>ost relapses in the 0-120mg dose groups occurr</w:t>
      </w:r>
      <w:r w:rsidR="006C2A2A" w:rsidRPr="00200CCC">
        <w:rPr>
          <w:rFonts w:cstheme="minorHAnsi"/>
          <w:color w:val="000000" w:themeColor="text1"/>
          <w:sz w:val="24"/>
          <w:szCs w:val="24"/>
        </w:rPr>
        <w:t>ed</w:t>
      </w:r>
      <w:r w:rsidR="009C6409" w:rsidRPr="00200CCC">
        <w:rPr>
          <w:rFonts w:cstheme="minorHAnsi"/>
          <w:color w:val="000000" w:themeColor="text1"/>
          <w:sz w:val="24"/>
          <w:szCs w:val="24"/>
        </w:rPr>
        <w:t xml:space="preserve"> within 1 month of randomization</w:t>
      </w:r>
      <w:r w:rsidR="00321AC2" w:rsidRPr="00200CCC">
        <w:rPr>
          <w:rFonts w:cstheme="minorHAnsi"/>
          <w:color w:val="000000" w:themeColor="text1"/>
          <w:sz w:val="24"/>
          <w:szCs w:val="24"/>
        </w:rPr>
        <w:t xml:space="preserve"> (Figure </w:t>
      </w:r>
      <w:r w:rsidR="00D93702" w:rsidRPr="00200CCC">
        <w:rPr>
          <w:rFonts w:cstheme="minorHAnsi"/>
          <w:color w:val="000000" w:themeColor="text1"/>
          <w:sz w:val="24"/>
          <w:szCs w:val="24"/>
        </w:rPr>
        <w:t>3</w:t>
      </w:r>
      <w:r w:rsidR="00321AC2" w:rsidRPr="00200CCC">
        <w:rPr>
          <w:rFonts w:cstheme="minorHAnsi"/>
          <w:color w:val="000000" w:themeColor="text1"/>
          <w:sz w:val="24"/>
          <w:szCs w:val="24"/>
        </w:rPr>
        <w:t>)</w:t>
      </w:r>
      <w:r w:rsidR="009C6409" w:rsidRPr="00200CCC">
        <w:rPr>
          <w:rFonts w:cstheme="minorHAnsi"/>
          <w:color w:val="000000" w:themeColor="text1"/>
          <w:sz w:val="24"/>
          <w:szCs w:val="24"/>
        </w:rPr>
        <w:t>.</w:t>
      </w:r>
      <w:r w:rsidR="009C6409" w:rsidRPr="00200CCC">
        <w:rPr>
          <w:rFonts w:eastAsia="Times New Roman" w:cstheme="minorHAnsi"/>
          <w:color w:val="000000" w:themeColor="text1"/>
          <w:sz w:val="24"/>
          <w:szCs w:val="24"/>
          <w:lang w:eastAsia="en-NZ"/>
        </w:rPr>
        <w:t xml:space="preserve"> Only the </w:t>
      </w:r>
      <w:r w:rsidR="00F758A0" w:rsidRPr="00200CCC">
        <w:rPr>
          <w:rFonts w:eastAsia="Times New Roman" w:cstheme="minorHAnsi"/>
          <w:color w:val="000000" w:themeColor="text1"/>
          <w:sz w:val="24"/>
          <w:szCs w:val="24"/>
          <w:lang w:eastAsia="en-NZ"/>
        </w:rPr>
        <w:t xml:space="preserve">mean between-group treatment difference between the 180mg and placebo groups (-6.1) was statistically significant, and this value exceeds the minimum clinically important difference threshold </w:t>
      </w:r>
      <w:r w:rsidR="00B93FF9" w:rsidRPr="00200CCC">
        <w:rPr>
          <w:rFonts w:eastAsia="Times New Roman" w:cstheme="minorHAnsi"/>
          <w:color w:val="000000" w:themeColor="text1"/>
          <w:sz w:val="24"/>
          <w:szCs w:val="24"/>
          <w:lang w:eastAsia="en-NZ"/>
        </w:rPr>
        <w:t xml:space="preserve">for antidepressants </w:t>
      </w:r>
      <w:r w:rsidR="00F758A0" w:rsidRPr="00200CCC">
        <w:rPr>
          <w:rFonts w:eastAsia="Times New Roman" w:cstheme="minorHAnsi"/>
          <w:color w:val="000000" w:themeColor="text1"/>
          <w:sz w:val="24"/>
          <w:szCs w:val="24"/>
          <w:lang w:eastAsia="en-NZ"/>
        </w:rPr>
        <w:t>reported in the literature</w:t>
      </w:r>
      <w:r w:rsidR="0000557F" w:rsidRPr="00200CCC">
        <w:rPr>
          <w:rFonts w:eastAsia="Times New Roman" w:cstheme="minorHAnsi"/>
          <w:color w:val="000000" w:themeColor="text1"/>
          <w:sz w:val="24"/>
          <w:szCs w:val="24"/>
          <w:lang w:eastAsia="en-NZ"/>
        </w:rPr>
        <w:t>.</w:t>
      </w:r>
      <w:r w:rsidR="00426302" w:rsidRPr="00200CCC">
        <w:rPr>
          <w:rFonts w:eastAsia="Times New Roman" w:cstheme="minorHAnsi"/>
          <w:color w:val="000000" w:themeColor="text1"/>
          <w:sz w:val="24"/>
          <w:szCs w:val="24"/>
          <w:vertAlign w:val="superscript"/>
          <w:lang w:eastAsia="en-NZ"/>
        </w:rPr>
        <w:t>1</w:t>
      </w:r>
      <w:r w:rsidR="004A3D52" w:rsidRPr="00200CCC">
        <w:rPr>
          <w:rFonts w:eastAsia="Times New Roman" w:cstheme="minorHAnsi"/>
          <w:color w:val="000000" w:themeColor="text1"/>
          <w:sz w:val="24"/>
          <w:szCs w:val="24"/>
          <w:vertAlign w:val="superscript"/>
          <w:lang w:eastAsia="en-NZ"/>
        </w:rPr>
        <w:t>9</w:t>
      </w:r>
      <w:r w:rsidR="00284822" w:rsidRPr="00200CCC">
        <w:rPr>
          <w:rFonts w:eastAsia="Times New Roman" w:cstheme="minorHAnsi"/>
          <w:color w:val="000000" w:themeColor="text1"/>
          <w:sz w:val="24"/>
          <w:szCs w:val="24"/>
          <w:lang w:eastAsia="en-NZ"/>
        </w:rPr>
        <w:t xml:space="preserve"> </w:t>
      </w:r>
    </w:p>
    <w:p w14:paraId="271DD6CC" w14:textId="1D9595CD" w:rsidR="00A04327" w:rsidRPr="00200CCC" w:rsidRDefault="00A04327"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t>The relapse rate</w:t>
      </w:r>
      <w:r w:rsidR="002A69DD" w:rsidRPr="00200CCC">
        <w:rPr>
          <w:rFonts w:eastAsia="Times New Roman" w:cstheme="minorHAnsi"/>
          <w:color w:val="000000" w:themeColor="text1"/>
          <w:sz w:val="24"/>
          <w:szCs w:val="24"/>
          <w:lang w:eastAsia="en-NZ"/>
        </w:rPr>
        <w:t>s</w:t>
      </w:r>
      <w:r w:rsidRPr="00200CCC">
        <w:rPr>
          <w:rFonts w:eastAsia="Times New Roman" w:cstheme="minorHAnsi"/>
          <w:color w:val="000000" w:themeColor="text1"/>
          <w:sz w:val="24"/>
          <w:szCs w:val="24"/>
          <w:lang w:eastAsia="en-NZ"/>
        </w:rPr>
        <w:t xml:space="preserve"> </w:t>
      </w:r>
      <w:r w:rsidR="002A69DD" w:rsidRPr="00200CCC">
        <w:rPr>
          <w:rFonts w:eastAsia="Times New Roman" w:cstheme="minorHAnsi"/>
          <w:color w:val="000000" w:themeColor="text1"/>
          <w:sz w:val="24"/>
          <w:szCs w:val="24"/>
          <w:lang w:eastAsia="en-NZ"/>
        </w:rPr>
        <w:t xml:space="preserve">between weeks 2 and 13 </w:t>
      </w:r>
      <w:r w:rsidRPr="00200CCC">
        <w:rPr>
          <w:rFonts w:eastAsia="Times New Roman" w:cstheme="minorHAnsi"/>
          <w:color w:val="000000" w:themeColor="text1"/>
          <w:sz w:val="24"/>
          <w:szCs w:val="24"/>
          <w:lang w:eastAsia="en-NZ"/>
        </w:rPr>
        <w:t xml:space="preserve">in </w:t>
      </w:r>
      <w:r w:rsidR="002A69DD" w:rsidRPr="00200CCC">
        <w:rPr>
          <w:rFonts w:eastAsia="Times New Roman" w:cstheme="minorHAnsi"/>
          <w:color w:val="000000" w:themeColor="text1"/>
          <w:sz w:val="24"/>
          <w:szCs w:val="24"/>
          <w:lang w:eastAsia="en-NZ"/>
        </w:rPr>
        <w:t xml:space="preserve">patients randomized to </w:t>
      </w:r>
      <w:r w:rsidRPr="00200CCC">
        <w:rPr>
          <w:rFonts w:eastAsia="Times New Roman" w:cstheme="minorHAnsi"/>
          <w:color w:val="000000" w:themeColor="text1"/>
          <w:sz w:val="24"/>
          <w:szCs w:val="24"/>
          <w:lang w:eastAsia="en-NZ"/>
        </w:rPr>
        <w:t xml:space="preserve">the </w:t>
      </w:r>
      <w:r w:rsidR="002A69DD" w:rsidRPr="00200CCC">
        <w:rPr>
          <w:rFonts w:eastAsia="Times New Roman" w:cstheme="minorHAnsi"/>
          <w:color w:val="000000" w:themeColor="text1"/>
          <w:sz w:val="24"/>
          <w:szCs w:val="24"/>
          <w:lang w:eastAsia="en-NZ"/>
        </w:rPr>
        <w:t xml:space="preserve">placebo and </w:t>
      </w:r>
      <w:r w:rsidRPr="00200CCC">
        <w:rPr>
          <w:rFonts w:eastAsia="Times New Roman" w:cstheme="minorHAnsi"/>
          <w:color w:val="000000" w:themeColor="text1"/>
          <w:sz w:val="24"/>
          <w:szCs w:val="24"/>
          <w:lang w:eastAsia="en-NZ"/>
        </w:rPr>
        <w:t>180mg dose group</w:t>
      </w:r>
      <w:r w:rsidR="002A69DD" w:rsidRPr="00200CCC">
        <w:rPr>
          <w:rFonts w:eastAsia="Times New Roman" w:cstheme="minorHAnsi"/>
          <w:color w:val="000000" w:themeColor="text1"/>
          <w:sz w:val="24"/>
          <w:szCs w:val="24"/>
          <w:lang w:eastAsia="en-NZ"/>
        </w:rPr>
        <w:t>s (70.3% and 43.7% respectively) are both higher than those reported in a meta-analysis of relapse-prevention studies</w:t>
      </w:r>
      <w:r w:rsidR="00506281" w:rsidRPr="00200CCC">
        <w:rPr>
          <w:rFonts w:eastAsia="Times New Roman" w:cstheme="minorHAnsi"/>
          <w:color w:val="000000" w:themeColor="text1"/>
          <w:sz w:val="24"/>
          <w:szCs w:val="24"/>
          <w:lang w:eastAsia="en-NZ"/>
        </w:rPr>
        <w:t xml:space="preserve"> of antidepressants</w:t>
      </w:r>
      <w:r w:rsidR="002A69DD" w:rsidRPr="00200CCC">
        <w:rPr>
          <w:rFonts w:eastAsia="Times New Roman" w:cstheme="minorHAnsi"/>
          <w:color w:val="000000" w:themeColor="text1"/>
          <w:sz w:val="24"/>
          <w:szCs w:val="24"/>
          <w:lang w:eastAsia="en-NZ"/>
        </w:rPr>
        <w:t xml:space="preserve"> in non-TRD patients</w:t>
      </w:r>
      <w:r w:rsidR="00284822" w:rsidRPr="00200CCC">
        <w:rPr>
          <w:rFonts w:eastAsia="Times New Roman" w:cstheme="minorHAnsi"/>
          <w:color w:val="000000" w:themeColor="text1"/>
          <w:sz w:val="24"/>
          <w:szCs w:val="24"/>
          <w:vertAlign w:val="superscript"/>
          <w:lang w:eastAsia="en-NZ"/>
        </w:rPr>
        <w:t>13</w:t>
      </w:r>
      <w:r w:rsidRPr="00200CCC">
        <w:rPr>
          <w:rFonts w:eastAsia="Times New Roman" w:cstheme="minorHAnsi"/>
          <w:color w:val="000000" w:themeColor="text1"/>
          <w:sz w:val="24"/>
          <w:szCs w:val="24"/>
          <w:lang w:eastAsia="en-NZ"/>
        </w:rPr>
        <w:t xml:space="preserve"> </w:t>
      </w:r>
      <w:r w:rsidR="002A69DD" w:rsidRPr="00200CCC">
        <w:rPr>
          <w:rFonts w:eastAsia="Times New Roman" w:cstheme="minorHAnsi"/>
          <w:color w:val="000000" w:themeColor="text1"/>
          <w:sz w:val="24"/>
          <w:szCs w:val="24"/>
          <w:lang w:eastAsia="en-NZ"/>
        </w:rPr>
        <w:t xml:space="preserve">and in TRD patients enrolled in an </w:t>
      </w:r>
      <w:proofErr w:type="spellStart"/>
      <w:r w:rsidR="002A69DD" w:rsidRPr="00200CCC">
        <w:rPr>
          <w:rFonts w:eastAsia="Times New Roman" w:cstheme="minorHAnsi"/>
          <w:color w:val="000000" w:themeColor="text1"/>
          <w:sz w:val="24"/>
          <w:szCs w:val="24"/>
          <w:lang w:eastAsia="en-NZ"/>
        </w:rPr>
        <w:t>esketamine</w:t>
      </w:r>
      <w:proofErr w:type="spellEnd"/>
      <w:r w:rsidR="002A69DD" w:rsidRPr="00200CCC">
        <w:rPr>
          <w:rFonts w:eastAsia="Times New Roman" w:cstheme="minorHAnsi"/>
          <w:color w:val="000000" w:themeColor="text1"/>
          <w:sz w:val="24"/>
          <w:szCs w:val="24"/>
          <w:lang w:eastAsia="en-NZ"/>
        </w:rPr>
        <w:t xml:space="preserve"> randomized withdrawal study</w:t>
      </w:r>
      <w:r w:rsidR="00284822" w:rsidRPr="00200CCC">
        <w:rPr>
          <w:rFonts w:eastAsia="Times New Roman" w:cstheme="minorHAnsi"/>
          <w:color w:val="000000" w:themeColor="text1"/>
          <w:sz w:val="24"/>
          <w:szCs w:val="24"/>
          <w:vertAlign w:val="superscript"/>
          <w:lang w:eastAsia="en-NZ"/>
        </w:rPr>
        <w:t>1</w:t>
      </w:r>
      <w:r w:rsidR="004A3D52" w:rsidRPr="00200CCC">
        <w:rPr>
          <w:rFonts w:eastAsia="Times New Roman" w:cstheme="minorHAnsi"/>
          <w:color w:val="000000" w:themeColor="text1"/>
          <w:sz w:val="24"/>
          <w:szCs w:val="24"/>
          <w:vertAlign w:val="superscript"/>
          <w:lang w:eastAsia="en-NZ"/>
        </w:rPr>
        <w:t>5</w:t>
      </w:r>
      <w:r w:rsidR="0000557F" w:rsidRPr="00200CCC">
        <w:rPr>
          <w:rFonts w:eastAsia="Times New Roman" w:cstheme="minorHAnsi"/>
          <w:color w:val="000000" w:themeColor="text1"/>
          <w:sz w:val="24"/>
          <w:szCs w:val="24"/>
          <w:lang w:eastAsia="en-NZ"/>
        </w:rPr>
        <w:t xml:space="preserve"> (</w:t>
      </w:r>
      <w:r w:rsidR="005A76BC" w:rsidRPr="00200CCC">
        <w:rPr>
          <w:rFonts w:eastAsia="Times New Roman" w:cstheme="minorHAnsi"/>
          <w:color w:val="000000" w:themeColor="text1"/>
          <w:sz w:val="24"/>
          <w:szCs w:val="24"/>
          <w:lang w:eastAsia="en-NZ"/>
        </w:rPr>
        <w:fldChar w:fldCharType="begin"/>
      </w:r>
      <w:r w:rsidR="005A76BC" w:rsidRPr="00200CCC">
        <w:rPr>
          <w:rFonts w:eastAsia="Times New Roman" w:cstheme="minorHAnsi"/>
          <w:color w:val="000000" w:themeColor="text1"/>
          <w:sz w:val="24"/>
          <w:szCs w:val="24"/>
          <w:lang w:eastAsia="en-NZ"/>
        </w:rPr>
        <w:instrText xml:space="preserve"> REF _Ref163741538 \h  \* MERGEFORMAT </w:instrText>
      </w:r>
      <w:r w:rsidR="005A76BC" w:rsidRPr="00200CCC">
        <w:rPr>
          <w:rFonts w:eastAsia="Times New Roman" w:cstheme="minorHAnsi"/>
          <w:color w:val="000000" w:themeColor="text1"/>
          <w:sz w:val="24"/>
          <w:szCs w:val="24"/>
          <w:lang w:eastAsia="en-NZ"/>
        </w:rPr>
      </w:r>
      <w:r w:rsidR="005A76BC" w:rsidRPr="00200CCC">
        <w:rPr>
          <w:rFonts w:eastAsia="Times New Roman" w:cstheme="minorHAnsi"/>
          <w:color w:val="000000" w:themeColor="text1"/>
          <w:sz w:val="24"/>
          <w:szCs w:val="24"/>
          <w:lang w:eastAsia="en-NZ"/>
        </w:rPr>
        <w:fldChar w:fldCharType="separate"/>
      </w:r>
      <w:r w:rsidR="00B81265" w:rsidRPr="00200CCC">
        <w:rPr>
          <w:sz w:val="24"/>
          <w:szCs w:val="24"/>
        </w:rPr>
        <w:t>Extended Data</w:t>
      </w:r>
      <w:r w:rsidR="001204EE" w:rsidRPr="00200CCC">
        <w:rPr>
          <w:sz w:val="24"/>
          <w:szCs w:val="24"/>
        </w:rPr>
        <w:t xml:space="preserve"> </w:t>
      </w:r>
      <w:r w:rsidR="005A76BC" w:rsidRPr="00200CCC">
        <w:rPr>
          <w:rFonts w:eastAsia="Times New Roman" w:cstheme="minorHAnsi"/>
          <w:color w:val="000000" w:themeColor="text1"/>
          <w:sz w:val="24"/>
          <w:szCs w:val="24"/>
          <w:lang w:eastAsia="en-NZ"/>
        </w:rPr>
        <w:t>Table 5</w:t>
      </w:r>
      <w:r w:rsidR="005A76BC" w:rsidRPr="00200CCC">
        <w:rPr>
          <w:rFonts w:eastAsia="Times New Roman" w:cstheme="minorHAnsi"/>
          <w:color w:val="000000" w:themeColor="text1"/>
          <w:sz w:val="24"/>
          <w:szCs w:val="24"/>
          <w:lang w:eastAsia="en-NZ"/>
        </w:rPr>
        <w:fldChar w:fldCharType="end"/>
      </w:r>
      <w:r w:rsidR="002A69DD" w:rsidRPr="00200CCC">
        <w:rPr>
          <w:rFonts w:eastAsia="Times New Roman" w:cstheme="minorHAnsi"/>
          <w:color w:val="000000" w:themeColor="text1"/>
          <w:sz w:val="24"/>
          <w:szCs w:val="24"/>
          <w:lang w:eastAsia="en-NZ"/>
        </w:rPr>
        <w:t>). This could be due to the much shorter duration of open label dosing in the present study (5 days) compared with 16 weeks in patients with TRD</w:t>
      </w:r>
      <w:r w:rsidR="0000557F" w:rsidRPr="00200CCC">
        <w:rPr>
          <w:rFonts w:eastAsia="Times New Roman" w:cstheme="minorHAnsi"/>
          <w:color w:val="000000" w:themeColor="text1"/>
          <w:sz w:val="24"/>
          <w:szCs w:val="24"/>
          <w:vertAlign w:val="superscript"/>
          <w:lang w:eastAsia="en-NZ"/>
        </w:rPr>
        <w:t>1</w:t>
      </w:r>
      <w:r w:rsidR="004A3D52" w:rsidRPr="00200CCC">
        <w:rPr>
          <w:rFonts w:eastAsia="Times New Roman" w:cstheme="minorHAnsi"/>
          <w:color w:val="000000" w:themeColor="text1"/>
          <w:sz w:val="24"/>
          <w:szCs w:val="24"/>
          <w:vertAlign w:val="superscript"/>
          <w:lang w:eastAsia="en-NZ"/>
        </w:rPr>
        <w:t>5</w:t>
      </w:r>
      <w:r w:rsidR="002A69DD" w:rsidRPr="00200CCC">
        <w:rPr>
          <w:rFonts w:eastAsia="Times New Roman" w:cstheme="minorHAnsi"/>
          <w:color w:val="000000" w:themeColor="text1"/>
          <w:sz w:val="24"/>
          <w:szCs w:val="24"/>
          <w:lang w:eastAsia="en-NZ"/>
        </w:rPr>
        <w:t>, and a mean of 16.4 weeks in non-TRD depressed patients</w:t>
      </w:r>
      <w:r w:rsidR="0000557F" w:rsidRPr="00200CCC">
        <w:rPr>
          <w:rFonts w:eastAsia="Times New Roman" w:cstheme="minorHAnsi"/>
          <w:color w:val="000000" w:themeColor="text1"/>
          <w:sz w:val="24"/>
          <w:szCs w:val="24"/>
          <w:lang w:eastAsia="en-NZ"/>
        </w:rPr>
        <w:t>.</w:t>
      </w:r>
      <w:r w:rsidR="0000557F" w:rsidRPr="00200CCC">
        <w:rPr>
          <w:rFonts w:eastAsia="Times New Roman" w:cstheme="minorHAnsi"/>
          <w:color w:val="000000" w:themeColor="text1"/>
          <w:sz w:val="24"/>
          <w:szCs w:val="24"/>
          <w:vertAlign w:val="superscript"/>
          <w:lang w:eastAsia="en-NZ"/>
        </w:rPr>
        <w:t>1</w:t>
      </w:r>
      <w:r w:rsidR="00284822" w:rsidRPr="00200CCC">
        <w:rPr>
          <w:rFonts w:eastAsia="Times New Roman" w:cstheme="minorHAnsi"/>
          <w:color w:val="000000" w:themeColor="text1"/>
          <w:sz w:val="24"/>
          <w:szCs w:val="24"/>
          <w:vertAlign w:val="superscript"/>
          <w:lang w:eastAsia="en-NZ"/>
        </w:rPr>
        <w:t>3</w:t>
      </w:r>
      <w:r w:rsidR="002A69DD" w:rsidRPr="00200CCC">
        <w:rPr>
          <w:rFonts w:eastAsia="Times New Roman" w:cstheme="minorHAnsi"/>
          <w:color w:val="000000" w:themeColor="text1"/>
          <w:sz w:val="24"/>
          <w:szCs w:val="24"/>
          <w:lang w:eastAsia="en-NZ"/>
        </w:rPr>
        <w:t xml:space="preserve"> These longer dosing periods prior to randomiz</w:t>
      </w:r>
      <w:r w:rsidR="00405595" w:rsidRPr="00200CCC">
        <w:rPr>
          <w:rFonts w:eastAsia="Times New Roman" w:cstheme="minorHAnsi"/>
          <w:color w:val="000000" w:themeColor="text1"/>
          <w:sz w:val="24"/>
          <w:szCs w:val="24"/>
          <w:lang w:eastAsia="en-NZ"/>
        </w:rPr>
        <w:t xml:space="preserve">ed withdrawal </w:t>
      </w:r>
      <w:r w:rsidR="002A69DD" w:rsidRPr="00200CCC">
        <w:rPr>
          <w:rFonts w:eastAsia="Times New Roman" w:cstheme="minorHAnsi"/>
          <w:color w:val="000000" w:themeColor="text1"/>
          <w:sz w:val="24"/>
          <w:szCs w:val="24"/>
          <w:lang w:eastAsia="en-NZ"/>
        </w:rPr>
        <w:t xml:space="preserve">could </w:t>
      </w:r>
      <w:r w:rsidR="002A69DD" w:rsidRPr="00200CCC">
        <w:rPr>
          <w:rFonts w:cstheme="minorHAnsi"/>
          <w:sz w:val="24"/>
          <w:szCs w:val="24"/>
          <w:lang w:val="en-AU"/>
        </w:rPr>
        <w:t>select for stable responders</w:t>
      </w:r>
      <w:r w:rsidR="003B4F3F" w:rsidRPr="00200CCC">
        <w:rPr>
          <w:rFonts w:cstheme="minorHAnsi"/>
          <w:sz w:val="24"/>
          <w:szCs w:val="24"/>
          <w:lang w:val="en-AU"/>
        </w:rPr>
        <w:t xml:space="preserve">, which would reduce </w:t>
      </w:r>
      <w:r w:rsidR="0034749A" w:rsidRPr="00200CCC">
        <w:rPr>
          <w:rFonts w:cstheme="minorHAnsi"/>
          <w:sz w:val="24"/>
          <w:szCs w:val="24"/>
          <w:lang w:val="en-AU"/>
        </w:rPr>
        <w:t xml:space="preserve">subsequent </w:t>
      </w:r>
      <w:r w:rsidR="003B4F3F" w:rsidRPr="00200CCC">
        <w:rPr>
          <w:rFonts w:cstheme="minorHAnsi"/>
          <w:sz w:val="24"/>
          <w:szCs w:val="24"/>
          <w:lang w:val="en-AU"/>
        </w:rPr>
        <w:t xml:space="preserve">relapse rates.  </w:t>
      </w:r>
    </w:p>
    <w:p w14:paraId="3EC62634" w14:textId="77777777" w:rsidR="00257B72" w:rsidRPr="00200CCC" w:rsidRDefault="00257B72" w:rsidP="0019676F">
      <w:pPr>
        <w:shd w:val="clear" w:color="auto" w:fill="FFFFFF"/>
        <w:spacing w:after="240"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t>Many of the secondary efficacy outcome variables also showed dose</w:t>
      </w:r>
      <w:r w:rsidR="00AC246A" w:rsidRPr="00200CCC">
        <w:rPr>
          <w:rFonts w:eastAsia="Times New Roman" w:cstheme="minorHAnsi"/>
          <w:color w:val="000000" w:themeColor="text1"/>
          <w:sz w:val="24"/>
          <w:szCs w:val="24"/>
          <w:lang w:eastAsia="en-NZ"/>
        </w:rPr>
        <w:t>-</w:t>
      </w:r>
      <w:r w:rsidRPr="00200CCC">
        <w:rPr>
          <w:rFonts w:eastAsia="Times New Roman" w:cstheme="minorHAnsi"/>
          <w:color w:val="000000" w:themeColor="text1"/>
          <w:sz w:val="24"/>
          <w:szCs w:val="24"/>
          <w:lang w:eastAsia="en-NZ"/>
        </w:rPr>
        <w:t xml:space="preserve">related trends compared with placebo, however these were not statistically significant, presumably because of </w:t>
      </w:r>
      <w:r w:rsidR="00AC246A" w:rsidRPr="00200CCC">
        <w:rPr>
          <w:rFonts w:eastAsia="Times New Roman" w:cstheme="minorHAnsi"/>
          <w:color w:val="000000" w:themeColor="text1"/>
          <w:sz w:val="24"/>
          <w:szCs w:val="24"/>
          <w:lang w:eastAsia="en-NZ"/>
        </w:rPr>
        <w:t>small dose group sizes</w:t>
      </w:r>
      <w:r w:rsidR="00D20BB9" w:rsidRPr="00200CCC">
        <w:rPr>
          <w:rFonts w:cstheme="minorHAnsi"/>
          <w:color w:val="000000" w:themeColor="text1"/>
          <w:sz w:val="24"/>
          <w:szCs w:val="24"/>
          <w:lang w:eastAsia="zh-TW"/>
        </w:rPr>
        <w:t>,</w:t>
      </w:r>
      <w:r w:rsidR="00AC246A" w:rsidRPr="00200CCC">
        <w:rPr>
          <w:rFonts w:eastAsia="Times New Roman" w:cstheme="minorHAnsi"/>
          <w:color w:val="000000" w:themeColor="text1"/>
          <w:sz w:val="24"/>
          <w:szCs w:val="24"/>
          <w:lang w:eastAsia="en-NZ"/>
        </w:rPr>
        <w:t xml:space="preserve"> which may have reduced </w:t>
      </w:r>
      <w:r w:rsidRPr="00200CCC">
        <w:rPr>
          <w:rFonts w:eastAsia="Times New Roman" w:cstheme="minorHAnsi"/>
          <w:color w:val="000000" w:themeColor="text1"/>
          <w:sz w:val="24"/>
          <w:szCs w:val="24"/>
          <w:lang w:eastAsia="en-NZ"/>
        </w:rPr>
        <w:t xml:space="preserve">statistical power. </w:t>
      </w:r>
    </w:p>
    <w:p w14:paraId="52B4676A" w14:textId="77777777" w:rsidR="00972A7B" w:rsidRPr="00200CCC" w:rsidRDefault="00972A7B" w:rsidP="0019676F">
      <w:pPr>
        <w:shd w:val="clear" w:color="auto" w:fill="FFFFFF" w:themeFill="background1"/>
        <w:spacing w:after="240" w:line="360" w:lineRule="auto"/>
        <w:rPr>
          <w:rFonts w:cstheme="minorHAnsi"/>
          <w:color w:val="000000" w:themeColor="text1"/>
          <w:sz w:val="24"/>
          <w:szCs w:val="24"/>
        </w:rPr>
      </w:pPr>
      <w:proofErr w:type="gramStart"/>
      <w:r w:rsidRPr="00200CCC">
        <w:rPr>
          <w:rFonts w:cstheme="minorHAnsi"/>
          <w:color w:val="000000" w:themeColor="text1"/>
          <w:sz w:val="24"/>
          <w:szCs w:val="24"/>
        </w:rPr>
        <w:t>Commonly-reported</w:t>
      </w:r>
      <w:proofErr w:type="gramEnd"/>
      <w:r w:rsidRPr="00200CCC">
        <w:rPr>
          <w:rFonts w:cstheme="minorHAnsi"/>
          <w:color w:val="000000" w:themeColor="text1"/>
          <w:sz w:val="24"/>
          <w:szCs w:val="24"/>
        </w:rPr>
        <w:t xml:space="preserve"> adverse events during the </w:t>
      </w:r>
      <w:r w:rsidR="0034749A" w:rsidRPr="00200CCC">
        <w:rPr>
          <w:rFonts w:cstheme="minorHAnsi"/>
          <w:color w:val="000000" w:themeColor="text1"/>
          <w:sz w:val="24"/>
          <w:szCs w:val="24"/>
        </w:rPr>
        <w:t xml:space="preserve">open-label </w:t>
      </w:r>
      <w:r w:rsidRPr="00200CCC">
        <w:rPr>
          <w:rFonts w:cstheme="minorHAnsi"/>
          <w:color w:val="000000" w:themeColor="text1"/>
          <w:sz w:val="24"/>
          <w:szCs w:val="24"/>
        </w:rPr>
        <w:t xml:space="preserve">enrichment phase included </w:t>
      </w:r>
      <w:r w:rsidRPr="00200CCC">
        <w:rPr>
          <w:rFonts w:cstheme="minorHAnsi"/>
          <w:sz w:val="24"/>
          <w:szCs w:val="24"/>
        </w:rPr>
        <w:t xml:space="preserve">dizziness, headache, dissociation, feeling abnormal, fatigue, and nausea. </w:t>
      </w:r>
      <w:r w:rsidR="00AF58AB" w:rsidRPr="00200CCC">
        <w:rPr>
          <w:rFonts w:cstheme="minorHAnsi"/>
          <w:sz w:val="24"/>
          <w:szCs w:val="24"/>
        </w:rPr>
        <w:t>T</w:t>
      </w:r>
      <w:r w:rsidR="00CE299C" w:rsidRPr="00200CCC">
        <w:rPr>
          <w:rFonts w:cstheme="minorHAnsi"/>
          <w:sz w:val="24"/>
          <w:szCs w:val="24"/>
        </w:rPr>
        <w:t xml:space="preserve">he intensity of dissociation in the </w:t>
      </w:r>
      <w:r w:rsidRPr="00200CCC">
        <w:rPr>
          <w:rFonts w:cstheme="minorHAnsi"/>
          <w:color w:val="000000" w:themeColor="text1"/>
          <w:sz w:val="24"/>
          <w:szCs w:val="24"/>
        </w:rPr>
        <w:t xml:space="preserve">26 participants (11.6%) </w:t>
      </w:r>
      <w:r w:rsidR="00CE299C" w:rsidRPr="00200CCC">
        <w:rPr>
          <w:rFonts w:cstheme="minorHAnsi"/>
          <w:color w:val="000000" w:themeColor="text1"/>
          <w:sz w:val="24"/>
          <w:szCs w:val="24"/>
        </w:rPr>
        <w:t xml:space="preserve">who </w:t>
      </w:r>
      <w:r w:rsidRPr="00200CCC">
        <w:rPr>
          <w:rFonts w:cstheme="minorHAnsi"/>
          <w:color w:val="000000" w:themeColor="text1"/>
          <w:sz w:val="24"/>
          <w:szCs w:val="24"/>
        </w:rPr>
        <w:t xml:space="preserve">reported </w:t>
      </w:r>
      <w:r w:rsidR="00CE299C" w:rsidRPr="00200CCC">
        <w:rPr>
          <w:rFonts w:cstheme="minorHAnsi"/>
          <w:color w:val="000000" w:themeColor="text1"/>
          <w:sz w:val="24"/>
          <w:szCs w:val="24"/>
        </w:rPr>
        <w:t>this adverse event was minor, as demonstrated by mean</w:t>
      </w:r>
      <w:r w:rsidRPr="00200CCC">
        <w:rPr>
          <w:rFonts w:cstheme="minorHAnsi"/>
          <w:color w:val="000000" w:themeColor="text1"/>
          <w:sz w:val="24"/>
          <w:szCs w:val="24"/>
        </w:rPr>
        <w:t xml:space="preserve"> CADSS scores </w:t>
      </w:r>
      <w:r w:rsidR="00CE299C" w:rsidRPr="00200CCC">
        <w:rPr>
          <w:rFonts w:cstheme="minorHAnsi"/>
          <w:color w:val="000000" w:themeColor="text1"/>
          <w:sz w:val="24"/>
          <w:szCs w:val="24"/>
        </w:rPr>
        <w:t>of</w:t>
      </w:r>
      <w:r w:rsidRPr="00200CCC">
        <w:rPr>
          <w:rFonts w:cstheme="minorHAnsi"/>
          <w:color w:val="000000" w:themeColor="text1"/>
          <w:sz w:val="24"/>
          <w:szCs w:val="24"/>
        </w:rPr>
        <w:t xml:space="preserve"> 3 </w:t>
      </w:r>
      <w:r w:rsidR="00CE299C" w:rsidRPr="00200CCC">
        <w:rPr>
          <w:rFonts w:cstheme="minorHAnsi"/>
          <w:color w:val="000000" w:themeColor="text1"/>
          <w:sz w:val="24"/>
          <w:szCs w:val="24"/>
        </w:rPr>
        <w:t xml:space="preserve">or less </w:t>
      </w:r>
      <w:r w:rsidRPr="00200CCC">
        <w:rPr>
          <w:rFonts w:cstheme="minorHAnsi"/>
          <w:color w:val="000000" w:themeColor="text1"/>
          <w:sz w:val="24"/>
          <w:szCs w:val="24"/>
        </w:rPr>
        <w:t xml:space="preserve">for all participants. The most common side effects reported in the double-blind </w:t>
      </w:r>
      <w:r w:rsidR="00CE299C" w:rsidRPr="00200CCC">
        <w:rPr>
          <w:rFonts w:cstheme="minorHAnsi"/>
          <w:color w:val="000000" w:themeColor="text1"/>
          <w:sz w:val="24"/>
          <w:szCs w:val="24"/>
        </w:rPr>
        <w:t xml:space="preserve">relapse-prevention </w:t>
      </w:r>
      <w:r w:rsidRPr="00200CCC">
        <w:rPr>
          <w:rFonts w:cstheme="minorHAnsi"/>
          <w:color w:val="000000" w:themeColor="text1"/>
          <w:sz w:val="24"/>
          <w:szCs w:val="24"/>
        </w:rPr>
        <w:t xml:space="preserve">phase </w:t>
      </w:r>
      <w:r w:rsidR="00CE299C" w:rsidRPr="00200CCC">
        <w:rPr>
          <w:rFonts w:cstheme="minorHAnsi"/>
          <w:color w:val="000000" w:themeColor="text1"/>
          <w:sz w:val="24"/>
          <w:szCs w:val="24"/>
        </w:rPr>
        <w:t>were headache, dizziness, anxiety, depressed mood and dissociation (</w:t>
      </w:r>
      <w:r w:rsidRPr="00200CCC">
        <w:rPr>
          <w:rFonts w:cstheme="minorHAnsi"/>
          <w:color w:val="000000" w:themeColor="text1"/>
          <w:sz w:val="24"/>
          <w:szCs w:val="24"/>
        </w:rPr>
        <w:t xml:space="preserve">Table </w:t>
      </w:r>
      <w:r w:rsidR="00426302" w:rsidRPr="00200CCC">
        <w:rPr>
          <w:rFonts w:cstheme="minorHAnsi"/>
          <w:color w:val="000000" w:themeColor="text1"/>
          <w:sz w:val="24"/>
          <w:szCs w:val="24"/>
        </w:rPr>
        <w:t>3</w:t>
      </w:r>
      <w:r w:rsidR="00CE299C" w:rsidRPr="00200CCC">
        <w:rPr>
          <w:rFonts w:cstheme="minorHAnsi"/>
          <w:color w:val="000000" w:themeColor="text1"/>
          <w:sz w:val="24"/>
          <w:szCs w:val="24"/>
        </w:rPr>
        <w:t>), most of which were mild-moderate in intensity</w:t>
      </w:r>
      <w:r w:rsidRPr="00200CCC">
        <w:rPr>
          <w:rFonts w:cstheme="minorHAnsi"/>
          <w:color w:val="000000" w:themeColor="text1"/>
          <w:sz w:val="24"/>
          <w:szCs w:val="24"/>
        </w:rPr>
        <w:t>.</w:t>
      </w:r>
      <w:r w:rsidR="00CE299C" w:rsidRPr="00200CCC">
        <w:rPr>
          <w:rFonts w:cstheme="minorHAnsi"/>
          <w:color w:val="000000" w:themeColor="text1"/>
          <w:sz w:val="24"/>
          <w:szCs w:val="24"/>
        </w:rPr>
        <w:t xml:space="preserve"> </w:t>
      </w:r>
      <w:r w:rsidR="0034749A" w:rsidRPr="00200CCC">
        <w:rPr>
          <w:rFonts w:cstheme="minorHAnsi"/>
          <w:color w:val="000000" w:themeColor="text1"/>
          <w:sz w:val="24"/>
          <w:szCs w:val="24"/>
        </w:rPr>
        <w:t>O</w:t>
      </w:r>
      <w:r w:rsidR="00C75BAD" w:rsidRPr="00200CCC">
        <w:rPr>
          <w:rFonts w:cstheme="minorHAnsi"/>
          <w:color w:val="000000" w:themeColor="text1"/>
          <w:sz w:val="24"/>
          <w:szCs w:val="24"/>
        </w:rPr>
        <w:t xml:space="preserve">ther </w:t>
      </w:r>
      <w:r w:rsidR="002F09EB" w:rsidRPr="00200CCC">
        <w:rPr>
          <w:rFonts w:cstheme="minorHAnsi"/>
          <w:color w:val="000000" w:themeColor="text1"/>
          <w:sz w:val="24"/>
          <w:szCs w:val="24"/>
        </w:rPr>
        <w:t>notable difference</w:t>
      </w:r>
      <w:r w:rsidR="00E045BC" w:rsidRPr="00200CCC">
        <w:rPr>
          <w:rFonts w:cstheme="minorHAnsi"/>
          <w:color w:val="000000" w:themeColor="text1"/>
          <w:sz w:val="24"/>
          <w:szCs w:val="24"/>
        </w:rPr>
        <w:t>s</w:t>
      </w:r>
      <w:r w:rsidR="002F09EB" w:rsidRPr="00200CCC">
        <w:rPr>
          <w:rFonts w:cstheme="minorHAnsi"/>
          <w:color w:val="000000" w:themeColor="text1"/>
          <w:sz w:val="24"/>
          <w:szCs w:val="24"/>
        </w:rPr>
        <w:t xml:space="preserve"> from adverse events </w:t>
      </w:r>
      <w:r w:rsidR="004F27D9" w:rsidRPr="00200CCC">
        <w:rPr>
          <w:rFonts w:cstheme="minorHAnsi"/>
          <w:color w:val="000000" w:themeColor="text1"/>
          <w:sz w:val="24"/>
          <w:szCs w:val="24"/>
        </w:rPr>
        <w:t xml:space="preserve">commonly </w:t>
      </w:r>
      <w:r w:rsidR="002F09EB" w:rsidRPr="00200CCC">
        <w:rPr>
          <w:rFonts w:cstheme="minorHAnsi"/>
          <w:color w:val="000000" w:themeColor="text1"/>
          <w:sz w:val="24"/>
          <w:szCs w:val="24"/>
        </w:rPr>
        <w:t>reported after administration of ketamine or esketamine</w:t>
      </w:r>
      <w:r w:rsidR="004A3D52" w:rsidRPr="00200CCC">
        <w:rPr>
          <w:rFonts w:cstheme="minorHAnsi"/>
          <w:color w:val="000000" w:themeColor="text1"/>
          <w:sz w:val="24"/>
          <w:szCs w:val="24"/>
          <w:vertAlign w:val="superscript"/>
        </w:rPr>
        <w:t>20</w:t>
      </w:r>
      <w:r w:rsidR="005453A2" w:rsidRPr="00200CCC">
        <w:rPr>
          <w:rFonts w:cstheme="minorHAnsi"/>
          <w:color w:val="000000" w:themeColor="text1"/>
          <w:sz w:val="24"/>
          <w:szCs w:val="24"/>
        </w:rPr>
        <w:t xml:space="preserve"> </w:t>
      </w:r>
      <w:r w:rsidR="00C75BAD" w:rsidRPr="00200CCC">
        <w:rPr>
          <w:rFonts w:cstheme="minorHAnsi"/>
          <w:color w:val="000000" w:themeColor="text1"/>
          <w:sz w:val="24"/>
          <w:szCs w:val="24"/>
        </w:rPr>
        <w:t>were</w:t>
      </w:r>
      <w:r w:rsidR="002F09EB" w:rsidRPr="00200CCC">
        <w:rPr>
          <w:rFonts w:cstheme="minorHAnsi"/>
          <w:color w:val="000000" w:themeColor="text1"/>
          <w:sz w:val="24"/>
          <w:szCs w:val="24"/>
        </w:rPr>
        <w:t xml:space="preserve"> the absence of cardiovascular side effects, especially relating to increased blood pressure</w:t>
      </w:r>
      <w:r w:rsidR="00E045BC" w:rsidRPr="00200CCC">
        <w:rPr>
          <w:rFonts w:cstheme="minorHAnsi"/>
          <w:color w:val="000000" w:themeColor="text1"/>
          <w:sz w:val="24"/>
          <w:szCs w:val="24"/>
        </w:rPr>
        <w:t xml:space="preserve">, </w:t>
      </w:r>
      <w:r w:rsidR="0034749A" w:rsidRPr="00200CCC">
        <w:rPr>
          <w:rFonts w:cstheme="minorHAnsi"/>
          <w:color w:val="000000" w:themeColor="text1"/>
          <w:sz w:val="24"/>
          <w:szCs w:val="24"/>
        </w:rPr>
        <w:t xml:space="preserve">low </w:t>
      </w:r>
      <w:r w:rsidR="00801808" w:rsidRPr="00200CCC">
        <w:rPr>
          <w:rFonts w:cstheme="minorHAnsi"/>
          <w:color w:val="000000" w:themeColor="text1"/>
          <w:sz w:val="24"/>
          <w:szCs w:val="24"/>
        </w:rPr>
        <w:t>rat</w:t>
      </w:r>
      <w:r w:rsidR="00C628B4" w:rsidRPr="00200CCC">
        <w:rPr>
          <w:rFonts w:cstheme="minorHAnsi"/>
          <w:color w:val="000000" w:themeColor="text1"/>
          <w:sz w:val="24"/>
          <w:szCs w:val="24"/>
        </w:rPr>
        <w:t>es</w:t>
      </w:r>
      <w:r w:rsidR="00801808" w:rsidRPr="00200CCC">
        <w:rPr>
          <w:rFonts w:cstheme="minorHAnsi"/>
          <w:color w:val="000000" w:themeColor="text1"/>
          <w:sz w:val="24"/>
          <w:szCs w:val="24"/>
        </w:rPr>
        <w:t xml:space="preserve"> of </w:t>
      </w:r>
      <w:r w:rsidR="0034749A" w:rsidRPr="00200CCC">
        <w:rPr>
          <w:rFonts w:cstheme="minorHAnsi"/>
          <w:color w:val="000000" w:themeColor="text1"/>
          <w:sz w:val="24"/>
          <w:szCs w:val="24"/>
        </w:rPr>
        <w:t xml:space="preserve">dissociation, </w:t>
      </w:r>
      <w:proofErr w:type="gramStart"/>
      <w:r w:rsidR="00E045BC" w:rsidRPr="00200CCC">
        <w:rPr>
          <w:rFonts w:cstheme="minorHAnsi"/>
          <w:color w:val="000000" w:themeColor="text1"/>
          <w:sz w:val="24"/>
          <w:szCs w:val="24"/>
        </w:rPr>
        <w:t xml:space="preserve">and </w:t>
      </w:r>
      <w:r w:rsidR="006343E6" w:rsidRPr="00200CCC">
        <w:rPr>
          <w:rFonts w:cstheme="minorHAnsi"/>
          <w:color w:val="000000" w:themeColor="text1"/>
          <w:sz w:val="24"/>
          <w:szCs w:val="24"/>
        </w:rPr>
        <w:t>also</w:t>
      </w:r>
      <w:proofErr w:type="gramEnd"/>
      <w:r w:rsidR="006343E6" w:rsidRPr="00200CCC">
        <w:rPr>
          <w:rFonts w:cstheme="minorHAnsi"/>
          <w:color w:val="000000" w:themeColor="text1"/>
          <w:sz w:val="24"/>
          <w:szCs w:val="24"/>
        </w:rPr>
        <w:t xml:space="preserve"> </w:t>
      </w:r>
      <w:r w:rsidR="00E045BC" w:rsidRPr="00200CCC">
        <w:rPr>
          <w:rFonts w:cstheme="minorHAnsi"/>
          <w:color w:val="000000" w:themeColor="text1"/>
          <w:sz w:val="24"/>
          <w:szCs w:val="24"/>
        </w:rPr>
        <w:t>very low rates of sedation</w:t>
      </w:r>
      <w:r w:rsidR="002F09EB" w:rsidRPr="00200CCC">
        <w:rPr>
          <w:rFonts w:cstheme="minorHAnsi"/>
          <w:color w:val="000000" w:themeColor="text1"/>
          <w:sz w:val="24"/>
          <w:szCs w:val="24"/>
        </w:rPr>
        <w:t xml:space="preserve">. </w:t>
      </w:r>
      <w:r w:rsidR="00CE299C" w:rsidRPr="00200CCC">
        <w:rPr>
          <w:rFonts w:cstheme="minorHAnsi"/>
          <w:color w:val="000000" w:themeColor="text1"/>
          <w:sz w:val="24"/>
          <w:szCs w:val="24"/>
        </w:rPr>
        <w:t xml:space="preserve">Mean ratings of </w:t>
      </w:r>
      <w:r w:rsidRPr="00200CCC">
        <w:rPr>
          <w:rFonts w:cstheme="minorHAnsi"/>
          <w:color w:val="000000" w:themeColor="text1"/>
          <w:sz w:val="24"/>
          <w:szCs w:val="24"/>
        </w:rPr>
        <w:t>cystitis</w:t>
      </w:r>
      <w:r w:rsidR="00CE299C" w:rsidRPr="00200CCC">
        <w:rPr>
          <w:rFonts w:cstheme="minorHAnsi"/>
          <w:color w:val="000000" w:themeColor="text1"/>
          <w:sz w:val="24"/>
          <w:szCs w:val="24"/>
        </w:rPr>
        <w:t xml:space="preserve"> symptoms</w:t>
      </w:r>
      <w:r w:rsidRPr="00200CCC">
        <w:rPr>
          <w:rFonts w:cstheme="minorHAnsi"/>
          <w:color w:val="000000" w:themeColor="text1"/>
          <w:sz w:val="24"/>
          <w:szCs w:val="24"/>
        </w:rPr>
        <w:t xml:space="preserve"> </w:t>
      </w:r>
      <w:r w:rsidR="00BC4567" w:rsidRPr="00200CCC">
        <w:rPr>
          <w:rFonts w:cstheme="minorHAnsi"/>
          <w:color w:val="000000" w:themeColor="text1"/>
          <w:sz w:val="24"/>
          <w:szCs w:val="24"/>
        </w:rPr>
        <w:t>using the BPIC</w:t>
      </w:r>
      <w:r w:rsidR="00405595" w:rsidRPr="00200CCC">
        <w:rPr>
          <w:rFonts w:cstheme="minorHAnsi"/>
          <w:color w:val="000000" w:themeColor="text1"/>
          <w:sz w:val="24"/>
          <w:szCs w:val="24"/>
        </w:rPr>
        <w:t>-SS</w:t>
      </w:r>
      <w:r w:rsidR="00BC4567" w:rsidRPr="00200CCC">
        <w:rPr>
          <w:rFonts w:cstheme="minorHAnsi"/>
          <w:color w:val="000000" w:themeColor="text1"/>
          <w:sz w:val="24"/>
          <w:szCs w:val="24"/>
        </w:rPr>
        <w:t xml:space="preserve"> questionnaire </w:t>
      </w:r>
      <w:r w:rsidRPr="00200CCC">
        <w:rPr>
          <w:rFonts w:cstheme="minorHAnsi"/>
          <w:color w:val="000000" w:themeColor="text1"/>
          <w:sz w:val="24"/>
          <w:szCs w:val="24"/>
        </w:rPr>
        <w:t xml:space="preserve">remained </w:t>
      </w:r>
      <w:r w:rsidR="00CE299C" w:rsidRPr="00200CCC">
        <w:rPr>
          <w:rFonts w:cstheme="minorHAnsi"/>
          <w:color w:val="000000" w:themeColor="text1"/>
          <w:sz w:val="24"/>
          <w:szCs w:val="24"/>
        </w:rPr>
        <w:t xml:space="preserve">less than </w:t>
      </w:r>
      <w:r w:rsidRPr="00200CCC">
        <w:rPr>
          <w:rFonts w:cstheme="minorHAnsi"/>
          <w:color w:val="000000" w:themeColor="text1"/>
          <w:sz w:val="24"/>
          <w:szCs w:val="24"/>
        </w:rPr>
        <w:t>3 points</w:t>
      </w:r>
      <w:r w:rsidR="00CE299C" w:rsidRPr="00200CCC">
        <w:rPr>
          <w:rFonts w:cstheme="minorHAnsi"/>
          <w:color w:val="000000" w:themeColor="text1"/>
          <w:sz w:val="24"/>
          <w:szCs w:val="24"/>
        </w:rPr>
        <w:t xml:space="preserve"> </w:t>
      </w:r>
      <w:r w:rsidRPr="00200CCC">
        <w:rPr>
          <w:rFonts w:cstheme="minorHAnsi"/>
          <w:color w:val="000000" w:themeColor="text1"/>
          <w:sz w:val="24"/>
          <w:szCs w:val="24"/>
        </w:rPr>
        <w:t>throughout the study</w:t>
      </w:r>
      <w:r w:rsidR="004F27D9" w:rsidRPr="00200CCC">
        <w:rPr>
          <w:rFonts w:cstheme="minorHAnsi"/>
          <w:color w:val="000000" w:themeColor="text1"/>
          <w:sz w:val="24"/>
          <w:szCs w:val="24"/>
        </w:rPr>
        <w:t>, out of a maximum of 38</w:t>
      </w:r>
      <w:r w:rsidRPr="00200CCC">
        <w:rPr>
          <w:rFonts w:cstheme="minorHAnsi"/>
          <w:color w:val="000000" w:themeColor="text1"/>
          <w:sz w:val="24"/>
          <w:szCs w:val="24"/>
        </w:rPr>
        <w:t xml:space="preserve">, </w:t>
      </w:r>
      <w:r w:rsidR="00CE299C" w:rsidRPr="00200CCC">
        <w:rPr>
          <w:rFonts w:cstheme="minorHAnsi"/>
          <w:color w:val="000000" w:themeColor="text1"/>
          <w:sz w:val="24"/>
          <w:szCs w:val="24"/>
        </w:rPr>
        <w:t xml:space="preserve">with no </w:t>
      </w:r>
      <w:r w:rsidRPr="00200CCC">
        <w:rPr>
          <w:rFonts w:cstheme="minorHAnsi"/>
          <w:color w:val="000000" w:themeColor="text1"/>
          <w:sz w:val="24"/>
          <w:szCs w:val="24"/>
        </w:rPr>
        <w:t>differen</w:t>
      </w:r>
      <w:r w:rsidR="00CE299C" w:rsidRPr="00200CCC">
        <w:rPr>
          <w:rFonts w:cstheme="minorHAnsi"/>
          <w:color w:val="000000" w:themeColor="text1"/>
          <w:sz w:val="24"/>
          <w:szCs w:val="24"/>
        </w:rPr>
        <w:t xml:space="preserve">ces </w:t>
      </w:r>
      <w:r w:rsidRPr="00200CCC">
        <w:rPr>
          <w:rFonts w:cstheme="minorHAnsi"/>
          <w:color w:val="000000" w:themeColor="text1"/>
          <w:sz w:val="24"/>
          <w:szCs w:val="24"/>
        </w:rPr>
        <w:t>between placebo and 180mg dose groups.</w:t>
      </w:r>
      <w:r w:rsidR="00F23E04" w:rsidRPr="00200CCC">
        <w:rPr>
          <w:rFonts w:cstheme="minorHAnsi"/>
          <w:color w:val="000000" w:themeColor="text1"/>
          <w:sz w:val="24"/>
          <w:szCs w:val="24"/>
        </w:rPr>
        <w:t xml:space="preserve"> </w:t>
      </w:r>
    </w:p>
    <w:p w14:paraId="6DF03522" w14:textId="77777777" w:rsidR="00F041D6" w:rsidRPr="00200CCC" w:rsidRDefault="00005118" w:rsidP="0019676F">
      <w:pPr>
        <w:shd w:val="clear" w:color="auto" w:fill="FFFFFF" w:themeFill="background1"/>
        <w:spacing w:after="240" w:line="360" w:lineRule="auto"/>
        <w:rPr>
          <w:rFonts w:cstheme="minorHAnsi"/>
          <w:color w:val="000000" w:themeColor="text1"/>
          <w:sz w:val="24"/>
          <w:szCs w:val="24"/>
        </w:rPr>
      </w:pPr>
      <w:r w:rsidRPr="00200CCC">
        <w:rPr>
          <w:rFonts w:cstheme="minorHAnsi"/>
          <w:color w:val="000000" w:themeColor="text1"/>
          <w:sz w:val="24"/>
          <w:szCs w:val="24"/>
        </w:rPr>
        <w:lastRenderedPageBreak/>
        <w:t xml:space="preserve">Another common concern about </w:t>
      </w:r>
      <w:r w:rsidR="00F041D6" w:rsidRPr="00200CCC">
        <w:rPr>
          <w:rFonts w:cstheme="minorHAnsi"/>
          <w:color w:val="000000" w:themeColor="text1"/>
          <w:sz w:val="24"/>
          <w:szCs w:val="24"/>
        </w:rPr>
        <w:t xml:space="preserve">most currently available ketamine and </w:t>
      </w:r>
      <w:proofErr w:type="spellStart"/>
      <w:r w:rsidRPr="00200CCC">
        <w:rPr>
          <w:rFonts w:cstheme="minorHAnsi"/>
          <w:color w:val="000000" w:themeColor="text1"/>
          <w:sz w:val="24"/>
          <w:szCs w:val="24"/>
        </w:rPr>
        <w:t>esketamine</w:t>
      </w:r>
      <w:proofErr w:type="spellEnd"/>
      <w:r w:rsidRPr="00200CCC">
        <w:rPr>
          <w:rFonts w:cstheme="minorHAnsi"/>
          <w:color w:val="000000" w:themeColor="text1"/>
          <w:sz w:val="24"/>
          <w:szCs w:val="24"/>
        </w:rPr>
        <w:t xml:space="preserve"> </w:t>
      </w:r>
      <w:r w:rsidR="00F041D6" w:rsidRPr="00200CCC">
        <w:rPr>
          <w:rFonts w:cstheme="minorHAnsi"/>
          <w:color w:val="000000" w:themeColor="text1"/>
          <w:sz w:val="24"/>
          <w:szCs w:val="24"/>
        </w:rPr>
        <w:t>formulations is the risk of diversion and abuse</w:t>
      </w:r>
      <w:r w:rsidR="0000557F" w:rsidRPr="00200CCC">
        <w:rPr>
          <w:rFonts w:cstheme="minorHAnsi"/>
          <w:color w:val="000000" w:themeColor="text1"/>
          <w:sz w:val="24"/>
          <w:szCs w:val="24"/>
        </w:rPr>
        <w:t>.</w:t>
      </w:r>
      <w:r w:rsidR="00426302" w:rsidRPr="00200CCC">
        <w:rPr>
          <w:rFonts w:cstheme="minorHAnsi"/>
          <w:color w:val="000000" w:themeColor="text1"/>
          <w:sz w:val="24"/>
          <w:szCs w:val="24"/>
          <w:vertAlign w:val="superscript"/>
        </w:rPr>
        <w:t>2</w:t>
      </w:r>
      <w:r w:rsidR="004A3D52" w:rsidRPr="00200CCC">
        <w:rPr>
          <w:rFonts w:cstheme="minorHAnsi"/>
          <w:color w:val="000000" w:themeColor="text1"/>
          <w:sz w:val="24"/>
          <w:szCs w:val="24"/>
          <w:vertAlign w:val="superscript"/>
        </w:rPr>
        <w:t>1</w:t>
      </w:r>
      <w:r w:rsidR="007F283B" w:rsidRPr="00200CCC">
        <w:rPr>
          <w:rFonts w:cstheme="minorHAnsi"/>
          <w:color w:val="000000" w:themeColor="text1"/>
          <w:sz w:val="24"/>
          <w:szCs w:val="24"/>
        </w:rPr>
        <w:t xml:space="preserve"> </w:t>
      </w:r>
      <w:r w:rsidR="00B87C4B" w:rsidRPr="00200CCC">
        <w:rPr>
          <w:rFonts w:cstheme="minorHAnsi"/>
          <w:color w:val="000000" w:themeColor="text1"/>
          <w:sz w:val="24"/>
          <w:szCs w:val="24"/>
        </w:rPr>
        <w:t xml:space="preserve">The </w:t>
      </w:r>
      <w:proofErr w:type="gramStart"/>
      <w:r w:rsidR="00B87C4B" w:rsidRPr="00200CCC">
        <w:rPr>
          <w:rFonts w:cstheme="minorHAnsi"/>
          <w:color w:val="000000" w:themeColor="text1"/>
          <w:sz w:val="24"/>
          <w:szCs w:val="24"/>
        </w:rPr>
        <w:t>extended release</w:t>
      </w:r>
      <w:proofErr w:type="gramEnd"/>
      <w:r w:rsidR="00B87C4B" w:rsidRPr="00200CCC">
        <w:rPr>
          <w:rFonts w:cstheme="minorHAnsi"/>
          <w:color w:val="000000" w:themeColor="text1"/>
          <w:sz w:val="24"/>
          <w:szCs w:val="24"/>
        </w:rPr>
        <w:t xml:space="preserve"> ketamine tablet</w:t>
      </w:r>
      <w:r w:rsidRPr="00200CCC">
        <w:rPr>
          <w:rFonts w:cstheme="minorHAnsi"/>
          <w:color w:val="000000" w:themeColor="text1"/>
          <w:sz w:val="24"/>
          <w:szCs w:val="24"/>
        </w:rPr>
        <w:t xml:space="preserve">s </w:t>
      </w:r>
      <w:r w:rsidR="00F041D6" w:rsidRPr="00200CCC">
        <w:rPr>
          <w:rFonts w:cstheme="minorHAnsi"/>
          <w:color w:val="000000" w:themeColor="text1"/>
          <w:sz w:val="24"/>
          <w:szCs w:val="24"/>
        </w:rPr>
        <w:t xml:space="preserve">used in this study </w:t>
      </w:r>
      <w:r w:rsidRPr="00200CCC">
        <w:rPr>
          <w:rFonts w:cstheme="minorHAnsi"/>
          <w:color w:val="000000" w:themeColor="text1"/>
          <w:sz w:val="24"/>
          <w:szCs w:val="24"/>
        </w:rPr>
        <w:t>are</w:t>
      </w:r>
      <w:r w:rsidR="00B87C4B" w:rsidRPr="00200CCC">
        <w:rPr>
          <w:rFonts w:cstheme="minorHAnsi"/>
          <w:color w:val="000000" w:themeColor="text1"/>
          <w:sz w:val="24"/>
          <w:szCs w:val="24"/>
        </w:rPr>
        <w:t xml:space="preserve"> exceptionally hard and difficult to shatter, due to </w:t>
      </w:r>
      <w:r w:rsidRPr="00200CCC">
        <w:rPr>
          <w:rFonts w:cstheme="minorHAnsi"/>
          <w:color w:val="000000" w:themeColor="text1"/>
          <w:sz w:val="24"/>
          <w:szCs w:val="24"/>
        </w:rPr>
        <w:t xml:space="preserve">annealing of polyethylene oxide during </w:t>
      </w:r>
      <w:r w:rsidR="00F041D6" w:rsidRPr="00200CCC">
        <w:rPr>
          <w:rFonts w:cstheme="minorHAnsi"/>
          <w:color w:val="000000" w:themeColor="text1"/>
          <w:sz w:val="24"/>
          <w:szCs w:val="24"/>
        </w:rPr>
        <w:t>their</w:t>
      </w:r>
      <w:r w:rsidR="00B87C4B" w:rsidRPr="00200CCC">
        <w:rPr>
          <w:rFonts w:cstheme="minorHAnsi"/>
          <w:color w:val="000000" w:themeColor="text1"/>
          <w:sz w:val="24"/>
          <w:szCs w:val="24"/>
        </w:rPr>
        <w:t xml:space="preserve"> manufacturing process</w:t>
      </w:r>
      <w:r w:rsidR="0000557F" w:rsidRPr="00200CCC">
        <w:rPr>
          <w:rFonts w:cstheme="minorHAnsi"/>
          <w:color w:val="000000" w:themeColor="text1"/>
          <w:sz w:val="24"/>
          <w:szCs w:val="24"/>
        </w:rPr>
        <w:t>.</w:t>
      </w:r>
      <w:r w:rsidR="007F283B" w:rsidRPr="00200CCC">
        <w:rPr>
          <w:rFonts w:cstheme="minorHAnsi"/>
          <w:color w:val="000000" w:themeColor="text1"/>
          <w:sz w:val="24"/>
          <w:szCs w:val="24"/>
          <w:vertAlign w:val="superscript"/>
        </w:rPr>
        <w:t xml:space="preserve">10 </w:t>
      </w:r>
      <w:r w:rsidRPr="00200CCC">
        <w:rPr>
          <w:rFonts w:cstheme="minorHAnsi"/>
          <w:color w:val="000000" w:themeColor="text1"/>
          <w:sz w:val="24"/>
          <w:szCs w:val="24"/>
        </w:rPr>
        <w:t xml:space="preserve">This property </w:t>
      </w:r>
      <w:r w:rsidR="0000557F" w:rsidRPr="00200CCC">
        <w:rPr>
          <w:rFonts w:cstheme="minorHAnsi"/>
          <w:color w:val="000000" w:themeColor="text1"/>
          <w:sz w:val="24"/>
          <w:szCs w:val="24"/>
        </w:rPr>
        <w:t>may</w:t>
      </w:r>
      <w:r w:rsidRPr="00200CCC">
        <w:rPr>
          <w:rFonts w:cstheme="minorHAnsi"/>
          <w:color w:val="000000" w:themeColor="text1"/>
          <w:sz w:val="24"/>
          <w:szCs w:val="24"/>
        </w:rPr>
        <w:t xml:space="preserve"> make this formulation less likely to be diverted for abuse, due to difficulty in </w:t>
      </w:r>
      <w:r w:rsidR="00F041D6" w:rsidRPr="00200CCC">
        <w:rPr>
          <w:rFonts w:cstheme="minorHAnsi"/>
          <w:color w:val="000000" w:themeColor="text1"/>
          <w:sz w:val="24"/>
          <w:szCs w:val="24"/>
        </w:rPr>
        <w:t xml:space="preserve">manipulation of the tablets. We were not aware of any participants reporting craving for the tablets, and only one participant was removed from the study for </w:t>
      </w:r>
      <w:r w:rsidR="00AC246A" w:rsidRPr="00200CCC">
        <w:rPr>
          <w:rFonts w:cstheme="minorHAnsi"/>
          <w:color w:val="000000" w:themeColor="text1"/>
          <w:sz w:val="24"/>
          <w:szCs w:val="24"/>
        </w:rPr>
        <w:t>lack of compliance</w:t>
      </w:r>
      <w:r w:rsidR="00F041D6" w:rsidRPr="00200CCC">
        <w:rPr>
          <w:rFonts w:cstheme="minorHAnsi"/>
          <w:color w:val="000000" w:themeColor="text1"/>
          <w:sz w:val="24"/>
          <w:szCs w:val="24"/>
        </w:rPr>
        <w:t xml:space="preserve">. Most of the dosing of double-blind tablets </w:t>
      </w:r>
      <w:r w:rsidR="00405595" w:rsidRPr="00200CCC">
        <w:rPr>
          <w:rFonts w:cstheme="minorHAnsi"/>
          <w:color w:val="000000" w:themeColor="text1"/>
          <w:sz w:val="24"/>
          <w:szCs w:val="24"/>
        </w:rPr>
        <w:t xml:space="preserve">after </w:t>
      </w:r>
      <w:r w:rsidR="00AC246A" w:rsidRPr="00200CCC">
        <w:rPr>
          <w:rFonts w:cstheme="minorHAnsi"/>
          <w:color w:val="000000" w:themeColor="text1"/>
          <w:sz w:val="24"/>
          <w:szCs w:val="24"/>
        </w:rPr>
        <w:t>Day 8</w:t>
      </w:r>
      <w:r w:rsidR="00F041D6" w:rsidRPr="00200CCC">
        <w:rPr>
          <w:rFonts w:cstheme="minorHAnsi"/>
          <w:color w:val="000000" w:themeColor="text1"/>
          <w:sz w:val="24"/>
          <w:szCs w:val="24"/>
        </w:rPr>
        <w:t xml:space="preserve"> occurred at home rather than in clinic, and clinic visits were brief, which participants anecdotally reported to be convenient. </w:t>
      </w:r>
      <w:r w:rsidR="00801808" w:rsidRPr="00200CCC">
        <w:rPr>
          <w:rFonts w:cstheme="minorHAnsi"/>
          <w:color w:val="000000" w:themeColor="text1"/>
          <w:sz w:val="24"/>
          <w:szCs w:val="24"/>
        </w:rPr>
        <w:t xml:space="preserve">These attributes potentially improve scalability of ketamine use in the community, due to reduced need for in-clinic monitoring, and would also reduce costs associated with clinic </w:t>
      </w:r>
      <w:r w:rsidR="00C628B4" w:rsidRPr="00200CCC">
        <w:rPr>
          <w:rFonts w:cstheme="minorHAnsi"/>
          <w:color w:val="000000" w:themeColor="text1"/>
          <w:sz w:val="24"/>
          <w:szCs w:val="24"/>
        </w:rPr>
        <w:t>visits</w:t>
      </w:r>
      <w:r w:rsidR="00801808" w:rsidRPr="00200CCC">
        <w:rPr>
          <w:rFonts w:cstheme="minorHAnsi"/>
          <w:color w:val="000000" w:themeColor="text1"/>
          <w:sz w:val="24"/>
          <w:szCs w:val="24"/>
        </w:rPr>
        <w:t xml:space="preserve">. </w:t>
      </w:r>
    </w:p>
    <w:p w14:paraId="33333B36" w14:textId="77777777" w:rsidR="00F041D6" w:rsidRPr="00200CCC" w:rsidRDefault="007E7415" w:rsidP="0019676F">
      <w:pPr>
        <w:shd w:val="clear" w:color="auto" w:fill="FFFFFF"/>
        <w:spacing w:after="240" w:line="360" w:lineRule="auto"/>
        <w:rPr>
          <w:rFonts w:cstheme="minorHAnsi"/>
          <w:bCs/>
          <w:color w:val="000000" w:themeColor="text1"/>
          <w:sz w:val="24"/>
          <w:szCs w:val="24"/>
        </w:rPr>
      </w:pPr>
      <w:r w:rsidRPr="00200CCC">
        <w:rPr>
          <w:rFonts w:cstheme="minorHAnsi"/>
          <w:bCs/>
          <w:color w:val="000000" w:themeColor="text1"/>
          <w:sz w:val="24"/>
          <w:szCs w:val="24"/>
        </w:rPr>
        <w:t>There are several important limitations to the trial.  The study design (enrichment followed by relapse prevention) was intended to reduce risk of study failure</w:t>
      </w:r>
      <w:r w:rsidR="0000557F" w:rsidRPr="00200CCC">
        <w:rPr>
          <w:rFonts w:cstheme="minorHAnsi"/>
          <w:bCs/>
          <w:color w:val="000000" w:themeColor="text1"/>
          <w:sz w:val="24"/>
          <w:szCs w:val="24"/>
        </w:rPr>
        <w:t>.</w:t>
      </w:r>
      <w:r w:rsidR="007F283B" w:rsidRPr="00200CCC">
        <w:rPr>
          <w:rFonts w:cstheme="minorHAnsi"/>
          <w:bCs/>
          <w:color w:val="000000" w:themeColor="text1"/>
          <w:sz w:val="24"/>
          <w:szCs w:val="24"/>
          <w:vertAlign w:val="superscript"/>
        </w:rPr>
        <w:t>13</w:t>
      </w:r>
      <w:r w:rsidR="007F283B" w:rsidRPr="00200CCC">
        <w:rPr>
          <w:rFonts w:cstheme="minorHAnsi"/>
          <w:bCs/>
          <w:color w:val="000000" w:themeColor="text1"/>
          <w:sz w:val="24"/>
          <w:szCs w:val="24"/>
        </w:rPr>
        <w:t xml:space="preserve"> </w:t>
      </w:r>
      <w:r w:rsidRPr="00200CCC">
        <w:rPr>
          <w:rFonts w:cstheme="minorHAnsi"/>
          <w:bCs/>
          <w:color w:val="000000" w:themeColor="text1"/>
          <w:sz w:val="24"/>
          <w:szCs w:val="24"/>
        </w:rPr>
        <w:t xml:space="preserve">Because this type of design </w:t>
      </w:r>
      <w:r w:rsidR="00FA089C" w:rsidRPr="00200CCC">
        <w:rPr>
          <w:rFonts w:cstheme="minorHAnsi"/>
          <w:bCs/>
          <w:color w:val="000000" w:themeColor="text1"/>
          <w:sz w:val="24"/>
          <w:szCs w:val="24"/>
        </w:rPr>
        <w:t>eliminates</w:t>
      </w:r>
      <w:r w:rsidRPr="00200CCC">
        <w:rPr>
          <w:rFonts w:cstheme="minorHAnsi"/>
          <w:bCs/>
          <w:color w:val="000000" w:themeColor="text1"/>
          <w:sz w:val="24"/>
          <w:szCs w:val="24"/>
        </w:rPr>
        <w:t xml:space="preserve"> non-responders </w:t>
      </w:r>
      <w:r w:rsidR="00FA089C" w:rsidRPr="00200CCC">
        <w:rPr>
          <w:rFonts w:cstheme="minorHAnsi"/>
          <w:bCs/>
          <w:color w:val="000000" w:themeColor="text1"/>
          <w:sz w:val="24"/>
          <w:szCs w:val="24"/>
        </w:rPr>
        <w:t>prior to</w:t>
      </w:r>
      <w:r w:rsidRPr="00200CCC">
        <w:rPr>
          <w:rFonts w:cstheme="minorHAnsi"/>
          <w:bCs/>
          <w:color w:val="000000" w:themeColor="text1"/>
          <w:sz w:val="24"/>
          <w:szCs w:val="24"/>
        </w:rPr>
        <w:t xml:space="preserve"> randomization, this </w:t>
      </w:r>
      <w:r w:rsidR="00BC4567" w:rsidRPr="00200CCC">
        <w:rPr>
          <w:rFonts w:cstheme="minorHAnsi"/>
          <w:bCs/>
          <w:color w:val="000000" w:themeColor="text1"/>
          <w:sz w:val="24"/>
          <w:szCs w:val="24"/>
        </w:rPr>
        <w:t xml:space="preserve">strategy </w:t>
      </w:r>
      <w:r w:rsidRPr="00200CCC">
        <w:rPr>
          <w:rFonts w:cstheme="minorHAnsi"/>
          <w:bCs/>
          <w:color w:val="000000" w:themeColor="text1"/>
          <w:sz w:val="24"/>
          <w:szCs w:val="24"/>
        </w:rPr>
        <w:t xml:space="preserve">is likely to overestimate </w:t>
      </w:r>
      <w:r w:rsidR="00FA089C" w:rsidRPr="00200CCC">
        <w:rPr>
          <w:rFonts w:cstheme="minorHAnsi"/>
          <w:bCs/>
          <w:color w:val="000000" w:themeColor="text1"/>
          <w:sz w:val="24"/>
          <w:szCs w:val="24"/>
        </w:rPr>
        <w:t xml:space="preserve">population levels of treatment response to </w:t>
      </w:r>
      <w:r w:rsidR="00240A61" w:rsidRPr="00200CCC">
        <w:rPr>
          <w:rFonts w:cstheme="minorHAnsi"/>
          <w:bCs/>
          <w:color w:val="000000" w:themeColor="text1"/>
          <w:sz w:val="24"/>
          <w:szCs w:val="24"/>
        </w:rPr>
        <w:t>R-107</w:t>
      </w:r>
      <w:r w:rsidR="00FA089C" w:rsidRPr="00200CCC">
        <w:rPr>
          <w:rFonts w:cstheme="minorHAnsi"/>
          <w:bCs/>
          <w:color w:val="000000" w:themeColor="text1"/>
          <w:sz w:val="24"/>
          <w:szCs w:val="24"/>
        </w:rPr>
        <w:t xml:space="preserve">, and future unenriched clinical trials are needed to address this issue. </w:t>
      </w:r>
      <w:r w:rsidR="00887CA3" w:rsidRPr="00200CCC">
        <w:rPr>
          <w:rFonts w:cstheme="minorHAnsi"/>
          <w:bCs/>
          <w:color w:val="000000" w:themeColor="text1"/>
          <w:sz w:val="24"/>
          <w:szCs w:val="24"/>
        </w:rPr>
        <w:t xml:space="preserve">There are relatively few data for efficacy and tolerability after oral ketamine dosing compared with intravenous or intranasal dosing, and it is not possible to </w:t>
      </w:r>
      <w:r w:rsidR="006343E6" w:rsidRPr="00200CCC">
        <w:rPr>
          <w:rFonts w:cstheme="minorHAnsi"/>
          <w:bCs/>
          <w:color w:val="000000" w:themeColor="text1"/>
          <w:sz w:val="24"/>
          <w:szCs w:val="24"/>
        </w:rPr>
        <w:t xml:space="preserve">directly </w:t>
      </w:r>
      <w:r w:rsidR="00887CA3" w:rsidRPr="00200CCC">
        <w:rPr>
          <w:rFonts w:cstheme="minorHAnsi"/>
          <w:bCs/>
          <w:color w:val="000000" w:themeColor="text1"/>
          <w:sz w:val="24"/>
          <w:szCs w:val="24"/>
        </w:rPr>
        <w:t>compare the present study’s findings with studies using non-oral routes of administration. This study</w:t>
      </w:r>
      <w:r w:rsidR="00FA089C" w:rsidRPr="00200CCC">
        <w:rPr>
          <w:rFonts w:cstheme="minorHAnsi"/>
          <w:bCs/>
          <w:color w:val="000000" w:themeColor="text1"/>
          <w:sz w:val="24"/>
          <w:szCs w:val="24"/>
        </w:rPr>
        <w:t xml:space="preserve"> included both participants established on antidepressants</w:t>
      </w:r>
      <w:r w:rsidR="006343E6" w:rsidRPr="00200CCC">
        <w:rPr>
          <w:rFonts w:cstheme="minorHAnsi"/>
          <w:bCs/>
          <w:color w:val="000000" w:themeColor="text1"/>
          <w:sz w:val="24"/>
          <w:szCs w:val="24"/>
        </w:rPr>
        <w:t xml:space="preserve"> (n=165)</w:t>
      </w:r>
      <w:r w:rsidR="00FA089C" w:rsidRPr="00200CCC">
        <w:rPr>
          <w:rFonts w:cstheme="minorHAnsi"/>
          <w:bCs/>
          <w:color w:val="000000" w:themeColor="text1"/>
          <w:sz w:val="24"/>
          <w:szCs w:val="24"/>
        </w:rPr>
        <w:t>, as well as those who were not on antidepressants</w:t>
      </w:r>
      <w:r w:rsidR="006343E6" w:rsidRPr="00200CCC">
        <w:rPr>
          <w:rFonts w:cstheme="minorHAnsi"/>
          <w:bCs/>
          <w:color w:val="000000" w:themeColor="text1"/>
          <w:sz w:val="24"/>
          <w:szCs w:val="24"/>
        </w:rPr>
        <w:t xml:space="preserve"> (n=60)</w:t>
      </w:r>
      <w:r w:rsidR="00FA089C" w:rsidRPr="00200CCC">
        <w:rPr>
          <w:rFonts w:cstheme="minorHAnsi"/>
          <w:bCs/>
          <w:color w:val="000000" w:themeColor="text1"/>
          <w:sz w:val="24"/>
          <w:szCs w:val="24"/>
        </w:rPr>
        <w:t xml:space="preserve">.  </w:t>
      </w:r>
      <w:bookmarkStart w:id="4" w:name="_Hlk146656482"/>
      <w:r w:rsidR="00FA089C" w:rsidRPr="00200CCC">
        <w:rPr>
          <w:rFonts w:cstheme="minorHAnsi"/>
          <w:bCs/>
          <w:color w:val="000000" w:themeColor="text1"/>
          <w:sz w:val="24"/>
          <w:szCs w:val="24"/>
        </w:rPr>
        <w:t xml:space="preserve">Secondary analyses did not show differences in </w:t>
      </w:r>
      <w:r w:rsidR="00AC246A" w:rsidRPr="00200CCC">
        <w:rPr>
          <w:rFonts w:cstheme="minorHAnsi"/>
          <w:bCs/>
          <w:color w:val="000000" w:themeColor="text1"/>
          <w:sz w:val="24"/>
          <w:szCs w:val="24"/>
        </w:rPr>
        <w:t xml:space="preserve">the acute </w:t>
      </w:r>
      <w:r w:rsidR="00CD4A15" w:rsidRPr="00200CCC">
        <w:rPr>
          <w:rFonts w:cstheme="minorHAnsi"/>
          <w:bCs/>
          <w:color w:val="000000" w:themeColor="text1"/>
          <w:sz w:val="24"/>
          <w:szCs w:val="24"/>
        </w:rPr>
        <w:t xml:space="preserve">(open label phase) </w:t>
      </w:r>
      <w:r w:rsidR="00FA089C" w:rsidRPr="00200CCC">
        <w:rPr>
          <w:rFonts w:cstheme="minorHAnsi"/>
          <w:bCs/>
          <w:color w:val="000000" w:themeColor="text1"/>
          <w:sz w:val="24"/>
          <w:szCs w:val="24"/>
        </w:rPr>
        <w:t>response to ketamine</w:t>
      </w:r>
      <w:r w:rsidR="00AC246A" w:rsidRPr="00200CCC">
        <w:rPr>
          <w:rFonts w:cstheme="minorHAnsi"/>
          <w:bCs/>
          <w:color w:val="000000" w:themeColor="text1"/>
          <w:sz w:val="24"/>
          <w:szCs w:val="24"/>
        </w:rPr>
        <w:t xml:space="preserve"> (the mean </w:t>
      </w:r>
      <w:r w:rsidR="007F283B" w:rsidRPr="00200CCC">
        <w:rPr>
          <w:rFonts w:cstheme="minorHAnsi"/>
          <w:bCs/>
          <w:color w:val="000000" w:themeColor="text1"/>
          <w:sz w:val="24"/>
          <w:szCs w:val="24"/>
        </w:rPr>
        <w:t xml:space="preserve">(95%CI) </w:t>
      </w:r>
      <w:r w:rsidR="00AC246A" w:rsidRPr="00200CCC">
        <w:rPr>
          <w:rFonts w:cstheme="minorHAnsi"/>
          <w:sz w:val="24"/>
          <w:szCs w:val="24"/>
          <w:lang w:val="en-US"/>
        </w:rPr>
        <w:t xml:space="preserve">reduction in MADRS score for those taking an antidepressant was </w:t>
      </w:r>
      <w:r w:rsidR="00FB4E74" w:rsidRPr="00200CCC">
        <w:rPr>
          <w:rFonts w:cstheme="minorHAnsi"/>
          <w:sz w:val="24"/>
          <w:szCs w:val="24"/>
          <w:lang w:val="en-US"/>
        </w:rPr>
        <w:t>-</w:t>
      </w:r>
      <w:r w:rsidR="00AC246A" w:rsidRPr="00200CCC">
        <w:rPr>
          <w:rFonts w:cstheme="minorHAnsi"/>
          <w:sz w:val="24"/>
          <w:szCs w:val="24"/>
          <w:lang w:val="en-US"/>
        </w:rPr>
        <w:t xml:space="preserve">19.2 vs </w:t>
      </w:r>
      <w:r w:rsidR="00FB4E74" w:rsidRPr="00200CCC">
        <w:rPr>
          <w:rFonts w:cstheme="minorHAnsi"/>
          <w:sz w:val="24"/>
          <w:szCs w:val="24"/>
          <w:lang w:val="en-US"/>
        </w:rPr>
        <w:t>-</w:t>
      </w:r>
      <w:r w:rsidR="00AC246A" w:rsidRPr="00200CCC">
        <w:rPr>
          <w:rFonts w:cstheme="minorHAnsi"/>
          <w:sz w:val="24"/>
          <w:szCs w:val="24"/>
          <w:lang w:val="en-US"/>
        </w:rPr>
        <w:t>16.6 for those not taking an antidepressant</w:t>
      </w:r>
      <w:r w:rsidR="00EF76BD" w:rsidRPr="00200CCC">
        <w:rPr>
          <w:rFonts w:cstheme="minorHAnsi"/>
          <w:sz w:val="24"/>
          <w:szCs w:val="24"/>
          <w:lang w:val="en-US"/>
        </w:rPr>
        <w:t xml:space="preserve"> (</w:t>
      </w:r>
      <w:r w:rsidR="00EF76BD" w:rsidRPr="00200CCC">
        <w:rPr>
          <w:rFonts w:cstheme="minorHAnsi"/>
          <w:color w:val="000000"/>
          <w:sz w:val="24"/>
          <w:szCs w:val="24"/>
        </w:rPr>
        <w:t>-2.6 (-5.19 to 0.02)).</w:t>
      </w:r>
      <w:r w:rsidR="00AC246A" w:rsidRPr="00200CCC">
        <w:rPr>
          <w:rFonts w:cstheme="minorHAnsi"/>
          <w:sz w:val="24"/>
          <w:szCs w:val="24"/>
          <w:lang w:val="en-US"/>
        </w:rPr>
        <w:t xml:space="preserve"> </w:t>
      </w:r>
      <w:bookmarkEnd w:id="4"/>
      <w:r w:rsidR="00CD4A15" w:rsidRPr="00200CCC">
        <w:rPr>
          <w:rFonts w:cstheme="minorHAnsi"/>
          <w:sz w:val="24"/>
          <w:szCs w:val="24"/>
          <w:lang w:val="en-US"/>
        </w:rPr>
        <w:t xml:space="preserve">During the double-blind phase, there was a small but statistically significant greater reduction in MADRS scores at Day 92 in patients taking antidepressants than those </w:t>
      </w:r>
      <w:r w:rsidR="00BC2B9A" w:rsidRPr="00200CCC">
        <w:rPr>
          <w:rFonts w:cstheme="minorHAnsi"/>
          <w:sz w:val="24"/>
          <w:szCs w:val="24"/>
          <w:lang w:val="en-US"/>
        </w:rPr>
        <w:t>not respectively,</w:t>
      </w:r>
      <w:r w:rsidR="00BC2B9A" w:rsidRPr="00200CCC">
        <w:rPr>
          <w:rFonts w:cstheme="minorHAnsi"/>
          <w:color w:val="000000" w:themeColor="text1"/>
          <w:sz w:val="24"/>
          <w:szCs w:val="24"/>
        </w:rPr>
        <w:t xml:space="preserve"> -6.5 (-12.5, -0.6) versus -2.5 (-12.6, 7.7).</w:t>
      </w:r>
      <w:r w:rsidR="00CD4A15" w:rsidRPr="00200CCC">
        <w:rPr>
          <w:rFonts w:cstheme="minorHAnsi"/>
          <w:sz w:val="24"/>
          <w:szCs w:val="24"/>
          <w:lang w:val="en-US"/>
        </w:rPr>
        <w:t xml:space="preserve"> </w:t>
      </w:r>
      <w:r w:rsidR="00FA089C" w:rsidRPr="00200CCC">
        <w:rPr>
          <w:rFonts w:cstheme="minorHAnsi"/>
          <w:bCs/>
          <w:color w:val="000000" w:themeColor="text1"/>
          <w:sz w:val="24"/>
          <w:szCs w:val="24"/>
        </w:rPr>
        <w:t xml:space="preserve">Further larger studies are required to determine if these two populations respond differently to oral ketamine. Also, the protocol did not require patients to start a new antidepressant at the time of starting study medication, as </w:t>
      </w:r>
      <w:r w:rsidR="00132E5E" w:rsidRPr="00200CCC">
        <w:rPr>
          <w:rFonts w:cstheme="minorHAnsi"/>
          <w:bCs/>
          <w:color w:val="000000" w:themeColor="text1"/>
          <w:sz w:val="24"/>
          <w:szCs w:val="24"/>
        </w:rPr>
        <w:t xml:space="preserve">this </w:t>
      </w:r>
      <w:r w:rsidR="00FA089C" w:rsidRPr="00200CCC">
        <w:rPr>
          <w:rFonts w:cstheme="minorHAnsi"/>
          <w:bCs/>
          <w:color w:val="000000" w:themeColor="text1"/>
          <w:sz w:val="24"/>
          <w:szCs w:val="24"/>
        </w:rPr>
        <w:t>design would have complicated interpretation</w:t>
      </w:r>
      <w:r w:rsidR="00887CA3" w:rsidRPr="00200CCC">
        <w:rPr>
          <w:rFonts w:cstheme="minorHAnsi"/>
          <w:bCs/>
          <w:color w:val="000000" w:themeColor="text1"/>
          <w:sz w:val="24"/>
          <w:szCs w:val="24"/>
        </w:rPr>
        <w:t xml:space="preserve"> of this intervention</w:t>
      </w:r>
      <w:r w:rsidR="00FA089C" w:rsidRPr="00200CCC">
        <w:rPr>
          <w:rFonts w:cstheme="minorHAnsi"/>
          <w:bCs/>
          <w:color w:val="000000" w:themeColor="text1"/>
          <w:sz w:val="24"/>
          <w:szCs w:val="24"/>
        </w:rPr>
        <w:t xml:space="preserve">. </w:t>
      </w:r>
    </w:p>
    <w:p w14:paraId="4F7342C9" w14:textId="77777777" w:rsidR="00887CA3" w:rsidRPr="00200CCC" w:rsidRDefault="00FA089C" w:rsidP="0019676F">
      <w:pPr>
        <w:shd w:val="clear" w:color="auto" w:fill="FFFFFF"/>
        <w:spacing w:after="120" w:line="360" w:lineRule="auto"/>
        <w:outlineLvl w:val="1"/>
        <w:rPr>
          <w:rFonts w:cstheme="minorHAnsi"/>
          <w:color w:val="000000" w:themeColor="text1"/>
          <w:sz w:val="24"/>
          <w:szCs w:val="24"/>
        </w:rPr>
      </w:pPr>
      <w:r w:rsidRPr="00200CCC">
        <w:rPr>
          <w:rFonts w:cstheme="minorHAnsi"/>
          <w:bCs/>
          <w:color w:val="000000" w:themeColor="text1"/>
          <w:sz w:val="24"/>
          <w:szCs w:val="24"/>
        </w:rPr>
        <w:t>In conclusion</w:t>
      </w:r>
      <w:r w:rsidR="00887CA3" w:rsidRPr="00200CCC">
        <w:rPr>
          <w:rFonts w:cstheme="minorHAnsi"/>
          <w:bCs/>
          <w:color w:val="000000" w:themeColor="text1"/>
          <w:sz w:val="24"/>
          <w:szCs w:val="24"/>
        </w:rPr>
        <w:t>, extended</w:t>
      </w:r>
      <w:r w:rsidR="00887CA3" w:rsidRPr="00200CCC">
        <w:rPr>
          <w:rFonts w:cstheme="minorHAnsi"/>
          <w:color w:val="000000" w:themeColor="text1"/>
          <w:sz w:val="24"/>
          <w:szCs w:val="24"/>
        </w:rPr>
        <w:t xml:space="preserve">-release </w:t>
      </w:r>
      <w:r w:rsidR="00425EAD" w:rsidRPr="00200CCC">
        <w:rPr>
          <w:rFonts w:cstheme="minorHAnsi"/>
          <w:color w:val="000000" w:themeColor="text1"/>
          <w:sz w:val="24"/>
          <w:szCs w:val="24"/>
        </w:rPr>
        <w:t>R-107</w:t>
      </w:r>
      <w:r w:rsidR="00887CA3" w:rsidRPr="00200CCC">
        <w:rPr>
          <w:rFonts w:cstheme="minorHAnsi"/>
          <w:color w:val="000000" w:themeColor="text1"/>
          <w:sz w:val="24"/>
          <w:szCs w:val="24"/>
        </w:rPr>
        <w:t xml:space="preserve"> tablets were effective, safe and well-tolerated in an enriched patient population with TRD. Use of an extended-release oral dosage </w:t>
      </w:r>
      <w:r w:rsidR="00801808" w:rsidRPr="00200CCC">
        <w:rPr>
          <w:rFonts w:cstheme="minorHAnsi"/>
          <w:color w:val="000000" w:themeColor="text1"/>
          <w:sz w:val="24"/>
          <w:szCs w:val="24"/>
        </w:rPr>
        <w:t xml:space="preserve">ketamine </w:t>
      </w:r>
      <w:r w:rsidR="00887CA3" w:rsidRPr="00200CCC">
        <w:rPr>
          <w:rFonts w:cstheme="minorHAnsi"/>
          <w:color w:val="000000" w:themeColor="text1"/>
          <w:sz w:val="24"/>
          <w:szCs w:val="24"/>
        </w:rPr>
        <w:lastRenderedPageBreak/>
        <w:t xml:space="preserve">formulation may be advantageous compared with intranasal or intravenous dosing, in terms of reduced intensity of dissociation, </w:t>
      </w:r>
      <w:r w:rsidR="00D738FF" w:rsidRPr="00200CCC">
        <w:rPr>
          <w:rFonts w:cstheme="minorHAnsi"/>
          <w:color w:val="000000" w:themeColor="text1"/>
          <w:sz w:val="24"/>
          <w:szCs w:val="24"/>
        </w:rPr>
        <w:t xml:space="preserve">lower risk of abuse, </w:t>
      </w:r>
      <w:r w:rsidR="00887CA3" w:rsidRPr="00200CCC">
        <w:rPr>
          <w:rFonts w:cstheme="minorHAnsi"/>
          <w:color w:val="000000" w:themeColor="text1"/>
          <w:sz w:val="24"/>
          <w:szCs w:val="24"/>
        </w:rPr>
        <w:t>reduced frequency</w:t>
      </w:r>
      <w:r w:rsidR="009159FF" w:rsidRPr="00200CCC">
        <w:rPr>
          <w:rFonts w:cstheme="minorHAnsi"/>
          <w:color w:val="000000" w:themeColor="text1"/>
          <w:sz w:val="24"/>
          <w:szCs w:val="24"/>
        </w:rPr>
        <w:t xml:space="preserve"> and intensity</w:t>
      </w:r>
      <w:r w:rsidR="00887CA3" w:rsidRPr="00200CCC">
        <w:rPr>
          <w:rFonts w:cstheme="minorHAnsi"/>
          <w:color w:val="000000" w:themeColor="text1"/>
          <w:sz w:val="24"/>
          <w:szCs w:val="24"/>
        </w:rPr>
        <w:t xml:space="preserve"> of sedative and cardiovascular side-effects</w:t>
      </w:r>
      <w:r w:rsidR="00801808" w:rsidRPr="00200CCC">
        <w:rPr>
          <w:rFonts w:cstheme="minorHAnsi"/>
          <w:color w:val="000000" w:themeColor="text1"/>
          <w:sz w:val="24"/>
          <w:szCs w:val="24"/>
        </w:rPr>
        <w:t>, and improved convenience for administration in the community</w:t>
      </w:r>
      <w:r w:rsidR="00887CA3" w:rsidRPr="00200CCC">
        <w:rPr>
          <w:rFonts w:cstheme="minorHAnsi"/>
          <w:color w:val="000000" w:themeColor="text1"/>
          <w:sz w:val="24"/>
          <w:szCs w:val="24"/>
        </w:rPr>
        <w:t xml:space="preserve">. </w:t>
      </w:r>
    </w:p>
    <w:p w14:paraId="674CAEAA" w14:textId="77777777" w:rsidR="00CB474E" w:rsidRPr="00200CCC" w:rsidRDefault="00CB474E" w:rsidP="0019676F">
      <w:pPr>
        <w:shd w:val="clear" w:color="auto" w:fill="FFFFFF"/>
        <w:spacing w:after="240" w:line="360" w:lineRule="auto"/>
        <w:rPr>
          <w:rFonts w:cstheme="minorHAnsi"/>
          <w:b/>
          <w:color w:val="000000" w:themeColor="text1"/>
          <w:sz w:val="24"/>
          <w:szCs w:val="24"/>
        </w:rPr>
      </w:pPr>
    </w:p>
    <w:p w14:paraId="13D5ED64" w14:textId="5B6FB3AC" w:rsidR="00000257" w:rsidRPr="00200CCC" w:rsidRDefault="00B32FB7" w:rsidP="0019676F">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t>Acknowledgements</w:t>
      </w:r>
    </w:p>
    <w:p w14:paraId="6E660F70" w14:textId="336B1AB5" w:rsidR="00B32FB7" w:rsidRPr="00200CCC" w:rsidRDefault="007232DE" w:rsidP="0019676F">
      <w:pPr>
        <w:shd w:val="clear" w:color="auto" w:fill="FFFFFF"/>
        <w:spacing w:after="240" w:line="360" w:lineRule="auto"/>
        <w:rPr>
          <w:rFonts w:cstheme="minorHAnsi"/>
          <w:b/>
          <w:color w:val="000000" w:themeColor="text1"/>
          <w:sz w:val="24"/>
          <w:szCs w:val="24"/>
        </w:rPr>
      </w:pPr>
      <w:r w:rsidRPr="00200CCC">
        <w:rPr>
          <w:color w:val="222222"/>
          <w:sz w:val="24"/>
          <w:szCs w:val="24"/>
          <w:shd w:val="clear" w:color="auto" w:fill="FFFFFF"/>
        </w:rPr>
        <w:t>The study was sponsored by Douglas Pharmaceuticals</w:t>
      </w:r>
      <w:r w:rsidR="000E0F33" w:rsidRPr="00200CCC">
        <w:rPr>
          <w:color w:val="222222"/>
          <w:sz w:val="24"/>
          <w:szCs w:val="24"/>
          <w:shd w:val="clear" w:color="auto" w:fill="FFFFFF"/>
        </w:rPr>
        <w:t xml:space="preserve">.  </w:t>
      </w:r>
    </w:p>
    <w:p w14:paraId="740B15A9" w14:textId="3E734E6B" w:rsidR="00B32FB7" w:rsidRPr="00200CCC" w:rsidRDefault="00B32FB7" w:rsidP="0019676F">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t>Author Contributions Statement</w:t>
      </w:r>
    </w:p>
    <w:p w14:paraId="4599E0A1" w14:textId="123450A0" w:rsidR="005C4AF3" w:rsidRDefault="00A768F6" w:rsidP="005C4AF3">
      <w:pPr>
        <w:rPr>
          <w:lang w:val="en-US"/>
        </w:rPr>
      </w:pPr>
      <w:r w:rsidRPr="00200CCC">
        <w:rPr>
          <w:rFonts w:cstheme="minorHAnsi"/>
          <w:color w:val="222222"/>
        </w:rPr>
        <w:t>P.G</w:t>
      </w:r>
      <w:r w:rsidR="001D0076" w:rsidRPr="00200CCC">
        <w:rPr>
          <w:rFonts w:cstheme="minorHAnsi"/>
          <w:color w:val="222222"/>
        </w:rPr>
        <w:t>.</w:t>
      </w:r>
      <w:r w:rsidRPr="00200CCC">
        <w:rPr>
          <w:rFonts w:cstheme="minorHAnsi"/>
          <w:color w:val="222222"/>
        </w:rPr>
        <w:t xml:space="preserve"> </w:t>
      </w:r>
      <w:r w:rsidR="00D356D3" w:rsidRPr="00200CCC">
        <w:rPr>
          <w:rFonts w:cstheme="minorHAnsi"/>
          <w:color w:val="222222"/>
        </w:rPr>
        <w:t>and P.S.</w:t>
      </w:r>
      <w:r w:rsidRPr="00200CCC">
        <w:rPr>
          <w:rFonts w:cstheme="minorHAnsi"/>
          <w:color w:val="222222"/>
        </w:rPr>
        <w:t xml:space="preserve"> conceived the project</w:t>
      </w:r>
      <w:r w:rsidR="00E863D6" w:rsidRPr="00200CCC">
        <w:rPr>
          <w:rFonts w:cstheme="minorHAnsi"/>
          <w:color w:val="222222"/>
        </w:rPr>
        <w:t xml:space="preserve"> and </w:t>
      </w:r>
      <w:r w:rsidRPr="00200CCC">
        <w:rPr>
          <w:rFonts w:cstheme="minorHAnsi"/>
          <w:color w:val="222222"/>
        </w:rPr>
        <w:t xml:space="preserve">designed </w:t>
      </w:r>
      <w:r w:rsidR="00D356D3" w:rsidRPr="00200CCC">
        <w:rPr>
          <w:rFonts w:cstheme="minorHAnsi"/>
          <w:color w:val="222222"/>
        </w:rPr>
        <w:t>the protocol</w:t>
      </w:r>
      <w:r w:rsidR="00E863D6" w:rsidRPr="00200CCC">
        <w:rPr>
          <w:rFonts w:cstheme="minorHAnsi"/>
          <w:color w:val="222222"/>
        </w:rPr>
        <w:t>. P.G,</w:t>
      </w:r>
      <w:r w:rsidR="001F649B" w:rsidRPr="00200CCC">
        <w:rPr>
          <w:rFonts w:cstheme="minorHAnsi"/>
          <w:color w:val="222222"/>
        </w:rPr>
        <w:t xml:space="preserve"> J.F</w:t>
      </w:r>
      <w:r w:rsidR="00E33148" w:rsidRPr="00200CCC">
        <w:rPr>
          <w:rFonts w:cstheme="minorHAnsi"/>
          <w:color w:val="222222"/>
        </w:rPr>
        <w:t>. and H-Y. L</w:t>
      </w:r>
      <w:r w:rsidR="00924F54" w:rsidRPr="00200CCC">
        <w:rPr>
          <w:rFonts w:cstheme="minorHAnsi"/>
          <w:color w:val="222222"/>
        </w:rPr>
        <w:t>. screened and</w:t>
      </w:r>
      <w:r w:rsidR="00E33148" w:rsidRPr="00200CCC">
        <w:rPr>
          <w:rFonts w:cstheme="minorHAnsi"/>
          <w:color w:val="222222"/>
        </w:rPr>
        <w:t xml:space="preserve"> </w:t>
      </w:r>
      <w:r w:rsidR="006D3747" w:rsidRPr="00200CCC">
        <w:rPr>
          <w:rFonts w:cstheme="minorHAnsi"/>
          <w:color w:val="222222"/>
        </w:rPr>
        <w:t xml:space="preserve">recruited patients. </w:t>
      </w:r>
      <w:r w:rsidR="00A97300" w:rsidRPr="00200CCC">
        <w:rPr>
          <w:rFonts w:cstheme="minorHAnsi"/>
          <w:color w:val="222222"/>
        </w:rPr>
        <w:t>P</w:t>
      </w:r>
      <w:r w:rsidR="008F6BD8" w:rsidRPr="00200CCC">
        <w:rPr>
          <w:rFonts w:cstheme="minorHAnsi"/>
          <w:color w:val="222222"/>
        </w:rPr>
        <w:t xml:space="preserve">.G., C.L., J.F., </w:t>
      </w:r>
      <w:r w:rsidR="001D0076" w:rsidRPr="00200CCC">
        <w:rPr>
          <w:rFonts w:cstheme="minorHAnsi"/>
          <w:color w:val="222222"/>
        </w:rPr>
        <w:t xml:space="preserve">H-Y.L., A.Y., </w:t>
      </w:r>
      <w:r w:rsidR="00EE58DA" w:rsidRPr="00200CCC">
        <w:rPr>
          <w:rFonts w:cstheme="minorHAnsi"/>
          <w:color w:val="222222"/>
        </w:rPr>
        <w:t>and</w:t>
      </w:r>
      <w:r w:rsidR="001D0076" w:rsidRPr="00200CCC">
        <w:rPr>
          <w:rFonts w:cstheme="minorHAnsi"/>
          <w:color w:val="222222"/>
        </w:rPr>
        <w:t xml:space="preserve"> P.S.</w:t>
      </w:r>
      <w:r w:rsidR="00CB474E" w:rsidRPr="00200CCC">
        <w:rPr>
          <w:rFonts w:cstheme="minorHAnsi"/>
          <w:color w:val="222222"/>
        </w:rPr>
        <w:t xml:space="preserve"> </w:t>
      </w:r>
      <w:r w:rsidRPr="00200CCC">
        <w:rPr>
          <w:rFonts w:cstheme="minorHAnsi"/>
          <w:color w:val="222222"/>
        </w:rPr>
        <w:t xml:space="preserve">interpreted the results and wrote the </w:t>
      </w:r>
      <w:r w:rsidRPr="002C115F">
        <w:rPr>
          <w:rFonts w:cstheme="minorHAnsi"/>
          <w:color w:val="222222"/>
        </w:rPr>
        <w:t xml:space="preserve">paper. </w:t>
      </w:r>
      <w:r w:rsidR="00CB474E" w:rsidRPr="002C115F">
        <w:rPr>
          <w:rFonts w:cstheme="minorHAnsi"/>
          <w:color w:val="222222"/>
        </w:rPr>
        <w:t xml:space="preserve"> </w:t>
      </w:r>
    </w:p>
    <w:p w14:paraId="0909AA3C" w14:textId="77777777" w:rsidR="0064676A" w:rsidRDefault="0064676A" w:rsidP="005C4AF3">
      <w:pPr>
        <w:rPr>
          <w:lang w:val="en-US"/>
        </w:rPr>
      </w:pPr>
    </w:p>
    <w:p w14:paraId="39FE259F" w14:textId="12E1FB3D" w:rsidR="0064676A" w:rsidRPr="00562677" w:rsidRDefault="0064676A" w:rsidP="005C4AF3">
      <w:pPr>
        <w:rPr>
          <w:b/>
          <w:bCs/>
          <w:sz w:val="24"/>
          <w:szCs w:val="24"/>
          <w:highlight w:val="yellow"/>
          <w:lang w:val="en-US"/>
        </w:rPr>
      </w:pPr>
      <w:r w:rsidRPr="00562677">
        <w:rPr>
          <w:b/>
          <w:bCs/>
          <w:sz w:val="24"/>
          <w:szCs w:val="24"/>
          <w:highlight w:val="yellow"/>
          <w:lang w:val="en-US"/>
        </w:rPr>
        <w:t xml:space="preserve">The </w:t>
      </w:r>
      <w:proofErr w:type="spellStart"/>
      <w:r w:rsidRPr="00562677">
        <w:rPr>
          <w:b/>
          <w:bCs/>
          <w:sz w:val="24"/>
          <w:szCs w:val="24"/>
          <w:highlight w:val="yellow"/>
          <w:lang w:val="en-US"/>
        </w:rPr>
        <w:t>Bedroc</w:t>
      </w:r>
      <w:proofErr w:type="spellEnd"/>
      <w:r w:rsidRPr="00562677">
        <w:rPr>
          <w:b/>
          <w:bCs/>
          <w:sz w:val="24"/>
          <w:szCs w:val="24"/>
          <w:highlight w:val="yellow"/>
          <w:lang w:val="en-US"/>
        </w:rPr>
        <w:t xml:space="preserve"> Investigators: </w:t>
      </w:r>
    </w:p>
    <w:p w14:paraId="0FA9722F" w14:textId="2F50DA7E" w:rsidR="00C05B60" w:rsidRPr="00562677" w:rsidRDefault="00EB42A6" w:rsidP="00C05B60">
      <w:pPr>
        <w:rPr>
          <w:rFonts w:cstheme="minorHAnsi"/>
          <w:color w:val="000000"/>
          <w:sz w:val="24"/>
          <w:szCs w:val="24"/>
          <w:highlight w:val="yellow"/>
        </w:rPr>
      </w:pPr>
      <w:r w:rsidRPr="00562677">
        <w:rPr>
          <w:rFonts w:cstheme="minorHAnsi"/>
          <w:color w:val="000000"/>
          <w:sz w:val="24"/>
          <w:szCs w:val="24"/>
          <w:highlight w:val="yellow"/>
        </w:rPr>
        <w:t>Colleen Loo</w:t>
      </w:r>
      <w:r w:rsidR="006A4022" w:rsidRPr="00562677">
        <w:rPr>
          <w:rFonts w:cstheme="minorHAnsi"/>
          <w:color w:val="000000"/>
          <w:sz w:val="24"/>
          <w:szCs w:val="24"/>
          <w:highlight w:val="yellow"/>
          <w:vertAlign w:val="superscript"/>
        </w:rPr>
        <w:t>8,</w:t>
      </w:r>
      <w:proofErr w:type="gramStart"/>
      <w:r w:rsidR="006A4022" w:rsidRPr="00562677">
        <w:rPr>
          <w:rFonts w:cstheme="minorHAnsi"/>
          <w:color w:val="000000"/>
          <w:sz w:val="24"/>
          <w:szCs w:val="24"/>
          <w:highlight w:val="yellow"/>
          <w:vertAlign w:val="superscript"/>
        </w:rPr>
        <w:t>9</w:t>
      </w:r>
      <w:r w:rsidR="006A4022" w:rsidRPr="00562677">
        <w:rPr>
          <w:rFonts w:cstheme="minorHAnsi"/>
          <w:color w:val="000000"/>
          <w:sz w:val="24"/>
          <w:szCs w:val="24"/>
          <w:highlight w:val="yellow"/>
        </w:rPr>
        <w:t xml:space="preserve">, </w:t>
      </w:r>
      <w:r w:rsidR="008E233A" w:rsidRPr="00562677">
        <w:rPr>
          <w:rFonts w:cstheme="minorHAnsi"/>
          <w:color w:val="000000"/>
          <w:sz w:val="24"/>
          <w:szCs w:val="24"/>
          <w:highlight w:val="yellow"/>
        </w:rPr>
        <w:t xml:space="preserve"> </w:t>
      </w:r>
      <w:r w:rsidR="009F5289" w:rsidRPr="00562677">
        <w:rPr>
          <w:rFonts w:cstheme="minorHAnsi"/>
          <w:color w:val="000000"/>
          <w:sz w:val="24"/>
          <w:szCs w:val="24"/>
          <w:highlight w:val="yellow"/>
        </w:rPr>
        <w:t>Nick</w:t>
      </w:r>
      <w:proofErr w:type="gramEnd"/>
      <w:r w:rsidR="009F5289" w:rsidRPr="00562677">
        <w:rPr>
          <w:rFonts w:cstheme="minorHAnsi"/>
          <w:color w:val="000000"/>
          <w:sz w:val="24"/>
          <w:szCs w:val="24"/>
          <w:highlight w:val="yellow"/>
        </w:rPr>
        <w:t xml:space="preserve"> Glozier</w:t>
      </w:r>
      <w:r w:rsidR="009F5289" w:rsidRPr="00562677">
        <w:rPr>
          <w:rFonts w:cstheme="minorHAnsi"/>
          <w:color w:val="000000"/>
          <w:sz w:val="24"/>
          <w:szCs w:val="24"/>
          <w:highlight w:val="yellow"/>
          <w:vertAlign w:val="superscript"/>
        </w:rPr>
        <w:t>10</w:t>
      </w:r>
      <w:r w:rsidR="009F5289" w:rsidRPr="00562677">
        <w:rPr>
          <w:rFonts w:cstheme="minorHAnsi"/>
          <w:color w:val="000000"/>
          <w:sz w:val="24"/>
          <w:szCs w:val="24"/>
          <w:highlight w:val="yellow"/>
        </w:rPr>
        <w:t xml:space="preserve">, </w:t>
      </w:r>
      <w:r w:rsidR="007B695C" w:rsidRPr="00562677">
        <w:rPr>
          <w:rFonts w:cstheme="minorHAnsi"/>
          <w:color w:val="000000"/>
          <w:sz w:val="24"/>
          <w:szCs w:val="24"/>
          <w:highlight w:val="yellow"/>
        </w:rPr>
        <w:t>Paul Fitzgerald</w:t>
      </w:r>
      <w:r w:rsidR="00BA699F" w:rsidRPr="00562677">
        <w:rPr>
          <w:rFonts w:cstheme="minorHAnsi"/>
          <w:color w:val="000000"/>
          <w:sz w:val="24"/>
          <w:szCs w:val="24"/>
          <w:highlight w:val="yellow"/>
          <w:vertAlign w:val="superscript"/>
        </w:rPr>
        <w:t>11</w:t>
      </w:r>
      <w:r w:rsidR="00BA699F" w:rsidRPr="00562677">
        <w:rPr>
          <w:rFonts w:cstheme="minorHAnsi"/>
          <w:color w:val="000000"/>
          <w:sz w:val="24"/>
          <w:szCs w:val="24"/>
          <w:highlight w:val="yellow"/>
        </w:rPr>
        <w:t xml:space="preserve">, </w:t>
      </w:r>
      <w:r w:rsidR="008F0C32" w:rsidRPr="00562677">
        <w:rPr>
          <w:rFonts w:cstheme="minorHAnsi"/>
          <w:color w:val="000000"/>
          <w:sz w:val="24"/>
          <w:szCs w:val="24"/>
          <w:highlight w:val="yellow"/>
        </w:rPr>
        <w:t>Dennis Liu</w:t>
      </w:r>
      <w:r w:rsidR="003B4807" w:rsidRPr="00562677">
        <w:rPr>
          <w:rFonts w:cstheme="minorHAnsi"/>
          <w:color w:val="000000"/>
          <w:sz w:val="24"/>
          <w:szCs w:val="24"/>
          <w:highlight w:val="yellow"/>
          <w:vertAlign w:val="superscript"/>
        </w:rPr>
        <w:t>12</w:t>
      </w:r>
      <w:r w:rsidR="003B4807" w:rsidRPr="00562677">
        <w:rPr>
          <w:rFonts w:cstheme="minorHAnsi"/>
          <w:color w:val="000000"/>
          <w:sz w:val="24"/>
          <w:szCs w:val="24"/>
          <w:highlight w:val="yellow"/>
        </w:rPr>
        <w:t xml:space="preserve">, </w:t>
      </w:r>
      <w:r w:rsidR="006C7DE0" w:rsidRPr="00562677">
        <w:rPr>
          <w:rFonts w:cstheme="minorHAnsi"/>
          <w:color w:val="000000"/>
          <w:sz w:val="24"/>
          <w:szCs w:val="24"/>
          <w:highlight w:val="yellow"/>
        </w:rPr>
        <w:t>Shanti Sharma</w:t>
      </w:r>
      <w:r w:rsidR="00190118" w:rsidRPr="00562677">
        <w:rPr>
          <w:rFonts w:cstheme="minorHAnsi"/>
          <w:color w:val="000000"/>
          <w:sz w:val="24"/>
          <w:szCs w:val="24"/>
          <w:highlight w:val="yellow"/>
          <w:vertAlign w:val="superscript"/>
        </w:rPr>
        <w:t>13</w:t>
      </w:r>
      <w:r w:rsidR="00190118" w:rsidRPr="00562677">
        <w:rPr>
          <w:rFonts w:cstheme="minorHAnsi"/>
          <w:color w:val="000000"/>
          <w:sz w:val="24"/>
          <w:szCs w:val="24"/>
          <w:highlight w:val="yellow"/>
        </w:rPr>
        <w:t xml:space="preserve">, </w:t>
      </w:r>
      <w:r w:rsidR="005856CB" w:rsidRPr="00562677">
        <w:rPr>
          <w:rFonts w:cstheme="minorHAnsi"/>
          <w:color w:val="4D5156"/>
          <w:sz w:val="24"/>
          <w:szCs w:val="24"/>
          <w:highlight w:val="yellow"/>
          <w:shd w:val="clear" w:color="auto" w:fill="FFFFFF"/>
        </w:rPr>
        <w:t>Jennifer Grunfeld</w:t>
      </w:r>
      <w:r w:rsidR="005856CB" w:rsidRPr="00562677">
        <w:rPr>
          <w:rFonts w:cstheme="minorHAnsi"/>
          <w:color w:val="4D5156"/>
          <w:sz w:val="24"/>
          <w:szCs w:val="24"/>
          <w:highlight w:val="yellow"/>
          <w:shd w:val="clear" w:color="auto" w:fill="FFFFFF"/>
          <w:vertAlign w:val="superscript"/>
        </w:rPr>
        <w:t>14</w:t>
      </w:r>
      <w:r w:rsidR="005856CB" w:rsidRPr="00562677">
        <w:rPr>
          <w:rFonts w:cstheme="minorHAnsi"/>
          <w:color w:val="4D5156"/>
          <w:sz w:val="24"/>
          <w:szCs w:val="24"/>
          <w:highlight w:val="yellow"/>
          <w:shd w:val="clear" w:color="auto" w:fill="FFFFFF"/>
        </w:rPr>
        <w:t xml:space="preserve">, </w:t>
      </w:r>
      <w:r w:rsidR="003E5D06" w:rsidRPr="00562677">
        <w:rPr>
          <w:rFonts w:cstheme="minorHAnsi"/>
          <w:color w:val="4D5156"/>
          <w:sz w:val="24"/>
          <w:szCs w:val="24"/>
          <w:highlight w:val="yellow"/>
          <w:shd w:val="clear" w:color="auto" w:fill="FFFFFF"/>
        </w:rPr>
        <w:t>David Barton</w:t>
      </w:r>
      <w:r w:rsidR="00D255AC" w:rsidRPr="00562677">
        <w:rPr>
          <w:rFonts w:cstheme="minorHAnsi"/>
          <w:color w:val="4D5156"/>
          <w:sz w:val="24"/>
          <w:szCs w:val="24"/>
          <w:highlight w:val="yellow"/>
          <w:shd w:val="clear" w:color="auto" w:fill="FFFFFF"/>
          <w:vertAlign w:val="superscript"/>
        </w:rPr>
        <w:t>15</w:t>
      </w:r>
      <w:r w:rsidR="00D255AC" w:rsidRPr="00562677">
        <w:rPr>
          <w:rFonts w:cstheme="minorHAnsi"/>
          <w:color w:val="4D5156"/>
          <w:sz w:val="24"/>
          <w:szCs w:val="24"/>
          <w:highlight w:val="yellow"/>
          <w:shd w:val="clear" w:color="auto" w:fill="FFFFFF"/>
        </w:rPr>
        <w:t xml:space="preserve">, </w:t>
      </w:r>
      <w:r w:rsidR="006429FA" w:rsidRPr="00562677">
        <w:rPr>
          <w:rFonts w:cstheme="minorHAnsi"/>
          <w:color w:val="4D5156"/>
          <w:sz w:val="24"/>
          <w:szCs w:val="24"/>
          <w:highlight w:val="yellow"/>
          <w:shd w:val="clear" w:color="auto" w:fill="FFFFFF"/>
        </w:rPr>
        <w:t>Malcolm Hopwood</w:t>
      </w:r>
      <w:r w:rsidR="005E4AD1" w:rsidRPr="00562677">
        <w:rPr>
          <w:rFonts w:cstheme="minorHAnsi"/>
          <w:color w:val="4D5156"/>
          <w:sz w:val="24"/>
          <w:szCs w:val="24"/>
          <w:highlight w:val="yellow"/>
          <w:shd w:val="clear" w:color="auto" w:fill="FFFFFF"/>
          <w:vertAlign w:val="superscript"/>
        </w:rPr>
        <w:t>16</w:t>
      </w:r>
      <w:r w:rsidR="005E4AD1" w:rsidRPr="00562677">
        <w:rPr>
          <w:rFonts w:cstheme="minorHAnsi"/>
          <w:color w:val="4D5156"/>
          <w:sz w:val="24"/>
          <w:szCs w:val="24"/>
          <w:highlight w:val="yellow"/>
          <w:shd w:val="clear" w:color="auto" w:fill="FFFFFF"/>
        </w:rPr>
        <w:t>, Paul Glue</w:t>
      </w:r>
      <w:r w:rsidR="005E4AD1" w:rsidRPr="00562677">
        <w:rPr>
          <w:rFonts w:cstheme="minorHAnsi"/>
          <w:color w:val="4D5156"/>
          <w:sz w:val="24"/>
          <w:szCs w:val="24"/>
          <w:highlight w:val="yellow"/>
          <w:shd w:val="clear" w:color="auto" w:fill="FFFFFF"/>
          <w:vertAlign w:val="superscript"/>
        </w:rPr>
        <w:t>17</w:t>
      </w:r>
      <w:r w:rsidR="005E4AD1" w:rsidRPr="00562677">
        <w:rPr>
          <w:rFonts w:cstheme="minorHAnsi"/>
          <w:color w:val="4D5156"/>
          <w:sz w:val="24"/>
          <w:szCs w:val="24"/>
          <w:highlight w:val="yellow"/>
          <w:shd w:val="clear" w:color="auto" w:fill="FFFFFF"/>
        </w:rPr>
        <w:t>,</w:t>
      </w:r>
      <w:r w:rsidR="00E54966" w:rsidRPr="00562677">
        <w:rPr>
          <w:rFonts w:cstheme="minorHAnsi"/>
          <w:color w:val="4D5156"/>
          <w:sz w:val="24"/>
          <w:szCs w:val="24"/>
          <w:highlight w:val="yellow"/>
          <w:shd w:val="clear" w:color="auto" w:fill="FFFFFF"/>
        </w:rPr>
        <w:t xml:space="preserve"> Wayne Miles</w:t>
      </w:r>
      <w:r w:rsidR="00E54966" w:rsidRPr="00562677">
        <w:rPr>
          <w:rFonts w:cstheme="minorHAnsi"/>
          <w:color w:val="4D5156"/>
          <w:sz w:val="24"/>
          <w:szCs w:val="24"/>
          <w:highlight w:val="yellow"/>
          <w:shd w:val="clear" w:color="auto" w:fill="FFFFFF"/>
          <w:vertAlign w:val="superscript"/>
        </w:rPr>
        <w:t>18</w:t>
      </w:r>
      <w:r w:rsidR="00E54966" w:rsidRPr="00562677">
        <w:rPr>
          <w:rFonts w:cstheme="minorHAnsi"/>
          <w:color w:val="4D5156"/>
          <w:sz w:val="24"/>
          <w:szCs w:val="24"/>
          <w:highlight w:val="yellow"/>
          <w:shd w:val="clear" w:color="auto" w:fill="FFFFFF"/>
        </w:rPr>
        <w:t xml:space="preserve">, </w:t>
      </w:r>
      <w:r w:rsidR="00303CA2" w:rsidRPr="00562677">
        <w:rPr>
          <w:rFonts w:cstheme="minorHAnsi"/>
          <w:color w:val="4D5156"/>
          <w:sz w:val="24"/>
          <w:szCs w:val="24"/>
          <w:highlight w:val="yellow"/>
          <w:shd w:val="clear" w:color="auto" w:fill="FFFFFF"/>
        </w:rPr>
        <w:t>Mike Williams</w:t>
      </w:r>
      <w:r w:rsidR="00303CA2" w:rsidRPr="00562677">
        <w:rPr>
          <w:rFonts w:cstheme="minorHAnsi"/>
          <w:color w:val="4D5156"/>
          <w:sz w:val="24"/>
          <w:szCs w:val="24"/>
          <w:highlight w:val="yellow"/>
          <w:shd w:val="clear" w:color="auto" w:fill="FFFFFF"/>
          <w:vertAlign w:val="superscript"/>
        </w:rPr>
        <w:t>19</w:t>
      </w:r>
      <w:r w:rsidR="00303CA2" w:rsidRPr="00562677">
        <w:rPr>
          <w:rFonts w:cstheme="minorHAnsi"/>
          <w:color w:val="4D5156"/>
          <w:sz w:val="24"/>
          <w:szCs w:val="24"/>
          <w:highlight w:val="yellow"/>
          <w:shd w:val="clear" w:color="auto" w:fill="FFFFFF"/>
        </w:rPr>
        <w:t xml:space="preserve">, </w:t>
      </w:r>
      <w:r w:rsidR="00F53F48" w:rsidRPr="00562677">
        <w:rPr>
          <w:rFonts w:cstheme="minorHAnsi"/>
          <w:color w:val="4D5156"/>
          <w:sz w:val="24"/>
          <w:szCs w:val="24"/>
          <w:highlight w:val="yellow"/>
          <w:shd w:val="clear" w:color="auto" w:fill="FFFFFF"/>
        </w:rPr>
        <w:t>Simon Carson</w:t>
      </w:r>
      <w:r w:rsidR="00F53F48" w:rsidRPr="00562677">
        <w:rPr>
          <w:rFonts w:cstheme="minorHAnsi"/>
          <w:color w:val="4D5156"/>
          <w:sz w:val="24"/>
          <w:szCs w:val="24"/>
          <w:highlight w:val="yellow"/>
          <w:shd w:val="clear" w:color="auto" w:fill="FFFFFF"/>
          <w:vertAlign w:val="superscript"/>
        </w:rPr>
        <w:t>20</w:t>
      </w:r>
      <w:r w:rsidR="00F53F48" w:rsidRPr="00562677">
        <w:rPr>
          <w:rFonts w:cstheme="minorHAnsi"/>
          <w:color w:val="4D5156"/>
          <w:sz w:val="24"/>
          <w:szCs w:val="24"/>
          <w:highlight w:val="yellow"/>
          <w:shd w:val="clear" w:color="auto" w:fill="FFFFFF"/>
        </w:rPr>
        <w:t xml:space="preserve">, </w:t>
      </w:r>
      <w:r w:rsidR="00C8231E" w:rsidRPr="00562677">
        <w:rPr>
          <w:rFonts w:cstheme="minorHAnsi"/>
          <w:color w:val="4D5156"/>
          <w:sz w:val="24"/>
          <w:szCs w:val="24"/>
          <w:highlight w:val="yellow"/>
          <w:shd w:val="clear" w:color="auto" w:fill="FFFFFF"/>
        </w:rPr>
        <w:t>Johnson Fam</w:t>
      </w:r>
      <w:r w:rsidR="008657C6" w:rsidRPr="00562677">
        <w:rPr>
          <w:rFonts w:cstheme="minorHAnsi"/>
          <w:color w:val="4D5156"/>
          <w:sz w:val="24"/>
          <w:szCs w:val="24"/>
          <w:highlight w:val="yellow"/>
          <w:shd w:val="clear" w:color="auto" w:fill="FFFFFF"/>
          <w:vertAlign w:val="superscript"/>
        </w:rPr>
        <w:t>21</w:t>
      </w:r>
      <w:r w:rsidR="008657C6" w:rsidRPr="00562677">
        <w:rPr>
          <w:rFonts w:cstheme="minorHAnsi"/>
          <w:color w:val="4D5156"/>
          <w:sz w:val="24"/>
          <w:szCs w:val="24"/>
          <w:highlight w:val="yellow"/>
          <w:shd w:val="clear" w:color="auto" w:fill="FFFFFF"/>
        </w:rPr>
        <w:t xml:space="preserve">, </w:t>
      </w:r>
      <w:proofErr w:type="spellStart"/>
      <w:r w:rsidR="00170D88" w:rsidRPr="00562677">
        <w:rPr>
          <w:rFonts w:cstheme="minorHAnsi"/>
          <w:color w:val="000000"/>
          <w:sz w:val="24"/>
          <w:szCs w:val="24"/>
          <w:highlight w:val="yellow"/>
        </w:rPr>
        <w:t>Phern</w:t>
      </w:r>
      <w:proofErr w:type="spellEnd"/>
      <w:r w:rsidR="00170D88" w:rsidRPr="00562677">
        <w:rPr>
          <w:rFonts w:cstheme="minorHAnsi"/>
          <w:color w:val="000000"/>
          <w:sz w:val="24"/>
          <w:szCs w:val="24"/>
          <w:highlight w:val="yellow"/>
        </w:rPr>
        <w:t>-Chern Tor</w:t>
      </w:r>
      <w:r w:rsidR="00170D88" w:rsidRPr="00562677">
        <w:rPr>
          <w:rFonts w:cstheme="minorHAnsi"/>
          <w:color w:val="000000"/>
          <w:sz w:val="24"/>
          <w:szCs w:val="24"/>
          <w:highlight w:val="yellow"/>
          <w:vertAlign w:val="superscript"/>
        </w:rPr>
        <w:t>22</w:t>
      </w:r>
      <w:r w:rsidR="00170D88" w:rsidRPr="00562677">
        <w:rPr>
          <w:rFonts w:cstheme="minorHAnsi"/>
          <w:color w:val="000000"/>
          <w:sz w:val="24"/>
          <w:szCs w:val="24"/>
          <w:highlight w:val="yellow"/>
        </w:rPr>
        <w:t xml:space="preserve">, </w:t>
      </w:r>
      <w:r w:rsidR="007309DB" w:rsidRPr="00562677">
        <w:rPr>
          <w:rFonts w:cstheme="minorHAnsi"/>
          <w:color w:val="000000"/>
          <w:sz w:val="24"/>
          <w:szCs w:val="24"/>
          <w:highlight w:val="yellow"/>
        </w:rPr>
        <w:t>Hsien-Yuan Lane</w:t>
      </w:r>
      <w:r w:rsidR="007309DB" w:rsidRPr="00562677">
        <w:rPr>
          <w:rFonts w:cstheme="minorHAnsi"/>
          <w:color w:val="000000"/>
          <w:sz w:val="24"/>
          <w:szCs w:val="24"/>
          <w:highlight w:val="yellow"/>
          <w:vertAlign w:val="superscript"/>
        </w:rPr>
        <w:t>23</w:t>
      </w:r>
      <w:r w:rsidR="007309DB" w:rsidRPr="00562677">
        <w:rPr>
          <w:rFonts w:cstheme="minorHAnsi"/>
          <w:color w:val="000000"/>
          <w:sz w:val="24"/>
          <w:szCs w:val="24"/>
          <w:highlight w:val="yellow"/>
        </w:rPr>
        <w:t xml:space="preserve">, </w:t>
      </w:r>
      <w:r w:rsidR="00C05B60" w:rsidRPr="00562677">
        <w:rPr>
          <w:rFonts w:cstheme="minorHAnsi"/>
          <w:color w:val="000000"/>
          <w:sz w:val="24"/>
          <w:szCs w:val="24"/>
          <w:highlight w:val="yellow"/>
        </w:rPr>
        <w:t>Chun-Hsin Chen</w:t>
      </w:r>
      <w:r w:rsidR="00C05B60" w:rsidRPr="00562677">
        <w:rPr>
          <w:rFonts w:cstheme="minorHAnsi"/>
          <w:color w:val="000000"/>
          <w:sz w:val="24"/>
          <w:szCs w:val="24"/>
          <w:highlight w:val="yellow"/>
          <w:vertAlign w:val="superscript"/>
        </w:rPr>
        <w:t>24</w:t>
      </w:r>
      <w:r w:rsidR="00C05B60" w:rsidRPr="00562677">
        <w:rPr>
          <w:rFonts w:cstheme="minorHAnsi"/>
          <w:color w:val="000000"/>
          <w:sz w:val="24"/>
          <w:szCs w:val="24"/>
          <w:highlight w:val="yellow"/>
        </w:rPr>
        <w:t xml:space="preserve">, </w:t>
      </w:r>
      <w:r w:rsidR="001E7793" w:rsidRPr="00562677">
        <w:rPr>
          <w:rFonts w:cstheme="minorHAnsi"/>
          <w:color w:val="000000"/>
          <w:sz w:val="24"/>
          <w:szCs w:val="24"/>
          <w:highlight w:val="yellow"/>
        </w:rPr>
        <w:t>Yu-Jui Huang</w:t>
      </w:r>
      <w:r w:rsidR="001E7793" w:rsidRPr="00562677">
        <w:rPr>
          <w:rFonts w:cstheme="minorHAnsi"/>
          <w:color w:val="000000"/>
          <w:sz w:val="24"/>
          <w:szCs w:val="24"/>
          <w:highlight w:val="yellow"/>
          <w:vertAlign w:val="superscript"/>
        </w:rPr>
        <w:t>25</w:t>
      </w:r>
      <w:r w:rsidR="001E7793" w:rsidRPr="00562677">
        <w:rPr>
          <w:rFonts w:cstheme="minorHAnsi"/>
          <w:color w:val="000000"/>
          <w:sz w:val="24"/>
          <w:szCs w:val="24"/>
          <w:highlight w:val="yellow"/>
        </w:rPr>
        <w:t>.</w:t>
      </w:r>
    </w:p>
    <w:p w14:paraId="4A1E84F4" w14:textId="77777777" w:rsidR="005448E9" w:rsidRPr="00562677" w:rsidRDefault="005448E9" w:rsidP="002B4F9D">
      <w:pPr>
        <w:rPr>
          <w:rFonts w:cstheme="minorHAnsi"/>
          <w:color w:val="000000"/>
          <w:sz w:val="24"/>
          <w:szCs w:val="24"/>
          <w:highlight w:val="yellow"/>
          <w:vertAlign w:val="superscript"/>
        </w:rPr>
      </w:pPr>
    </w:p>
    <w:p w14:paraId="1CC1D947" w14:textId="710AB0FF" w:rsidR="007F6B21" w:rsidRPr="00047190" w:rsidRDefault="008E233A" w:rsidP="007F6B21">
      <w:pPr>
        <w:rPr>
          <w:rFonts w:cstheme="minorHAnsi"/>
          <w:color w:val="000000"/>
          <w:sz w:val="24"/>
          <w:szCs w:val="24"/>
        </w:rPr>
      </w:pPr>
      <w:r w:rsidRPr="00562677">
        <w:rPr>
          <w:rFonts w:cstheme="minorHAnsi"/>
          <w:color w:val="000000"/>
          <w:sz w:val="24"/>
          <w:szCs w:val="24"/>
          <w:highlight w:val="yellow"/>
          <w:vertAlign w:val="superscript"/>
        </w:rPr>
        <w:t>8</w:t>
      </w:r>
      <w:r w:rsidRPr="00562677">
        <w:rPr>
          <w:rFonts w:cstheme="minorHAnsi"/>
          <w:color w:val="000000" w:themeColor="text1"/>
          <w:sz w:val="24"/>
          <w:szCs w:val="24"/>
          <w:highlight w:val="yellow"/>
        </w:rPr>
        <w:t>Black Dog Institute &amp; University of New South Wales, Sydney, Australia</w:t>
      </w:r>
      <w:r w:rsidR="004A08D8" w:rsidRPr="00562677">
        <w:rPr>
          <w:rFonts w:cstheme="minorHAnsi"/>
          <w:color w:val="000000" w:themeColor="text1"/>
          <w:sz w:val="24"/>
          <w:szCs w:val="24"/>
          <w:highlight w:val="yellow"/>
        </w:rPr>
        <w:t xml:space="preserve">. </w:t>
      </w:r>
      <w:r w:rsidR="004A08D8" w:rsidRPr="00562677">
        <w:rPr>
          <w:rFonts w:cstheme="minorHAnsi"/>
          <w:color w:val="000000" w:themeColor="text1"/>
          <w:sz w:val="24"/>
          <w:szCs w:val="24"/>
          <w:highlight w:val="yellow"/>
          <w:vertAlign w:val="superscript"/>
        </w:rPr>
        <w:t>9</w:t>
      </w:r>
      <w:r w:rsidRPr="00562677">
        <w:rPr>
          <w:rFonts w:cstheme="minorHAnsi"/>
          <w:color w:val="000000" w:themeColor="text1"/>
          <w:sz w:val="24"/>
          <w:szCs w:val="24"/>
          <w:highlight w:val="yellow"/>
        </w:rPr>
        <w:t>George Institute for Global Health, Sydney, Australia</w:t>
      </w:r>
      <w:r w:rsidR="00EC20F3" w:rsidRPr="00562677">
        <w:rPr>
          <w:rFonts w:cstheme="minorHAnsi"/>
          <w:color w:val="000000" w:themeColor="text1"/>
          <w:sz w:val="24"/>
          <w:szCs w:val="24"/>
          <w:highlight w:val="yellow"/>
        </w:rPr>
        <w:t xml:space="preserve">. </w:t>
      </w:r>
      <w:r w:rsidR="00F12E91" w:rsidRPr="00562677">
        <w:rPr>
          <w:rFonts w:cstheme="minorHAnsi"/>
          <w:color w:val="000000" w:themeColor="text1"/>
          <w:sz w:val="24"/>
          <w:szCs w:val="24"/>
          <w:highlight w:val="yellow"/>
          <w:vertAlign w:val="superscript"/>
        </w:rPr>
        <w:t>10</w:t>
      </w:r>
      <w:r w:rsidR="00F12E91" w:rsidRPr="00562677">
        <w:rPr>
          <w:rFonts w:cstheme="minorHAnsi"/>
          <w:color w:val="000000"/>
          <w:sz w:val="24"/>
          <w:szCs w:val="24"/>
          <w:highlight w:val="yellow"/>
        </w:rPr>
        <w:t>Brain and Mind Centre, University of Sydney, Australia</w:t>
      </w:r>
      <w:r w:rsidR="00F12E91" w:rsidRPr="00562677">
        <w:rPr>
          <w:rFonts w:cstheme="minorHAnsi"/>
          <w:color w:val="000000"/>
          <w:sz w:val="24"/>
          <w:szCs w:val="24"/>
          <w:highlight w:val="yellow"/>
        </w:rPr>
        <w:t>.</w:t>
      </w:r>
      <w:r w:rsidR="00BA699F" w:rsidRPr="00562677">
        <w:rPr>
          <w:rFonts w:cstheme="minorHAnsi"/>
          <w:color w:val="000000"/>
          <w:sz w:val="24"/>
          <w:szCs w:val="24"/>
          <w:highlight w:val="yellow"/>
        </w:rPr>
        <w:t xml:space="preserve"> </w:t>
      </w:r>
      <w:r w:rsidR="00BA699F" w:rsidRPr="00562677">
        <w:rPr>
          <w:rFonts w:cstheme="minorHAnsi"/>
          <w:color w:val="000000"/>
          <w:sz w:val="24"/>
          <w:szCs w:val="24"/>
          <w:highlight w:val="yellow"/>
          <w:vertAlign w:val="superscript"/>
        </w:rPr>
        <w:t>11</w:t>
      </w:r>
      <w:r w:rsidR="00BA699F" w:rsidRPr="00562677">
        <w:rPr>
          <w:rFonts w:cstheme="minorHAnsi"/>
          <w:color w:val="000000"/>
          <w:sz w:val="24"/>
          <w:szCs w:val="24"/>
          <w:highlight w:val="yellow"/>
        </w:rPr>
        <w:t>Australian National University</w:t>
      </w:r>
      <w:r w:rsidR="00BA699F" w:rsidRPr="00562677">
        <w:rPr>
          <w:rFonts w:eastAsia="Times New Roman" w:cstheme="minorHAnsi"/>
          <w:color w:val="000000"/>
          <w:spacing w:val="2"/>
          <w:sz w:val="24"/>
          <w:szCs w:val="24"/>
          <w:highlight w:val="yellow"/>
          <w:bdr w:val="none" w:sz="0" w:space="0" w:color="auto" w:frame="1"/>
          <w:lang w:eastAsia="en-NZ"/>
        </w:rPr>
        <w:t xml:space="preserve"> College of Health and Medicine, Canberra, </w:t>
      </w:r>
      <w:r w:rsidR="00BA699F" w:rsidRPr="00562677">
        <w:rPr>
          <w:rFonts w:cstheme="minorHAnsi"/>
          <w:color w:val="000000"/>
          <w:sz w:val="24"/>
          <w:szCs w:val="24"/>
          <w:highlight w:val="yellow"/>
        </w:rPr>
        <w:t>Australia</w:t>
      </w:r>
      <w:r w:rsidR="00BA699F" w:rsidRPr="00562677">
        <w:rPr>
          <w:rFonts w:cstheme="minorHAnsi"/>
          <w:color w:val="000000"/>
          <w:sz w:val="24"/>
          <w:szCs w:val="24"/>
          <w:highlight w:val="yellow"/>
        </w:rPr>
        <w:t>.</w:t>
      </w:r>
      <w:r w:rsidR="008F0C32" w:rsidRPr="00562677">
        <w:rPr>
          <w:rFonts w:cstheme="minorHAnsi"/>
          <w:color w:val="000000"/>
          <w:sz w:val="24"/>
          <w:szCs w:val="24"/>
          <w:highlight w:val="yellow"/>
        </w:rPr>
        <w:t xml:space="preserve"> </w:t>
      </w:r>
      <w:r w:rsidR="008F0C32" w:rsidRPr="00562677">
        <w:rPr>
          <w:rFonts w:cstheme="minorHAnsi"/>
          <w:color w:val="000000"/>
          <w:sz w:val="24"/>
          <w:szCs w:val="24"/>
          <w:highlight w:val="yellow"/>
          <w:vertAlign w:val="superscript"/>
        </w:rPr>
        <w:t>12</w:t>
      </w:r>
      <w:r w:rsidR="008F0C32" w:rsidRPr="00562677">
        <w:rPr>
          <w:rFonts w:cstheme="minorHAnsi"/>
          <w:color w:val="4D5156"/>
          <w:sz w:val="24"/>
          <w:szCs w:val="24"/>
          <w:highlight w:val="yellow"/>
          <w:shd w:val="clear" w:color="auto" w:fill="FFFFFF"/>
        </w:rPr>
        <w:t>Lyell McEwin Hospital, Adelaide, Australia</w:t>
      </w:r>
      <w:r w:rsidR="008F0C32" w:rsidRPr="00562677">
        <w:rPr>
          <w:rFonts w:cstheme="minorHAnsi"/>
          <w:color w:val="4D5156"/>
          <w:sz w:val="24"/>
          <w:szCs w:val="24"/>
          <w:highlight w:val="yellow"/>
          <w:shd w:val="clear" w:color="auto" w:fill="FFFFFF"/>
        </w:rPr>
        <w:t xml:space="preserve">. </w:t>
      </w:r>
      <w:r w:rsidR="008F0C32" w:rsidRPr="00562677">
        <w:rPr>
          <w:rFonts w:cstheme="minorHAnsi"/>
          <w:color w:val="4D5156"/>
          <w:sz w:val="24"/>
          <w:szCs w:val="24"/>
          <w:highlight w:val="yellow"/>
          <w:shd w:val="clear" w:color="auto" w:fill="FFFFFF"/>
          <w:vertAlign w:val="superscript"/>
        </w:rPr>
        <w:t>13</w:t>
      </w:r>
      <w:r w:rsidR="006C7DE0" w:rsidRPr="00562677">
        <w:rPr>
          <w:rFonts w:cstheme="minorHAnsi"/>
          <w:color w:val="000000"/>
          <w:sz w:val="24"/>
          <w:szCs w:val="24"/>
          <w:highlight w:val="yellow"/>
        </w:rPr>
        <w:t>Gold Coast University Hospital, Queensland, Australia</w:t>
      </w:r>
      <w:r w:rsidR="006C7DE0" w:rsidRPr="00562677">
        <w:rPr>
          <w:rFonts w:cstheme="minorHAnsi"/>
          <w:color w:val="000000"/>
          <w:sz w:val="24"/>
          <w:szCs w:val="24"/>
          <w:highlight w:val="yellow"/>
        </w:rPr>
        <w:t>.</w:t>
      </w:r>
      <w:r w:rsidR="00190118" w:rsidRPr="00562677">
        <w:rPr>
          <w:rFonts w:cstheme="minorHAnsi"/>
          <w:color w:val="000000"/>
          <w:sz w:val="24"/>
          <w:szCs w:val="24"/>
          <w:highlight w:val="yellow"/>
        </w:rPr>
        <w:t xml:space="preserve"> </w:t>
      </w:r>
      <w:r w:rsidR="00190118" w:rsidRPr="00562677">
        <w:rPr>
          <w:rFonts w:cstheme="minorHAnsi"/>
          <w:color w:val="000000"/>
          <w:sz w:val="24"/>
          <w:szCs w:val="24"/>
          <w:highlight w:val="yellow"/>
          <w:vertAlign w:val="superscript"/>
        </w:rPr>
        <w:t>14</w:t>
      </w:r>
      <w:r w:rsidR="001A7F94" w:rsidRPr="00562677">
        <w:rPr>
          <w:rFonts w:cstheme="minorHAnsi"/>
          <w:color w:val="4D5156"/>
          <w:sz w:val="24"/>
          <w:szCs w:val="24"/>
          <w:highlight w:val="yellow"/>
          <w:shd w:val="clear" w:color="auto" w:fill="FFFFFF"/>
        </w:rPr>
        <w:t>Peninsula Therapeutic &amp; Research Group, Melbourne, Australia</w:t>
      </w:r>
      <w:r w:rsidR="001A7F94" w:rsidRPr="00562677">
        <w:rPr>
          <w:rFonts w:cstheme="minorHAnsi"/>
          <w:color w:val="4D5156"/>
          <w:sz w:val="24"/>
          <w:szCs w:val="24"/>
          <w:highlight w:val="yellow"/>
          <w:shd w:val="clear" w:color="auto" w:fill="FFFFFF"/>
        </w:rPr>
        <w:t>.</w:t>
      </w:r>
      <w:r w:rsidR="003E5D06" w:rsidRPr="00562677">
        <w:rPr>
          <w:rFonts w:cstheme="minorHAnsi"/>
          <w:color w:val="4D5156"/>
          <w:sz w:val="24"/>
          <w:szCs w:val="24"/>
          <w:highlight w:val="yellow"/>
          <w:shd w:val="clear" w:color="auto" w:fill="FFFFFF"/>
        </w:rPr>
        <w:t xml:space="preserve"> </w:t>
      </w:r>
      <w:r w:rsidR="003E5D06" w:rsidRPr="00562677">
        <w:rPr>
          <w:rFonts w:cstheme="minorHAnsi"/>
          <w:color w:val="4D5156"/>
          <w:sz w:val="24"/>
          <w:szCs w:val="24"/>
          <w:highlight w:val="yellow"/>
          <w:shd w:val="clear" w:color="auto" w:fill="FFFFFF"/>
          <w:vertAlign w:val="superscript"/>
        </w:rPr>
        <w:t>15</w:t>
      </w:r>
      <w:r w:rsidR="003E5D06" w:rsidRPr="00562677">
        <w:rPr>
          <w:rFonts w:cstheme="minorHAnsi"/>
          <w:color w:val="000000"/>
          <w:sz w:val="24"/>
          <w:szCs w:val="24"/>
          <w:highlight w:val="yellow"/>
        </w:rPr>
        <w:t>Neurocentrix, Melbourne, Australia</w:t>
      </w:r>
      <w:r w:rsidR="003E5D06" w:rsidRPr="00562677">
        <w:rPr>
          <w:rFonts w:cstheme="minorHAnsi"/>
          <w:color w:val="000000"/>
          <w:sz w:val="24"/>
          <w:szCs w:val="24"/>
          <w:highlight w:val="yellow"/>
        </w:rPr>
        <w:t>.</w:t>
      </w:r>
      <w:r w:rsidR="006429FA" w:rsidRPr="00562677">
        <w:rPr>
          <w:rFonts w:cstheme="minorHAnsi"/>
          <w:color w:val="000000"/>
          <w:sz w:val="24"/>
          <w:szCs w:val="24"/>
          <w:highlight w:val="yellow"/>
        </w:rPr>
        <w:t xml:space="preserve"> </w:t>
      </w:r>
      <w:r w:rsidR="006429FA" w:rsidRPr="00562677">
        <w:rPr>
          <w:rFonts w:cstheme="minorHAnsi"/>
          <w:color w:val="000000"/>
          <w:sz w:val="24"/>
          <w:szCs w:val="24"/>
          <w:highlight w:val="yellow"/>
          <w:vertAlign w:val="superscript"/>
        </w:rPr>
        <w:t>16</w:t>
      </w:r>
      <w:r w:rsidR="006429FA" w:rsidRPr="00562677">
        <w:rPr>
          <w:rFonts w:cstheme="minorHAnsi"/>
          <w:color w:val="4D5156"/>
          <w:sz w:val="24"/>
          <w:szCs w:val="24"/>
          <w:highlight w:val="yellow"/>
          <w:shd w:val="clear" w:color="auto" w:fill="FFFFFF"/>
        </w:rPr>
        <w:t>Ramsay Clinic Albert Road, University of Melbourne, Australia</w:t>
      </w:r>
      <w:r w:rsidR="006429FA" w:rsidRPr="00562677">
        <w:rPr>
          <w:rFonts w:cstheme="minorHAnsi"/>
          <w:color w:val="4D5156"/>
          <w:sz w:val="24"/>
          <w:szCs w:val="24"/>
          <w:highlight w:val="yellow"/>
          <w:shd w:val="clear" w:color="auto" w:fill="FFFFFF"/>
        </w:rPr>
        <w:t>.</w:t>
      </w:r>
      <w:r w:rsidR="005E4AD1" w:rsidRPr="00562677">
        <w:rPr>
          <w:rFonts w:cstheme="minorHAnsi"/>
          <w:color w:val="4D5156"/>
          <w:sz w:val="24"/>
          <w:szCs w:val="24"/>
          <w:highlight w:val="yellow"/>
          <w:shd w:val="clear" w:color="auto" w:fill="FFFFFF"/>
        </w:rPr>
        <w:t xml:space="preserve"> </w:t>
      </w:r>
      <w:r w:rsidR="005E4AD1" w:rsidRPr="00562677">
        <w:rPr>
          <w:rFonts w:cstheme="minorHAnsi"/>
          <w:color w:val="4D5156"/>
          <w:sz w:val="24"/>
          <w:szCs w:val="24"/>
          <w:highlight w:val="yellow"/>
          <w:shd w:val="clear" w:color="auto" w:fill="FFFFFF"/>
          <w:vertAlign w:val="superscript"/>
        </w:rPr>
        <w:t>17</w:t>
      </w:r>
      <w:r w:rsidR="00E54966" w:rsidRPr="00562677">
        <w:rPr>
          <w:rFonts w:cstheme="minorHAnsi"/>
          <w:color w:val="4D5156"/>
          <w:sz w:val="24"/>
          <w:szCs w:val="24"/>
          <w:highlight w:val="yellow"/>
          <w:shd w:val="clear" w:color="auto" w:fill="FFFFFF"/>
        </w:rPr>
        <w:t>University of Otago, Dunedin, New Zealand</w:t>
      </w:r>
      <w:r w:rsidR="00E54966" w:rsidRPr="00562677">
        <w:rPr>
          <w:rFonts w:cstheme="minorHAnsi"/>
          <w:color w:val="4D5156"/>
          <w:sz w:val="24"/>
          <w:szCs w:val="24"/>
          <w:highlight w:val="yellow"/>
          <w:shd w:val="clear" w:color="auto" w:fill="FFFFFF"/>
        </w:rPr>
        <w:t>.</w:t>
      </w:r>
      <w:r w:rsidR="00713401" w:rsidRPr="00562677">
        <w:rPr>
          <w:rFonts w:cstheme="minorHAnsi"/>
          <w:color w:val="4D5156"/>
          <w:sz w:val="24"/>
          <w:szCs w:val="24"/>
          <w:highlight w:val="yellow"/>
          <w:shd w:val="clear" w:color="auto" w:fill="FFFFFF"/>
        </w:rPr>
        <w:t xml:space="preserve"> </w:t>
      </w:r>
      <w:r w:rsidR="00713401" w:rsidRPr="00562677">
        <w:rPr>
          <w:rFonts w:cstheme="minorHAnsi"/>
          <w:color w:val="4D5156"/>
          <w:sz w:val="24"/>
          <w:szCs w:val="24"/>
          <w:highlight w:val="yellow"/>
          <w:shd w:val="clear" w:color="auto" w:fill="FFFFFF"/>
          <w:vertAlign w:val="superscript"/>
        </w:rPr>
        <w:t>18</w:t>
      </w:r>
      <w:r w:rsidR="00713401" w:rsidRPr="00562677">
        <w:rPr>
          <w:rFonts w:cstheme="minorHAnsi"/>
          <w:color w:val="000000"/>
          <w:sz w:val="24"/>
          <w:szCs w:val="24"/>
          <w:highlight w:val="yellow"/>
        </w:rPr>
        <w:t>North Shore Hospital, Auckland, New Zealand</w:t>
      </w:r>
      <w:r w:rsidR="00713401" w:rsidRPr="00562677">
        <w:rPr>
          <w:rFonts w:cstheme="minorHAnsi"/>
          <w:color w:val="000000"/>
          <w:sz w:val="24"/>
          <w:szCs w:val="24"/>
          <w:highlight w:val="yellow"/>
        </w:rPr>
        <w:t xml:space="preserve">.  </w:t>
      </w:r>
      <w:r w:rsidR="00713401" w:rsidRPr="00562677">
        <w:rPr>
          <w:rFonts w:cstheme="minorHAnsi"/>
          <w:color w:val="000000"/>
          <w:sz w:val="24"/>
          <w:szCs w:val="24"/>
          <w:highlight w:val="yellow"/>
          <w:vertAlign w:val="superscript"/>
        </w:rPr>
        <w:t>19</w:t>
      </w:r>
      <w:r w:rsidR="00303CA2" w:rsidRPr="00562677">
        <w:rPr>
          <w:rFonts w:cstheme="minorHAnsi"/>
          <w:color w:val="000000"/>
          <w:sz w:val="24"/>
          <w:szCs w:val="24"/>
          <w:highlight w:val="yellow"/>
        </w:rPr>
        <w:t>Lakeland Clinical Trials &amp; Anteris Clinical Research, New Zealand</w:t>
      </w:r>
      <w:r w:rsidR="00303CA2" w:rsidRPr="00562677">
        <w:rPr>
          <w:rFonts w:cstheme="minorHAnsi"/>
          <w:color w:val="000000"/>
          <w:sz w:val="24"/>
          <w:szCs w:val="24"/>
          <w:highlight w:val="yellow"/>
        </w:rPr>
        <w:t>.</w:t>
      </w:r>
      <w:r w:rsidR="00F53F48" w:rsidRPr="00562677">
        <w:rPr>
          <w:rFonts w:cstheme="minorHAnsi"/>
          <w:color w:val="000000"/>
          <w:sz w:val="24"/>
          <w:szCs w:val="24"/>
          <w:highlight w:val="yellow"/>
        </w:rPr>
        <w:t xml:space="preserve"> </w:t>
      </w:r>
      <w:r w:rsidR="00F53F48" w:rsidRPr="00562677">
        <w:rPr>
          <w:rFonts w:cstheme="minorHAnsi"/>
          <w:color w:val="000000"/>
          <w:sz w:val="24"/>
          <w:szCs w:val="24"/>
          <w:highlight w:val="yellow"/>
          <w:vertAlign w:val="superscript"/>
        </w:rPr>
        <w:t>20</w:t>
      </w:r>
      <w:r w:rsidR="00F53F48" w:rsidRPr="00562677">
        <w:rPr>
          <w:rFonts w:cstheme="minorHAnsi"/>
          <w:color w:val="000000"/>
          <w:sz w:val="24"/>
          <w:szCs w:val="24"/>
          <w:highlight w:val="yellow"/>
        </w:rPr>
        <w:t>Southern Clinical Trials, Christchurch, New Zealand</w:t>
      </w:r>
      <w:r w:rsidR="00F53F48" w:rsidRPr="00562677">
        <w:rPr>
          <w:rFonts w:cstheme="minorHAnsi"/>
          <w:color w:val="000000"/>
          <w:sz w:val="24"/>
          <w:szCs w:val="24"/>
          <w:highlight w:val="yellow"/>
        </w:rPr>
        <w:t>.</w:t>
      </w:r>
      <w:r w:rsidR="00C8231E" w:rsidRPr="00562677">
        <w:rPr>
          <w:rFonts w:cstheme="minorHAnsi"/>
          <w:color w:val="000000"/>
          <w:sz w:val="24"/>
          <w:szCs w:val="24"/>
          <w:highlight w:val="yellow"/>
        </w:rPr>
        <w:t xml:space="preserve"> </w:t>
      </w:r>
      <w:r w:rsidR="00C8231E" w:rsidRPr="00562677">
        <w:rPr>
          <w:rFonts w:cstheme="minorHAnsi"/>
          <w:color w:val="000000"/>
          <w:sz w:val="24"/>
          <w:szCs w:val="24"/>
          <w:highlight w:val="yellow"/>
          <w:vertAlign w:val="superscript"/>
        </w:rPr>
        <w:t>21</w:t>
      </w:r>
      <w:r w:rsidR="00C8231E" w:rsidRPr="00562677">
        <w:rPr>
          <w:rFonts w:cstheme="minorHAnsi"/>
          <w:color w:val="000000"/>
          <w:sz w:val="24"/>
          <w:szCs w:val="24"/>
          <w:highlight w:val="yellow"/>
        </w:rPr>
        <w:t>National University Hospital Singapore, Singapore</w:t>
      </w:r>
      <w:r w:rsidR="00C8231E" w:rsidRPr="00562677">
        <w:rPr>
          <w:rFonts w:cstheme="minorHAnsi"/>
          <w:color w:val="000000"/>
          <w:sz w:val="24"/>
          <w:szCs w:val="24"/>
          <w:highlight w:val="yellow"/>
        </w:rPr>
        <w:t xml:space="preserve">. </w:t>
      </w:r>
      <w:r w:rsidR="00170D88" w:rsidRPr="00562677">
        <w:rPr>
          <w:rFonts w:cstheme="minorHAnsi"/>
          <w:color w:val="000000"/>
          <w:sz w:val="24"/>
          <w:szCs w:val="24"/>
          <w:highlight w:val="yellow"/>
          <w:vertAlign w:val="superscript"/>
        </w:rPr>
        <w:t>22</w:t>
      </w:r>
      <w:r w:rsidR="003117F6" w:rsidRPr="00562677">
        <w:rPr>
          <w:rFonts w:cstheme="minorHAnsi"/>
          <w:color w:val="000000"/>
          <w:sz w:val="24"/>
          <w:szCs w:val="24"/>
          <w:highlight w:val="yellow"/>
        </w:rPr>
        <w:t>Institute of Mental Health, Singapore</w:t>
      </w:r>
      <w:r w:rsidR="003117F6" w:rsidRPr="00562677">
        <w:rPr>
          <w:rFonts w:cstheme="minorHAnsi"/>
          <w:color w:val="000000"/>
          <w:sz w:val="24"/>
          <w:szCs w:val="24"/>
          <w:highlight w:val="yellow"/>
        </w:rPr>
        <w:t>.</w:t>
      </w:r>
      <w:r w:rsidR="002B4F9D" w:rsidRPr="00562677">
        <w:rPr>
          <w:rFonts w:cstheme="minorHAnsi"/>
          <w:color w:val="000000"/>
          <w:sz w:val="24"/>
          <w:szCs w:val="24"/>
          <w:highlight w:val="yellow"/>
        </w:rPr>
        <w:t xml:space="preserve"> </w:t>
      </w:r>
      <w:r w:rsidR="002B4F9D" w:rsidRPr="00562677">
        <w:rPr>
          <w:rFonts w:cstheme="minorHAnsi"/>
          <w:color w:val="000000"/>
          <w:sz w:val="24"/>
          <w:szCs w:val="24"/>
          <w:highlight w:val="yellow"/>
          <w:vertAlign w:val="superscript"/>
        </w:rPr>
        <w:t>23</w:t>
      </w:r>
      <w:r w:rsidR="002B4F9D" w:rsidRPr="00562677">
        <w:rPr>
          <w:rFonts w:cstheme="minorHAnsi"/>
          <w:color w:val="000000"/>
          <w:sz w:val="24"/>
          <w:szCs w:val="24"/>
          <w:highlight w:val="yellow"/>
        </w:rPr>
        <w:t>China Medical University Hospital, Taiwan</w:t>
      </w:r>
      <w:r w:rsidR="002B4F9D" w:rsidRPr="00562677">
        <w:rPr>
          <w:rFonts w:cstheme="minorHAnsi"/>
          <w:color w:val="000000"/>
          <w:sz w:val="24"/>
          <w:szCs w:val="24"/>
          <w:highlight w:val="yellow"/>
        </w:rPr>
        <w:t xml:space="preserve">. </w:t>
      </w:r>
      <w:r w:rsidR="002B4F9D" w:rsidRPr="00562677">
        <w:rPr>
          <w:rFonts w:cstheme="minorHAnsi"/>
          <w:color w:val="000000"/>
          <w:sz w:val="24"/>
          <w:szCs w:val="24"/>
          <w:highlight w:val="yellow"/>
          <w:vertAlign w:val="superscript"/>
        </w:rPr>
        <w:t>24</w:t>
      </w:r>
      <w:r w:rsidR="007F6B21" w:rsidRPr="00562677">
        <w:rPr>
          <w:rFonts w:cstheme="minorHAnsi"/>
          <w:color w:val="000000"/>
          <w:sz w:val="24"/>
          <w:szCs w:val="24"/>
          <w:highlight w:val="yellow"/>
        </w:rPr>
        <w:t xml:space="preserve">Taipei Municipal </w:t>
      </w:r>
      <w:proofErr w:type="spellStart"/>
      <w:r w:rsidR="007F6B21" w:rsidRPr="00562677">
        <w:rPr>
          <w:rFonts w:cstheme="minorHAnsi"/>
          <w:color w:val="000000"/>
          <w:sz w:val="24"/>
          <w:szCs w:val="24"/>
          <w:highlight w:val="yellow"/>
        </w:rPr>
        <w:t>Wanfang</w:t>
      </w:r>
      <w:proofErr w:type="spellEnd"/>
      <w:r w:rsidR="007F6B21" w:rsidRPr="00562677">
        <w:rPr>
          <w:rFonts w:cstheme="minorHAnsi"/>
          <w:color w:val="000000"/>
          <w:sz w:val="24"/>
          <w:szCs w:val="24"/>
          <w:highlight w:val="yellow"/>
        </w:rPr>
        <w:t xml:space="preserve"> Hospital, Taiwan</w:t>
      </w:r>
      <w:r w:rsidR="007F6B21" w:rsidRPr="00562677">
        <w:rPr>
          <w:rFonts w:cstheme="minorHAnsi"/>
          <w:color w:val="000000"/>
          <w:sz w:val="24"/>
          <w:szCs w:val="24"/>
          <w:highlight w:val="yellow"/>
        </w:rPr>
        <w:t xml:space="preserve">. </w:t>
      </w:r>
      <w:r w:rsidR="007F6B21" w:rsidRPr="00562677">
        <w:rPr>
          <w:rFonts w:cstheme="minorHAnsi"/>
          <w:color w:val="000000"/>
          <w:sz w:val="24"/>
          <w:szCs w:val="24"/>
          <w:highlight w:val="yellow"/>
          <w:vertAlign w:val="superscript"/>
        </w:rPr>
        <w:t>25</w:t>
      </w:r>
      <w:r w:rsidR="00DD03D1" w:rsidRPr="00562677">
        <w:rPr>
          <w:rFonts w:cstheme="minorHAnsi"/>
          <w:color w:val="000000"/>
          <w:sz w:val="24"/>
          <w:szCs w:val="24"/>
          <w:highlight w:val="yellow"/>
        </w:rPr>
        <w:t>Taipei Medical University Hospital, Taiwan</w:t>
      </w:r>
      <w:r w:rsidR="00DD03D1" w:rsidRPr="00562677">
        <w:rPr>
          <w:rFonts w:cstheme="minorHAnsi"/>
          <w:color w:val="000000"/>
          <w:sz w:val="24"/>
          <w:szCs w:val="24"/>
          <w:highlight w:val="yellow"/>
        </w:rPr>
        <w:t>.</w:t>
      </w:r>
      <w:r w:rsidR="004E19EC" w:rsidRPr="00562677">
        <w:rPr>
          <w:rFonts w:cstheme="minorHAnsi"/>
          <w:color w:val="000000"/>
          <w:sz w:val="24"/>
          <w:szCs w:val="24"/>
          <w:highlight w:val="yellow"/>
        </w:rPr>
        <w:t xml:space="preserve"> A full list of members and their affiliations appears in the </w:t>
      </w:r>
      <w:r w:rsidR="00562677" w:rsidRPr="00562677">
        <w:rPr>
          <w:rFonts w:cstheme="minorHAnsi"/>
          <w:color w:val="000000"/>
          <w:sz w:val="24"/>
          <w:szCs w:val="24"/>
          <w:highlight w:val="yellow"/>
        </w:rPr>
        <w:t>S</w:t>
      </w:r>
      <w:r w:rsidR="004E19EC" w:rsidRPr="00562677">
        <w:rPr>
          <w:rFonts w:cstheme="minorHAnsi"/>
          <w:color w:val="000000"/>
          <w:sz w:val="24"/>
          <w:szCs w:val="24"/>
          <w:highlight w:val="yellow"/>
        </w:rPr>
        <w:t>upplementar</w:t>
      </w:r>
      <w:r w:rsidR="00562677" w:rsidRPr="00562677">
        <w:rPr>
          <w:rFonts w:cstheme="minorHAnsi"/>
          <w:color w:val="000000"/>
          <w:sz w:val="24"/>
          <w:szCs w:val="24"/>
          <w:highlight w:val="yellow"/>
        </w:rPr>
        <w:t>y Information.</w:t>
      </w:r>
    </w:p>
    <w:p w14:paraId="24CDD48C" w14:textId="350E986C" w:rsidR="00A768F6" w:rsidRPr="00200CCC" w:rsidRDefault="00A768F6" w:rsidP="00C8231E">
      <w:pPr>
        <w:rPr>
          <w:rFonts w:cstheme="minorHAnsi"/>
          <w:color w:val="222222"/>
        </w:rPr>
      </w:pPr>
    </w:p>
    <w:p w14:paraId="56D0B993" w14:textId="3BF6A932" w:rsidR="00B32FB7" w:rsidRPr="00200CCC" w:rsidRDefault="00B32FB7" w:rsidP="0019676F">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t>Competing Interests Statement</w:t>
      </w:r>
    </w:p>
    <w:p w14:paraId="7D3CE37C" w14:textId="77777777" w:rsidR="00D3058E" w:rsidRPr="00200CCC" w:rsidRDefault="00A90595" w:rsidP="00D3058E">
      <w:pPr>
        <w:rPr>
          <w:rFonts w:cstheme="minorHAnsi"/>
          <w:color w:val="1F1F1F"/>
          <w:sz w:val="24"/>
          <w:szCs w:val="24"/>
        </w:rPr>
      </w:pPr>
      <w:r w:rsidRPr="00200CCC">
        <w:rPr>
          <w:rFonts w:cstheme="minorHAnsi"/>
          <w:bCs/>
          <w:color w:val="000000" w:themeColor="text1"/>
          <w:sz w:val="24"/>
          <w:szCs w:val="24"/>
        </w:rPr>
        <w:lastRenderedPageBreak/>
        <w:t>P</w:t>
      </w:r>
      <w:r w:rsidR="00E24381" w:rsidRPr="00200CCC">
        <w:rPr>
          <w:rFonts w:cstheme="minorHAnsi"/>
          <w:bCs/>
          <w:color w:val="000000" w:themeColor="text1"/>
          <w:sz w:val="24"/>
          <w:szCs w:val="24"/>
        </w:rPr>
        <w:t xml:space="preserve">.G. is named on a patent for the </w:t>
      </w:r>
      <w:r w:rsidR="00D3058E" w:rsidRPr="00200CCC">
        <w:rPr>
          <w:rFonts w:cstheme="minorHAnsi"/>
          <w:bCs/>
          <w:color w:val="000000" w:themeColor="text1"/>
          <w:sz w:val="24"/>
          <w:szCs w:val="24"/>
        </w:rPr>
        <w:t>extended-release</w:t>
      </w:r>
      <w:r w:rsidR="00E24381" w:rsidRPr="00200CCC">
        <w:rPr>
          <w:rFonts w:cstheme="minorHAnsi"/>
          <w:bCs/>
          <w:color w:val="000000" w:themeColor="text1"/>
          <w:sz w:val="24"/>
          <w:szCs w:val="24"/>
        </w:rPr>
        <w:t xml:space="preserve"> ketamine formulation</w:t>
      </w:r>
      <w:r w:rsidR="00615741" w:rsidRPr="00200CCC">
        <w:rPr>
          <w:rFonts w:cstheme="minorHAnsi"/>
          <w:bCs/>
          <w:color w:val="000000" w:themeColor="text1"/>
          <w:sz w:val="24"/>
          <w:szCs w:val="24"/>
        </w:rPr>
        <w:t xml:space="preserve">. </w:t>
      </w:r>
      <w:r w:rsidR="00615741" w:rsidRPr="00200CCC">
        <w:rPr>
          <w:rFonts w:cstheme="minorHAnsi"/>
          <w:bCs/>
          <w:sz w:val="24"/>
          <w:szCs w:val="24"/>
          <w:lang w:val="en-AU"/>
        </w:rPr>
        <w:t>C.L. is on the Clinical Advisory Board for Douglas Pharmaceuticals and has received fees for attending Janssen Cilag advisory board meetings</w:t>
      </w:r>
      <w:r w:rsidR="00D85BFB" w:rsidRPr="00200CCC">
        <w:rPr>
          <w:rFonts w:cstheme="minorHAnsi"/>
          <w:bCs/>
          <w:sz w:val="24"/>
          <w:szCs w:val="24"/>
          <w:lang w:val="en-AU"/>
        </w:rPr>
        <w:t>. J.F. and H-Y.L</w:t>
      </w:r>
      <w:r w:rsidR="00E94EEF" w:rsidRPr="00200CCC">
        <w:rPr>
          <w:rFonts w:cstheme="minorHAnsi"/>
          <w:bCs/>
          <w:sz w:val="24"/>
          <w:szCs w:val="24"/>
          <w:lang w:val="en-AU"/>
        </w:rPr>
        <w:t>.</w:t>
      </w:r>
      <w:r w:rsidR="00D85BFB" w:rsidRPr="00200CCC">
        <w:rPr>
          <w:rFonts w:cstheme="minorHAnsi"/>
          <w:bCs/>
          <w:sz w:val="24"/>
          <w:szCs w:val="24"/>
          <w:lang w:val="en-AU"/>
        </w:rPr>
        <w:t xml:space="preserve"> have no disclosures. </w:t>
      </w:r>
      <w:r w:rsidR="00603D00" w:rsidRPr="00200CCC">
        <w:rPr>
          <w:rFonts w:cstheme="minorHAnsi"/>
          <w:bCs/>
          <w:sz w:val="24"/>
          <w:szCs w:val="24"/>
          <w:lang w:val="en-AU"/>
        </w:rPr>
        <w:t xml:space="preserve">A.Y. </w:t>
      </w:r>
      <w:r w:rsidR="00D66759" w:rsidRPr="00200CCC">
        <w:rPr>
          <w:rFonts w:cstheme="minorHAnsi"/>
          <w:color w:val="1F1F1F"/>
          <w:sz w:val="24"/>
          <w:szCs w:val="24"/>
        </w:rPr>
        <w:t xml:space="preserve">receives payment for lectures from AstraZeneca, Eli Lilly, Lundbeck, Sunovion, </w:t>
      </w:r>
      <w:proofErr w:type="spellStart"/>
      <w:r w:rsidR="00D66759" w:rsidRPr="00200CCC">
        <w:rPr>
          <w:rFonts w:cstheme="minorHAnsi"/>
          <w:color w:val="1F1F1F"/>
          <w:sz w:val="24"/>
          <w:szCs w:val="24"/>
        </w:rPr>
        <w:t>Servier</w:t>
      </w:r>
      <w:proofErr w:type="spellEnd"/>
      <w:r w:rsidR="00D66759" w:rsidRPr="00200CCC">
        <w:rPr>
          <w:rFonts w:cstheme="minorHAnsi"/>
          <w:color w:val="1F1F1F"/>
          <w:sz w:val="24"/>
          <w:szCs w:val="24"/>
        </w:rPr>
        <w:t xml:space="preserve">, Janssen, Allegan, Bionomics, Sumitomo Dainippon Pharma, COMPASS, Sage, and Novartis. He receives payment for being on advisory boards from </w:t>
      </w:r>
      <w:proofErr w:type="spellStart"/>
      <w:r w:rsidR="00D66759" w:rsidRPr="00200CCC">
        <w:rPr>
          <w:rFonts w:cstheme="minorHAnsi"/>
          <w:color w:val="1F1F1F"/>
          <w:sz w:val="24"/>
          <w:szCs w:val="24"/>
        </w:rPr>
        <w:t>Livanova</w:t>
      </w:r>
      <w:proofErr w:type="spellEnd"/>
      <w:r w:rsidR="00D66759" w:rsidRPr="00200CCC">
        <w:rPr>
          <w:rFonts w:cstheme="minorHAnsi"/>
          <w:color w:val="1F1F1F"/>
          <w:sz w:val="24"/>
          <w:szCs w:val="24"/>
        </w:rPr>
        <w:t xml:space="preserve">, Janssen, COMPASS, Novartis, and </w:t>
      </w:r>
      <w:proofErr w:type="spellStart"/>
      <w:r w:rsidR="00D66759" w:rsidRPr="00200CCC">
        <w:rPr>
          <w:rFonts w:cstheme="minorHAnsi"/>
          <w:color w:val="1F1F1F"/>
          <w:sz w:val="24"/>
          <w:szCs w:val="24"/>
        </w:rPr>
        <w:t>Neurocentrx</w:t>
      </w:r>
      <w:proofErr w:type="spellEnd"/>
      <w:r w:rsidR="00D66759" w:rsidRPr="00200CCC">
        <w:rPr>
          <w:rFonts w:cstheme="minorHAnsi"/>
          <w:color w:val="1F1F1F"/>
          <w:sz w:val="24"/>
          <w:szCs w:val="24"/>
        </w:rPr>
        <w:t xml:space="preserve">. He is a consultant for Johnson &amp; Johnson. He is a consultant to </w:t>
      </w:r>
      <w:proofErr w:type="spellStart"/>
      <w:r w:rsidR="00D66759" w:rsidRPr="00200CCC">
        <w:rPr>
          <w:rFonts w:cstheme="minorHAnsi"/>
          <w:color w:val="1F1F1F"/>
          <w:sz w:val="24"/>
          <w:szCs w:val="24"/>
        </w:rPr>
        <w:t>Livanova</w:t>
      </w:r>
      <w:proofErr w:type="spellEnd"/>
      <w:r w:rsidR="00D66759" w:rsidRPr="00200CCC">
        <w:rPr>
          <w:rFonts w:cstheme="minorHAnsi"/>
          <w:color w:val="1F1F1F"/>
          <w:sz w:val="24"/>
          <w:szCs w:val="24"/>
        </w:rPr>
        <w:t xml:space="preserve">. He has received honoraria for attending advisory boards and presenting talks at meetings organised by </w:t>
      </w:r>
      <w:proofErr w:type="spellStart"/>
      <w:r w:rsidR="00D66759" w:rsidRPr="00200CCC">
        <w:rPr>
          <w:rFonts w:cstheme="minorHAnsi"/>
          <w:color w:val="1F1F1F"/>
          <w:sz w:val="24"/>
          <w:szCs w:val="24"/>
        </w:rPr>
        <w:t>LivaNova</w:t>
      </w:r>
      <w:proofErr w:type="spellEnd"/>
      <w:r w:rsidR="00D66759" w:rsidRPr="00200CCC">
        <w:rPr>
          <w:rFonts w:cstheme="minorHAnsi"/>
          <w:color w:val="1F1F1F"/>
          <w:sz w:val="24"/>
          <w:szCs w:val="24"/>
        </w:rPr>
        <w:t>. He is the Principal Investigator in the Restore-Life VNS Global Prospective, Multi-</w:t>
      </w:r>
      <w:proofErr w:type="spellStart"/>
      <w:r w:rsidR="00D66759" w:rsidRPr="00200CCC">
        <w:rPr>
          <w:rFonts w:cstheme="minorHAnsi"/>
          <w:color w:val="1F1F1F"/>
          <w:sz w:val="24"/>
          <w:szCs w:val="24"/>
        </w:rPr>
        <w:t>center</w:t>
      </w:r>
      <w:proofErr w:type="spellEnd"/>
      <w:r w:rsidR="00D66759" w:rsidRPr="00200CCC">
        <w:rPr>
          <w:rFonts w:cstheme="minorHAnsi"/>
          <w:color w:val="1F1F1F"/>
          <w:sz w:val="24"/>
          <w:szCs w:val="24"/>
        </w:rPr>
        <w:t xml:space="preserve">, Observational Post-market Study to Assess Short-, Mid- and Long-term Effectiveness and Efficiency of </w:t>
      </w:r>
      <w:proofErr w:type="spellStart"/>
      <w:r w:rsidR="00D66759" w:rsidRPr="00200CCC">
        <w:rPr>
          <w:rFonts w:cstheme="minorHAnsi"/>
          <w:color w:val="1F1F1F"/>
          <w:sz w:val="24"/>
          <w:szCs w:val="24"/>
        </w:rPr>
        <w:t>Vagus</w:t>
      </w:r>
      <w:proofErr w:type="spellEnd"/>
      <w:r w:rsidR="00D66759" w:rsidRPr="00200CCC">
        <w:rPr>
          <w:rFonts w:cstheme="minorHAnsi"/>
          <w:color w:val="1F1F1F"/>
          <w:sz w:val="24"/>
          <w:szCs w:val="24"/>
        </w:rPr>
        <w:t xml:space="preserve"> Nerve Stimulation Therapy (VNS Therapy) as Adjunctive Therapy in Real-world Patients with Difficult to Treat Depression (RESTORE-LIFE) registry study funded by </w:t>
      </w:r>
      <w:proofErr w:type="spellStart"/>
      <w:r w:rsidR="00D66759" w:rsidRPr="00200CCC">
        <w:rPr>
          <w:rFonts w:cstheme="minorHAnsi"/>
          <w:color w:val="1F1F1F"/>
          <w:sz w:val="24"/>
          <w:szCs w:val="24"/>
        </w:rPr>
        <w:t>Livanova</w:t>
      </w:r>
      <w:proofErr w:type="spellEnd"/>
      <w:r w:rsidR="00D66759" w:rsidRPr="00200CCC">
        <w:rPr>
          <w:rFonts w:cstheme="minorHAnsi"/>
          <w:color w:val="1F1F1F"/>
          <w:sz w:val="24"/>
          <w:szCs w:val="24"/>
        </w:rPr>
        <w:t>, ESKETINTRD3004</w:t>
      </w:r>
      <w:r w:rsidR="00EA26EF" w:rsidRPr="00200CCC">
        <w:rPr>
          <w:rFonts w:cstheme="minorHAnsi"/>
          <w:color w:val="1F1F1F"/>
          <w:sz w:val="24"/>
          <w:szCs w:val="24"/>
        </w:rPr>
        <w:t xml:space="preserve">, </w:t>
      </w:r>
      <w:r w:rsidR="00924F54" w:rsidRPr="00200CCC">
        <w:rPr>
          <w:rFonts w:cstheme="minorHAnsi"/>
          <w:color w:val="1F1F1F"/>
          <w:sz w:val="24"/>
          <w:szCs w:val="24"/>
        </w:rPr>
        <w:t>and several</w:t>
      </w:r>
      <w:r w:rsidR="00D66759" w:rsidRPr="00200CCC">
        <w:rPr>
          <w:rFonts w:cstheme="minorHAnsi"/>
          <w:color w:val="1F1F1F"/>
          <w:sz w:val="24"/>
          <w:szCs w:val="24"/>
        </w:rPr>
        <w:t xml:space="preserve"> psilocybin</w:t>
      </w:r>
      <w:r w:rsidR="00FA2440" w:rsidRPr="00200CCC">
        <w:rPr>
          <w:rFonts w:cstheme="minorHAnsi"/>
          <w:color w:val="1F1F1F"/>
          <w:sz w:val="24"/>
          <w:szCs w:val="24"/>
        </w:rPr>
        <w:t xml:space="preserve"> studies</w:t>
      </w:r>
      <w:r w:rsidR="00D66759" w:rsidRPr="00200CCC">
        <w:rPr>
          <w:rFonts w:cstheme="minorHAnsi"/>
          <w:color w:val="1F1F1F"/>
          <w:sz w:val="24"/>
          <w:szCs w:val="24"/>
        </w:rPr>
        <w:t xml:space="preserve"> in participants with treatment-resistant depression. He is the UK Chief Investigator for Novartis Major Depressive Disorder MIJ821A12201. He receives grant funding from the National Institute of Mental Health (USA), the Canadian Institutes of Health Research, the National Association for Research on Schizophrenia And Depression (USA), the Stanley Medical Research Institute (USA), the Medical Research Council (UK), the </w:t>
      </w:r>
      <w:proofErr w:type="spellStart"/>
      <w:r w:rsidR="00D66759" w:rsidRPr="00200CCC">
        <w:rPr>
          <w:rFonts w:cstheme="minorHAnsi"/>
          <w:color w:val="1F1F1F"/>
          <w:sz w:val="24"/>
          <w:szCs w:val="24"/>
        </w:rPr>
        <w:t>Wellcome</w:t>
      </w:r>
      <w:proofErr w:type="spellEnd"/>
      <w:r w:rsidR="00D66759" w:rsidRPr="00200CCC">
        <w:rPr>
          <w:rFonts w:cstheme="minorHAnsi"/>
          <w:color w:val="1F1F1F"/>
          <w:sz w:val="24"/>
          <w:szCs w:val="24"/>
        </w:rPr>
        <w:t xml:space="preserve"> Trust (UK), the Royal College of Physicians, the British Medical Association (UK), the UBC-VGH Foundation (Canada), the WEDC (Canada), the CCS Depression Research Fund (Canada), Michael Smith Health Research BC (Canada), the National Institute for Health and Care Research (UK), and Janssen (UK). </w:t>
      </w:r>
      <w:r w:rsidR="00956CB1" w:rsidRPr="00200CCC">
        <w:rPr>
          <w:rFonts w:cstheme="minorHAnsi"/>
          <w:bCs/>
          <w:sz w:val="24"/>
          <w:szCs w:val="24"/>
          <w:lang w:val="en-AU"/>
        </w:rPr>
        <w:t>P.S</w:t>
      </w:r>
      <w:r w:rsidR="00F4640E" w:rsidRPr="00200CCC">
        <w:rPr>
          <w:rFonts w:cstheme="minorHAnsi"/>
          <w:bCs/>
          <w:sz w:val="24"/>
          <w:szCs w:val="24"/>
          <w:lang w:val="en-AU"/>
        </w:rPr>
        <w:t>. is an employee of Douglas Pharmaceuticals.</w:t>
      </w:r>
    </w:p>
    <w:p w14:paraId="6A2D88B0" w14:textId="1E50CC96" w:rsidR="00EA0379" w:rsidRPr="00200CCC" w:rsidRDefault="00EA0379" w:rsidP="00D3058E">
      <w:pPr>
        <w:rPr>
          <w:rFonts w:cstheme="minorHAnsi"/>
          <w:b/>
          <w:color w:val="000000" w:themeColor="text1"/>
          <w:sz w:val="24"/>
          <w:szCs w:val="24"/>
        </w:rPr>
        <w:sectPr w:rsidR="00EA0379" w:rsidRPr="00200CCC" w:rsidSect="00854A47">
          <w:headerReference w:type="default" r:id="rId12"/>
          <w:pgSz w:w="11906" w:h="16838"/>
          <w:pgMar w:top="1440" w:right="1440" w:bottom="1440" w:left="1440" w:header="708" w:footer="708" w:gutter="0"/>
          <w:cols w:space="708"/>
          <w:docGrid w:linePitch="360"/>
        </w:sectPr>
      </w:pPr>
    </w:p>
    <w:p w14:paraId="5AC58113" w14:textId="14D43D2C" w:rsidR="00B32FB7" w:rsidRPr="00200CCC" w:rsidRDefault="00B32FB7" w:rsidP="00D3058E">
      <w:pPr>
        <w:rPr>
          <w:rFonts w:cstheme="minorHAnsi"/>
          <w:color w:val="1F1F1F"/>
          <w:sz w:val="24"/>
          <w:szCs w:val="24"/>
        </w:rPr>
      </w:pPr>
      <w:r w:rsidRPr="00200CCC">
        <w:rPr>
          <w:rFonts w:cstheme="minorHAnsi"/>
          <w:b/>
          <w:color w:val="000000" w:themeColor="text1"/>
          <w:sz w:val="24"/>
          <w:szCs w:val="24"/>
        </w:rPr>
        <w:lastRenderedPageBreak/>
        <w:t>Tables</w:t>
      </w:r>
    </w:p>
    <w:p w14:paraId="2BC25804" w14:textId="5D45886A" w:rsidR="003517D7" w:rsidRPr="00200CCC" w:rsidRDefault="003517D7" w:rsidP="009547F1">
      <w:pPr>
        <w:pStyle w:val="Caption"/>
        <w:rPr>
          <w:rFonts w:asciiTheme="minorHAnsi" w:hAnsiTheme="minorHAnsi" w:cstheme="minorHAnsi"/>
        </w:rPr>
      </w:pPr>
      <w:r w:rsidRPr="00200CCC">
        <w:rPr>
          <w:rFonts w:asciiTheme="minorHAnsi" w:hAnsiTheme="minorHAnsi" w:cstheme="minorHAnsi"/>
        </w:rPr>
        <w:t xml:space="preserve">Table </w:t>
      </w:r>
      <w:r w:rsidRPr="00200CCC">
        <w:rPr>
          <w:rFonts w:asciiTheme="minorHAnsi" w:hAnsiTheme="minorHAnsi" w:cstheme="minorHAnsi"/>
        </w:rPr>
        <w:fldChar w:fldCharType="begin"/>
      </w:r>
      <w:r w:rsidRPr="00200CCC">
        <w:rPr>
          <w:rFonts w:asciiTheme="minorHAnsi" w:hAnsiTheme="minorHAnsi" w:cstheme="minorHAnsi"/>
        </w:rPr>
        <w:instrText xml:space="preserve"> SEQ Table \* ARABIC </w:instrText>
      </w:r>
      <w:r w:rsidRPr="00200CCC">
        <w:rPr>
          <w:rFonts w:asciiTheme="minorHAnsi" w:hAnsiTheme="minorHAnsi" w:cstheme="minorHAnsi"/>
        </w:rPr>
        <w:fldChar w:fldCharType="separate"/>
      </w:r>
      <w:r w:rsidRPr="00200CCC">
        <w:rPr>
          <w:rFonts w:asciiTheme="minorHAnsi" w:hAnsiTheme="minorHAnsi" w:cstheme="minorHAnsi"/>
          <w:noProof/>
        </w:rPr>
        <w:t>1</w:t>
      </w:r>
      <w:r w:rsidRPr="00200CCC">
        <w:rPr>
          <w:rFonts w:asciiTheme="minorHAnsi" w:hAnsiTheme="minorHAnsi" w:cstheme="minorHAnsi"/>
        </w:rPr>
        <w:fldChar w:fldCharType="end"/>
      </w:r>
      <w:r w:rsidRPr="00200CCC">
        <w:rPr>
          <w:rFonts w:asciiTheme="minorHAnsi" w:hAnsiTheme="minorHAnsi" w:cstheme="minorHAnsi"/>
        </w:rPr>
        <w:t xml:space="preserve"> Baseline Characteristics of Study Participants Enrolled in the Randomized </w:t>
      </w:r>
      <w:proofErr w:type="gramStart"/>
      <w:r w:rsidRPr="00200CCC">
        <w:rPr>
          <w:rFonts w:asciiTheme="minorHAnsi" w:hAnsiTheme="minorHAnsi" w:cstheme="minorHAnsi"/>
        </w:rPr>
        <w:t>Double</w:t>
      </w:r>
      <w:r w:rsidR="00231DF4" w:rsidRPr="00200CCC">
        <w:rPr>
          <w:rFonts w:asciiTheme="minorHAnsi" w:hAnsiTheme="minorHAnsi" w:cstheme="minorHAnsi"/>
        </w:rPr>
        <w:t xml:space="preserve"> </w:t>
      </w:r>
      <w:r w:rsidR="00C10C82" w:rsidRPr="00200CCC">
        <w:rPr>
          <w:rFonts w:asciiTheme="minorHAnsi" w:hAnsiTheme="minorHAnsi" w:cstheme="minorHAnsi"/>
        </w:rPr>
        <w:t>Blind</w:t>
      </w:r>
      <w:proofErr w:type="gramEnd"/>
      <w:r w:rsidR="00C10C82" w:rsidRPr="00200CCC">
        <w:rPr>
          <w:rFonts w:asciiTheme="minorHAnsi" w:hAnsiTheme="minorHAnsi" w:cstheme="minorHAnsi"/>
        </w:rPr>
        <w:t xml:space="preserve"> Phase</w:t>
      </w:r>
    </w:p>
    <w:tbl>
      <w:tblPr>
        <w:tblStyle w:val="TableGrid"/>
        <w:tblW w:w="13956" w:type="dxa"/>
        <w:tblLook w:val="04A0" w:firstRow="1" w:lastRow="0" w:firstColumn="1" w:lastColumn="0" w:noHBand="0" w:noVBand="1"/>
      </w:tblPr>
      <w:tblGrid>
        <w:gridCol w:w="2874"/>
        <w:gridCol w:w="1743"/>
        <w:gridCol w:w="1519"/>
        <w:gridCol w:w="1519"/>
        <w:gridCol w:w="1519"/>
        <w:gridCol w:w="1519"/>
        <w:gridCol w:w="1519"/>
        <w:gridCol w:w="1744"/>
      </w:tblGrid>
      <w:tr w:rsidR="00E7332D" w:rsidRPr="00200CCC" w14:paraId="7C8DA3DD" w14:textId="77777777" w:rsidTr="009547F1">
        <w:trPr>
          <w:trHeight w:val="283"/>
        </w:trPr>
        <w:tc>
          <w:tcPr>
            <w:tcW w:w="4617" w:type="dxa"/>
            <w:gridSpan w:val="2"/>
            <w:shd w:val="clear" w:color="auto" w:fill="auto"/>
            <w:vAlign w:val="bottom"/>
            <w:hideMark/>
          </w:tcPr>
          <w:p w14:paraId="59B76A04" w14:textId="77777777" w:rsidR="00E7332D" w:rsidRPr="00200CCC" w:rsidRDefault="00E7332D" w:rsidP="009547F1">
            <w:pPr>
              <w:jc w:val="center"/>
              <w:rPr>
                <w:rFonts w:cstheme="minorHAnsi"/>
                <w:color w:val="000000" w:themeColor="text1"/>
                <w:sz w:val="24"/>
                <w:szCs w:val="24"/>
              </w:rPr>
            </w:pPr>
          </w:p>
        </w:tc>
        <w:tc>
          <w:tcPr>
            <w:tcW w:w="1519" w:type="dxa"/>
            <w:shd w:val="clear" w:color="auto" w:fill="auto"/>
            <w:vAlign w:val="bottom"/>
            <w:hideMark/>
          </w:tcPr>
          <w:p w14:paraId="6C6B101D"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Placebo</w:t>
            </w:r>
          </w:p>
        </w:tc>
        <w:tc>
          <w:tcPr>
            <w:tcW w:w="1519" w:type="dxa"/>
            <w:shd w:val="clear" w:color="auto" w:fill="auto"/>
            <w:vAlign w:val="bottom"/>
            <w:hideMark/>
          </w:tcPr>
          <w:p w14:paraId="6256219E"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R-107 30mg</w:t>
            </w:r>
          </w:p>
        </w:tc>
        <w:tc>
          <w:tcPr>
            <w:tcW w:w="1519" w:type="dxa"/>
            <w:shd w:val="clear" w:color="auto" w:fill="auto"/>
            <w:vAlign w:val="bottom"/>
            <w:hideMark/>
          </w:tcPr>
          <w:p w14:paraId="1D54989F"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R-107 60mg</w:t>
            </w:r>
          </w:p>
        </w:tc>
        <w:tc>
          <w:tcPr>
            <w:tcW w:w="1519" w:type="dxa"/>
            <w:shd w:val="clear" w:color="auto" w:fill="auto"/>
            <w:vAlign w:val="bottom"/>
            <w:hideMark/>
          </w:tcPr>
          <w:p w14:paraId="516FC6A8"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R-107 120mg</w:t>
            </w:r>
          </w:p>
        </w:tc>
        <w:tc>
          <w:tcPr>
            <w:tcW w:w="1519" w:type="dxa"/>
            <w:shd w:val="clear" w:color="auto" w:fill="auto"/>
            <w:vAlign w:val="bottom"/>
            <w:hideMark/>
          </w:tcPr>
          <w:p w14:paraId="4824EC07"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R-107 180mg</w:t>
            </w:r>
          </w:p>
        </w:tc>
        <w:tc>
          <w:tcPr>
            <w:tcW w:w="1744" w:type="dxa"/>
            <w:shd w:val="clear" w:color="auto" w:fill="auto"/>
            <w:vAlign w:val="bottom"/>
            <w:hideMark/>
          </w:tcPr>
          <w:p w14:paraId="4B7FAFF2"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 xml:space="preserve">p-value for difference between </w:t>
            </w:r>
            <w:r w:rsidR="00F204C8" w:rsidRPr="00200CCC">
              <w:rPr>
                <w:rFonts w:cstheme="minorHAnsi"/>
                <w:color w:val="000000" w:themeColor="text1"/>
                <w:sz w:val="24"/>
                <w:szCs w:val="24"/>
              </w:rPr>
              <w:t xml:space="preserve">treatment </w:t>
            </w:r>
            <w:r w:rsidRPr="00200CCC">
              <w:rPr>
                <w:rFonts w:cstheme="minorHAnsi"/>
                <w:color w:val="000000" w:themeColor="text1"/>
                <w:sz w:val="24"/>
                <w:szCs w:val="24"/>
              </w:rPr>
              <w:t>groups</w:t>
            </w:r>
          </w:p>
        </w:tc>
      </w:tr>
      <w:tr w:rsidR="00E7332D" w:rsidRPr="00200CCC" w14:paraId="3D6E312A" w14:textId="77777777" w:rsidTr="009547F1">
        <w:trPr>
          <w:trHeight w:val="283"/>
        </w:trPr>
        <w:tc>
          <w:tcPr>
            <w:tcW w:w="4617" w:type="dxa"/>
            <w:gridSpan w:val="2"/>
            <w:shd w:val="clear" w:color="auto" w:fill="auto"/>
            <w:hideMark/>
          </w:tcPr>
          <w:p w14:paraId="60D44407" w14:textId="77777777" w:rsidR="00E7332D" w:rsidRPr="00200CCC" w:rsidRDefault="00E7332D" w:rsidP="00A432E5">
            <w:pPr>
              <w:rPr>
                <w:rFonts w:cstheme="minorHAnsi"/>
                <w:color w:val="000000" w:themeColor="text1"/>
                <w:sz w:val="24"/>
                <w:szCs w:val="24"/>
              </w:rPr>
            </w:pPr>
            <w:r w:rsidRPr="00200CCC">
              <w:rPr>
                <w:rFonts w:cstheme="minorHAnsi"/>
                <w:color w:val="000000" w:themeColor="text1"/>
                <w:sz w:val="24"/>
                <w:szCs w:val="24"/>
              </w:rPr>
              <w:t>n</w:t>
            </w:r>
          </w:p>
        </w:tc>
        <w:tc>
          <w:tcPr>
            <w:tcW w:w="1519" w:type="dxa"/>
            <w:shd w:val="clear" w:color="auto" w:fill="auto"/>
            <w:vAlign w:val="center"/>
            <w:hideMark/>
          </w:tcPr>
          <w:p w14:paraId="4A42AC5D"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37</w:t>
            </w:r>
          </w:p>
        </w:tc>
        <w:tc>
          <w:tcPr>
            <w:tcW w:w="1519" w:type="dxa"/>
            <w:shd w:val="clear" w:color="auto" w:fill="auto"/>
            <w:vAlign w:val="center"/>
            <w:hideMark/>
          </w:tcPr>
          <w:p w14:paraId="7ADB543B"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34</w:t>
            </w:r>
          </w:p>
        </w:tc>
        <w:tc>
          <w:tcPr>
            <w:tcW w:w="1519" w:type="dxa"/>
            <w:shd w:val="clear" w:color="auto" w:fill="auto"/>
            <w:vAlign w:val="center"/>
            <w:hideMark/>
          </w:tcPr>
          <w:p w14:paraId="4B3B6394"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34</w:t>
            </w:r>
          </w:p>
        </w:tc>
        <w:tc>
          <w:tcPr>
            <w:tcW w:w="1519" w:type="dxa"/>
            <w:shd w:val="clear" w:color="auto" w:fill="auto"/>
            <w:vAlign w:val="center"/>
            <w:hideMark/>
          </w:tcPr>
          <w:p w14:paraId="40680041"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31</w:t>
            </w:r>
          </w:p>
        </w:tc>
        <w:tc>
          <w:tcPr>
            <w:tcW w:w="1519" w:type="dxa"/>
            <w:shd w:val="clear" w:color="auto" w:fill="auto"/>
            <w:vAlign w:val="center"/>
            <w:hideMark/>
          </w:tcPr>
          <w:p w14:paraId="70DE8F22"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32</w:t>
            </w:r>
          </w:p>
        </w:tc>
        <w:tc>
          <w:tcPr>
            <w:tcW w:w="1744" w:type="dxa"/>
            <w:shd w:val="clear" w:color="auto" w:fill="auto"/>
            <w:vAlign w:val="center"/>
            <w:hideMark/>
          </w:tcPr>
          <w:p w14:paraId="2525FD2B"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N/A</w:t>
            </w:r>
          </w:p>
        </w:tc>
      </w:tr>
      <w:tr w:rsidR="00E7332D" w:rsidRPr="00200CCC" w14:paraId="51DEDD60" w14:textId="77777777" w:rsidTr="009547F1">
        <w:trPr>
          <w:trHeight w:val="283"/>
        </w:trPr>
        <w:tc>
          <w:tcPr>
            <w:tcW w:w="2874" w:type="dxa"/>
            <w:vMerge w:val="restart"/>
            <w:shd w:val="clear" w:color="auto" w:fill="auto"/>
            <w:vAlign w:val="center"/>
            <w:hideMark/>
          </w:tcPr>
          <w:p w14:paraId="4760EA3B" w14:textId="77777777" w:rsidR="00E7332D" w:rsidRPr="00200CCC" w:rsidRDefault="00E7332D" w:rsidP="007A5B5D">
            <w:pPr>
              <w:rPr>
                <w:rFonts w:cstheme="minorHAnsi"/>
                <w:color w:val="000000" w:themeColor="text1"/>
                <w:sz w:val="24"/>
                <w:szCs w:val="24"/>
              </w:rPr>
            </w:pPr>
            <w:r w:rsidRPr="00200CCC">
              <w:rPr>
                <w:rFonts w:cstheme="minorHAnsi"/>
                <w:color w:val="000000" w:themeColor="text1"/>
                <w:sz w:val="24"/>
                <w:szCs w:val="24"/>
              </w:rPr>
              <w:t>Age</w:t>
            </w:r>
          </w:p>
        </w:tc>
        <w:tc>
          <w:tcPr>
            <w:tcW w:w="1743" w:type="dxa"/>
            <w:shd w:val="clear" w:color="auto" w:fill="auto"/>
            <w:vAlign w:val="center"/>
            <w:hideMark/>
          </w:tcPr>
          <w:p w14:paraId="6C06A855" w14:textId="77777777" w:rsidR="00E7332D" w:rsidRPr="00200CCC" w:rsidRDefault="00E7332D" w:rsidP="007A5B5D">
            <w:pPr>
              <w:rPr>
                <w:rFonts w:cstheme="minorHAnsi"/>
                <w:color w:val="000000" w:themeColor="text1"/>
                <w:sz w:val="24"/>
                <w:szCs w:val="24"/>
              </w:rPr>
            </w:pPr>
            <w:r w:rsidRPr="00200CCC">
              <w:rPr>
                <w:rFonts w:cstheme="minorHAnsi"/>
                <w:color w:val="000000" w:themeColor="text1"/>
                <w:sz w:val="24"/>
                <w:szCs w:val="24"/>
              </w:rPr>
              <w:t>Mean (SD)</w:t>
            </w:r>
          </w:p>
        </w:tc>
        <w:tc>
          <w:tcPr>
            <w:tcW w:w="1519" w:type="dxa"/>
            <w:shd w:val="clear" w:color="auto" w:fill="auto"/>
            <w:vAlign w:val="center"/>
            <w:hideMark/>
          </w:tcPr>
          <w:p w14:paraId="5674A8FB"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43.7 (15.43)</w:t>
            </w:r>
          </w:p>
        </w:tc>
        <w:tc>
          <w:tcPr>
            <w:tcW w:w="1519" w:type="dxa"/>
            <w:shd w:val="clear" w:color="auto" w:fill="auto"/>
            <w:vAlign w:val="center"/>
            <w:hideMark/>
          </w:tcPr>
          <w:p w14:paraId="548398CC"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44.6 (12.89)</w:t>
            </w:r>
          </w:p>
        </w:tc>
        <w:tc>
          <w:tcPr>
            <w:tcW w:w="1519" w:type="dxa"/>
            <w:shd w:val="clear" w:color="auto" w:fill="auto"/>
            <w:vAlign w:val="center"/>
            <w:hideMark/>
          </w:tcPr>
          <w:p w14:paraId="5789AE5D"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42.5 (15.80)</w:t>
            </w:r>
          </w:p>
        </w:tc>
        <w:tc>
          <w:tcPr>
            <w:tcW w:w="1519" w:type="dxa"/>
            <w:shd w:val="clear" w:color="auto" w:fill="auto"/>
            <w:vAlign w:val="center"/>
            <w:hideMark/>
          </w:tcPr>
          <w:p w14:paraId="57F300F9"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47.2 (13.80)</w:t>
            </w:r>
          </w:p>
        </w:tc>
        <w:tc>
          <w:tcPr>
            <w:tcW w:w="1519" w:type="dxa"/>
            <w:shd w:val="clear" w:color="auto" w:fill="auto"/>
            <w:vAlign w:val="center"/>
            <w:hideMark/>
          </w:tcPr>
          <w:p w14:paraId="20792C79"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46.8 (11.90)</w:t>
            </w:r>
          </w:p>
        </w:tc>
        <w:tc>
          <w:tcPr>
            <w:tcW w:w="1744" w:type="dxa"/>
            <w:shd w:val="clear" w:color="auto" w:fill="auto"/>
            <w:vAlign w:val="center"/>
            <w:hideMark/>
          </w:tcPr>
          <w:p w14:paraId="63ABD387"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0.6063</w:t>
            </w:r>
          </w:p>
        </w:tc>
      </w:tr>
      <w:tr w:rsidR="00E7332D" w:rsidRPr="00200CCC" w14:paraId="526E4A89" w14:textId="77777777" w:rsidTr="009547F1">
        <w:trPr>
          <w:trHeight w:val="283"/>
        </w:trPr>
        <w:tc>
          <w:tcPr>
            <w:tcW w:w="2874" w:type="dxa"/>
            <w:vMerge/>
            <w:shd w:val="clear" w:color="auto" w:fill="auto"/>
            <w:vAlign w:val="center"/>
            <w:hideMark/>
          </w:tcPr>
          <w:p w14:paraId="6DDF84F6" w14:textId="77777777" w:rsidR="00E7332D" w:rsidRPr="00200CCC" w:rsidRDefault="00E7332D" w:rsidP="007A5B5D">
            <w:pPr>
              <w:rPr>
                <w:rFonts w:cstheme="minorHAnsi"/>
                <w:color w:val="000000" w:themeColor="text1"/>
                <w:sz w:val="24"/>
                <w:szCs w:val="24"/>
              </w:rPr>
            </w:pPr>
          </w:p>
        </w:tc>
        <w:tc>
          <w:tcPr>
            <w:tcW w:w="1743" w:type="dxa"/>
            <w:shd w:val="clear" w:color="auto" w:fill="auto"/>
            <w:vAlign w:val="center"/>
            <w:hideMark/>
          </w:tcPr>
          <w:p w14:paraId="32FCD072" w14:textId="77777777" w:rsidR="00E7332D" w:rsidRPr="00200CCC" w:rsidRDefault="00E7332D" w:rsidP="007A5B5D">
            <w:pPr>
              <w:rPr>
                <w:rFonts w:cstheme="minorHAnsi"/>
                <w:color w:val="000000" w:themeColor="text1"/>
                <w:sz w:val="24"/>
                <w:szCs w:val="24"/>
              </w:rPr>
            </w:pPr>
            <w:r w:rsidRPr="00200CCC">
              <w:rPr>
                <w:rFonts w:cstheme="minorHAnsi"/>
                <w:color w:val="000000" w:themeColor="text1"/>
                <w:sz w:val="24"/>
                <w:szCs w:val="24"/>
              </w:rPr>
              <w:t>Median (IQR)</w:t>
            </w:r>
          </w:p>
        </w:tc>
        <w:tc>
          <w:tcPr>
            <w:tcW w:w="1519" w:type="dxa"/>
            <w:shd w:val="clear" w:color="auto" w:fill="auto"/>
            <w:vAlign w:val="center"/>
            <w:hideMark/>
          </w:tcPr>
          <w:p w14:paraId="27D581A7"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42 (31 - 57)</w:t>
            </w:r>
          </w:p>
        </w:tc>
        <w:tc>
          <w:tcPr>
            <w:tcW w:w="1519" w:type="dxa"/>
            <w:shd w:val="clear" w:color="auto" w:fill="auto"/>
            <w:vAlign w:val="center"/>
            <w:hideMark/>
          </w:tcPr>
          <w:p w14:paraId="44DBAE26"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45.5 (34.75 - 51.5)</w:t>
            </w:r>
          </w:p>
        </w:tc>
        <w:tc>
          <w:tcPr>
            <w:tcW w:w="1519" w:type="dxa"/>
            <w:shd w:val="clear" w:color="auto" w:fill="auto"/>
            <w:vAlign w:val="center"/>
            <w:hideMark/>
          </w:tcPr>
          <w:p w14:paraId="3AB4B069"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40.5 (28.5 - 53.75)</w:t>
            </w:r>
          </w:p>
        </w:tc>
        <w:tc>
          <w:tcPr>
            <w:tcW w:w="1519" w:type="dxa"/>
            <w:shd w:val="clear" w:color="auto" w:fill="auto"/>
            <w:vAlign w:val="center"/>
            <w:hideMark/>
          </w:tcPr>
          <w:p w14:paraId="40E0865C"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48 (33.5 - 60)</w:t>
            </w:r>
          </w:p>
        </w:tc>
        <w:tc>
          <w:tcPr>
            <w:tcW w:w="1519" w:type="dxa"/>
            <w:shd w:val="clear" w:color="auto" w:fill="auto"/>
            <w:vAlign w:val="center"/>
            <w:hideMark/>
          </w:tcPr>
          <w:p w14:paraId="008F4594"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46 (36 - 56.25)</w:t>
            </w:r>
          </w:p>
        </w:tc>
        <w:tc>
          <w:tcPr>
            <w:tcW w:w="1744" w:type="dxa"/>
            <w:shd w:val="clear" w:color="auto" w:fill="auto"/>
            <w:noWrap/>
            <w:vAlign w:val="center"/>
            <w:hideMark/>
          </w:tcPr>
          <w:p w14:paraId="136CDD31" w14:textId="77777777" w:rsidR="00E7332D" w:rsidRPr="00200CCC" w:rsidRDefault="00914391" w:rsidP="009547F1">
            <w:pPr>
              <w:jc w:val="center"/>
              <w:rPr>
                <w:rFonts w:cstheme="minorHAnsi"/>
                <w:color w:val="000000" w:themeColor="text1"/>
                <w:sz w:val="24"/>
                <w:szCs w:val="24"/>
              </w:rPr>
            </w:pPr>
            <w:r w:rsidRPr="00200CCC">
              <w:rPr>
                <w:rFonts w:cstheme="minorHAnsi"/>
                <w:color w:val="000000" w:themeColor="text1"/>
                <w:sz w:val="24"/>
                <w:szCs w:val="24"/>
              </w:rPr>
              <w:t>N/A</w:t>
            </w:r>
          </w:p>
        </w:tc>
      </w:tr>
      <w:tr w:rsidR="00E7332D" w:rsidRPr="00200CCC" w14:paraId="783450CA" w14:textId="77777777" w:rsidTr="009547F1">
        <w:trPr>
          <w:trHeight w:val="283"/>
        </w:trPr>
        <w:tc>
          <w:tcPr>
            <w:tcW w:w="4617" w:type="dxa"/>
            <w:gridSpan w:val="2"/>
            <w:shd w:val="clear" w:color="auto" w:fill="auto"/>
            <w:vAlign w:val="center"/>
            <w:hideMark/>
          </w:tcPr>
          <w:p w14:paraId="6C2E55C7" w14:textId="77777777" w:rsidR="00E7332D" w:rsidRPr="00200CCC" w:rsidRDefault="00E7332D" w:rsidP="007A5B5D">
            <w:pPr>
              <w:rPr>
                <w:rFonts w:cstheme="minorHAnsi"/>
                <w:color w:val="000000" w:themeColor="text1"/>
                <w:sz w:val="24"/>
                <w:szCs w:val="24"/>
              </w:rPr>
            </w:pPr>
            <w:r w:rsidRPr="00200CCC">
              <w:rPr>
                <w:rFonts w:cstheme="minorHAnsi"/>
                <w:color w:val="000000" w:themeColor="text1"/>
                <w:sz w:val="24"/>
                <w:szCs w:val="24"/>
              </w:rPr>
              <w:t>Sex (M/F)</w:t>
            </w:r>
          </w:p>
        </w:tc>
        <w:tc>
          <w:tcPr>
            <w:tcW w:w="1519" w:type="dxa"/>
            <w:shd w:val="clear" w:color="auto" w:fill="auto"/>
            <w:vAlign w:val="center"/>
            <w:hideMark/>
          </w:tcPr>
          <w:p w14:paraId="489D99F2"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22/15</w:t>
            </w:r>
          </w:p>
        </w:tc>
        <w:tc>
          <w:tcPr>
            <w:tcW w:w="1519" w:type="dxa"/>
            <w:shd w:val="clear" w:color="auto" w:fill="auto"/>
            <w:vAlign w:val="center"/>
            <w:hideMark/>
          </w:tcPr>
          <w:p w14:paraId="6127AD0F"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18/16</w:t>
            </w:r>
          </w:p>
        </w:tc>
        <w:tc>
          <w:tcPr>
            <w:tcW w:w="1519" w:type="dxa"/>
            <w:shd w:val="clear" w:color="auto" w:fill="auto"/>
            <w:vAlign w:val="center"/>
            <w:hideMark/>
          </w:tcPr>
          <w:p w14:paraId="4A26F19D"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18/16</w:t>
            </w:r>
          </w:p>
        </w:tc>
        <w:tc>
          <w:tcPr>
            <w:tcW w:w="1519" w:type="dxa"/>
            <w:shd w:val="clear" w:color="auto" w:fill="auto"/>
            <w:vAlign w:val="center"/>
            <w:hideMark/>
          </w:tcPr>
          <w:p w14:paraId="530FF3B8"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13/18</w:t>
            </w:r>
          </w:p>
        </w:tc>
        <w:tc>
          <w:tcPr>
            <w:tcW w:w="1519" w:type="dxa"/>
            <w:shd w:val="clear" w:color="auto" w:fill="auto"/>
            <w:vAlign w:val="center"/>
            <w:hideMark/>
          </w:tcPr>
          <w:p w14:paraId="2605B1F6" w14:textId="77777777" w:rsidR="00E7332D" w:rsidRPr="00200CCC" w:rsidRDefault="00D95DC4" w:rsidP="009547F1">
            <w:pPr>
              <w:jc w:val="center"/>
              <w:rPr>
                <w:rFonts w:cstheme="minorHAnsi"/>
                <w:color w:val="000000" w:themeColor="text1"/>
                <w:sz w:val="24"/>
                <w:szCs w:val="24"/>
              </w:rPr>
            </w:pPr>
            <w:r w:rsidRPr="00200CCC">
              <w:rPr>
                <w:rFonts w:cstheme="minorHAnsi"/>
                <w:color w:val="000000" w:themeColor="text1"/>
                <w:sz w:val="24"/>
                <w:szCs w:val="24"/>
              </w:rPr>
              <w:t>21/11</w:t>
            </w:r>
          </w:p>
        </w:tc>
        <w:tc>
          <w:tcPr>
            <w:tcW w:w="1744" w:type="dxa"/>
            <w:shd w:val="clear" w:color="auto" w:fill="auto"/>
            <w:vAlign w:val="center"/>
            <w:hideMark/>
          </w:tcPr>
          <w:p w14:paraId="4388F538" w14:textId="77777777" w:rsidR="00E7332D" w:rsidRPr="00200CCC" w:rsidRDefault="00E7332D" w:rsidP="009547F1">
            <w:pPr>
              <w:jc w:val="center"/>
              <w:rPr>
                <w:rFonts w:cstheme="minorHAnsi"/>
                <w:color w:val="000000" w:themeColor="text1"/>
                <w:sz w:val="24"/>
                <w:szCs w:val="24"/>
              </w:rPr>
            </w:pPr>
            <w:r w:rsidRPr="00200CCC">
              <w:rPr>
                <w:rFonts w:cstheme="minorHAnsi"/>
                <w:color w:val="000000" w:themeColor="text1"/>
                <w:sz w:val="24"/>
                <w:szCs w:val="24"/>
              </w:rPr>
              <w:t>0.4096</w:t>
            </w:r>
          </w:p>
        </w:tc>
      </w:tr>
      <w:tr w:rsidR="00B558BE" w:rsidRPr="00200CCC" w14:paraId="2C3E7745" w14:textId="77777777" w:rsidTr="009547F1">
        <w:trPr>
          <w:trHeight w:val="283"/>
        </w:trPr>
        <w:tc>
          <w:tcPr>
            <w:tcW w:w="2874" w:type="dxa"/>
            <w:vMerge w:val="restart"/>
            <w:shd w:val="clear" w:color="auto" w:fill="auto"/>
            <w:vAlign w:val="center"/>
            <w:hideMark/>
          </w:tcPr>
          <w:p w14:paraId="0A0C415C"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Number of prior depressive episodes</w:t>
            </w:r>
          </w:p>
        </w:tc>
        <w:tc>
          <w:tcPr>
            <w:tcW w:w="1743" w:type="dxa"/>
            <w:shd w:val="clear" w:color="auto" w:fill="auto"/>
            <w:vAlign w:val="center"/>
            <w:hideMark/>
          </w:tcPr>
          <w:p w14:paraId="13341029"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Mean (SD)</w:t>
            </w:r>
          </w:p>
        </w:tc>
        <w:tc>
          <w:tcPr>
            <w:tcW w:w="1519" w:type="dxa"/>
            <w:shd w:val="clear" w:color="auto" w:fill="auto"/>
            <w:vAlign w:val="center"/>
            <w:hideMark/>
          </w:tcPr>
          <w:p w14:paraId="4F5CAF0A"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3.9 (7.42)</w:t>
            </w:r>
          </w:p>
        </w:tc>
        <w:tc>
          <w:tcPr>
            <w:tcW w:w="1519" w:type="dxa"/>
            <w:shd w:val="clear" w:color="auto" w:fill="auto"/>
            <w:vAlign w:val="center"/>
            <w:hideMark/>
          </w:tcPr>
          <w:p w14:paraId="31B3EAAD"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3.2 (4.33)</w:t>
            </w:r>
          </w:p>
        </w:tc>
        <w:tc>
          <w:tcPr>
            <w:tcW w:w="1519" w:type="dxa"/>
            <w:shd w:val="clear" w:color="auto" w:fill="auto"/>
            <w:vAlign w:val="center"/>
            <w:hideMark/>
          </w:tcPr>
          <w:p w14:paraId="5E3EB2BB"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3.1 (3.21)</w:t>
            </w:r>
          </w:p>
        </w:tc>
        <w:tc>
          <w:tcPr>
            <w:tcW w:w="1519" w:type="dxa"/>
            <w:shd w:val="clear" w:color="auto" w:fill="auto"/>
            <w:vAlign w:val="center"/>
            <w:hideMark/>
          </w:tcPr>
          <w:p w14:paraId="265B9F8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4.4 (4.67)</w:t>
            </w:r>
          </w:p>
        </w:tc>
        <w:tc>
          <w:tcPr>
            <w:tcW w:w="1519" w:type="dxa"/>
            <w:shd w:val="clear" w:color="auto" w:fill="auto"/>
            <w:vAlign w:val="center"/>
            <w:hideMark/>
          </w:tcPr>
          <w:p w14:paraId="2402DD19"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1.8 (1.59)</w:t>
            </w:r>
          </w:p>
        </w:tc>
        <w:tc>
          <w:tcPr>
            <w:tcW w:w="1744" w:type="dxa"/>
            <w:shd w:val="clear" w:color="auto" w:fill="auto"/>
            <w:vAlign w:val="center"/>
            <w:hideMark/>
          </w:tcPr>
          <w:p w14:paraId="1CE8DBA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0.3526</w:t>
            </w:r>
          </w:p>
        </w:tc>
      </w:tr>
      <w:tr w:rsidR="00B558BE" w:rsidRPr="00200CCC" w14:paraId="41E1C41E" w14:textId="77777777" w:rsidTr="009547F1">
        <w:trPr>
          <w:trHeight w:val="283"/>
        </w:trPr>
        <w:tc>
          <w:tcPr>
            <w:tcW w:w="2874" w:type="dxa"/>
            <w:vMerge/>
            <w:shd w:val="clear" w:color="auto" w:fill="auto"/>
            <w:vAlign w:val="center"/>
            <w:hideMark/>
          </w:tcPr>
          <w:p w14:paraId="73726C5A" w14:textId="77777777" w:rsidR="00B558BE" w:rsidRPr="00200CCC" w:rsidRDefault="00B558BE" w:rsidP="007A5B5D">
            <w:pPr>
              <w:rPr>
                <w:rFonts w:cstheme="minorHAnsi"/>
                <w:color w:val="000000" w:themeColor="text1"/>
                <w:sz w:val="24"/>
                <w:szCs w:val="24"/>
              </w:rPr>
            </w:pPr>
          </w:p>
        </w:tc>
        <w:tc>
          <w:tcPr>
            <w:tcW w:w="1743" w:type="dxa"/>
            <w:shd w:val="clear" w:color="auto" w:fill="auto"/>
            <w:vAlign w:val="center"/>
            <w:hideMark/>
          </w:tcPr>
          <w:p w14:paraId="07B3B42E"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Median (IQR)</w:t>
            </w:r>
          </w:p>
        </w:tc>
        <w:tc>
          <w:tcPr>
            <w:tcW w:w="1519" w:type="dxa"/>
            <w:shd w:val="clear" w:color="auto" w:fill="auto"/>
            <w:vAlign w:val="center"/>
            <w:hideMark/>
          </w:tcPr>
          <w:p w14:paraId="1414096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1 (1 - 3)</w:t>
            </w:r>
          </w:p>
        </w:tc>
        <w:tc>
          <w:tcPr>
            <w:tcW w:w="1519" w:type="dxa"/>
            <w:shd w:val="clear" w:color="auto" w:fill="auto"/>
            <w:vAlign w:val="center"/>
            <w:hideMark/>
          </w:tcPr>
          <w:p w14:paraId="5FB87859"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1 (1 - 3)</w:t>
            </w:r>
          </w:p>
        </w:tc>
        <w:tc>
          <w:tcPr>
            <w:tcW w:w="1519" w:type="dxa"/>
            <w:shd w:val="clear" w:color="auto" w:fill="auto"/>
            <w:vAlign w:val="center"/>
            <w:hideMark/>
          </w:tcPr>
          <w:p w14:paraId="42EDCB5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1 (1 - 4.5)</w:t>
            </w:r>
          </w:p>
        </w:tc>
        <w:tc>
          <w:tcPr>
            <w:tcW w:w="1519" w:type="dxa"/>
            <w:shd w:val="clear" w:color="auto" w:fill="auto"/>
            <w:vAlign w:val="center"/>
            <w:hideMark/>
          </w:tcPr>
          <w:p w14:paraId="379DCC3A"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 (1 - 4)</w:t>
            </w:r>
          </w:p>
        </w:tc>
        <w:tc>
          <w:tcPr>
            <w:tcW w:w="1519" w:type="dxa"/>
            <w:shd w:val="clear" w:color="auto" w:fill="auto"/>
            <w:vAlign w:val="center"/>
            <w:hideMark/>
          </w:tcPr>
          <w:p w14:paraId="3BB092D4"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1 (1 - 2)</w:t>
            </w:r>
          </w:p>
        </w:tc>
        <w:tc>
          <w:tcPr>
            <w:tcW w:w="1744" w:type="dxa"/>
            <w:shd w:val="clear" w:color="auto" w:fill="auto"/>
            <w:noWrap/>
            <w:vAlign w:val="center"/>
            <w:hideMark/>
          </w:tcPr>
          <w:p w14:paraId="7FFDACF9" w14:textId="77777777" w:rsidR="00B558BE" w:rsidRPr="00200CCC" w:rsidRDefault="00914391" w:rsidP="009547F1">
            <w:pPr>
              <w:jc w:val="center"/>
              <w:rPr>
                <w:rFonts w:cstheme="minorHAnsi"/>
                <w:color w:val="000000" w:themeColor="text1"/>
                <w:sz w:val="24"/>
                <w:szCs w:val="24"/>
              </w:rPr>
            </w:pPr>
            <w:r w:rsidRPr="00200CCC">
              <w:rPr>
                <w:rFonts w:cstheme="minorHAnsi"/>
                <w:color w:val="000000" w:themeColor="text1"/>
                <w:sz w:val="24"/>
                <w:szCs w:val="24"/>
              </w:rPr>
              <w:t>N/A</w:t>
            </w:r>
          </w:p>
        </w:tc>
      </w:tr>
      <w:tr w:rsidR="00B558BE" w:rsidRPr="00200CCC" w14:paraId="766272CB" w14:textId="77777777" w:rsidTr="009547F1">
        <w:trPr>
          <w:trHeight w:val="283"/>
        </w:trPr>
        <w:tc>
          <w:tcPr>
            <w:tcW w:w="2874" w:type="dxa"/>
            <w:vMerge w:val="restart"/>
            <w:shd w:val="clear" w:color="auto" w:fill="auto"/>
            <w:vAlign w:val="center"/>
            <w:hideMark/>
          </w:tcPr>
          <w:p w14:paraId="0D2D8FE3"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Treatment resistance - mean number of past failed ADs in this episode</w:t>
            </w:r>
          </w:p>
        </w:tc>
        <w:tc>
          <w:tcPr>
            <w:tcW w:w="1743" w:type="dxa"/>
            <w:shd w:val="clear" w:color="auto" w:fill="auto"/>
            <w:vAlign w:val="center"/>
            <w:hideMark/>
          </w:tcPr>
          <w:p w14:paraId="27F5BAE7"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Mean (SD)</w:t>
            </w:r>
          </w:p>
        </w:tc>
        <w:tc>
          <w:tcPr>
            <w:tcW w:w="1519" w:type="dxa"/>
            <w:shd w:val="clear" w:color="auto" w:fill="auto"/>
            <w:vAlign w:val="center"/>
            <w:hideMark/>
          </w:tcPr>
          <w:p w14:paraId="190FF5AE"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4.8 (2.84)</w:t>
            </w:r>
          </w:p>
        </w:tc>
        <w:tc>
          <w:tcPr>
            <w:tcW w:w="1519" w:type="dxa"/>
            <w:shd w:val="clear" w:color="auto" w:fill="auto"/>
            <w:vAlign w:val="center"/>
            <w:hideMark/>
          </w:tcPr>
          <w:p w14:paraId="1450CBD0"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5.0 (2.74)</w:t>
            </w:r>
          </w:p>
        </w:tc>
        <w:tc>
          <w:tcPr>
            <w:tcW w:w="1519" w:type="dxa"/>
            <w:shd w:val="clear" w:color="auto" w:fill="auto"/>
            <w:vAlign w:val="center"/>
            <w:hideMark/>
          </w:tcPr>
          <w:p w14:paraId="7AA7957E"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4.6 (2.70)</w:t>
            </w:r>
          </w:p>
        </w:tc>
        <w:tc>
          <w:tcPr>
            <w:tcW w:w="1519" w:type="dxa"/>
            <w:shd w:val="clear" w:color="auto" w:fill="auto"/>
            <w:vAlign w:val="center"/>
            <w:hideMark/>
          </w:tcPr>
          <w:p w14:paraId="0A1F060D"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4.8 (3.39)</w:t>
            </w:r>
          </w:p>
        </w:tc>
        <w:tc>
          <w:tcPr>
            <w:tcW w:w="1519" w:type="dxa"/>
            <w:shd w:val="clear" w:color="auto" w:fill="auto"/>
            <w:vAlign w:val="center"/>
            <w:hideMark/>
          </w:tcPr>
          <w:p w14:paraId="6337DD30"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4.7 (2.74)</w:t>
            </w:r>
          </w:p>
        </w:tc>
        <w:tc>
          <w:tcPr>
            <w:tcW w:w="1744" w:type="dxa"/>
            <w:shd w:val="clear" w:color="auto" w:fill="auto"/>
            <w:vAlign w:val="center"/>
            <w:hideMark/>
          </w:tcPr>
          <w:p w14:paraId="712D6AAD"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0.9871</w:t>
            </w:r>
          </w:p>
        </w:tc>
      </w:tr>
      <w:tr w:rsidR="00B558BE" w:rsidRPr="00200CCC" w14:paraId="46C7C897" w14:textId="77777777" w:rsidTr="009547F1">
        <w:trPr>
          <w:trHeight w:val="283"/>
        </w:trPr>
        <w:tc>
          <w:tcPr>
            <w:tcW w:w="2874" w:type="dxa"/>
            <w:vMerge/>
            <w:shd w:val="clear" w:color="auto" w:fill="auto"/>
            <w:vAlign w:val="center"/>
            <w:hideMark/>
          </w:tcPr>
          <w:p w14:paraId="39DAD101" w14:textId="77777777" w:rsidR="00B558BE" w:rsidRPr="00200CCC" w:rsidRDefault="00B558BE" w:rsidP="007A5B5D">
            <w:pPr>
              <w:rPr>
                <w:rFonts w:cstheme="minorHAnsi"/>
                <w:color w:val="000000" w:themeColor="text1"/>
                <w:sz w:val="24"/>
                <w:szCs w:val="24"/>
              </w:rPr>
            </w:pPr>
          </w:p>
        </w:tc>
        <w:tc>
          <w:tcPr>
            <w:tcW w:w="1743" w:type="dxa"/>
            <w:shd w:val="clear" w:color="auto" w:fill="auto"/>
            <w:vAlign w:val="center"/>
            <w:hideMark/>
          </w:tcPr>
          <w:p w14:paraId="1A90E590"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Median (IQR)</w:t>
            </w:r>
          </w:p>
        </w:tc>
        <w:tc>
          <w:tcPr>
            <w:tcW w:w="1519" w:type="dxa"/>
            <w:shd w:val="clear" w:color="auto" w:fill="auto"/>
            <w:vAlign w:val="center"/>
            <w:hideMark/>
          </w:tcPr>
          <w:p w14:paraId="43C382C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 (3 - 5.75)</w:t>
            </w:r>
          </w:p>
        </w:tc>
        <w:tc>
          <w:tcPr>
            <w:tcW w:w="1519" w:type="dxa"/>
            <w:shd w:val="clear" w:color="auto" w:fill="auto"/>
            <w:vAlign w:val="center"/>
            <w:hideMark/>
          </w:tcPr>
          <w:p w14:paraId="3E7BFDDB"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5 (2.5 - 6)</w:t>
            </w:r>
          </w:p>
        </w:tc>
        <w:tc>
          <w:tcPr>
            <w:tcW w:w="1519" w:type="dxa"/>
            <w:shd w:val="clear" w:color="auto" w:fill="auto"/>
            <w:vAlign w:val="center"/>
            <w:hideMark/>
          </w:tcPr>
          <w:p w14:paraId="35C688EF"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 (2.25 - 6)</w:t>
            </w:r>
          </w:p>
        </w:tc>
        <w:tc>
          <w:tcPr>
            <w:tcW w:w="1519" w:type="dxa"/>
            <w:shd w:val="clear" w:color="auto" w:fill="auto"/>
            <w:vAlign w:val="center"/>
            <w:hideMark/>
          </w:tcPr>
          <w:p w14:paraId="1C801284"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3.5 (2 - 5.75)</w:t>
            </w:r>
          </w:p>
        </w:tc>
        <w:tc>
          <w:tcPr>
            <w:tcW w:w="1519" w:type="dxa"/>
            <w:shd w:val="clear" w:color="auto" w:fill="auto"/>
            <w:vAlign w:val="center"/>
            <w:hideMark/>
          </w:tcPr>
          <w:p w14:paraId="785315AF"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4 (3 - 6)</w:t>
            </w:r>
          </w:p>
        </w:tc>
        <w:tc>
          <w:tcPr>
            <w:tcW w:w="1744" w:type="dxa"/>
            <w:shd w:val="clear" w:color="auto" w:fill="auto"/>
            <w:noWrap/>
            <w:vAlign w:val="center"/>
            <w:hideMark/>
          </w:tcPr>
          <w:p w14:paraId="2673E292" w14:textId="77777777" w:rsidR="00B558BE" w:rsidRPr="00200CCC" w:rsidRDefault="001A0CFE" w:rsidP="009547F1">
            <w:pPr>
              <w:jc w:val="center"/>
              <w:rPr>
                <w:rFonts w:cstheme="minorHAnsi"/>
                <w:color w:val="000000" w:themeColor="text1"/>
                <w:sz w:val="24"/>
                <w:szCs w:val="24"/>
              </w:rPr>
            </w:pPr>
            <w:r w:rsidRPr="00200CCC">
              <w:rPr>
                <w:rFonts w:cstheme="minorHAnsi"/>
                <w:color w:val="000000" w:themeColor="text1"/>
                <w:sz w:val="24"/>
                <w:szCs w:val="24"/>
              </w:rPr>
              <w:t>N/A</w:t>
            </w:r>
          </w:p>
        </w:tc>
      </w:tr>
      <w:tr w:rsidR="00B42FDB" w:rsidRPr="00200CCC" w14:paraId="7B7189FD" w14:textId="77777777" w:rsidTr="009547F1">
        <w:trPr>
          <w:trHeight w:val="283"/>
        </w:trPr>
        <w:tc>
          <w:tcPr>
            <w:tcW w:w="4617" w:type="dxa"/>
            <w:gridSpan w:val="2"/>
            <w:shd w:val="clear" w:color="auto" w:fill="auto"/>
            <w:vAlign w:val="center"/>
            <w:hideMark/>
          </w:tcPr>
          <w:p w14:paraId="7967229E" w14:textId="77777777" w:rsidR="00B42FDB" w:rsidRPr="00200CCC" w:rsidRDefault="00B42FDB" w:rsidP="007A5B5D">
            <w:pPr>
              <w:rPr>
                <w:rFonts w:cstheme="minorHAnsi"/>
                <w:color w:val="000000" w:themeColor="text1"/>
                <w:sz w:val="24"/>
                <w:szCs w:val="24"/>
              </w:rPr>
            </w:pPr>
            <w:r w:rsidRPr="00200CCC">
              <w:rPr>
                <w:rFonts w:cstheme="minorHAnsi"/>
                <w:color w:val="000000" w:themeColor="text1"/>
                <w:sz w:val="24"/>
                <w:szCs w:val="24"/>
              </w:rPr>
              <w:t>Failed ECT pre-study (%) </w:t>
            </w:r>
          </w:p>
        </w:tc>
        <w:tc>
          <w:tcPr>
            <w:tcW w:w="1519" w:type="dxa"/>
            <w:shd w:val="clear" w:color="auto" w:fill="auto"/>
            <w:vAlign w:val="center"/>
            <w:hideMark/>
          </w:tcPr>
          <w:p w14:paraId="04A7F878" w14:textId="77777777" w:rsidR="00B42FDB" w:rsidRPr="00200CCC" w:rsidRDefault="00B42FDB" w:rsidP="009547F1">
            <w:pPr>
              <w:jc w:val="center"/>
              <w:rPr>
                <w:rFonts w:cstheme="minorHAnsi"/>
                <w:color w:val="000000" w:themeColor="text1"/>
                <w:sz w:val="24"/>
                <w:szCs w:val="24"/>
              </w:rPr>
            </w:pPr>
            <w:r w:rsidRPr="00200CCC">
              <w:rPr>
                <w:rFonts w:cstheme="minorHAnsi"/>
                <w:color w:val="000000" w:themeColor="text1"/>
                <w:sz w:val="24"/>
                <w:szCs w:val="24"/>
              </w:rPr>
              <w:t>2 (5.4%)</w:t>
            </w:r>
          </w:p>
        </w:tc>
        <w:tc>
          <w:tcPr>
            <w:tcW w:w="1519" w:type="dxa"/>
            <w:shd w:val="clear" w:color="auto" w:fill="auto"/>
            <w:vAlign w:val="center"/>
            <w:hideMark/>
          </w:tcPr>
          <w:p w14:paraId="3AF3CAD1" w14:textId="77777777" w:rsidR="00B42FDB" w:rsidRPr="00200CCC" w:rsidRDefault="00B42FDB" w:rsidP="009547F1">
            <w:pPr>
              <w:jc w:val="center"/>
              <w:rPr>
                <w:rFonts w:cstheme="minorHAnsi"/>
                <w:color w:val="000000" w:themeColor="text1"/>
                <w:sz w:val="24"/>
                <w:szCs w:val="24"/>
              </w:rPr>
            </w:pPr>
            <w:r w:rsidRPr="00200CCC">
              <w:rPr>
                <w:rFonts w:cstheme="minorHAnsi"/>
                <w:color w:val="000000" w:themeColor="text1"/>
                <w:sz w:val="24"/>
                <w:szCs w:val="24"/>
              </w:rPr>
              <w:t>4 (11.8%)</w:t>
            </w:r>
          </w:p>
        </w:tc>
        <w:tc>
          <w:tcPr>
            <w:tcW w:w="1519" w:type="dxa"/>
            <w:shd w:val="clear" w:color="auto" w:fill="auto"/>
            <w:vAlign w:val="center"/>
            <w:hideMark/>
          </w:tcPr>
          <w:p w14:paraId="35B888BF" w14:textId="77777777" w:rsidR="00B42FDB" w:rsidRPr="00200CCC" w:rsidRDefault="00B42FDB" w:rsidP="009547F1">
            <w:pPr>
              <w:jc w:val="center"/>
              <w:rPr>
                <w:rFonts w:cstheme="minorHAnsi"/>
                <w:color w:val="000000" w:themeColor="text1"/>
                <w:sz w:val="24"/>
                <w:szCs w:val="24"/>
              </w:rPr>
            </w:pPr>
            <w:r w:rsidRPr="00200CCC">
              <w:rPr>
                <w:rFonts w:cstheme="minorHAnsi"/>
                <w:color w:val="000000" w:themeColor="text1"/>
                <w:sz w:val="24"/>
                <w:szCs w:val="24"/>
              </w:rPr>
              <w:t>1 (2.9%)</w:t>
            </w:r>
          </w:p>
        </w:tc>
        <w:tc>
          <w:tcPr>
            <w:tcW w:w="1519" w:type="dxa"/>
            <w:shd w:val="clear" w:color="auto" w:fill="auto"/>
            <w:vAlign w:val="center"/>
            <w:hideMark/>
          </w:tcPr>
          <w:p w14:paraId="0362D28B" w14:textId="77777777" w:rsidR="00B42FDB" w:rsidRPr="00200CCC" w:rsidRDefault="00B42FDB" w:rsidP="009547F1">
            <w:pPr>
              <w:jc w:val="center"/>
              <w:rPr>
                <w:rFonts w:cstheme="minorHAnsi"/>
                <w:color w:val="000000" w:themeColor="text1"/>
                <w:sz w:val="24"/>
                <w:szCs w:val="24"/>
              </w:rPr>
            </w:pPr>
            <w:r w:rsidRPr="00200CCC">
              <w:rPr>
                <w:rFonts w:cstheme="minorHAnsi"/>
                <w:color w:val="000000" w:themeColor="text1"/>
                <w:sz w:val="24"/>
                <w:szCs w:val="24"/>
              </w:rPr>
              <w:t>5 (16.1%)</w:t>
            </w:r>
          </w:p>
        </w:tc>
        <w:tc>
          <w:tcPr>
            <w:tcW w:w="1519" w:type="dxa"/>
            <w:shd w:val="clear" w:color="auto" w:fill="auto"/>
            <w:vAlign w:val="center"/>
            <w:hideMark/>
          </w:tcPr>
          <w:p w14:paraId="0133D918" w14:textId="77777777" w:rsidR="00B42FDB" w:rsidRPr="00200CCC" w:rsidRDefault="00B42FDB" w:rsidP="009547F1">
            <w:pPr>
              <w:jc w:val="center"/>
              <w:rPr>
                <w:rFonts w:cstheme="minorHAnsi"/>
                <w:color w:val="000000" w:themeColor="text1"/>
                <w:sz w:val="24"/>
                <w:szCs w:val="24"/>
              </w:rPr>
            </w:pPr>
            <w:r w:rsidRPr="00200CCC">
              <w:rPr>
                <w:rFonts w:cstheme="minorHAnsi"/>
                <w:color w:val="000000" w:themeColor="text1"/>
                <w:sz w:val="24"/>
                <w:szCs w:val="24"/>
              </w:rPr>
              <w:t>2 (6.2%)</w:t>
            </w:r>
          </w:p>
        </w:tc>
        <w:tc>
          <w:tcPr>
            <w:tcW w:w="1744" w:type="dxa"/>
            <w:shd w:val="clear" w:color="auto" w:fill="auto"/>
            <w:vAlign w:val="center"/>
            <w:hideMark/>
          </w:tcPr>
          <w:p w14:paraId="3D1C22D8" w14:textId="77777777" w:rsidR="00B42FDB" w:rsidRPr="00200CCC" w:rsidRDefault="00B42FDB" w:rsidP="009547F1">
            <w:pPr>
              <w:jc w:val="center"/>
              <w:rPr>
                <w:rFonts w:cstheme="minorHAnsi"/>
                <w:color w:val="000000" w:themeColor="text1"/>
                <w:sz w:val="24"/>
                <w:szCs w:val="24"/>
              </w:rPr>
            </w:pPr>
            <w:r w:rsidRPr="00200CCC">
              <w:rPr>
                <w:rFonts w:cstheme="minorHAnsi"/>
                <w:color w:val="000000" w:themeColor="text1"/>
                <w:sz w:val="24"/>
                <w:szCs w:val="24"/>
              </w:rPr>
              <w:t>0.3372</w:t>
            </w:r>
          </w:p>
        </w:tc>
      </w:tr>
      <w:tr w:rsidR="00B558BE" w:rsidRPr="00200CCC" w14:paraId="17B44CB8" w14:textId="77777777" w:rsidTr="009547F1">
        <w:trPr>
          <w:trHeight w:val="283"/>
        </w:trPr>
        <w:tc>
          <w:tcPr>
            <w:tcW w:w="4617" w:type="dxa"/>
            <w:gridSpan w:val="2"/>
            <w:shd w:val="clear" w:color="auto" w:fill="auto"/>
            <w:vAlign w:val="center"/>
            <w:hideMark/>
          </w:tcPr>
          <w:p w14:paraId="4DC7AC31"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Number taking ADs pre-study entry (%)</w:t>
            </w:r>
          </w:p>
        </w:tc>
        <w:tc>
          <w:tcPr>
            <w:tcW w:w="1519" w:type="dxa"/>
            <w:shd w:val="clear" w:color="auto" w:fill="auto"/>
            <w:vAlign w:val="center"/>
            <w:hideMark/>
          </w:tcPr>
          <w:p w14:paraId="0025A24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34 (91.9%)</w:t>
            </w:r>
          </w:p>
        </w:tc>
        <w:tc>
          <w:tcPr>
            <w:tcW w:w="1519" w:type="dxa"/>
            <w:shd w:val="clear" w:color="auto" w:fill="auto"/>
            <w:vAlign w:val="center"/>
            <w:hideMark/>
          </w:tcPr>
          <w:p w14:paraId="3ECE51E8"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32 (94.1%)</w:t>
            </w:r>
          </w:p>
        </w:tc>
        <w:tc>
          <w:tcPr>
            <w:tcW w:w="1519" w:type="dxa"/>
            <w:shd w:val="clear" w:color="auto" w:fill="auto"/>
            <w:vAlign w:val="center"/>
            <w:hideMark/>
          </w:tcPr>
          <w:p w14:paraId="0C291743"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31 (91.2%)</w:t>
            </w:r>
          </w:p>
        </w:tc>
        <w:tc>
          <w:tcPr>
            <w:tcW w:w="1519" w:type="dxa"/>
            <w:shd w:val="clear" w:color="auto" w:fill="auto"/>
            <w:vAlign w:val="center"/>
            <w:hideMark/>
          </w:tcPr>
          <w:p w14:paraId="1F6E2F5F"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31 (100.0%)</w:t>
            </w:r>
          </w:p>
        </w:tc>
        <w:tc>
          <w:tcPr>
            <w:tcW w:w="1519" w:type="dxa"/>
            <w:shd w:val="clear" w:color="auto" w:fill="auto"/>
            <w:vAlign w:val="center"/>
            <w:hideMark/>
          </w:tcPr>
          <w:p w14:paraId="611C14AB"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28 (87.5%)</w:t>
            </w:r>
          </w:p>
        </w:tc>
        <w:tc>
          <w:tcPr>
            <w:tcW w:w="1744" w:type="dxa"/>
            <w:shd w:val="clear" w:color="auto" w:fill="auto"/>
            <w:vAlign w:val="center"/>
            <w:hideMark/>
          </w:tcPr>
          <w:p w14:paraId="0D51D71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0.361</w:t>
            </w:r>
          </w:p>
        </w:tc>
      </w:tr>
      <w:tr w:rsidR="00B558BE" w:rsidRPr="00200CCC" w14:paraId="55D0EFF2" w14:textId="77777777" w:rsidTr="009547F1">
        <w:trPr>
          <w:trHeight w:val="283"/>
        </w:trPr>
        <w:tc>
          <w:tcPr>
            <w:tcW w:w="2874" w:type="dxa"/>
            <w:vMerge w:val="restart"/>
            <w:shd w:val="clear" w:color="auto" w:fill="auto"/>
            <w:vAlign w:val="center"/>
            <w:hideMark/>
          </w:tcPr>
          <w:p w14:paraId="7AEFE264"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Day 1 MADRS score</w:t>
            </w:r>
          </w:p>
        </w:tc>
        <w:tc>
          <w:tcPr>
            <w:tcW w:w="1743" w:type="dxa"/>
            <w:shd w:val="clear" w:color="auto" w:fill="auto"/>
            <w:vAlign w:val="center"/>
            <w:hideMark/>
          </w:tcPr>
          <w:p w14:paraId="5FCD1554"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Mean (SD)</w:t>
            </w:r>
          </w:p>
        </w:tc>
        <w:tc>
          <w:tcPr>
            <w:tcW w:w="1519" w:type="dxa"/>
            <w:shd w:val="clear" w:color="auto" w:fill="auto"/>
            <w:vAlign w:val="center"/>
            <w:hideMark/>
          </w:tcPr>
          <w:p w14:paraId="59B83339"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30.2 (4.48)</w:t>
            </w:r>
          </w:p>
        </w:tc>
        <w:tc>
          <w:tcPr>
            <w:tcW w:w="1519" w:type="dxa"/>
            <w:shd w:val="clear" w:color="auto" w:fill="auto"/>
            <w:vAlign w:val="center"/>
            <w:hideMark/>
          </w:tcPr>
          <w:p w14:paraId="0A91E747"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29.9 (4.14)</w:t>
            </w:r>
          </w:p>
        </w:tc>
        <w:tc>
          <w:tcPr>
            <w:tcW w:w="1519" w:type="dxa"/>
            <w:shd w:val="clear" w:color="auto" w:fill="auto"/>
            <w:vAlign w:val="center"/>
            <w:hideMark/>
          </w:tcPr>
          <w:p w14:paraId="1A6252E8"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29.3 (5.80)</w:t>
            </w:r>
          </w:p>
        </w:tc>
        <w:tc>
          <w:tcPr>
            <w:tcW w:w="1519" w:type="dxa"/>
            <w:shd w:val="clear" w:color="auto" w:fill="auto"/>
            <w:vAlign w:val="center"/>
            <w:hideMark/>
          </w:tcPr>
          <w:p w14:paraId="49134607"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31.4 (5.19)</w:t>
            </w:r>
          </w:p>
        </w:tc>
        <w:tc>
          <w:tcPr>
            <w:tcW w:w="1519" w:type="dxa"/>
            <w:shd w:val="clear" w:color="auto" w:fill="auto"/>
            <w:vAlign w:val="center"/>
            <w:hideMark/>
          </w:tcPr>
          <w:p w14:paraId="037259C8"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29.9 (4.61)</w:t>
            </w:r>
          </w:p>
        </w:tc>
        <w:tc>
          <w:tcPr>
            <w:tcW w:w="1744" w:type="dxa"/>
            <w:shd w:val="clear" w:color="auto" w:fill="auto"/>
            <w:vAlign w:val="center"/>
            <w:hideMark/>
          </w:tcPr>
          <w:p w14:paraId="54EAFBF6"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0.5111</w:t>
            </w:r>
          </w:p>
        </w:tc>
      </w:tr>
      <w:tr w:rsidR="00B558BE" w:rsidRPr="00200CCC" w14:paraId="2C730A5C" w14:textId="77777777" w:rsidTr="009547F1">
        <w:trPr>
          <w:trHeight w:val="283"/>
        </w:trPr>
        <w:tc>
          <w:tcPr>
            <w:tcW w:w="2874" w:type="dxa"/>
            <w:vMerge/>
            <w:shd w:val="clear" w:color="auto" w:fill="auto"/>
            <w:vAlign w:val="center"/>
            <w:hideMark/>
          </w:tcPr>
          <w:p w14:paraId="4B92001D" w14:textId="77777777" w:rsidR="00B558BE" w:rsidRPr="00200CCC" w:rsidRDefault="00B558BE" w:rsidP="007A5B5D">
            <w:pPr>
              <w:rPr>
                <w:rFonts w:cstheme="minorHAnsi"/>
                <w:color w:val="000000" w:themeColor="text1"/>
                <w:sz w:val="24"/>
                <w:szCs w:val="24"/>
              </w:rPr>
            </w:pPr>
          </w:p>
        </w:tc>
        <w:tc>
          <w:tcPr>
            <w:tcW w:w="1743" w:type="dxa"/>
            <w:shd w:val="clear" w:color="auto" w:fill="auto"/>
            <w:vAlign w:val="center"/>
            <w:hideMark/>
          </w:tcPr>
          <w:p w14:paraId="3B1B3346" w14:textId="77777777" w:rsidR="00B558BE" w:rsidRPr="00200CCC" w:rsidRDefault="00B558BE" w:rsidP="007A5B5D">
            <w:pPr>
              <w:rPr>
                <w:rFonts w:cstheme="minorHAnsi"/>
                <w:color w:val="000000" w:themeColor="text1"/>
                <w:sz w:val="24"/>
                <w:szCs w:val="24"/>
              </w:rPr>
            </w:pPr>
            <w:r w:rsidRPr="00200CCC">
              <w:rPr>
                <w:rFonts w:cstheme="minorHAnsi"/>
                <w:color w:val="000000" w:themeColor="text1"/>
                <w:sz w:val="24"/>
                <w:szCs w:val="24"/>
              </w:rPr>
              <w:t>Median (IQR)</w:t>
            </w:r>
          </w:p>
        </w:tc>
        <w:tc>
          <w:tcPr>
            <w:tcW w:w="1519" w:type="dxa"/>
            <w:shd w:val="clear" w:color="auto" w:fill="auto"/>
            <w:vAlign w:val="center"/>
            <w:hideMark/>
          </w:tcPr>
          <w:p w14:paraId="1D8ADCFF"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30 (27 - 34)</w:t>
            </w:r>
          </w:p>
        </w:tc>
        <w:tc>
          <w:tcPr>
            <w:tcW w:w="1519" w:type="dxa"/>
            <w:shd w:val="clear" w:color="auto" w:fill="auto"/>
            <w:vAlign w:val="center"/>
            <w:hideMark/>
          </w:tcPr>
          <w:p w14:paraId="734CF0EF"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29.5 (27.25 - 31.75)</w:t>
            </w:r>
          </w:p>
        </w:tc>
        <w:tc>
          <w:tcPr>
            <w:tcW w:w="1519" w:type="dxa"/>
            <w:shd w:val="clear" w:color="auto" w:fill="auto"/>
            <w:vAlign w:val="center"/>
            <w:hideMark/>
          </w:tcPr>
          <w:p w14:paraId="69C3F9E8"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29 (25.25 - 31.75)</w:t>
            </w:r>
          </w:p>
        </w:tc>
        <w:tc>
          <w:tcPr>
            <w:tcW w:w="1519" w:type="dxa"/>
            <w:shd w:val="clear" w:color="auto" w:fill="auto"/>
            <w:vAlign w:val="center"/>
            <w:hideMark/>
          </w:tcPr>
          <w:p w14:paraId="1E572781"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31 (28 - 34)</w:t>
            </w:r>
          </w:p>
        </w:tc>
        <w:tc>
          <w:tcPr>
            <w:tcW w:w="1519" w:type="dxa"/>
            <w:shd w:val="clear" w:color="auto" w:fill="auto"/>
            <w:vAlign w:val="center"/>
            <w:hideMark/>
          </w:tcPr>
          <w:p w14:paraId="10933AC3" w14:textId="77777777" w:rsidR="00B558BE" w:rsidRPr="00200CCC" w:rsidRDefault="00B558BE" w:rsidP="009547F1">
            <w:pPr>
              <w:jc w:val="center"/>
              <w:rPr>
                <w:rFonts w:cstheme="minorHAnsi"/>
                <w:color w:val="000000" w:themeColor="text1"/>
                <w:sz w:val="24"/>
                <w:szCs w:val="24"/>
              </w:rPr>
            </w:pPr>
            <w:r w:rsidRPr="00200CCC">
              <w:rPr>
                <w:rFonts w:cstheme="minorHAnsi"/>
                <w:color w:val="000000" w:themeColor="text1"/>
                <w:sz w:val="24"/>
                <w:szCs w:val="24"/>
              </w:rPr>
              <w:t>29 (27.5 - 34)</w:t>
            </w:r>
          </w:p>
        </w:tc>
        <w:tc>
          <w:tcPr>
            <w:tcW w:w="1744" w:type="dxa"/>
            <w:shd w:val="clear" w:color="auto" w:fill="auto"/>
            <w:noWrap/>
            <w:vAlign w:val="center"/>
            <w:hideMark/>
          </w:tcPr>
          <w:p w14:paraId="7B41F579" w14:textId="77777777" w:rsidR="00B558BE" w:rsidRPr="00200CCC" w:rsidRDefault="001A0CFE" w:rsidP="009547F1">
            <w:pPr>
              <w:jc w:val="center"/>
              <w:rPr>
                <w:rFonts w:cstheme="minorHAnsi"/>
                <w:color w:val="000000" w:themeColor="text1"/>
                <w:sz w:val="24"/>
                <w:szCs w:val="24"/>
              </w:rPr>
            </w:pPr>
            <w:r w:rsidRPr="00200CCC">
              <w:rPr>
                <w:rFonts w:cstheme="minorHAnsi"/>
                <w:color w:val="000000" w:themeColor="text1"/>
                <w:sz w:val="24"/>
                <w:szCs w:val="24"/>
              </w:rPr>
              <w:t>N/A</w:t>
            </w:r>
          </w:p>
        </w:tc>
      </w:tr>
    </w:tbl>
    <w:p w14:paraId="3574BD8F" w14:textId="51C9B76D" w:rsidR="006334EA" w:rsidRPr="00200CCC" w:rsidRDefault="006334EA" w:rsidP="00E849F6">
      <w:pPr>
        <w:spacing w:line="240" w:lineRule="auto"/>
        <w:rPr>
          <w:rFonts w:cstheme="minorHAnsi"/>
          <w:color w:val="000000" w:themeColor="text1"/>
          <w:sz w:val="24"/>
          <w:szCs w:val="24"/>
        </w:rPr>
      </w:pPr>
      <w:r w:rsidRPr="00200CCC">
        <w:rPr>
          <w:rFonts w:cstheme="minorHAnsi"/>
          <w:color w:val="000000" w:themeColor="text1"/>
          <w:sz w:val="24"/>
          <w:szCs w:val="24"/>
        </w:rPr>
        <w:t xml:space="preserve">P-values are calculated </w:t>
      </w:r>
      <w:r w:rsidR="009B761E" w:rsidRPr="00200CCC">
        <w:rPr>
          <w:rFonts w:cstheme="minorHAnsi"/>
          <w:color w:val="000000" w:themeColor="text1"/>
          <w:sz w:val="24"/>
          <w:szCs w:val="24"/>
        </w:rPr>
        <w:t>using</w:t>
      </w:r>
      <w:r w:rsidRPr="00200CCC">
        <w:rPr>
          <w:rFonts w:cstheme="minorHAnsi"/>
          <w:color w:val="000000" w:themeColor="text1"/>
          <w:sz w:val="24"/>
          <w:szCs w:val="24"/>
        </w:rPr>
        <w:t xml:space="preserve"> Fisher’s exact test for the number of prior depressive episodes, failed ECT pre-study, number taking ADs pre-study entry</w:t>
      </w:r>
      <w:r w:rsidR="009B761E" w:rsidRPr="00200CCC">
        <w:rPr>
          <w:rFonts w:cstheme="minorHAnsi"/>
          <w:color w:val="000000" w:themeColor="text1"/>
          <w:sz w:val="24"/>
          <w:szCs w:val="24"/>
        </w:rPr>
        <w:t>;</w:t>
      </w:r>
      <w:r w:rsidRPr="00200CCC">
        <w:rPr>
          <w:rFonts w:cstheme="minorHAnsi"/>
          <w:color w:val="000000" w:themeColor="text1"/>
          <w:sz w:val="24"/>
          <w:szCs w:val="24"/>
        </w:rPr>
        <w:t xml:space="preserve"> and analysis of variance (ANOVA) for the </w:t>
      </w:r>
      <w:r w:rsidR="00C01F46" w:rsidRPr="00200CCC">
        <w:rPr>
          <w:rFonts w:cstheme="minorHAnsi"/>
          <w:color w:val="000000" w:themeColor="text1"/>
          <w:sz w:val="24"/>
          <w:szCs w:val="24"/>
        </w:rPr>
        <w:t xml:space="preserve">age, </w:t>
      </w:r>
      <w:r w:rsidR="009B761E" w:rsidRPr="00200CCC">
        <w:rPr>
          <w:rFonts w:cstheme="minorHAnsi"/>
          <w:color w:val="000000" w:themeColor="text1"/>
          <w:sz w:val="24"/>
          <w:szCs w:val="24"/>
        </w:rPr>
        <w:t>Da</w:t>
      </w:r>
      <w:r w:rsidR="00C01F46" w:rsidRPr="00200CCC">
        <w:rPr>
          <w:rFonts w:cstheme="minorHAnsi"/>
          <w:color w:val="000000" w:themeColor="text1"/>
          <w:sz w:val="24"/>
          <w:szCs w:val="24"/>
        </w:rPr>
        <w:t>y</w:t>
      </w:r>
      <w:r w:rsidR="009B761E" w:rsidRPr="00200CCC">
        <w:rPr>
          <w:rFonts w:cstheme="minorHAnsi"/>
          <w:color w:val="000000" w:themeColor="text1"/>
          <w:sz w:val="24"/>
          <w:szCs w:val="24"/>
        </w:rPr>
        <w:t xml:space="preserve"> 1 MADRS score</w:t>
      </w:r>
      <w:r w:rsidRPr="00200CCC">
        <w:rPr>
          <w:rFonts w:cstheme="minorHAnsi"/>
          <w:color w:val="000000" w:themeColor="text1"/>
          <w:sz w:val="24"/>
          <w:szCs w:val="24"/>
        </w:rPr>
        <w:t>. The ANOVA was based on regressing the variable (treatment resistance, MADRS etc.) on the dose group.</w:t>
      </w:r>
    </w:p>
    <w:p w14:paraId="5461385F" w14:textId="63A11378" w:rsidR="0092243F" w:rsidRPr="00200CCC" w:rsidRDefault="006B5052" w:rsidP="00E849F6">
      <w:pPr>
        <w:spacing w:line="240" w:lineRule="auto"/>
        <w:rPr>
          <w:rFonts w:cstheme="minorHAnsi"/>
          <w:color w:val="000000" w:themeColor="text1"/>
          <w:sz w:val="24"/>
          <w:szCs w:val="24"/>
        </w:rPr>
      </w:pPr>
      <w:r w:rsidRPr="00200CCC">
        <w:rPr>
          <w:rFonts w:cstheme="minorHAnsi"/>
          <w:color w:val="000000" w:themeColor="text1"/>
          <w:sz w:val="24"/>
          <w:szCs w:val="24"/>
        </w:rPr>
        <w:t xml:space="preserve">AD = antidepressant, ECT = electroconvulsive therapy, </w:t>
      </w:r>
      <w:r w:rsidR="001D5F89" w:rsidRPr="00200CCC">
        <w:rPr>
          <w:rFonts w:cstheme="minorHAnsi"/>
          <w:color w:val="000000" w:themeColor="text1"/>
          <w:sz w:val="24"/>
          <w:szCs w:val="24"/>
        </w:rPr>
        <w:t xml:space="preserve">IQR = interquartile range, MADRS = </w:t>
      </w:r>
      <w:r w:rsidRPr="00200CCC">
        <w:rPr>
          <w:rFonts w:cstheme="minorHAnsi"/>
          <w:color w:val="000000" w:themeColor="text1"/>
          <w:sz w:val="24"/>
          <w:szCs w:val="24"/>
        </w:rPr>
        <w:t>Montgomery–</w:t>
      </w:r>
      <w:proofErr w:type="spellStart"/>
      <w:r w:rsidRPr="00200CCC">
        <w:rPr>
          <w:rFonts w:cstheme="minorHAnsi"/>
          <w:color w:val="000000" w:themeColor="text1"/>
          <w:sz w:val="24"/>
          <w:szCs w:val="24"/>
        </w:rPr>
        <w:t>Åsberg</w:t>
      </w:r>
      <w:proofErr w:type="spellEnd"/>
      <w:r w:rsidRPr="00200CCC">
        <w:rPr>
          <w:rFonts w:cstheme="minorHAnsi"/>
          <w:color w:val="000000" w:themeColor="text1"/>
          <w:sz w:val="24"/>
          <w:szCs w:val="24"/>
        </w:rPr>
        <w:t xml:space="preserve"> Depression Rating Scale, N/A = not available, </w:t>
      </w:r>
      <w:r w:rsidR="001D5F89" w:rsidRPr="00200CCC">
        <w:rPr>
          <w:rFonts w:cstheme="minorHAnsi"/>
          <w:color w:val="000000" w:themeColor="text1"/>
          <w:sz w:val="24"/>
          <w:szCs w:val="24"/>
        </w:rPr>
        <w:t xml:space="preserve">SD = standard deviation, </w:t>
      </w:r>
    </w:p>
    <w:p w14:paraId="30BC8342" w14:textId="77777777" w:rsidR="00C10C82" w:rsidRPr="00200CCC" w:rsidRDefault="00C10C82">
      <w:pPr>
        <w:rPr>
          <w:rFonts w:ascii="Times New Roman" w:eastAsia="SimSun" w:hAnsi="Times New Roman" w:cs="Times New Roman"/>
          <w:b/>
          <w:sz w:val="24"/>
          <w:szCs w:val="20"/>
          <w:lang w:val="en-US"/>
        </w:rPr>
      </w:pPr>
      <w:r w:rsidRPr="00200CCC">
        <w:br w:type="page"/>
      </w:r>
    </w:p>
    <w:p w14:paraId="4B044049" w14:textId="77777777" w:rsidR="00950D3E" w:rsidRPr="00200CCC" w:rsidRDefault="00950D3E" w:rsidP="009547F1">
      <w:pPr>
        <w:pStyle w:val="Caption"/>
      </w:pPr>
      <w:r w:rsidRPr="00200CCC">
        <w:lastRenderedPageBreak/>
        <w:t xml:space="preserve">Table </w:t>
      </w:r>
      <w:r w:rsidRPr="00200CCC">
        <w:fldChar w:fldCharType="begin"/>
      </w:r>
      <w:r w:rsidRPr="00200CCC">
        <w:instrText xml:space="preserve"> SEQ Table \* ARABIC </w:instrText>
      </w:r>
      <w:r w:rsidRPr="00200CCC">
        <w:fldChar w:fldCharType="separate"/>
      </w:r>
      <w:r w:rsidRPr="00200CCC">
        <w:rPr>
          <w:noProof/>
        </w:rPr>
        <w:t>2</w:t>
      </w:r>
      <w:r w:rsidRPr="00200CCC">
        <w:fldChar w:fldCharType="end"/>
      </w:r>
      <w:r w:rsidRPr="00200CCC">
        <w:t xml:space="preserve"> Estimated marginal mean (95% CI) reduction in MADRS scores from baseline on Day8, Days 36, 64 and 92, by treatment group, in the double-blind treatment phase</w:t>
      </w:r>
      <w:r w:rsidR="00C10C82" w:rsidRPr="00200CCC">
        <w:t>,</w:t>
      </w:r>
      <w:r w:rsidRPr="00200CCC">
        <w:t xml:space="preserve"> with last observation carried forward </w:t>
      </w:r>
      <w:proofErr w:type="gramStart"/>
      <w:r w:rsidRPr="00200CCC">
        <w:t>approach</w:t>
      </w:r>
      <w:proofErr w:type="gramEnd"/>
    </w:p>
    <w:tbl>
      <w:tblPr>
        <w:tblStyle w:val="TableGrid"/>
        <w:tblW w:w="0" w:type="auto"/>
        <w:tblLook w:val="04A0" w:firstRow="1" w:lastRow="0" w:firstColumn="1" w:lastColumn="0" w:noHBand="0" w:noVBand="1"/>
      </w:tblPr>
      <w:tblGrid>
        <w:gridCol w:w="885"/>
        <w:gridCol w:w="1640"/>
        <w:gridCol w:w="2050"/>
        <w:gridCol w:w="2050"/>
        <w:gridCol w:w="2050"/>
        <w:gridCol w:w="2050"/>
        <w:gridCol w:w="2050"/>
      </w:tblGrid>
      <w:tr w:rsidR="00550787" w:rsidRPr="00200CCC" w14:paraId="6B0AB87D" w14:textId="77777777" w:rsidTr="006B1D2C">
        <w:tc>
          <w:tcPr>
            <w:tcW w:w="0" w:type="auto"/>
            <w:shd w:val="clear" w:color="auto" w:fill="D9D9D9" w:themeFill="background1" w:themeFillShade="D9"/>
            <w:vAlign w:val="bottom"/>
          </w:tcPr>
          <w:p w14:paraId="7D230B0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w:t>
            </w:r>
          </w:p>
        </w:tc>
        <w:tc>
          <w:tcPr>
            <w:tcW w:w="0" w:type="auto"/>
            <w:shd w:val="clear" w:color="auto" w:fill="D9D9D9" w:themeFill="background1" w:themeFillShade="D9"/>
            <w:vAlign w:val="bottom"/>
          </w:tcPr>
          <w:p w14:paraId="446B1BEE"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Statistics</w:t>
            </w:r>
          </w:p>
        </w:tc>
        <w:tc>
          <w:tcPr>
            <w:tcW w:w="0" w:type="auto"/>
            <w:shd w:val="clear" w:color="auto" w:fill="D9D9D9" w:themeFill="background1" w:themeFillShade="D9"/>
            <w:vAlign w:val="bottom"/>
          </w:tcPr>
          <w:p w14:paraId="5C1B5433"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Placebo</w:t>
            </w:r>
          </w:p>
          <w:p w14:paraId="1F7A0118"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(N = 37)</w:t>
            </w:r>
          </w:p>
        </w:tc>
        <w:tc>
          <w:tcPr>
            <w:tcW w:w="0" w:type="auto"/>
            <w:shd w:val="clear" w:color="auto" w:fill="D9D9D9" w:themeFill="background1" w:themeFillShade="D9"/>
            <w:vAlign w:val="bottom"/>
          </w:tcPr>
          <w:p w14:paraId="2688C405"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R-107 30 mg</w:t>
            </w:r>
          </w:p>
          <w:p w14:paraId="67D4C689"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(N = 34)</w:t>
            </w:r>
          </w:p>
        </w:tc>
        <w:tc>
          <w:tcPr>
            <w:tcW w:w="0" w:type="auto"/>
            <w:shd w:val="clear" w:color="auto" w:fill="D9D9D9" w:themeFill="background1" w:themeFillShade="D9"/>
            <w:vAlign w:val="bottom"/>
          </w:tcPr>
          <w:p w14:paraId="68D163FD"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R-107 60 mg</w:t>
            </w:r>
          </w:p>
          <w:p w14:paraId="43F5C22B"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(N = 34)</w:t>
            </w:r>
          </w:p>
        </w:tc>
        <w:tc>
          <w:tcPr>
            <w:tcW w:w="0" w:type="auto"/>
            <w:shd w:val="clear" w:color="auto" w:fill="D9D9D9" w:themeFill="background1" w:themeFillShade="D9"/>
            <w:vAlign w:val="bottom"/>
          </w:tcPr>
          <w:p w14:paraId="4626BC9E"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R-107 120 mg</w:t>
            </w:r>
          </w:p>
          <w:p w14:paraId="571EE0CC"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(N = 31)</w:t>
            </w:r>
          </w:p>
        </w:tc>
        <w:tc>
          <w:tcPr>
            <w:tcW w:w="0" w:type="auto"/>
            <w:shd w:val="clear" w:color="auto" w:fill="D9D9D9" w:themeFill="background1" w:themeFillShade="D9"/>
            <w:vAlign w:val="bottom"/>
          </w:tcPr>
          <w:p w14:paraId="56A2E56C"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R-107 180 mg</w:t>
            </w:r>
          </w:p>
          <w:p w14:paraId="42484EFB" w14:textId="77777777" w:rsidR="00A70718" w:rsidRPr="00200CCC" w:rsidRDefault="00A70718" w:rsidP="006B1D2C">
            <w:pPr>
              <w:jc w:val="center"/>
              <w:rPr>
                <w:rFonts w:cstheme="minorHAnsi"/>
                <w:color w:val="000000" w:themeColor="text1"/>
                <w:sz w:val="24"/>
                <w:szCs w:val="24"/>
              </w:rPr>
            </w:pPr>
            <w:r w:rsidRPr="00200CCC">
              <w:rPr>
                <w:rFonts w:cstheme="minorHAnsi"/>
                <w:color w:val="000000" w:themeColor="text1"/>
                <w:sz w:val="24"/>
                <w:szCs w:val="24"/>
              </w:rPr>
              <w:t>(N = 32)</w:t>
            </w:r>
          </w:p>
        </w:tc>
      </w:tr>
      <w:tr w:rsidR="00550787" w:rsidRPr="00200CCC" w14:paraId="4A7AD0BE" w14:textId="77777777" w:rsidTr="006B1D2C">
        <w:tc>
          <w:tcPr>
            <w:tcW w:w="0" w:type="auto"/>
            <w:vAlign w:val="bottom"/>
          </w:tcPr>
          <w:p w14:paraId="1554944A"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8</w:t>
            </w:r>
          </w:p>
        </w:tc>
        <w:tc>
          <w:tcPr>
            <w:tcW w:w="0" w:type="auto"/>
            <w:vAlign w:val="bottom"/>
          </w:tcPr>
          <w:p w14:paraId="68C99E8A"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19D41529"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22.6 (21.63, 23.62)</w:t>
            </w:r>
          </w:p>
        </w:tc>
        <w:tc>
          <w:tcPr>
            <w:tcW w:w="0" w:type="auto"/>
            <w:vAlign w:val="bottom"/>
          </w:tcPr>
          <w:p w14:paraId="783C977D"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22.1 (21.09, 23.17)</w:t>
            </w:r>
          </w:p>
        </w:tc>
        <w:tc>
          <w:tcPr>
            <w:tcW w:w="0" w:type="auto"/>
            <w:vAlign w:val="bottom"/>
          </w:tcPr>
          <w:p w14:paraId="478C8F32"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23.0 (21.99, 24.08)</w:t>
            </w:r>
          </w:p>
        </w:tc>
        <w:tc>
          <w:tcPr>
            <w:tcW w:w="0" w:type="auto"/>
            <w:vAlign w:val="bottom"/>
          </w:tcPr>
          <w:p w14:paraId="765E4382"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22.1 (20.97, 23.16)</w:t>
            </w:r>
          </w:p>
        </w:tc>
        <w:tc>
          <w:tcPr>
            <w:tcW w:w="0" w:type="auto"/>
            <w:vAlign w:val="bottom"/>
          </w:tcPr>
          <w:p w14:paraId="1950C3F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22.3 (21.25, 23.39)</w:t>
            </w:r>
          </w:p>
        </w:tc>
      </w:tr>
      <w:tr w:rsidR="00550787" w:rsidRPr="00200CCC" w14:paraId="0AC5083B" w14:textId="77777777" w:rsidTr="006B1D2C">
        <w:tc>
          <w:tcPr>
            <w:tcW w:w="0" w:type="auto"/>
            <w:vAlign w:val="bottom"/>
          </w:tcPr>
          <w:p w14:paraId="64A6E615"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15</w:t>
            </w:r>
          </w:p>
        </w:tc>
        <w:tc>
          <w:tcPr>
            <w:tcW w:w="0" w:type="auto"/>
            <w:vAlign w:val="bottom"/>
          </w:tcPr>
          <w:p w14:paraId="71D5A465"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2C109EB2"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17.8 (15.04, 20.49)</w:t>
            </w:r>
          </w:p>
        </w:tc>
        <w:tc>
          <w:tcPr>
            <w:tcW w:w="0" w:type="auto"/>
            <w:vAlign w:val="bottom"/>
          </w:tcPr>
          <w:p w14:paraId="14A4CAA3"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17.4 (14.55, 20.23)</w:t>
            </w:r>
          </w:p>
        </w:tc>
        <w:tc>
          <w:tcPr>
            <w:tcW w:w="0" w:type="auto"/>
            <w:vAlign w:val="bottom"/>
          </w:tcPr>
          <w:p w14:paraId="10FE9CFE"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16.5 (13.62, 19.31)</w:t>
            </w:r>
          </w:p>
        </w:tc>
        <w:tc>
          <w:tcPr>
            <w:tcW w:w="0" w:type="auto"/>
            <w:vAlign w:val="bottom"/>
          </w:tcPr>
          <w:p w14:paraId="12D98495"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16.1 (13.15, 19.13)</w:t>
            </w:r>
          </w:p>
        </w:tc>
        <w:tc>
          <w:tcPr>
            <w:tcW w:w="0" w:type="auto"/>
            <w:vAlign w:val="bottom"/>
          </w:tcPr>
          <w:p w14:paraId="3DC0067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20.5 (17.53, 23.39)</w:t>
            </w:r>
          </w:p>
        </w:tc>
      </w:tr>
      <w:tr w:rsidR="00550787" w:rsidRPr="00200CCC" w14:paraId="28A8084C" w14:textId="77777777" w:rsidTr="006B1D2C">
        <w:tc>
          <w:tcPr>
            <w:tcW w:w="0" w:type="auto"/>
            <w:vAlign w:val="bottom"/>
          </w:tcPr>
          <w:p w14:paraId="43D982B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22</w:t>
            </w:r>
          </w:p>
        </w:tc>
        <w:tc>
          <w:tcPr>
            <w:tcW w:w="0" w:type="auto"/>
            <w:vAlign w:val="bottom"/>
          </w:tcPr>
          <w:p w14:paraId="0A78AB0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524611BF"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14.6 (11.50, 17.65)</w:t>
            </w:r>
          </w:p>
        </w:tc>
        <w:tc>
          <w:tcPr>
            <w:tcW w:w="0" w:type="auto"/>
            <w:vAlign w:val="bottom"/>
          </w:tcPr>
          <w:p w14:paraId="65239CEF"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15.0 (11.77, 18.18)</w:t>
            </w:r>
          </w:p>
        </w:tc>
        <w:tc>
          <w:tcPr>
            <w:tcW w:w="0" w:type="auto"/>
            <w:vAlign w:val="bottom"/>
          </w:tcPr>
          <w:p w14:paraId="224860C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12.6 (9.39, 15.81)</w:t>
            </w:r>
          </w:p>
        </w:tc>
        <w:tc>
          <w:tcPr>
            <w:tcW w:w="0" w:type="auto"/>
            <w:vAlign w:val="bottom"/>
          </w:tcPr>
          <w:p w14:paraId="4DB597F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14.3 (10.88, 17.63)</w:t>
            </w:r>
          </w:p>
        </w:tc>
        <w:tc>
          <w:tcPr>
            <w:tcW w:w="0" w:type="auto"/>
            <w:vAlign w:val="bottom"/>
          </w:tcPr>
          <w:p w14:paraId="4A93F197"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18.9 (15.64, 22.25)</w:t>
            </w:r>
          </w:p>
        </w:tc>
      </w:tr>
      <w:tr w:rsidR="00550787" w:rsidRPr="00200CCC" w14:paraId="43FEF9C1" w14:textId="77777777" w:rsidTr="006B1D2C">
        <w:tc>
          <w:tcPr>
            <w:tcW w:w="0" w:type="auto"/>
            <w:vAlign w:val="bottom"/>
          </w:tcPr>
          <w:p w14:paraId="5153084D"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29</w:t>
            </w:r>
          </w:p>
        </w:tc>
        <w:tc>
          <w:tcPr>
            <w:tcW w:w="0" w:type="auto"/>
            <w:vAlign w:val="bottom"/>
          </w:tcPr>
          <w:p w14:paraId="797250C1"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3190F3B3"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14.8 (11.46, 18.19)</w:t>
            </w:r>
          </w:p>
        </w:tc>
        <w:tc>
          <w:tcPr>
            <w:tcW w:w="0" w:type="auto"/>
            <w:vAlign w:val="bottom"/>
          </w:tcPr>
          <w:p w14:paraId="20E1EFF9"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13.0 (9.50, 16.52)</w:t>
            </w:r>
          </w:p>
        </w:tc>
        <w:tc>
          <w:tcPr>
            <w:tcW w:w="0" w:type="auto"/>
            <w:vAlign w:val="bottom"/>
          </w:tcPr>
          <w:p w14:paraId="16BFE40C"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11.5 (7.94, 14.97)</w:t>
            </w:r>
          </w:p>
        </w:tc>
        <w:tc>
          <w:tcPr>
            <w:tcW w:w="0" w:type="auto"/>
            <w:vAlign w:val="bottom"/>
          </w:tcPr>
          <w:p w14:paraId="5A9C69DD"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13.5 (9.77, 17.16)</w:t>
            </w:r>
          </w:p>
        </w:tc>
        <w:tc>
          <w:tcPr>
            <w:tcW w:w="0" w:type="auto"/>
            <w:vAlign w:val="bottom"/>
          </w:tcPr>
          <w:p w14:paraId="3D962465"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18.0 (14.43, 21.66)</w:t>
            </w:r>
          </w:p>
        </w:tc>
      </w:tr>
      <w:tr w:rsidR="00550787" w:rsidRPr="00200CCC" w14:paraId="0CEDBB12" w14:textId="77777777" w:rsidTr="006B1D2C">
        <w:tc>
          <w:tcPr>
            <w:tcW w:w="0" w:type="auto"/>
            <w:vAlign w:val="bottom"/>
          </w:tcPr>
          <w:p w14:paraId="27C02A65"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36</w:t>
            </w:r>
          </w:p>
        </w:tc>
        <w:tc>
          <w:tcPr>
            <w:tcW w:w="0" w:type="auto"/>
            <w:vAlign w:val="bottom"/>
          </w:tcPr>
          <w:p w14:paraId="122730E6"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048B909F"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12.8 (9.28, 16.28)</w:t>
            </w:r>
          </w:p>
        </w:tc>
        <w:tc>
          <w:tcPr>
            <w:tcW w:w="0" w:type="auto"/>
            <w:vAlign w:val="bottom"/>
          </w:tcPr>
          <w:p w14:paraId="7937C58D"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12.9 (9.26, 16.56)</w:t>
            </w:r>
          </w:p>
        </w:tc>
        <w:tc>
          <w:tcPr>
            <w:tcW w:w="0" w:type="auto"/>
            <w:vAlign w:val="bottom"/>
          </w:tcPr>
          <w:p w14:paraId="6BA2AF5A"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10.8 (7.17, 14.49)</w:t>
            </w:r>
          </w:p>
        </w:tc>
        <w:tc>
          <w:tcPr>
            <w:tcW w:w="0" w:type="auto"/>
            <w:vAlign w:val="bottom"/>
          </w:tcPr>
          <w:p w14:paraId="5B2DF6B8"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13.2 (9.31, 17.00)</w:t>
            </w:r>
          </w:p>
        </w:tc>
        <w:tc>
          <w:tcPr>
            <w:tcW w:w="0" w:type="auto"/>
            <w:vAlign w:val="bottom"/>
          </w:tcPr>
          <w:p w14:paraId="0D5EE7C2"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15.9 (12.15, 19.67)</w:t>
            </w:r>
          </w:p>
        </w:tc>
      </w:tr>
      <w:tr w:rsidR="00550787" w:rsidRPr="00200CCC" w14:paraId="06A61C97" w14:textId="77777777" w:rsidTr="006B1D2C">
        <w:tc>
          <w:tcPr>
            <w:tcW w:w="0" w:type="auto"/>
            <w:vAlign w:val="bottom"/>
          </w:tcPr>
          <w:p w14:paraId="172E60DB"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64</w:t>
            </w:r>
          </w:p>
        </w:tc>
        <w:tc>
          <w:tcPr>
            <w:tcW w:w="0" w:type="auto"/>
            <w:vAlign w:val="bottom"/>
          </w:tcPr>
          <w:p w14:paraId="694677B0"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4F6A9BBD"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8.4 (5.01, 11.79)</w:t>
            </w:r>
          </w:p>
        </w:tc>
        <w:tc>
          <w:tcPr>
            <w:tcW w:w="0" w:type="auto"/>
            <w:vAlign w:val="bottom"/>
          </w:tcPr>
          <w:p w14:paraId="47E584B7"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10.5 (6.99, 14.07)</w:t>
            </w:r>
          </w:p>
        </w:tc>
        <w:tc>
          <w:tcPr>
            <w:tcW w:w="0" w:type="auto"/>
            <w:vAlign w:val="bottom"/>
          </w:tcPr>
          <w:p w14:paraId="4B213F44"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8.9 (5.40, 12.49)</w:t>
            </w:r>
          </w:p>
        </w:tc>
        <w:tc>
          <w:tcPr>
            <w:tcW w:w="0" w:type="auto"/>
            <w:vAlign w:val="bottom"/>
          </w:tcPr>
          <w:p w14:paraId="5584E4ED"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12.4 (8.66, 16.12)</w:t>
            </w:r>
          </w:p>
        </w:tc>
        <w:tc>
          <w:tcPr>
            <w:tcW w:w="0" w:type="auto"/>
            <w:vAlign w:val="bottom"/>
          </w:tcPr>
          <w:p w14:paraId="664F2E0A"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15.4 (11.73, 19.03)</w:t>
            </w:r>
          </w:p>
        </w:tc>
      </w:tr>
      <w:tr w:rsidR="00550787" w:rsidRPr="00200CCC" w14:paraId="6FBB8582" w14:textId="77777777" w:rsidTr="006B1D2C">
        <w:tc>
          <w:tcPr>
            <w:tcW w:w="0" w:type="auto"/>
            <w:vAlign w:val="bottom"/>
          </w:tcPr>
          <w:p w14:paraId="2DA37000"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Day 92</w:t>
            </w:r>
          </w:p>
        </w:tc>
        <w:tc>
          <w:tcPr>
            <w:tcW w:w="0" w:type="auto"/>
            <w:vAlign w:val="bottom"/>
          </w:tcPr>
          <w:p w14:paraId="720C6ABE"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Mean (95% CI)</w:t>
            </w:r>
          </w:p>
        </w:tc>
        <w:tc>
          <w:tcPr>
            <w:tcW w:w="0" w:type="auto"/>
            <w:vAlign w:val="bottom"/>
          </w:tcPr>
          <w:p w14:paraId="6167E472"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8.0 (4.49, 11.41)</w:t>
            </w:r>
          </w:p>
        </w:tc>
        <w:tc>
          <w:tcPr>
            <w:tcW w:w="0" w:type="auto"/>
            <w:vAlign w:val="bottom"/>
          </w:tcPr>
          <w:p w14:paraId="69B3D921"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9.9 (6.26, 13.48)</w:t>
            </w:r>
          </w:p>
        </w:tc>
        <w:tc>
          <w:tcPr>
            <w:tcW w:w="0" w:type="auto"/>
            <w:vAlign w:val="bottom"/>
          </w:tcPr>
          <w:p w14:paraId="339DC086"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8.6 (5.02, 12.26)</w:t>
            </w:r>
          </w:p>
        </w:tc>
        <w:tc>
          <w:tcPr>
            <w:tcW w:w="0" w:type="auto"/>
            <w:vAlign w:val="bottom"/>
          </w:tcPr>
          <w:p w14:paraId="45EF9FFC"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12.5 (8.69, 16.30)</w:t>
            </w:r>
          </w:p>
        </w:tc>
        <w:tc>
          <w:tcPr>
            <w:tcW w:w="0" w:type="auto"/>
            <w:vAlign w:val="bottom"/>
          </w:tcPr>
          <w:p w14:paraId="14D94F15" w14:textId="77777777" w:rsidR="00A70718" w:rsidRPr="00200CCC" w:rsidRDefault="00A70718" w:rsidP="006B1D2C">
            <w:pPr>
              <w:rPr>
                <w:rFonts w:cstheme="minorHAnsi"/>
                <w:color w:val="000000" w:themeColor="text1"/>
                <w:sz w:val="24"/>
                <w:szCs w:val="24"/>
              </w:rPr>
            </w:pPr>
            <w:r w:rsidRPr="00200CCC">
              <w:rPr>
                <w:rFonts w:cstheme="minorHAnsi"/>
                <w:color w:val="000000" w:themeColor="text1"/>
                <w:sz w:val="24"/>
                <w:szCs w:val="24"/>
              </w:rPr>
              <w:t>14.0 (10.31, 17.75)</w:t>
            </w:r>
          </w:p>
        </w:tc>
      </w:tr>
    </w:tbl>
    <w:p w14:paraId="0B87E5F3" w14:textId="77777777" w:rsidR="001D62EB" w:rsidRPr="00200CCC" w:rsidRDefault="001D62EB">
      <w:pPr>
        <w:rPr>
          <w:rFonts w:cstheme="minorHAnsi"/>
          <w:color w:val="000000" w:themeColor="text1"/>
          <w:sz w:val="24"/>
          <w:szCs w:val="24"/>
        </w:rPr>
      </w:pPr>
    </w:p>
    <w:p w14:paraId="07FDC4DD" w14:textId="20C6F3E9" w:rsidR="002E7EB1" w:rsidRPr="00200CCC" w:rsidRDefault="002E7EB1">
      <w:pPr>
        <w:rPr>
          <w:rFonts w:cstheme="minorHAnsi"/>
          <w:color w:val="000000" w:themeColor="text1"/>
          <w:sz w:val="24"/>
          <w:szCs w:val="24"/>
        </w:rPr>
      </w:pPr>
      <w:r w:rsidRPr="00200CCC">
        <w:rPr>
          <w:rFonts w:cstheme="minorHAnsi"/>
          <w:color w:val="000000" w:themeColor="text1"/>
          <w:sz w:val="24"/>
          <w:szCs w:val="24"/>
        </w:rPr>
        <w:br w:type="page"/>
      </w:r>
    </w:p>
    <w:p w14:paraId="2D7616D9" w14:textId="77777777" w:rsidR="00426302" w:rsidRPr="00200CCC" w:rsidRDefault="00426302">
      <w:pPr>
        <w:rPr>
          <w:rFonts w:cstheme="minorHAnsi"/>
          <w:color w:val="000000" w:themeColor="text1"/>
          <w:sz w:val="24"/>
          <w:szCs w:val="24"/>
        </w:rPr>
      </w:pPr>
    </w:p>
    <w:p w14:paraId="26573E07" w14:textId="77777777" w:rsidR="00C7082C" w:rsidRPr="00200CCC" w:rsidRDefault="00C7082C" w:rsidP="009547F1">
      <w:pPr>
        <w:pStyle w:val="Caption"/>
      </w:pPr>
      <w:r w:rsidRPr="00200CCC">
        <w:t xml:space="preserve">Table </w:t>
      </w:r>
      <w:r w:rsidR="00CB6F56" w:rsidRPr="00200CCC">
        <w:t xml:space="preserve">3 </w:t>
      </w:r>
      <w:r w:rsidRPr="00200CCC">
        <w:t>Treatment-emergent adverse events occurring in &gt;10% of study participants</w:t>
      </w:r>
      <w:r w:rsidR="001753FF" w:rsidRPr="00200CCC">
        <w:t xml:space="preserve"> in any dose arm</w:t>
      </w:r>
      <w:r w:rsidRPr="00200CCC">
        <w:t xml:space="preserve"> enrolled in the randomized double-blind </w:t>
      </w:r>
      <w:proofErr w:type="gramStart"/>
      <w:r w:rsidRPr="00200CCC">
        <w:t>phase</w:t>
      </w:r>
      <w:proofErr w:type="gramEnd"/>
    </w:p>
    <w:tbl>
      <w:tblPr>
        <w:tblStyle w:val="TableGrid"/>
        <w:tblW w:w="0" w:type="auto"/>
        <w:tblLook w:val="04A0" w:firstRow="1" w:lastRow="0" w:firstColumn="1" w:lastColumn="0" w:noHBand="0" w:noVBand="1"/>
      </w:tblPr>
      <w:tblGrid>
        <w:gridCol w:w="2122"/>
        <w:gridCol w:w="1984"/>
        <w:gridCol w:w="1701"/>
        <w:gridCol w:w="1701"/>
        <w:gridCol w:w="1985"/>
        <w:gridCol w:w="1842"/>
        <w:gridCol w:w="2613"/>
      </w:tblGrid>
      <w:tr w:rsidR="00900B68" w:rsidRPr="00200CCC" w14:paraId="11364F7F" w14:textId="77777777" w:rsidTr="00C10C82">
        <w:tc>
          <w:tcPr>
            <w:tcW w:w="2122" w:type="dxa"/>
            <w:shd w:val="clear" w:color="auto" w:fill="D9D9D9" w:themeFill="background1" w:themeFillShade="D9"/>
          </w:tcPr>
          <w:p w14:paraId="7BF3590C" w14:textId="77777777" w:rsidR="00900B68" w:rsidRPr="00200CCC" w:rsidRDefault="00900B68" w:rsidP="00900B68">
            <w:pPr>
              <w:rPr>
                <w:rFonts w:cstheme="minorHAnsi"/>
                <w:color w:val="000000" w:themeColor="text1"/>
                <w:sz w:val="24"/>
                <w:szCs w:val="24"/>
              </w:rPr>
            </w:pPr>
          </w:p>
        </w:tc>
        <w:tc>
          <w:tcPr>
            <w:tcW w:w="1984" w:type="dxa"/>
            <w:shd w:val="clear" w:color="auto" w:fill="D9D9D9" w:themeFill="background1" w:themeFillShade="D9"/>
          </w:tcPr>
          <w:p w14:paraId="41AC1EA4" w14:textId="77777777" w:rsidR="00900B68" w:rsidRPr="00200CCC" w:rsidRDefault="00900B68" w:rsidP="00900B68">
            <w:pPr>
              <w:rPr>
                <w:rFonts w:cstheme="minorHAnsi"/>
                <w:color w:val="000000" w:themeColor="text1"/>
                <w:sz w:val="24"/>
                <w:szCs w:val="24"/>
              </w:rPr>
            </w:pPr>
            <w:r w:rsidRPr="00200CCC">
              <w:rPr>
                <w:rFonts w:cstheme="minorHAnsi"/>
                <w:color w:val="000000" w:themeColor="text1"/>
                <w:sz w:val="24"/>
                <w:szCs w:val="24"/>
              </w:rPr>
              <w:t>Placebo (n=37)</w:t>
            </w:r>
          </w:p>
        </w:tc>
        <w:tc>
          <w:tcPr>
            <w:tcW w:w="1701" w:type="dxa"/>
            <w:shd w:val="clear" w:color="auto" w:fill="D9D9D9" w:themeFill="background1" w:themeFillShade="D9"/>
          </w:tcPr>
          <w:p w14:paraId="03204808" w14:textId="77777777" w:rsidR="00900B68" w:rsidRPr="00200CCC" w:rsidRDefault="00900B68" w:rsidP="00900B68">
            <w:pPr>
              <w:rPr>
                <w:rFonts w:cstheme="minorHAnsi"/>
                <w:color w:val="000000" w:themeColor="text1"/>
                <w:sz w:val="24"/>
                <w:szCs w:val="24"/>
              </w:rPr>
            </w:pPr>
            <w:r w:rsidRPr="00200CCC">
              <w:rPr>
                <w:rFonts w:cstheme="minorHAnsi"/>
                <w:color w:val="000000" w:themeColor="text1"/>
                <w:sz w:val="24"/>
                <w:szCs w:val="24"/>
              </w:rPr>
              <w:t>R-107 30mg (n=34)</w:t>
            </w:r>
          </w:p>
        </w:tc>
        <w:tc>
          <w:tcPr>
            <w:tcW w:w="1701" w:type="dxa"/>
            <w:shd w:val="clear" w:color="auto" w:fill="D9D9D9" w:themeFill="background1" w:themeFillShade="D9"/>
          </w:tcPr>
          <w:p w14:paraId="08781534" w14:textId="77777777" w:rsidR="00900B68" w:rsidRPr="00200CCC" w:rsidRDefault="00900B68" w:rsidP="00900B68">
            <w:pPr>
              <w:rPr>
                <w:rFonts w:cstheme="minorHAnsi"/>
                <w:color w:val="000000" w:themeColor="text1"/>
                <w:sz w:val="24"/>
                <w:szCs w:val="24"/>
              </w:rPr>
            </w:pPr>
            <w:r w:rsidRPr="00200CCC">
              <w:rPr>
                <w:rFonts w:cstheme="minorHAnsi"/>
                <w:color w:val="000000" w:themeColor="text1"/>
                <w:sz w:val="24"/>
                <w:szCs w:val="24"/>
              </w:rPr>
              <w:t>R-107 60mg (n=34)</w:t>
            </w:r>
          </w:p>
        </w:tc>
        <w:tc>
          <w:tcPr>
            <w:tcW w:w="1985" w:type="dxa"/>
            <w:shd w:val="clear" w:color="auto" w:fill="D9D9D9" w:themeFill="background1" w:themeFillShade="D9"/>
          </w:tcPr>
          <w:p w14:paraId="01D22B83" w14:textId="77777777" w:rsidR="00900B68" w:rsidRPr="00200CCC" w:rsidRDefault="00900B68" w:rsidP="00900B68">
            <w:pPr>
              <w:rPr>
                <w:rFonts w:cstheme="minorHAnsi"/>
                <w:color w:val="000000" w:themeColor="text1"/>
                <w:sz w:val="24"/>
                <w:szCs w:val="24"/>
              </w:rPr>
            </w:pPr>
            <w:r w:rsidRPr="00200CCC">
              <w:rPr>
                <w:rFonts w:cstheme="minorHAnsi"/>
                <w:color w:val="000000" w:themeColor="text1"/>
                <w:sz w:val="24"/>
                <w:szCs w:val="24"/>
              </w:rPr>
              <w:t>R-107 120mg (n=31)</w:t>
            </w:r>
          </w:p>
        </w:tc>
        <w:tc>
          <w:tcPr>
            <w:tcW w:w="1842" w:type="dxa"/>
            <w:shd w:val="clear" w:color="auto" w:fill="D9D9D9" w:themeFill="background1" w:themeFillShade="D9"/>
          </w:tcPr>
          <w:p w14:paraId="76DBECDC" w14:textId="77777777" w:rsidR="00900B68" w:rsidRPr="00200CCC" w:rsidRDefault="00900B68" w:rsidP="00900B68">
            <w:pPr>
              <w:rPr>
                <w:rFonts w:cstheme="minorHAnsi"/>
                <w:color w:val="000000" w:themeColor="text1"/>
                <w:sz w:val="24"/>
                <w:szCs w:val="24"/>
              </w:rPr>
            </w:pPr>
            <w:r w:rsidRPr="00200CCC">
              <w:rPr>
                <w:rFonts w:cstheme="minorHAnsi"/>
                <w:color w:val="000000" w:themeColor="text1"/>
                <w:sz w:val="24"/>
                <w:szCs w:val="24"/>
              </w:rPr>
              <w:t>R-107 180mg (n=32)</w:t>
            </w:r>
          </w:p>
        </w:tc>
        <w:tc>
          <w:tcPr>
            <w:tcW w:w="2613" w:type="dxa"/>
            <w:shd w:val="clear" w:color="auto" w:fill="D9D9D9" w:themeFill="background1" w:themeFillShade="D9"/>
          </w:tcPr>
          <w:p w14:paraId="6E1AB247" w14:textId="77777777" w:rsidR="00900B68" w:rsidRPr="00200CCC" w:rsidRDefault="00900B68" w:rsidP="00900B68">
            <w:pPr>
              <w:rPr>
                <w:rFonts w:cstheme="minorHAnsi"/>
                <w:color w:val="000000" w:themeColor="text1"/>
                <w:sz w:val="24"/>
                <w:szCs w:val="24"/>
              </w:rPr>
            </w:pPr>
            <w:r w:rsidRPr="00200CCC">
              <w:rPr>
                <w:rFonts w:cstheme="minorHAnsi"/>
                <w:color w:val="000000" w:themeColor="text1"/>
                <w:sz w:val="24"/>
                <w:szCs w:val="24"/>
              </w:rPr>
              <w:t>p-value for difference between dose groups</w:t>
            </w:r>
          </w:p>
        </w:tc>
      </w:tr>
      <w:tr w:rsidR="006F5A51" w:rsidRPr="00200CCC" w14:paraId="54C6207D" w14:textId="77777777" w:rsidTr="00C10C82">
        <w:tc>
          <w:tcPr>
            <w:tcW w:w="2122" w:type="dxa"/>
          </w:tcPr>
          <w:p w14:paraId="6B947ECB"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Headache</w:t>
            </w:r>
          </w:p>
        </w:tc>
        <w:tc>
          <w:tcPr>
            <w:tcW w:w="1984" w:type="dxa"/>
          </w:tcPr>
          <w:p w14:paraId="3AD132C6"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6 (16.2%)</w:t>
            </w:r>
          </w:p>
        </w:tc>
        <w:tc>
          <w:tcPr>
            <w:tcW w:w="1701" w:type="dxa"/>
          </w:tcPr>
          <w:p w14:paraId="0695A7AE"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10 (29.4%)</w:t>
            </w:r>
          </w:p>
        </w:tc>
        <w:tc>
          <w:tcPr>
            <w:tcW w:w="1701" w:type="dxa"/>
          </w:tcPr>
          <w:p w14:paraId="364E783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11 (32.4%)</w:t>
            </w:r>
          </w:p>
        </w:tc>
        <w:tc>
          <w:tcPr>
            <w:tcW w:w="1985" w:type="dxa"/>
          </w:tcPr>
          <w:p w14:paraId="7B66535B"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6 (19.4%)</w:t>
            </w:r>
          </w:p>
        </w:tc>
        <w:tc>
          <w:tcPr>
            <w:tcW w:w="1842" w:type="dxa"/>
          </w:tcPr>
          <w:p w14:paraId="1F98BC8D"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6 (18.8%)</w:t>
            </w:r>
          </w:p>
        </w:tc>
        <w:tc>
          <w:tcPr>
            <w:tcW w:w="2613" w:type="dxa"/>
          </w:tcPr>
          <w:p w14:paraId="418635AE"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0.4314</w:t>
            </w:r>
          </w:p>
        </w:tc>
      </w:tr>
      <w:tr w:rsidR="006F5A51" w:rsidRPr="00200CCC" w14:paraId="515F3931" w14:textId="77777777" w:rsidTr="00C10C82">
        <w:tc>
          <w:tcPr>
            <w:tcW w:w="2122" w:type="dxa"/>
          </w:tcPr>
          <w:p w14:paraId="4FD931CD"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Dizziness</w:t>
            </w:r>
          </w:p>
        </w:tc>
        <w:tc>
          <w:tcPr>
            <w:tcW w:w="1984" w:type="dxa"/>
          </w:tcPr>
          <w:p w14:paraId="5A586FDF"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(8.1%)</w:t>
            </w:r>
          </w:p>
        </w:tc>
        <w:tc>
          <w:tcPr>
            <w:tcW w:w="1701" w:type="dxa"/>
          </w:tcPr>
          <w:p w14:paraId="0DC89528"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4 (11.8%)</w:t>
            </w:r>
          </w:p>
        </w:tc>
        <w:tc>
          <w:tcPr>
            <w:tcW w:w="1701" w:type="dxa"/>
          </w:tcPr>
          <w:p w14:paraId="630EDC8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5 (14.7%)</w:t>
            </w:r>
          </w:p>
        </w:tc>
        <w:tc>
          <w:tcPr>
            <w:tcW w:w="1985" w:type="dxa"/>
          </w:tcPr>
          <w:p w14:paraId="4C2ED4F9"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5 (16.1%)</w:t>
            </w:r>
          </w:p>
        </w:tc>
        <w:tc>
          <w:tcPr>
            <w:tcW w:w="1842" w:type="dxa"/>
          </w:tcPr>
          <w:p w14:paraId="3BAD3B8F"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9 (28.1%)</w:t>
            </w:r>
          </w:p>
        </w:tc>
        <w:tc>
          <w:tcPr>
            <w:tcW w:w="2613" w:type="dxa"/>
          </w:tcPr>
          <w:p w14:paraId="7FD2B463"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0.2475</w:t>
            </w:r>
          </w:p>
        </w:tc>
      </w:tr>
      <w:tr w:rsidR="006F5A51" w:rsidRPr="00200CCC" w14:paraId="29A699B4" w14:textId="77777777" w:rsidTr="00C10C82">
        <w:tc>
          <w:tcPr>
            <w:tcW w:w="2122" w:type="dxa"/>
          </w:tcPr>
          <w:p w14:paraId="4D21F720"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Anxiety</w:t>
            </w:r>
          </w:p>
        </w:tc>
        <w:tc>
          <w:tcPr>
            <w:tcW w:w="1984" w:type="dxa"/>
          </w:tcPr>
          <w:p w14:paraId="2B1256CD"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(5.4%)</w:t>
            </w:r>
          </w:p>
        </w:tc>
        <w:tc>
          <w:tcPr>
            <w:tcW w:w="1701" w:type="dxa"/>
          </w:tcPr>
          <w:p w14:paraId="7998B79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(8.8%)</w:t>
            </w:r>
          </w:p>
        </w:tc>
        <w:tc>
          <w:tcPr>
            <w:tcW w:w="1701" w:type="dxa"/>
          </w:tcPr>
          <w:p w14:paraId="72C7C969"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 (2.9%)</w:t>
            </w:r>
          </w:p>
        </w:tc>
        <w:tc>
          <w:tcPr>
            <w:tcW w:w="1985" w:type="dxa"/>
          </w:tcPr>
          <w:p w14:paraId="7586ABC4"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6 (19.4%)</w:t>
            </w:r>
          </w:p>
        </w:tc>
        <w:tc>
          <w:tcPr>
            <w:tcW w:w="1842" w:type="dxa"/>
          </w:tcPr>
          <w:p w14:paraId="4A786A53"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6 (18.8%)</w:t>
            </w:r>
          </w:p>
        </w:tc>
        <w:tc>
          <w:tcPr>
            <w:tcW w:w="2613" w:type="dxa"/>
          </w:tcPr>
          <w:p w14:paraId="0893D031"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0.0992</w:t>
            </w:r>
          </w:p>
        </w:tc>
      </w:tr>
      <w:tr w:rsidR="006F5A51" w:rsidRPr="00200CCC" w14:paraId="47E67A52" w14:textId="77777777" w:rsidTr="00C10C82">
        <w:tc>
          <w:tcPr>
            <w:tcW w:w="2122" w:type="dxa"/>
          </w:tcPr>
          <w:p w14:paraId="7763672D"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Depression</w:t>
            </w:r>
          </w:p>
        </w:tc>
        <w:tc>
          <w:tcPr>
            <w:tcW w:w="1984" w:type="dxa"/>
          </w:tcPr>
          <w:p w14:paraId="3B7A32EB"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(5.4%)</w:t>
            </w:r>
          </w:p>
        </w:tc>
        <w:tc>
          <w:tcPr>
            <w:tcW w:w="1701" w:type="dxa"/>
          </w:tcPr>
          <w:p w14:paraId="5A0027BA"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4 (11.8%)</w:t>
            </w:r>
          </w:p>
        </w:tc>
        <w:tc>
          <w:tcPr>
            <w:tcW w:w="1701" w:type="dxa"/>
          </w:tcPr>
          <w:p w14:paraId="5300F9EA"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5 (14.7%)</w:t>
            </w:r>
          </w:p>
        </w:tc>
        <w:tc>
          <w:tcPr>
            <w:tcW w:w="1985" w:type="dxa"/>
          </w:tcPr>
          <w:p w14:paraId="67805CB3"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(6.5%)</w:t>
            </w:r>
          </w:p>
        </w:tc>
        <w:tc>
          <w:tcPr>
            <w:tcW w:w="1842" w:type="dxa"/>
          </w:tcPr>
          <w:p w14:paraId="42711EF0"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(9.4%)</w:t>
            </w:r>
          </w:p>
        </w:tc>
        <w:tc>
          <w:tcPr>
            <w:tcW w:w="2613" w:type="dxa"/>
          </w:tcPr>
          <w:p w14:paraId="08BCA3D9"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0.7087</w:t>
            </w:r>
          </w:p>
        </w:tc>
      </w:tr>
      <w:tr w:rsidR="006F5A51" w:rsidRPr="00200CCC" w14:paraId="54B06163" w14:textId="77777777" w:rsidTr="00C10C82">
        <w:tc>
          <w:tcPr>
            <w:tcW w:w="2122" w:type="dxa"/>
          </w:tcPr>
          <w:p w14:paraId="6FEF885C"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Dissociation</w:t>
            </w:r>
          </w:p>
        </w:tc>
        <w:tc>
          <w:tcPr>
            <w:tcW w:w="1984" w:type="dxa"/>
          </w:tcPr>
          <w:p w14:paraId="534F12D4"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 (0.0%)</w:t>
            </w:r>
          </w:p>
        </w:tc>
        <w:tc>
          <w:tcPr>
            <w:tcW w:w="1701" w:type="dxa"/>
          </w:tcPr>
          <w:p w14:paraId="1B922DF4"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 (2.9%)</w:t>
            </w:r>
          </w:p>
        </w:tc>
        <w:tc>
          <w:tcPr>
            <w:tcW w:w="1701" w:type="dxa"/>
          </w:tcPr>
          <w:p w14:paraId="51F9A26F"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 (2.9%)</w:t>
            </w:r>
          </w:p>
        </w:tc>
        <w:tc>
          <w:tcPr>
            <w:tcW w:w="1985" w:type="dxa"/>
          </w:tcPr>
          <w:p w14:paraId="70D97063"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(6.5%)</w:t>
            </w:r>
          </w:p>
        </w:tc>
        <w:tc>
          <w:tcPr>
            <w:tcW w:w="1842" w:type="dxa"/>
          </w:tcPr>
          <w:p w14:paraId="60B96DAA"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5 (15.6%)</w:t>
            </w:r>
          </w:p>
        </w:tc>
        <w:tc>
          <w:tcPr>
            <w:tcW w:w="2613" w:type="dxa"/>
          </w:tcPr>
          <w:p w14:paraId="44B0FB9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0.0518</w:t>
            </w:r>
          </w:p>
        </w:tc>
      </w:tr>
      <w:tr w:rsidR="006F5A51" w:rsidRPr="00200CCC" w14:paraId="77077276" w14:textId="77777777" w:rsidTr="00C10C82">
        <w:tc>
          <w:tcPr>
            <w:tcW w:w="2122" w:type="dxa"/>
          </w:tcPr>
          <w:p w14:paraId="0D950024"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Nausea</w:t>
            </w:r>
          </w:p>
        </w:tc>
        <w:tc>
          <w:tcPr>
            <w:tcW w:w="1984" w:type="dxa"/>
          </w:tcPr>
          <w:p w14:paraId="28330B2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(8.1%)</w:t>
            </w:r>
          </w:p>
        </w:tc>
        <w:tc>
          <w:tcPr>
            <w:tcW w:w="1701" w:type="dxa"/>
          </w:tcPr>
          <w:p w14:paraId="493F4868"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(8.8%)</w:t>
            </w:r>
          </w:p>
        </w:tc>
        <w:tc>
          <w:tcPr>
            <w:tcW w:w="1701" w:type="dxa"/>
          </w:tcPr>
          <w:p w14:paraId="1BC99FF1"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(5.9%)</w:t>
            </w:r>
          </w:p>
        </w:tc>
        <w:tc>
          <w:tcPr>
            <w:tcW w:w="1985" w:type="dxa"/>
          </w:tcPr>
          <w:p w14:paraId="2109921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(9.7%)</w:t>
            </w:r>
          </w:p>
        </w:tc>
        <w:tc>
          <w:tcPr>
            <w:tcW w:w="1842" w:type="dxa"/>
          </w:tcPr>
          <w:p w14:paraId="0735E59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5 (15.6%)</w:t>
            </w:r>
          </w:p>
        </w:tc>
        <w:tc>
          <w:tcPr>
            <w:tcW w:w="2613" w:type="dxa"/>
          </w:tcPr>
          <w:p w14:paraId="39B53037"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0.7683</w:t>
            </w:r>
          </w:p>
        </w:tc>
      </w:tr>
      <w:tr w:rsidR="006F5A51" w:rsidRPr="00200CCC" w14:paraId="5CB7F810" w14:textId="77777777" w:rsidTr="00C10C82">
        <w:tc>
          <w:tcPr>
            <w:tcW w:w="2122" w:type="dxa"/>
          </w:tcPr>
          <w:p w14:paraId="73BF19D1"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Feeling abnormal</w:t>
            </w:r>
          </w:p>
        </w:tc>
        <w:tc>
          <w:tcPr>
            <w:tcW w:w="1984" w:type="dxa"/>
          </w:tcPr>
          <w:p w14:paraId="054E57FF"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(5.4%)</w:t>
            </w:r>
          </w:p>
        </w:tc>
        <w:tc>
          <w:tcPr>
            <w:tcW w:w="1701" w:type="dxa"/>
          </w:tcPr>
          <w:p w14:paraId="299288DC"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5 (14.7%)</w:t>
            </w:r>
          </w:p>
        </w:tc>
        <w:tc>
          <w:tcPr>
            <w:tcW w:w="1701" w:type="dxa"/>
          </w:tcPr>
          <w:p w14:paraId="759934BD"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 (2.9%)</w:t>
            </w:r>
          </w:p>
        </w:tc>
        <w:tc>
          <w:tcPr>
            <w:tcW w:w="1985" w:type="dxa"/>
          </w:tcPr>
          <w:p w14:paraId="1189282E"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(6.5%)</w:t>
            </w:r>
          </w:p>
        </w:tc>
        <w:tc>
          <w:tcPr>
            <w:tcW w:w="1842" w:type="dxa"/>
          </w:tcPr>
          <w:p w14:paraId="55D72761"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(9.4%)</w:t>
            </w:r>
          </w:p>
        </w:tc>
        <w:tc>
          <w:tcPr>
            <w:tcW w:w="2613" w:type="dxa"/>
          </w:tcPr>
          <w:p w14:paraId="3A0E96B2"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0.4702</w:t>
            </w:r>
          </w:p>
        </w:tc>
      </w:tr>
      <w:tr w:rsidR="006F5A51" w:rsidRPr="00200CCC" w14:paraId="652E6F1D" w14:textId="77777777" w:rsidTr="00C10C82">
        <w:tc>
          <w:tcPr>
            <w:tcW w:w="2122" w:type="dxa"/>
          </w:tcPr>
          <w:p w14:paraId="18B47002"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Fatigue</w:t>
            </w:r>
          </w:p>
        </w:tc>
        <w:tc>
          <w:tcPr>
            <w:tcW w:w="1984" w:type="dxa"/>
          </w:tcPr>
          <w:p w14:paraId="5D39A94F"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(8.1%)</w:t>
            </w:r>
          </w:p>
        </w:tc>
        <w:tc>
          <w:tcPr>
            <w:tcW w:w="1701" w:type="dxa"/>
          </w:tcPr>
          <w:p w14:paraId="08211877"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1 (2.9%)</w:t>
            </w:r>
          </w:p>
        </w:tc>
        <w:tc>
          <w:tcPr>
            <w:tcW w:w="1701" w:type="dxa"/>
          </w:tcPr>
          <w:p w14:paraId="78B43BC2"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 (0.0%)</w:t>
            </w:r>
          </w:p>
        </w:tc>
        <w:tc>
          <w:tcPr>
            <w:tcW w:w="1985" w:type="dxa"/>
          </w:tcPr>
          <w:p w14:paraId="356579F6"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4 (12.9%)</w:t>
            </w:r>
          </w:p>
        </w:tc>
        <w:tc>
          <w:tcPr>
            <w:tcW w:w="1842" w:type="dxa"/>
          </w:tcPr>
          <w:p w14:paraId="1104AF35"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(6.2%)</w:t>
            </w:r>
          </w:p>
        </w:tc>
        <w:tc>
          <w:tcPr>
            <w:tcW w:w="2613" w:type="dxa"/>
          </w:tcPr>
          <w:p w14:paraId="7BC239C0"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0.1944</w:t>
            </w:r>
          </w:p>
        </w:tc>
      </w:tr>
      <w:tr w:rsidR="006F5A51" w:rsidRPr="00200CCC" w14:paraId="5491D0D1" w14:textId="77777777" w:rsidTr="00C10C82">
        <w:tc>
          <w:tcPr>
            <w:tcW w:w="2122" w:type="dxa"/>
          </w:tcPr>
          <w:p w14:paraId="416988D2"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URTI</w:t>
            </w:r>
          </w:p>
        </w:tc>
        <w:tc>
          <w:tcPr>
            <w:tcW w:w="1984" w:type="dxa"/>
          </w:tcPr>
          <w:p w14:paraId="08B2BF9A"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4 (10.8%)</w:t>
            </w:r>
          </w:p>
        </w:tc>
        <w:tc>
          <w:tcPr>
            <w:tcW w:w="1701" w:type="dxa"/>
          </w:tcPr>
          <w:p w14:paraId="4C6D2C38"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(8.8%)</w:t>
            </w:r>
          </w:p>
        </w:tc>
        <w:tc>
          <w:tcPr>
            <w:tcW w:w="1701" w:type="dxa"/>
          </w:tcPr>
          <w:p w14:paraId="13463FCE"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(5.9%)</w:t>
            </w:r>
          </w:p>
        </w:tc>
        <w:tc>
          <w:tcPr>
            <w:tcW w:w="1985" w:type="dxa"/>
          </w:tcPr>
          <w:p w14:paraId="090A850D"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2 (6.5%)</w:t>
            </w:r>
          </w:p>
        </w:tc>
        <w:tc>
          <w:tcPr>
            <w:tcW w:w="1842" w:type="dxa"/>
          </w:tcPr>
          <w:p w14:paraId="739EF493"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3 (9.4%)</w:t>
            </w:r>
          </w:p>
        </w:tc>
        <w:tc>
          <w:tcPr>
            <w:tcW w:w="2613" w:type="dxa"/>
          </w:tcPr>
          <w:p w14:paraId="341995BA" w14:textId="77777777" w:rsidR="006F5A51" w:rsidRPr="00200CCC" w:rsidRDefault="006F5A51" w:rsidP="006F5A51">
            <w:pPr>
              <w:rPr>
                <w:rFonts w:cstheme="minorHAnsi"/>
                <w:color w:val="000000" w:themeColor="text1"/>
                <w:sz w:val="24"/>
                <w:szCs w:val="24"/>
              </w:rPr>
            </w:pPr>
            <w:r w:rsidRPr="00200CCC">
              <w:rPr>
                <w:rFonts w:cstheme="minorHAnsi"/>
                <w:color w:val="000000" w:themeColor="text1"/>
                <w:sz w:val="24"/>
                <w:szCs w:val="24"/>
              </w:rPr>
              <w:t>0.9627</w:t>
            </w:r>
          </w:p>
        </w:tc>
      </w:tr>
    </w:tbl>
    <w:p w14:paraId="72024388" w14:textId="0B2F6178" w:rsidR="009B3FA2" w:rsidRPr="00200CCC" w:rsidRDefault="009B3FA2" w:rsidP="009B3FA2">
      <w:pPr>
        <w:rPr>
          <w:rFonts w:ascii="Calibri" w:hAnsi="Calibri"/>
          <w:lang w:val="en-GB"/>
        </w:rPr>
      </w:pPr>
      <w:r w:rsidRPr="00200CCC">
        <w:rPr>
          <w:rFonts w:ascii="Calibri" w:hAnsi="Calibri"/>
          <w:lang w:val="en-GB"/>
        </w:rPr>
        <w:t xml:space="preserve">The P-values were calculated using Fisher’s exact test for the </w:t>
      </w:r>
      <w:r w:rsidR="009B761E" w:rsidRPr="00200CCC">
        <w:rPr>
          <w:rFonts w:ascii="Calibri" w:hAnsi="Calibri"/>
          <w:lang w:val="en-GB"/>
        </w:rPr>
        <w:t xml:space="preserve">differences between dose groups. </w:t>
      </w:r>
    </w:p>
    <w:p w14:paraId="7904D05E" w14:textId="0C34D7FB" w:rsidR="00CD4EB4" w:rsidRPr="00200CCC" w:rsidRDefault="004D58FC" w:rsidP="004D58FC">
      <w:pPr>
        <w:rPr>
          <w:rFonts w:cstheme="minorHAnsi"/>
          <w:color w:val="000000" w:themeColor="text1"/>
          <w:szCs w:val="24"/>
        </w:rPr>
      </w:pPr>
      <w:r w:rsidRPr="00200CCC">
        <w:rPr>
          <w:rFonts w:cstheme="minorHAnsi"/>
          <w:color w:val="000000" w:themeColor="text1"/>
          <w:szCs w:val="24"/>
        </w:rPr>
        <w:t>URTI: upper respiratory tract infection.</w:t>
      </w:r>
    </w:p>
    <w:p w14:paraId="218950FA" w14:textId="2F60F362" w:rsidR="00B77088" w:rsidRPr="00200CCC" w:rsidRDefault="00752606" w:rsidP="00F81B01">
      <w:pPr>
        <w:rPr>
          <w:rFonts w:cstheme="minorHAnsi"/>
          <w:b/>
          <w:color w:val="000000" w:themeColor="text1"/>
          <w:sz w:val="24"/>
          <w:szCs w:val="24"/>
        </w:rPr>
        <w:sectPr w:rsidR="00B77088" w:rsidRPr="00200CCC" w:rsidSect="00854A47">
          <w:pgSz w:w="16838" w:h="11906" w:orient="landscape"/>
          <w:pgMar w:top="1440" w:right="1440" w:bottom="1440" w:left="1440" w:header="708" w:footer="708" w:gutter="0"/>
          <w:cols w:space="708"/>
          <w:docGrid w:linePitch="360"/>
        </w:sectPr>
      </w:pPr>
      <w:r w:rsidRPr="00200CCC">
        <w:rPr>
          <w:rFonts w:cstheme="minorHAnsi"/>
          <w:color w:val="000000" w:themeColor="text1"/>
          <w:szCs w:val="24"/>
        </w:rPr>
        <w:br w:type="page"/>
      </w:r>
    </w:p>
    <w:p w14:paraId="12D63981" w14:textId="77777777" w:rsidR="00752606" w:rsidRPr="00200CCC" w:rsidRDefault="00752606" w:rsidP="00752606">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lastRenderedPageBreak/>
        <w:t>Figure Legends/Captions</w:t>
      </w:r>
    </w:p>
    <w:p w14:paraId="3F68CE46" w14:textId="77777777" w:rsidR="00752606" w:rsidRPr="00200CCC" w:rsidRDefault="00752606" w:rsidP="00752606">
      <w:pPr>
        <w:pStyle w:val="Caption"/>
        <w:rPr>
          <w:rFonts w:asciiTheme="minorHAnsi" w:hAnsiTheme="minorHAnsi" w:cstheme="minorHAnsi"/>
          <w:b w:val="0"/>
          <w:bCs/>
          <w:color w:val="222222"/>
          <w:szCs w:val="24"/>
          <w:shd w:val="clear" w:color="auto" w:fill="FFFFFF"/>
        </w:rPr>
      </w:pPr>
      <w:r w:rsidRPr="00200CCC">
        <w:rPr>
          <w:rFonts w:asciiTheme="minorHAnsi" w:hAnsiTheme="minorHAnsi" w:cstheme="minorHAnsi"/>
          <w:b w:val="0"/>
          <w:bCs/>
          <w:szCs w:val="24"/>
        </w:rPr>
        <w:t xml:space="preserve">Figure </w:t>
      </w:r>
      <w:r w:rsidRPr="00200CCC">
        <w:rPr>
          <w:rFonts w:asciiTheme="minorHAnsi" w:hAnsiTheme="minorHAnsi" w:cstheme="minorHAnsi"/>
          <w:b w:val="0"/>
          <w:bCs/>
          <w:szCs w:val="24"/>
        </w:rPr>
        <w:fldChar w:fldCharType="begin"/>
      </w:r>
      <w:r w:rsidRPr="00200CCC">
        <w:rPr>
          <w:rFonts w:asciiTheme="minorHAnsi" w:hAnsiTheme="minorHAnsi" w:cstheme="minorHAnsi"/>
          <w:b w:val="0"/>
          <w:bCs/>
          <w:szCs w:val="24"/>
        </w:rPr>
        <w:instrText xml:space="preserve"> SEQ Figure \* ARABIC </w:instrText>
      </w:r>
      <w:r w:rsidRPr="00200CCC">
        <w:rPr>
          <w:rFonts w:asciiTheme="minorHAnsi" w:hAnsiTheme="minorHAnsi" w:cstheme="minorHAnsi"/>
          <w:b w:val="0"/>
          <w:bCs/>
          <w:szCs w:val="24"/>
        </w:rPr>
        <w:fldChar w:fldCharType="separate"/>
      </w:r>
      <w:r w:rsidRPr="00200CCC">
        <w:rPr>
          <w:rFonts w:asciiTheme="minorHAnsi" w:hAnsiTheme="minorHAnsi" w:cstheme="minorHAnsi"/>
          <w:b w:val="0"/>
          <w:bCs/>
          <w:noProof/>
          <w:szCs w:val="24"/>
        </w:rPr>
        <w:t>1</w:t>
      </w:r>
      <w:r w:rsidRPr="00200CCC">
        <w:rPr>
          <w:rFonts w:asciiTheme="minorHAnsi" w:hAnsiTheme="minorHAnsi" w:cstheme="minorHAnsi"/>
          <w:b w:val="0"/>
          <w:bCs/>
          <w:szCs w:val="24"/>
        </w:rPr>
        <w:fldChar w:fldCharType="end"/>
      </w:r>
      <w:r w:rsidRPr="00200CCC">
        <w:rPr>
          <w:rFonts w:asciiTheme="minorHAnsi" w:hAnsiTheme="minorHAnsi" w:cstheme="minorHAnsi"/>
          <w:b w:val="0"/>
          <w:bCs/>
          <w:szCs w:val="24"/>
        </w:rPr>
        <w:t xml:space="preserve">: BEDROC Study Design. </w:t>
      </w:r>
      <w:r w:rsidRPr="00200CCC">
        <w:rPr>
          <w:rFonts w:asciiTheme="minorHAnsi" w:hAnsiTheme="minorHAnsi" w:cstheme="minorHAnsi"/>
          <w:b w:val="0"/>
          <w:bCs/>
          <w:color w:val="222222"/>
          <w:szCs w:val="24"/>
          <w:shd w:val="clear" w:color="auto" w:fill="FFFFFF"/>
        </w:rPr>
        <w:t xml:space="preserve">BIW: twice weekly dosing, RCT: </w:t>
      </w:r>
      <w:proofErr w:type="spellStart"/>
      <w:r w:rsidRPr="00200CCC">
        <w:rPr>
          <w:rFonts w:asciiTheme="minorHAnsi" w:hAnsiTheme="minorHAnsi" w:cstheme="minorHAnsi"/>
          <w:b w:val="0"/>
          <w:bCs/>
          <w:color w:val="222222"/>
          <w:szCs w:val="24"/>
          <w:shd w:val="clear" w:color="auto" w:fill="FFFFFF"/>
        </w:rPr>
        <w:t>randomised</w:t>
      </w:r>
      <w:proofErr w:type="spellEnd"/>
      <w:r w:rsidRPr="00200CCC">
        <w:rPr>
          <w:rFonts w:asciiTheme="minorHAnsi" w:hAnsiTheme="minorHAnsi" w:cstheme="minorHAnsi"/>
          <w:b w:val="0"/>
          <w:bCs/>
          <w:color w:val="222222"/>
          <w:szCs w:val="24"/>
          <w:shd w:val="clear" w:color="auto" w:fill="FFFFFF"/>
        </w:rPr>
        <w:t xml:space="preserve"> controlled trial</w:t>
      </w:r>
    </w:p>
    <w:p w14:paraId="32BE270D" w14:textId="77777777" w:rsidR="00752606" w:rsidRPr="00200CCC" w:rsidRDefault="00752606" w:rsidP="00752606">
      <w:pPr>
        <w:pStyle w:val="Caption"/>
        <w:spacing w:line="240" w:lineRule="auto"/>
        <w:contextualSpacing/>
        <w:rPr>
          <w:rFonts w:asciiTheme="minorHAnsi" w:hAnsiTheme="minorHAnsi" w:cstheme="minorHAnsi"/>
          <w:b w:val="0"/>
          <w:color w:val="222222"/>
          <w:szCs w:val="24"/>
          <w:shd w:val="clear" w:color="auto" w:fill="FFFFFF"/>
        </w:rPr>
      </w:pPr>
      <w:r w:rsidRPr="00200CCC">
        <w:rPr>
          <w:rFonts w:asciiTheme="minorHAnsi" w:hAnsiTheme="minorHAnsi" w:cstheme="minorHAnsi"/>
          <w:b w:val="0"/>
          <w:szCs w:val="24"/>
        </w:rPr>
        <w:t xml:space="preserve">Figure 2: BEDROC Patient Disposition. </w:t>
      </w:r>
      <w:r w:rsidRPr="00200CCC">
        <w:rPr>
          <w:rFonts w:asciiTheme="minorHAnsi" w:hAnsiTheme="minorHAnsi" w:cstheme="minorHAnsi"/>
          <w:b w:val="0"/>
          <w:color w:val="222222"/>
          <w:szCs w:val="24"/>
          <w:shd w:val="clear" w:color="auto" w:fill="FFFFFF"/>
        </w:rPr>
        <w:t xml:space="preserve">CONSORT diagram indicating patient numbers and disposition throughout the trial. BIW: twice weekly dosing, RCT: </w:t>
      </w:r>
      <w:proofErr w:type="spellStart"/>
      <w:r w:rsidRPr="00200CCC">
        <w:rPr>
          <w:rFonts w:asciiTheme="minorHAnsi" w:hAnsiTheme="minorHAnsi" w:cstheme="minorHAnsi"/>
          <w:b w:val="0"/>
          <w:color w:val="222222"/>
          <w:szCs w:val="24"/>
          <w:shd w:val="clear" w:color="auto" w:fill="FFFFFF"/>
        </w:rPr>
        <w:t>randomised</w:t>
      </w:r>
      <w:proofErr w:type="spellEnd"/>
      <w:r w:rsidRPr="00200CCC">
        <w:rPr>
          <w:rFonts w:asciiTheme="minorHAnsi" w:hAnsiTheme="minorHAnsi" w:cstheme="minorHAnsi"/>
          <w:b w:val="0"/>
          <w:color w:val="222222"/>
          <w:szCs w:val="24"/>
          <w:shd w:val="clear" w:color="auto" w:fill="FFFFFF"/>
        </w:rPr>
        <w:t xml:space="preserve"> controlled trial</w:t>
      </w:r>
    </w:p>
    <w:p w14:paraId="43ECEC79" w14:textId="6043FF02" w:rsidR="00752606" w:rsidRPr="00200CCC" w:rsidRDefault="00752606" w:rsidP="00752606">
      <w:pPr>
        <w:spacing w:after="0" w:line="240" w:lineRule="auto"/>
        <w:rPr>
          <w:rFonts w:cstheme="minorHAnsi"/>
          <w:color w:val="222222"/>
          <w:sz w:val="24"/>
          <w:szCs w:val="24"/>
          <w:shd w:val="clear" w:color="auto" w:fill="FFFFFF"/>
        </w:rPr>
      </w:pPr>
      <w:r w:rsidRPr="00200CCC">
        <w:rPr>
          <w:rFonts w:eastAsia="SimSun" w:cstheme="minorHAnsi"/>
          <w:sz w:val="24"/>
          <w:szCs w:val="24"/>
          <w:lang w:val="en-US"/>
        </w:rPr>
        <w:t>Figure 3:</w:t>
      </w:r>
      <w:r w:rsidRPr="00200CCC">
        <w:rPr>
          <w:sz w:val="24"/>
          <w:szCs w:val="24"/>
          <w:lang w:val="en-US"/>
        </w:rPr>
        <w:t xml:space="preserve"> </w:t>
      </w:r>
      <w:r w:rsidRPr="00200CCC">
        <w:rPr>
          <w:rFonts w:cstheme="minorHAnsi"/>
          <w:color w:val="222222"/>
          <w:sz w:val="24"/>
          <w:szCs w:val="24"/>
          <w:shd w:val="clear" w:color="auto" w:fill="FFFFFF"/>
        </w:rPr>
        <w:t>Kaplan-Meier analysis of the percentage of patients remaining in the trial in the enrichment phase of BEDROC stratified by dose group. The number of patients at risk at Day 8, 22, 36, 50, 64, 78 and 92 are shown in the table below the figure</w:t>
      </w:r>
      <w:r w:rsidR="005C1AFB" w:rsidRPr="00200CCC">
        <w:rPr>
          <w:rFonts w:cstheme="minorHAnsi"/>
          <w:color w:val="000000" w:themeColor="text1"/>
          <w:sz w:val="24"/>
          <w:szCs w:val="24"/>
        </w:rPr>
        <w:t>. The difference in the r</w:t>
      </w:r>
      <w:r w:rsidR="005C1AFB" w:rsidRPr="00200CCC">
        <w:rPr>
          <w:rFonts w:cstheme="minorHAnsi"/>
          <w:color w:val="000000" w:themeColor="text1"/>
          <w:sz w:val="24"/>
          <w:szCs w:val="24"/>
          <w:shd w:val="clear" w:color="auto" w:fill="FFFFFF"/>
        </w:rPr>
        <w:t>estricted mean survival time</w:t>
      </w:r>
      <w:r w:rsidR="005C1AFB" w:rsidRPr="00200CCC">
        <w:rPr>
          <w:rFonts w:cstheme="minorHAnsi"/>
          <w:color w:val="000000" w:themeColor="text1"/>
          <w:sz w:val="24"/>
          <w:szCs w:val="24"/>
        </w:rPr>
        <w:t xml:space="preserve"> for the 180 mg treatment group was significantly greater compared with the placebo group (19.0 [95% CI: 4.9 - 33.1]).</w:t>
      </w:r>
    </w:p>
    <w:p w14:paraId="7338B41F" w14:textId="77777777" w:rsidR="00752606" w:rsidRPr="00200CCC" w:rsidRDefault="00752606" w:rsidP="00752606">
      <w:pPr>
        <w:rPr>
          <w:lang w:val="en-US"/>
        </w:rPr>
      </w:pPr>
    </w:p>
    <w:p w14:paraId="6163051E" w14:textId="77777777" w:rsidR="00752606" w:rsidRPr="00200CCC" w:rsidRDefault="00752606" w:rsidP="00752606">
      <w:pPr>
        <w:shd w:val="clear" w:color="auto" w:fill="FFFFFF"/>
        <w:spacing w:after="240" w:line="360" w:lineRule="auto"/>
        <w:rPr>
          <w:rFonts w:cstheme="minorHAnsi"/>
          <w:b/>
          <w:color w:val="000000" w:themeColor="text1"/>
          <w:sz w:val="24"/>
          <w:szCs w:val="24"/>
        </w:rPr>
      </w:pPr>
    </w:p>
    <w:p w14:paraId="2EC8337B" w14:textId="77777777" w:rsidR="00752606" w:rsidRPr="00200CCC" w:rsidRDefault="00752606" w:rsidP="00752606">
      <w:pPr>
        <w:shd w:val="clear" w:color="auto" w:fill="FFFFFF"/>
        <w:spacing w:after="240" w:line="360" w:lineRule="auto"/>
        <w:rPr>
          <w:rFonts w:cstheme="minorHAnsi"/>
          <w:b/>
          <w:color w:val="000000" w:themeColor="text1"/>
          <w:sz w:val="24"/>
          <w:szCs w:val="24"/>
        </w:rPr>
      </w:pPr>
      <w:r w:rsidRPr="00200CCC">
        <w:rPr>
          <w:rFonts w:cstheme="minorHAnsi"/>
          <w:b/>
          <w:color w:val="000000" w:themeColor="text1"/>
          <w:sz w:val="24"/>
          <w:szCs w:val="24"/>
        </w:rPr>
        <w:t>References</w:t>
      </w:r>
    </w:p>
    <w:p w14:paraId="516BB885"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12121"/>
        </w:rPr>
      </w:pPr>
      <w:r w:rsidRPr="00200CCC">
        <w:rPr>
          <w:rFonts w:asciiTheme="minorHAnsi" w:hAnsiTheme="minorHAnsi" w:cstheme="minorHAnsi"/>
          <w:color w:val="212121"/>
          <w:shd w:val="clear" w:color="auto" w:fill="FFFFFF"/>
        </w:rPr>
        <w:t xml:space="preserve">Nikolin, S., Rodgers, A., Schwaab, A., </w:t>
      </w:r>
      <w:proofErr w:type="spellStart"/>
      <w:r w:rsidRPr="00200CCC">
        <w:rPr>
          <w:rFonts w:asciiTheme="minorHAnsi" w:hAnsiTheme="minorHAnsi" w:cstheme="minorHAnsi"/>
          <w:color w:val="212121"/>
          <w:shd w:val="clear" w:color="auto" w:fill="FFFFFF"/>
        </w:rPr>
        <w:t>Bahji</w:t>
      </w:r>
      <w:proofErr w:type="spellEnd"/>
      <w:r w:rsidRPr="00200CCC">
        <w:rPr>
          <w:rFonts w:asciiTheme="minorHAnsi" w:hAnsiTheme="minorHAnsi" w:cstheme="minorHAnsi"/>
          <w:color w:val="212121"/>
          <w:shd w:val="clear" w:color="auto" w:fill="FFFFFF"/>
        </w:rPr>
        <w:t xml:space="preserve">, A., Zarate, C. Jr, Vazquez, G., Loo, C. Ketamine for the treatment of major depression: a systematic review and meta-analysis. </w:t>
      </w:r>
      <w:proofErr w:type="spellStart"/>
      <w:r w:rsidRPr="00200CCC">
        <w:rPr>
          <w:rFonts w:asciiTheme="minorHAnsi" w:hAnsiTheme="minorHAnsi" w:cstheme="minorHAnsi"/>
          <w:i/>
          <w:color w:val="212121"/>
          <w:shd w:val="clear" w:color="auto" w:fill="FFFFFF"/>
        </w:rPr>
        <w:t>EClinicalMedicine</w:t>
      </w:r>
      <w:proofErr w:type="spellEnd"/>
      <w:r w:rsidRPr="00200CCC">
        <w:rPr>
          <w:rFonts w:asciiTheme="minorHAnsi" w:hAnsiTheme="minorHAnsi" w:cstheme="minorHAnsi"/>
          <w:color w:val="212121"/>
          <w:shd w:val="clear" w:color="auto" w:fill="FFFFFF"/>
        </w:rPr>
        <w:t xml:space="preserve">., </w:t>
      </w:r>
      <w:r w:rsidRPr="00200CCC">
        <w:rPr>
          <w:rFonts w:asciiTheme="minorHAnsi" w:hAnsiTheme="minorHAnsi" w:cstheme="minorHAnsi"/>
          <w:i/>
          <w:color w:val="212121"/>
          <w:shd w:val="clear" w:color="auto" w:fill="FFFFFF"/>
        </w:rPr>
        <w:t>62</w:t>
      </w:r>
      <w:r w:rsidRPr="00200CCC">
        <w:rPr>
          <w:rFonts w:asciiTheme="minorHAnsi" w:hAnsiTheme="minorHAnsi" w:cstheme="minorHAnsi"/>
          <w:color w:val="212121"/>
          <w:shd w:val="clear" w:color="auto" w:fill="FFFFFF"/>
        </w:rPr>
        <w:t>, 102127 (2023).</w:t>
      </w:r>
    </w:p>
    <w:p w14:paraId="2C92A10E"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12121"/>
        </w:rPr>
      </w:pPr>
      <w:r w:rsidRPr="00200CCC">
        <w:rPr>
          <w:rFonts w:asciiTheme="minorHAnsi" w:hAnsiTheme="minorHAnsi" w:cstheme="minorHAnsi"/>
          <w:color w:val="222222"/>
          <w:shd w:val="clear" w:color="auto" w:fill="FFFFFF"/>
        </w:rPr>
        <w:t xml:space="preserve">Kim, J., Farchione, T., Potter, A., Chen, Q., &amp; Temple, R. </w:t>
      </w:r>
      <w:proofErr w:type="spellStart"/>
      <w:r w:rsidRPr="00200CCC">
        <w:rPr>
          <w:rFonts w:asciiTheme="minorHAnsi" w:hAnsiTheme="minorHAnsi" w:cstheme="minorHAnsi"/>
          <w:color w:val="222222"/>
          <w:shd w:val="clear" w:color="auto" w:fill="FFFFFF"/>
        </w:rPr>
        <w:t>Esketamine</w:t>
      </w:r>
      <w:proofErr w:type="spellEnd"/>
      <w:r w:rsidRPr="00200CCC">
        <w:rPr>
          <w:rFonts w:asciiTheme="minorHAnsi" w:hAnsiTheme="minorHAnsi" w:cstheme="minorHAnsi"/>
          <w:color w:val="222222"/>
          <w:shd w:val="clear" w:color="auto" w:fill="FFFFFF"/>
        </w:rPr>
        <w:t xml:space="preserve"> for treatment-resistant depression—first FDA-approved antidepressant in a new class. </w:t>
      </w:r>
      <w:r w:rsidRPr="00200CCC">
        <w:rPr>
          <w:rFonts w:asciiTheme="minorHAnsi" w:hAnsiTheme="minorHAnsi" w:cstheme="minorHAnsi"/>
          <w:i/>
          <w:iCs/>
          <w:color w:val="222222"/>
          <w:shd w:val="clear" w:color="auto" w:fill="FFFFFF"/>
        </w:rPr>
        <w:t>New Engl J Med</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381</w:t>
      </w:r>
      <w:r w:rsidRPr="00200CCC">
        <w:rPr>
          <w:rFonts w:asciiTheme="minorHAnsi" w:hAnsiTheme="minorHAnsi" w:cstheme="minorHAnsi"/>
          <w:color w:val="222222"/>
          <w:shd w:val="clear" w:color="auto" w:fill="FFFFFF"/>
        </w:rPr>
        <w:t>, 1-4 (2019).</w:t>
      </w:r>
      <w:r w:rsidRPr="00200CCC">
        <w:rPr>
          <w:rFonts w:asciiTheme="minorHAnsi" w:hAnsiTheme="minorHAnsi" w:cstheme="minorHAnsi"/>
          <w:color w:val="212121"/>
        </w:rPr>
        <w:t xml:space="preserve"> </w:t>
      </w:r>
    </w:p>
    <w:p w14:paraId="10396EA8"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12121"/>
        </w:rPr>
      </w:pPr>
      <w:r w:rsidRPr="00200CCC">
        <w:rPr>
          <w:rFonts w:asciiTheme="minorHAnsi" w:hAnsiTheme="minorHAnsi" w:cstheme="minorHAnsi"/>
          <w:color w:val="222222"/>
          <w:shd w:val="clear" w:color="auto" w:fill="FFFFFF"/>
        </w:rPr>
        <w:t xml:space="preserve">McIntyre, R. S., et al. Synthesizing the evidence for ketamine and </w:t>
      </w:r>
      <w:proofErr w:type="spellStart"/>
      <w:r w:rsidRPr="00200CCC">
        <w:rPr>
          <w:rFonts w:asciiTheme="minorHAnsi" w:hAnsiTheme="minorHAnsi" w:cstheme="minorHAnsi"/>
          <w:color w:val="222222"/>
          <w:shd w:val="clear" w:color="auto" w:fill="FFFFFF"/>
        </w:rPr>
        <w:t>esketamine</w:t>
      </w:r>
      <w:proofErr w:type="spellEnd"/>
      <w:r w:rsidRPr="00200CCC">
        <w:rPr>
          <w:rFonts w:asciiTheme="minorHAnsi" w:hAnsiTheme="minorHAnsi" w:cstheme="minorHAnsi"/>
          <w:color w:val="222222"/>
          <w:shd w:val="clear" w:color="auto" w:fill="FFFFFF"/>
        </w:rPr>
        <w:t xml:space="preserve"> in treatment-resistant depression: an international expert opinion on the available evidence and implementation. </w:t>
      </w:r>
      <w:r w:rsidRPr="00200CCC">
        <w:rPr>
          <w:rFonts w:asciiTheme="minorHAnsi" w:hAnsiTheme="minorHAnsi" w:cstheme="minorHAnsi"/>
          <w:i/>
          <w:iCs/>
          <w:color w:val="222222"/>
          <w:shd w:val="clear" w:color="auto" w:fill="FFFFFF"/>
        </w:rPr>
        <w:t>Am J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178</w:t>
      </w:r>
      <w:r w:rsidRPr="00200CCC">
        <w:rPr>
          <w:rFonts w:asciiTheme="minorHAnsi" w:hAnsiTheme="minorHAnsi" w:cstheme="minorHAnsi"/>
          <w:color w:val="222222"/>
          <w:shd w:val="clear" w:color="auto" w:fill="FFFFFF"/>
        </w:rPr>
        <w:t xml:space="preserve">, 383-399 (2021). </w:t>
      </w:r>
    </w:p>
    <w:p w14:paraId="0656CAF9" w14:textId="77777777" w:rsidR="00752606" w:rsidRPr="00200CCC" w:rsidRDefault="00752606" w:rsidP="00752606">
      <w:pPr>
        <w:pStyle w:val="ListParagraph"/>
        <w:numPr>
          <w:ilvl w:val="0"/>
          <w:numId w:val="2"/>
        </w:numPr>
        <w:spacing w:after="160"/>
        <w:rPr>
          <w:rFonts w:asciiTheme="minorHAnsi" w:hAnsiTheme="minorHAnsi" w:cstheme="minorHAnsi"/>
          <w:color w:val="000000" w:themeColor="text1"/>
        </w:rPr>
      </w:pPr>
      <w:r w:rsidRPr="00200CCC">
        <w:rPr>
          <w:rFonts w:asciiTheme="minorHAnsi" w:hAnsiTheme="minorHAnsi" w:cstheme="minorHAnsi"/>
          <w:color w:val="222222"/>
          <w:shd w:val="clear" w:color="auto" w:fill="FFFFFF"/>
        </w:rPr>
        <w:t xml:space="preserve">Highland, J. N. et al. </w:t>
      </w:r>
      <w:proofErr w:type="spellStart"/>
      <w:r w:rsidRPr="00200CCC">
        <w:rPr>
          <w:rFonts w:asciiTheme="minorHAnsi" w:hAnsiTheme="minorHAnsi" w:cstheme="minorHAnsi"/>
          <w:color w:val="222222"/>
          <w:shd w:val="clear" w:color="auto" w:fill="FFFFFF"/>
        </w:rPr>
        <w:t>Hydroxynorketamines</w:t>
      </w:r>
      <w:proofErr w:type="spellEnd"/>
      <w:r w:rsidRPr="00200CCC">
        <w:rPr>
          <w:rFonts w:asciiTheme="minorHAnsi" w:hAnsiTheme="minorHAnsi" w:cstheme="minorHAnsi"/>
          <w:color w:val="222222"/>
          <w:shd w:val="clear" w:color="auto" w:fill="FFFFFF"/>
        </w:rPr>
        <w:t>: pharmacology and potential therapeutic applications. </w:t>
      </w:r>
      <w:proofErr w:type="spellStart"/>
      <w:r w:rsidRPr="00200CCC">
        <w:rPr>
          <w:rFonts w:asciiTheme="minorHAnsi" w:hAnsiTheme="minorHAnsi" w:cstheme="minorHAnsi"/>
          <w:i/>
          <w:iCs/>
          <w:color w:val="222222"/>
          <w:shd w:val="clear" w:color="auto" w:fill="FFFFFF"/>
        </w:rPr>
        <w:t>Pharmacol</w:t>
      </w:r>
      <w:proofErr w:type="spellEnd"/>
      <w:r w:rsidRPr="00200CCC">
        <w:rPr>
          <w:rFonts w:asciiTheme="minorHAnsi" w:hAnsiTheme="minorHAnsi" w:cstheme="minorHAnsi"/>
          <w:i/>
          <w:iCs/>
          <w:color w:val="222222"/>
          <w:shd w:val="clear" w:color="auto" w:fill="FFFFFF"/>
        </w:rPr>
        <w:t xml:space="preserve"> Rev.,</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73</w:t>
      </w:r>
      <w:r w:rsidRPr="00200CCC">
        <w:rPr>
          <w:rFonts w:asciiTheme="minorHAnsi" w:hAnsiTheme="minorHAnsi" w:cstheme="minorHAnsi"/>
          <w:color w:val="222222"/>
          <w:shd w:val="clear" w:color="auto" w:fill="FFFFFF"/>
        </w:rPr>
        <w:t xml:space="preserve">, 763-791 (2021). </w:t>
      </w:r>
    </w:p>
    <w:p w14:paraId="4AB55ED0" w14:textId="77777777" w:rsidR="00752606" w:rsidRPr="00200CCC" w:rsidRDefault="00752606" w:rsidP="00752606">
      <w:pPr>
        <w:pStyle w:val="ListParagraph"/>
        <w:numPr>
          <w:ilvl w:val="0"/>
          <w:numId w:val="2"/>
        </w:numPr>
        <w:spacing w:after="160"/>
        <w:rPr>
          <w:rFonts w:asciiTheme="minorHAnsi" w:hAnsiTheme="minorHAnsi" w:cstheme="minorHAnsi"/>
          <w:color w:val="000000" w:themeColor="text1"/>
        </w:rPr>
      </w:pPr>
      <w:r w:rsidRPr="00200CCC">
        <w:rPr>
          <w:rFonts w:asciiTheme="minorHAnsi" w:hAnsiTheme="minorHAnsi" w:cstheme="minorHAnsi"/>
          <w:color w:val="222222"/>
          <w:shd w:val="clear" w:color="auto" w:fill="FFFFFF"/>
        </w:rPr>
        <w:t>Paul, R. K., et al. (R, S)-Ketamine metabolites (R, S)-norketamine and (2S, 6S)-</w:t>
      </w:r>
      <w:proofErr w:type="spellStart"/>
      <w:r w:rsidRPr="00200CCC">
        <w:rPr>
          <w:rFonts w:asciiTheme="minorHAnsi" w:hAnsiTheme="minorHAnsi" w:cstheme="minorHAnsi"/>
          <w:color w:val="222222"/>
          <w:shd w:val="clear" w:color="auto" w:fill="FFFFFF"/>
        </w:rPr>
        <w:t>hydroxynorketamine</w:t>
      </w:r>
      <w:proofErr w:type="spellEnd"/>
      <w:r w:rsidRPr="00200CCC">
        <w:rPr>
          <w:rFonts w:asciiTheme="minorHAnsi" w:hAnsiTheme="minorHAnsi" w:cstheme="minorHAnsi"/>
          <w:color w:val="222222"/>
          <w:shd w:val="clear" w:color="auto" w:fill="FFFFFF"/>
        </w:rPr>
        <w:t xml:space="preserve"> increase the mammalian target of rapamycin function. </w:t>
      </w:r>
      <w:proofErr w:type="spellStart"/>
      <w:r w:rsidRPr="00200CCC">
        <w:rPr>
          <w:rFonts w:asciiTheme="minorHAnsi" w:hAnsiTheme="minorHAnsi" w:cstheme="minorHAnsi"/>
          <w:i/>
          <w:iCs/>
          <w:color w:val="222222"/>
          <w:shd w:val="clear" w:color="auto" w:fill="FFFFFF"/>
        </w:rPr>
        <w:t>Anesthesiology</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121</w:t>
      </w:r>
      <w:r w:rsidRPr="00200CCC">
        <w:rPr>
          <w:rFonts w:asciiTheme="minorHAnsi" w:hAnsiTheme="minorHAnsi" w:cstheme="minorHAnsi"/>
          <w:color w:val="222222"/>
          <w:shd w:val="clear" w:color="auto" w:fill="FFFFFF"/>
        </w:rPr>
        <w:t>, 149-159 (2014).</w:t>
      </w:r>
    </w:p>
    <w:p w14:paraId="2B033FC9"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Hasan, M., et al. Chiral pharmacokinetics and metabolite profile of prolonged-release ketamine tablets in healthy human subjects. </w:t>
      </w:r>
      <w:proofErr w:type="spellStart"/>
      <w:r w:rsidRPr="00200CCC">
        <w:rPr>
          <w:rFonts w:asciiTheme="minorHAnsi" w:hAnsiTheme="minorHAnsi" w:cstheme="minorHAnsi"/>
          <w:i/>
          <w:iCs/>
          <w:color w:val="222222"/>
          <w:shd w:val="clear" w:color="auto" w:fill="FFFFFF"/>
        </w:rPr>
        <w:t>Anesthesiology</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135</w:t>
      </w:r>
      <w:r w:rsidRPr="00200CCC">
        <w:rPr>
          <w:rFonts w:asciiTheme="minorHAnsi" w:hAnsiTheme="minorHAnsi" w:cstheme="minorHAnsi"/>
          <w:color w:val="222222"/>
          <w:shd w:val="clear" w:color="auto" w:fill="FFFFFF"/>
        </w:rPr>
        <w:t>, 326-339 (2021).</w:t>
      </w:r>
    </w:p>
    <w:p w14:paraId="36B2BCEA" w14:textId="77777777" w:rsidR="00752606" w:rsidRPr="00200CCC" w:rsidRDefault="00752606" w:rsidP="00752606">
      <w:pPr>
        <w:pStyle w:val="c-bibliographic-informationcitation"/>
        <w:numPr>
          <w:ilvl w:val="0"/>
          <w:numId w:val="2"/>
        </w:numPr>
        <w:shd w:val="clear" w:color="auto" w:fill="FCFCFC"/>
        <w:spacing w:before="0" w:beforeAutospacing="0" w:after="120" w:afterAutospacing="0"/>
        <w:rPr>
          <w:rFonts w:asciiTheme="minorHAnsi" w:hAnsiTheme="minorHAnsi" w:cstheme="minorHAnsi"/>
          <w:color w:val="333333"/>
        </w:rPr>
      </w:pPr>
      <w:r w:rsidRPr="00200CCC">
        <w:rPr>
          <w:rFonts w:asciiTheme="minorHAnsi" w:hAnsiTheme="minorHAnsi" w:cstheme="minorHAnsi"/>
          <w:color w:val="222222"/>
          <w:shd w:val="clear" w:color="auto" w:fill="FFFFFF"/>
        </w:rPr>
        <w:t>Domany, Y., et al. Repeated oral ketamine for out-patient treatment of resistant depression: randomised, double-blind, placebo-controlled, proof-of-concept study. </w:t>
      </w:r>
      <w:r w:rsidRPr="00200CCC">
        <w:rPr>
          <w:rFonts w:asciiTheme="minorHAnsi" w:hAnsiTheme="minorHAnsi" w:cstheme="minorHAnsi"/>
          <w:i/>
          <w:iCs/>
          <w:color w:val="222222"/>
          <w:shd w:val="clear" w:color="auto" w:fill="FFFFFF"/>
        </w:rPr>
        <w:t xml:space="preserve"> Br J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214</w:t>
      </w:r>
      <w:r w:rsidRPr="00200CCC">
        <w:rPr>
          <w:rFonts w:asciiTheme="minorHAnsi" w:hAnsiTheme="minorHAnsi" w:cstheme="minorHAnsi"/>
          <w:color w:val="222222"/>
          <w:shd w:val="clear" w:color="auto" w:fill="FFFFFF"/>
        </w:rPr>
        <w:t>, 20-26. (2019).</w:t>
      </w:r>
    </w:p>
    <w:p w14:paraId="02062E02" w14:textId="77777777" w:rsidR="00752606" w:rsidRPr="00200CCC" w:rsidRDefault="00752606" w:rsidP="00752606">
      <w:pPr>
        <w:pStyle w:val="c-bibliographic-informationcitation"/>
        <w:numPr>
          <w:ilvl w:val="0"/>
          <w:numId w:val="2"/>
        </w:numPr>
        <w:shd w:val="clear" w:color="auto" w:fill="FCFCFC"/>
        <w:spacing w:before="0" w:beforeAutospacing="0" w:after="120" w:afterAutospacing="0"/>
        <w:rPr>
          <w:rFonts w:asciiTheme="minorHAnsi" w:hAnsiTheme="minorHAnsi" w:cstheme="minorHAnsi"/>
          <w:color w:val="333333"/>
        </w:rPr>
      </w:pPr>
      <w:r w:rsidRPr="00200CCC">
        <w:rPr>
          <w:rFonts w:asciiTheme="minorHAnsi" w:hAnsiTheme="minorHAnsi" w:cstheme="minorHAnsi"/>
          <w:color w:val="222222"/>
          <w:shd w:val="clear" w:color="auto" w:fill="FFFFFF"/>
        </w:rPr>
        <w:t>Glue, P., Russell, B., &amp; Medlicott, N. J. Influence of formulation and route of administration on ketamine’s safety and tolerability: systematic review. </w:t>
      </w:r>
      <w:proofErr w:type="spellStart"/>
      <w:r w:rsidRPr="00200CCC">
        <w:rPr>
          <w:rFonts w:asciiTheme="minorHAnsi" w:hAnsiTheme="minorHAnsi" w:cstheme="minorHAnsi"/>
          <w:i/>
          <w:iCs/>
          <w:color w:val="222222"/>
          <w:shd w:val="clear" w:color="auto" w:fill="FFFFFF"/>
        </w:rPr>
        <w:t>Eur</w:t>
      </w:r>
      <w:proofErr w:type="spellEnd"/>
      <w:r w:rsidRPr="00200CCC">
        <w:rPr>
          <w:rFonts w:asciiTheme="minorHAnsi" w:hAnsiTheme="minorHAnsi" w:cstheme="minorHAnsi"/>
          <w:i/>
          <w:iCs/>
          <w:color w:val="222222"/>
          <w:shd w:val="clear" w:color="auto" w:fill="FFFFFF"/>
        </w:rPr>
        <w:t xml:space="preserve"> J Clin </w:t>
      </w:r>
      <w:proofErr w:type="spellStart"/>
      <w:r w:rsidRPr="00200CCC">
        <w:rPr>
          <w:rFonts w:asciiTheme="minorHAnsi" w:hAnsiTheme="minorHAnsi" w:cstheme="minorHAnsi"/>
          <w:i/>
          <w:iCs/>
          <w:color w:val="222222"/>
          <w:shd w:val="clear" w:color="auto" w:fill="FFFFFF"/>
        </w:rPr>
        <w:t>Pharmacol</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77</w:t>
      </w:r>
      <w:r w:rsidRPr="00200CCC">
        <w:rPr>
          <w:rFonts w:asciiTheme="minorHAnsi" w:hAnsiTheme="minorHAnsi" w:cstheme="minorHAnsi"/>
          <w:color w:val="222222"/>
          <w:shd w:val="clear" w:color="auto" w:fill="FFFFFF"/>
        </w:rPr>
        <w:t>, 671-676 (2021).</w:t>
      </w:r>
    </w:p>
    <w:p w14:paraId="421FC3C4"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Glue, P., Medlicott, N. J., Surman, P., Lam, F., Hung, N., &amp; Hung, C. T. Ascending‐dose study of controlled‐release ketamine tablets in healthy volunteers: pharmacokinetics, pharmacodynamics, safety, and tolerability. </w:t>
      </w:r>
      <w:r w:rsidRPr="00200CCC">
        <w:rPr>
          <w:rFonts w:asciiTheme="minorHAnsi" w:hAnsiTheme="minorHAnsi" w:cstheme="minorHAnsi"/>
          <w:i/>
          <w:iCs/>
          <w:color w:val="222222"/>
          <w:shd w:val="clear" w:color="auto" w:fill="FFFFFF"/>
        </w:rPr>
        <w:t xml:space="preserve">J Clin </w:t>
      </w:r>
      <w:proofErr w:type="spellStart"/>
      <w:r w:rsidRPr="00200CCC">
        <w:rPr>
          <w:rFonts w:asciiTheme="minorHAnsi" w:hAnsiTheme="minorHAnsi" w:cstheme="minorHAnsi"/>
          <w:i/>
          <w:iCs/>
          <w:color w:val="222222"/>
          <w:shd w:val="clear" w:color="auto" w:fill="FFFFFF"/>
        </w:rPr>
        <w:t>Pharmacol</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60</w:t>
      </w:r>
      <w:r w:rsidRPr="00200CCC">
        <w:rPr>
          <w:rFonts w:asciiTheme="minorHAnsi" w:hAnsiTheme="minorHAnsi" w:cstheme="minorHAnsi"/>
          <w:color w:val="222222"/>
          <w:shd w:val="clear" w:color="auto" w:fill="FFFFFF"/>
        </w:rPr>
        <w:t>, 751-757 (2020).</w:t>
      </w:r>
    </w:p>
    <w:p w14:paraId="57A60328"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 xml:space="preserve">Glue P.W., Medlicott N.J., Surman P.W. </w:t>
      </w:r>
      <w:proofErr w:type="gramStart"/>
      <w:r w:rsidRPr="00200CCC">
        <w:rPr>
          <w:rFonts w:asciiTheme="minorHAnsi" w:hAnsiTheme="minorHAnsi" w:cstheme="minorHAnsi"/>
          <w:color w:val="222222"/>
          <w:shd w:val="clear" w:color="auto" w:fill="FFFFFF"/>
        </w:rPr>
        <w:t>Extended release</w:t>
      </w:r>
      <w:proofErr w:type="gramEnd"/>
      <w:r w:rsidRPr="00200CCC">
        <w:rPr>
          <w:rFonts w:asciiTheme="minorHAnsi" w:hAnsiTheme="minorHAnsi" w:cstheme="minorHAnsi"/>
          <w:color w:val="222222"/>
          <w:shd w:val="clear" w:color="auto" w:fill="FFFFFF"/>
        </w:rPr>
        <w:t xml:space="preserve"> pharmaceutical formulation and methods of treatment. U.S. Patent No. 11,471,416. 18 Oct 2022.</w:t>
      </w:r>
    </w:p>
    <w:p w14:paraId="16D3F4EB"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12121"/>
        </w:rPr>
      </w:pPr>
      <w:r w:rsidRPr="00200CCC">
        <w:rPr>
          <w:rFonts w:asciiTheme="minorHAnsi" w:hAnsiTheme="minorHAnsi" w:cstheme="minorHAnsi"/>
          <w:color w:val="222222"/>
          <w:shd w:val="clear" w:color="auto" w:fill="FFFFFF"/>
        </w:rPr>
        <w:lastRenderedPageBreak/>
        <w:t>Khan, A., Mar, K. F., &amp; Brown, W. A. The conundrum of depression clinical trials: one size does not fit all. </w:t>
      </w:r>
      <w:r w:rsidRPr="00200CCC">
        <w:rPr>
          <w:rFonts w:asciiTheme="minorHAnsi" w:hAnsiTheme="minorHAnsi" w:cstheme="minorHAnsi"/>
          <w:i/>
          <w:iCs/>
          <w:color w:val="222222"/>
          <w:shd w:val="clear" w:color="auto" w:fill="FFFFFF"/>
        </w:rPr>
        <w:t xml:space="preserve">Int Clin </w:t>
      </w:r>
      <w:proofErr w:type="spellStart"/>
      <w:r w:rsidRPr="00200CCC">
        <w:rPr>
          <w:rFonts w:asciiTheme="minorHAnsi" w:hAnsiTheme="minorHAnsi" w:cstheme="minorHAnsi"/>
          <w:i/>
          <w:iCs/>
          <w:color w:val="222222"/>
          <w:shd w:val="clear" w:color="auto" w:fill="FFFFFF"/>
        </w:rPr>
        <w:t>Psychopharm</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33</w:t>
      </w:r>
      <w:r w:rsidRPr="00200CCC">
        <w:rPr>
          <w:rFonts w:asciiTheme="minorHAnsi" w:hAnsiTheme="minorHAnsi" w:cstheme="minorHAnsi"/>
          <w:color w:val="222222"/>
          <w:shd w:val="clear" w:color="auto" w:fill="FFFFFF"/>
        </w:rPr>
        <w:t>, 239</w:t>
      </w:r>
      <w:r w:rsidRPr="00200CCC">
        <w:rPr>
          <w:rFonts w:asciiTheme="minorHAnsi" w:hAnsiTheme="minorHAnsi" w:cstheme="minorHAnsi"/>
          <w:color w:val="212121"/>
        </w:rPr>
        <w:t xml:space="preserve"> (2018).</w:t>
      </w:r>
    </w:p>
    <w:p w14:paraId="5C67979D"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12121"/>
        </w:rPr>
      </w:pPr>
      <w:r w:rsidRPr="00200CCC">
        <w:rPr>
          <w:rFonts w:asciiTheme="minorHAnsi" w:hAnsiTheme="minorHAnsi" w:cstheme="minorHAnsi"/>
          <w:color w:val="222222"/>
          <w:shd w:val="clear" w:color="auto" w:fill="FFFFFF"/>
        </w:rPr>
        <w:t>Khin, N. A., Chen, Y. F., Yang, Y., Yang, P., &amp; Laughren, T. P. Exploratory analyses of efficacy data from major depressive disorder trials submitted to the US Food and Drug Administration in support of new drug applications. </w:t>
      </w:r>
      <w:r w:rsidRPr="00200CCC">
        <w:rPr>
          <w:rFonts w:asciiTheme="minorHAnsi" w:hAnsiTheme="minorHAnsi" w:cstheme="minorHAnsi"/>
          <w:i/>
          <w:iCs/>
          <w:color w:val="222222"/>
          <w:shd w:val="clear" w:color="auto" w:fill="FFFFFF"/>
        </w:rPr>
        <w:t>J Clin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72</w:t>
      </w:r>
      <w:r w:rsidRPr="00200CCC">
        <w:rPr>
          <w:rFonts w:asciiTheme="minorHAnsi" w:hAnsiTheme="minorHAnsi" w:cstheme="minorHAnsi"/>
          <w:color w:val="222222"/>
          <w:shd w:val="clear" w:color="auto" w:fill="FFFFFF"/>
        </w:rPr>
        <w:t>, 6970</w:t>
      </w:r>
      <w:r w:rsidRPr="00200CCC">
        <w:rPr>
          <w:rFonts w:asciiTheme="minorHAnsi" w:hAnsiTheme="minorHAnsi" w:cstheme="minorHAnsi"/>
          <w:color w:val="212121"/>
        </w:rPr>
        <w:t xml:space="preserve"> (2011). </w:t>
      </w:r>
    </w:p>
    <w:p w14:paraId="0D303D60"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Glue, P., Donovan, M. R., Kolluri, S., &amp; Emir, B. Meta-analysis of relapse prevention antidepressant trials in depressive disorders. </w:t>
      </w:r>
      <w:r w:rsidRPr="00200CCC">
        <w:rPr>
          <w:rFonts w:asciiTheme="minorHAnsi" w:hAnsiTheme="minorHAnsi" w:cstheme="minorHAnsi"/>
          <w:i/>
          <w:iCs/>
          <w:color w:val="222222"/>
          <w:shd w:val="clear" w:color="auto" w:fill="FFFFFF"/>
        </w:rPr>
        <w:t>Austral NZ J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44</w:t>
      </w:r>
      <w:r w:rsidRPr="00200CCC">
        <w:rPr>
          <w:rFonts w:asciiTheme="minorHAnsi" w:hAnsiTheme="minorHAnsi" w:cstheme="minorHAnsi"/>
          <w:color w:val="222222"/>
          <w:shd w:val="clear" w:color="auto" w:fill="FFFFFF"/>
        </w:rPr>
        <w:t>, 697-705 (2010).</w:t>
      </w:r>
    </w:p>
    <w:p w14:paraId="0EAF4F77"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 xml:space="preserve">Temple R. Enrichment of clinical study populations. </w:t>
      </w:r>
      <w:r w:rsidRPr="00200CCC">
        <w:rPr>
          <w:rFonts w:asciiTheme="minorHAnsi" w:hAnsiTheme="minorHAnsi" w:cstheme="minorHAnsi"/>
          <w:i/>
          <w:color w:val="222222"/>
          <w:shd w:val="clear" w:color="auto" w:fill="FFFFFF"/>
        </w:rPr>
        <w:t xml:space="preserve">Clin </w:t>
      </w:r>
      <w:proofErr w:type="spellStart"/>
      <w:r w:rsidRPr="00200CCC">
        <w:rPr>
          <w:rFonts w:asciiTheme="minorHAnsi" w:hAnsiTheme="minorHAnsi" w:cstheme="minorHAnsi"/>
          <w:i/>
          <w:color w:val="222222"/>
          <w:shd w:val="clear" w:color="auto" w:fill="FFFFFF"/>
        </w:rPr>
        <w:t>Pharmacol</w:t>
      </w:r>
      <w:proofErr w:type="spellEnd"/>
      <w:r w:rsidRPr="00200CCC">
        <w:rPr>
          <w:rFonts w:asciiTheme="minorHAnsi" w:hAnsiTheme="minorHAnsi" w:cstheme="minorHAnsi"/>
          <w:i/>
          <w:color w:val="222222"/>
          <w:shd w:val="clear" w:color="auto" w:fill="FFFFFF"/>
        </w:rPr>
        <w:t xml:space="preserve"> Ther,</w:t>
      </w:r>
      <w:r w:rsidRPr="00200CCC">
        <w:rPr>
          <w:rFonts w:asciiTheme="minorHAnsi" w:hAnsiTheme="minorHAnsi" w:cstheme="minorHAnsi"/>
          <w:color w:val="222222"/>
          <w:shd w:val="clear" w:color="auto" w:fill="FFFFFF"/>
        </w:rPr>
        <w:t xml:space="preserve"> </w:t>
      </w:r>
      <w:r w:rsidRPr="00200CCC">
        <w:rPr>
          <w:rFonts w:asciiTheme="minorHAnsi" w:hAnsiTheme="minorHAnsi" w:cstheme="minorHAnsi"/>
          <w:i/>
          <w:color w:val="222222"/>
          <w:shd w:val="clear" w:color="auto" w:fill="FFFFFF"/>
        </w:rPr>
        <w:t>88</w:t>
      </w:r>
      <w:r w:rsidRPr="00200CCC">
        <w:rPr>
          <w:rFonts w:asciiTheme="minorHAnsi" w:hAnsiTheme="minorHAnsi" w:cstheme="minorHAnsi"/>
          <w:color w:val="222222"/>
          <w:shd w:val="clear" w:color="auto" w:fill="FFFFFF"/>
        </w:rPr>
        <w:t>, 774-778 (2010).</w:t>
      </w:r>
    </w:p>
    <w:p w14:paraId="7688358F"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 xml:space="preserve">Daly, E. J., et al. Efficacy of </w:t>
      </w:r>
      <w:proofErr w:type="spellStart"/>
      <w:r w:rsidRPr="00200CCC">
        <w:rPr>
          <w:rFonts w:asciiTheme="minorHAnsi" w:hAnsiTheme="minorHAnsi" w:cstheme="minorHAnsi"/>
          <w:color w:val="222222"/>
          <w:shd w:val="clear" w:color="auto" w:fill="FFFFFF"/>
        </w:rPr>
        <w:t>esketamine</w:t>
      </w:r>
      <w:proofErr w:type="spellEnd"/>
      <w:r w:rsidRPr="00200CCC">
        <w:rPr>
          <w:rFonts w:asciiTheme="minorHAnsi" w:hAnsiTheme="minorHAnsi" w:cstheme="minorHAnsi"/>
          <w:color w:val="222222"/>
          <w:shd w:val="clear" w:color="auto" w:fill="FFFFFF"/>
        </w:rPr>
        <w:t xml:space="preserve"> nasal spray plus oral antidepressant treatment for relapse prevention in patients with treatment-resistant depression: a randomized clinical trial. </w:t>
      </w:r>
      <w:r w:rsidRPr="00200CCC">
        <w:rPr>
          <w:rFonts w:asciiTheme="minorHAnsi" w:hAnsiTheme="minorHAnsi" w:cstheme="minorHAnsi"/>
          <w:i/>
          <w:iCs/>
          <w:color w:val="222222"/>
          <w:shd w:val="clear" w:color="auto" w:fill="FFFFFF"/>
        </w:rPr>
        <w:t>JAMA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76</w:t>
      </w:r>
      <w:r w:rsidRPr="00200CCC">
        <w:rPr>
          <w:rFonts w:asciiTheme="minorHAnsi" w:hAnsiTheme="minorHAnsi" w:cstheme="minorHAnsi"/>
          <w:color w:val="222222"/>
          <w:shd w:val="clear" w:color="auto" w:fill="FFFFFF"/>
        </w:rPr>
        <w:t xml:space="preserve">, 893-903 (2019). </w:t>
      </w:r>
    </w:p>
    <w:p w14:paraId="627BAB07"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000000" w:themeColor="text1"/>
        </w:rPr>
        <w:t>US FDA. Enrichment Strategies for Clinical Trials to Support Determination of Effectiveness of Human Drugs and Biological Products Guidance for Industry.  March 2019.  www.fda.gov/media/121320/download</w:t>
      </w:r>
    </w:p>
    <w:p w14:paraId="3D5D23F4"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Correll, G. E., &amp; Futter, G. E. Two case studies of patients with major depressive disorder given low-dose (</w:t>
      </w:r>
      <w:proofErr w:type="spellStart"/>
      <w:r w:rsidRPr="00200CCC">
        <w:rPr>
          <w:rFonts w:asciiTheme="minorHAnsi" w:hAnsiTheme="minorHAnsi" w:cstheme="minorHAnsi"/>
          <w:color w:val="222222"/>
          <w:shd w:val="clear" w:color="auto" w:fill="FFFFFF"/>
        </w:rPr>
        <w:t>subanesthetic</w:t>
      </w:r>
      <w:proofErr w:type="spellEnd"/>
      <w:r w:rsidRPr="00200CCC">
        <w:rPr>
          <w:rFonts w:asciiTheme="minorHAnsi" w:hAnsiTheme="minorHAnsi" w:cstheme="minorHAnsi"/>
          <w:color w:val="222222"/>
          <w:shd w:val="clear" w:color="auto" w:fill="FFFFFF"/>
        </w:rPr>
        <w:t>) ketamine infusions. </w:t>
      </w:r>
      <w:r w:rsidRPr="00200CCC">
        <w:rPr>
          <w:rFonts w:asciiTheme="minorHAnsi" w:hAnsiTheme="minorHAnsi" w:cstheme="minorHAnsi"/>
          <w:i/>
          <w:iCs/>
          <w:color w:val="222222"/>
          <w:shd w:val="clear" w:color="auto" w:fill="FFFFFF"/>
        </w:rPr>
        <w:t>Pain Med</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7</w:t>
      </w:r>
      <w:r w:rsidRPr="00200CCC">
        <w:rPr>
          <w:rFonts w:asciiTheme="minorHAnsi" w:hAnsiTheme="minorHAnsi" w:cstheme="minorHAnsi"/>
          <w:color w:val="222222"/>
          <w:shd w:val="clear" w:color="auto" w:fill="FFFFFF"/>
        </w:rPr>
        <w:t>, 92-95 (2006).</w:t>
      </w:r>
    </w:p>
    <w:p w14:paraId="39391D82" w14:textId="77777777" w:rsidR="00752606" w:rsidRPr="00200CCC" w:rsidRDefault="00752606" w:rsidP="00752606">
      <w:pPr>
        <w:pStyle w:val="ListParagraph"/>
        <w:numPr>
          <w:ilvl w:val="0"/>
          <w:numId w:val="2"/>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Brown, W. A. Expectation, the placebo effect and the response to treatment. </w:t>
      </w:r>
      <w:r w:rsidRPr="00200CCC">
        <w:rPr>
          <w:rFonts w:asciiTheme="minorHAnsi" w:hAnsiTheme="minorHAnsi" w:cstheme="minorHAnsi"/>
          <w:i/>
          <w:iCs/>
          <w:color w:val="222222"/>
          <w:shd w:val="clear" w:color="auto" w:fill="FFFFFF"/>
        </w:rPr>
        <w:t>Rhode Island Med J</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98</w:t>
      </w:r>
      <w:r w:rsidRPr="00200CCC">
        <w:rPr>
          <w:rFonts w:asciiTheme="minorHAnsi" w:hAnsiTheme="minorHAnsi" w:cstheme="minorHAnsi"/>
          <w:color w:val="222222"/>
          <w:shd w:val="clear" w:color="auto" w:fill="FFFFFF"/>
        </w:rPr>
        <w:t>, 19 (2015).</w:t>
      </w:r>
    </w:p>
    <w:p w14:paraId="5F2DE435" w14:textId="77777777" w:rsidR="00752606" w:rsidRPr="00200CCC" w:rsidRDefault="00752606" w:rsidP="00752606">
      <w:pPr>
        <w:pStyle w:val="ListParagraph"/>
        <w:numPr>
          <w:ilvl w:val="0"/>
          <w:numId w:val="2"/>
        </w:numPr>
        <w:shd w:val="clear" w:color="auto" w:fill="FFFFFF"/>
        <w:spacing w:after="160"/>
        <w:rPr>
          <w:rFonts w:asciiTheme="minorHAnsi" w:hAnsiTheme="minorHAnsi" w:cstheme="minorHAnsi"/>
        </w:rPr>
      </w:pPr>
      <w:r w:rsidRPr="00200CCC">
        <w:rPr>
          <w:rFonts w:asciiTheme="minorHAnsi" w:hAnsiTheme="minorHAnsi" w:cstheme="minorHAnsi"/>
          <w:color w:val="222222"/>
          <w:shd w:val="clear" w:color="auto" w:fill="FFFFFF"/>
        </w:rPr>
        <w:t xml:space="preserve">Melander, H., Salmonson, T., Abadie, E., &amp; van </w:t>
      </w:r>
      <w:proofErr w:type="spellStart"/>
      <w:r w:rsidRPr="00200CCC">
        <w:rPr>
          <w:rFonts w:asciiTheme="minorHAnsi" w:hAnsiTheme="minorHAnsi" w:cstheme="minorHAnsi"/>
          <w:color w:val="222222"/>
          <w:shd w:val="clear" w:color="auto" w:fill="FFFFFF"/>
        </w:rPr>
        <w:t>Zwieten</w:t>
      </w:r>
      <w:proofErr w:type="spellEnd"/>
      <w:r w:rsidRPr="00200CCC">
        <w:rPr>
          <w:rFonts w:asciiTheme="minorHAnsi" w:hAnsiTheme="minorHAnsi" w:cstheme="minorHAnsi"/>
          <w:color w:val="222222"/>
          <w:shd w:val="clear" w:color="auto" w:fill="FFFFFF"/>
        </w:rPr>
        <w:t xml:space="preserve">-Boot, B. A regulatory Apologia—a review of placebo-controlled studies in regulatory submissions of new-generation antidepressants. </w:t>
      </w:r>
      <w:proofErr w:type="spellStart"/>
      <w:r w:rsidRPr="00200CCC">
        <w:rPr>
          <w:rFonts w:asciiTheme="minorHAnsi" w:hAnsiTheme="minorHAnsi" w:cstheme="minorHAnsi"/>
          <w:i/>
          <w:color w:val="222222"/>
          <w:shd w:val="clear" w:color="auto" w:fill="FFFFFF"/>
        </w:rPr>
        <w:t>Eur</w:t>
      </w:r>
      <w:proofErr w:type="spellEnd"/>
      <w:r w:rsidRPr="00200CCC">
        <w:rPr>
          <w:rFonts w:asciiTheme="minorHAnsi" w:hAnsiTheme="minorHAnsi" w:cstheme="minorHAnsi"/>
          <w:i/>
          <w:color w:val="222222"/>
          <w:shd w:val="clear" w:color="auto" w:fill="FFFFFF"/>
        </w:rPr>
        <w:t xml:space="preserve"> </w:t>
      </w:r>
      <w:proofErr w:type="spellStart"/>
      <w:r w:rsidRPr="00200CCC">
        <w:rPr>
          <w:rFonts w:asciiTheme="minorHAnsi" w:hAnsiTheme="minorHAnsi" w:cstheme="minorHAnsi"/>
          <w:i/>
          <w:color w:val="222222"/>
          <w:shd w:val="clear" w:color="auto" w:fill="FFFFFF"/>
        </w:rPr>
        <w:t>Neuropsychopharm</w:t>
      </w:r>
      <w:proofErr w:type="spellEnd"/>
      <w:r w:rsidRPr="00200CCC">
        <w:rPr>
          <w:rFonts w:asciiTheme="minorHAnsi" w:hAnsiTheme="minorHAnsi" w:cstheme="minorHAnsi"/>
          <w:i/>
          <w:color w:val="222222"/>
          <w:shd w:val="clear" w:color="auto" w:fill="FFFFFF"/>
        </w:rPr>
        <w:t>.</w:t>
      </w:r>
      <w:r w:rsidRPr="00200CCC">
        <w:rPr>
          <w:rFonts w:asciiTheme="minorHAnsi" w:hAnsiTheme="minorHAnsi" w:cstheme="minorHAnsi"/>
          <w:color w:val="222222"/>
          <w:shd w:val="clear" w:color="auto" w:fill="FFFFFF"/>
        </w:rPr>
        <w:t xml:space="preserve"> 18, 623-627 (2008).</w:t>
      </w:r>
    </w:p>
    <w:p w14:paraId="7E98B93D" w14:textId="77777777" w:rsidR="00752606" w:rsidRPr="00200CCC" w:rsidRDefault="00752606" w:rsidP="00752606">
      <w:pPr>
        <w:pStyle w:val="ListParagraph"/>
        <w:numPr>
          <w:ilvl w:val="0"/>
          <w:numId w:val="2"/>
        </w:numPr>
        <w:spacing w:after="160"/>
        <w:rPr>
          <w:rFonts w:asciiTheme="minorHAnsi" w:hAnsiTheme="minorHAnsi" w:cstheme="minorHAnsi"/>
        </w:rPr>
      </w:pPr>
      <w:r w:rsidRPr="00200CCC">
        <w:rPr>
          <w:rFonts w:asciiTheme="minorHAnsi" w:hAnsiTheme="minorHAnsi" w:cstheme="minorHAnsi"/>
          <w:color w:val="222222"/>
          <w:shd w:val="clear" w:color="auto" w:fill="FFFFFF"/>
        </w:rPr>
        <w:t xml:space="preserve">Short, B., Fong, J., Galvez, V., </w:t>
      </w:r>
      <w:proofErr w:type="spellStart"/>
      <w:r w:rsidRPr="00200CCC">
        <w:rPr>
          <w:rFonts w:asciiTheme="minorHAnsi" w:hAnsiTheme="minorHAnsi" w:cstheme="minorHAnsi"/>
          <w:color w:val="222222"/>
          <w:shd w:val="clear" w:color="auto" w:fill="FFFFFF"/>
        </w:rPr>
        <w:t>Shelker</w:t>
      </w:r>
      <w:proofErr w:type="spellEnd"/>
      <w:r w:rsidRPr="00200CCC">
        <w:rPr>
          <w:rFonts w:asciiTheme="minorHAnsi" w:hAnsiTheme="minorHAnsi" w:cstheme="minorHAnsi"/>
          <w:color w:val="222222"/>
          <w:shd w:val="clear" w:color="auto" w:fill="FFFFFF"/>
        </w:rPr>
        <w:t>, W., &amp; Loo, C. K. Side-effects associated with ketamine use in depression: a systematic review. </w:t>
      </w:r>
      <w:r w:rsidRPr="00200CCC">
        <w:rPr>
          <w:rFonts w:asciiTheme="minorHAnsi" w:hAnsiTheme="minorHAnsi" w:cstheme="minorHAnsi"/>
          <w:i/>
          <w:iCs/>
          <w:color w:val="222222"/>
          <w:shd w:val="clear" w:color="auto" w:fill="FFFFFF"/>
        </w:rPr>
        <w:t xml:space="preserve"> Lancet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5</w:t>
      </w:r>
      <w:r w:rsidRPr="00200CCC">
        <w:rPr>
          <w:rFonts w:asciiTheme="minorHAnsi" w:hAnsiTheme="minorHAnsi" w:cstheme="minorHAnsi"/>
          <w:color w:val="222222"/>
          <w:shd w:val="clear" w:color="auto" w:fill="FFFFFF"/>
        </w:rPr>
        <w:t>, 65-78 (2018).</w:t>
      </w:r>
    </w:p>
    <w:p w14:paraId="44076042" w14:textId="77777777" w:rsidR="00752606" w:rsidRPr="00200CCC" w:rsidRDefault="00752606" w:rsidP="00752606">
      <w:pPr>
        <w:pStyle w:val="ListParagraph"/>
        <w:numPr>
          <w:ilvl w:val="0"/>
          <w:numId w:val="2"/>
        </w:numPr>
        <w:spacing w:after="160" w:line="259" w:lineRule="auto"/>
        <w:rPr>
          <w:rFonts w:asciiTheme="minorHAnsi" w:eastAsia="PMingLiU" w:hAnsiTheme="minorHAnsi" w:cstheme="minorHAnsi"/>
          <w:color w:val="222222"/>
          <w:shd w:val="clear" w:color="auto" w:fill="FFFFFF"/>
        </w:rPr>
      </w:pPr>
      <w:proofErr w:type="spellStart"/>
      <w:r w:rsidRPr="00200CCC">
        <w:rPr>
          <w:rFonts w:asciiTheme="minorHAnsi" w:hAnsiTheme="minorHAnsi" w:cstheme="minorHAnsi"/>
          <w:color w:val="222222"/>
          <w:shd w:val="clear" w:color="auto" w:fill="FFFFFF"/>
        </w:rPr>
        <w:t>Sanacora</w:t>
      </w:r>
      <w:proofErr w:type="spellEnd"/>
      <w:r w:rsidRPr="00200CCC">
        <w:rPr>
          <w:rFonts w:asciiTheme="minorHAnsi" w:hAnsiTheme="minorHAnsi" w:cstheme="minorHAnsi"/>
          <w:color w:val="222222"/>
          <w:shd w:val="clear" w:color="auto" w:fill="FFFFFF"/>
        </w:rPr>
        <w:t>, G., Heimer, H., Hartman, D., Mathew, S. J., Frye, M., Nemeroff, C., &amp; Robinson Beale, R. Balancing the promise and risks of ketamine treatment for mood disorders. </w:t>
      </w:r>
      <w:r w:rsidRPr="00200CCC">
        <w:rPr>
          <w:rFonts w:asciiTheme="minorHAnsi" w:hAnsiTheme="minorHAnsi" w:cstheme="minorHAnsi"/>
          <w:i/>
          <w:iCs/>
          <w:color w:val="222222"/>
          <w:shd w:val="clear" w:color="auto" w:fill="FFFFFF"/>
        </w:rPr>
        <w:t>Neuropsychopharmacology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42</w:t>
      </w:r>
      <w:r w:rsidRPr="00200CCC">
        <w:rPr>
          <w:rFonts w:asciiTheme="minorHAnsi" w:hAnsiTheme="minorHAnsi" w:cstheme="minorHAnsi"/>
          <w:color w:val="222222"/>
          <w:shd w:val="clear" w:color="auto" w:fill="FFFFFF"/>
        </w:rPr>
        <w:t>, 1179-1181 (2017).</w:t>
      </w:r>
    </w:p>
    <w:p w14:paraId="6A048AA2" w14:textId="77777777" w:rsidR="00752606" w:rsidRPr="00200CCC" w:rsidRDefault="00752606" w:rsidP="00752606">
      <w:pPr>
        <w:shd w:val="clear" w:color="auto" w:fill="FFFFFF"/>
        <w:spacing w:after="240" w:line="360" w:lineRule="auto"/>
        <w:rPr>
          <w:rFonts w:cstheme="minorHAnsi"/>
          <w:b/>
          <w:color w:val="000000" w:themeColor="text1"/>
          <w:sz w:val="24"/>
          <w:szCs w:val="24"/>
        </w:rPr>
      </w:pPr>
    </w:p>
    <w:p w14:paraId="4B474DB4" w14:textId="77777777" w:rsidR="00752606" w:rsidRPr="00200CCC" w:rsidRDefault="00752606" w:rsidP="00752606">
      <w:pPr>
        <w:shd w:val="clear" w:color="auto" w:fill="FFFFFF"/>
        <w:spacing w:after="240" w:line="360" w:lineRule="auto"/>
        <w:rPr>
          <w:rFonts w:cstheme="minorHAnsi"/>
          <w:b/>
          <w:color w:val="000000" w:themeColor="text1"/>
          <w:sz w:val="24"/>
          <w:szCs w:val="24"/>
        </w:rPr>
      </w:pPr>
    </w:p>
    <w:p w14:paraId="58314C0C" w14:textId="77777777" w:rsidR="00746E9D" w:rsidRPr="00200CCC" w:rsidRDefault="00746E9D">
      <w:pPr>
        <w:rPr>
          <w:rFonts w:cstheme="minorHAnsi"/>
          <w:b/>
          <w:color w:val="000000" w:themeColor="text1"/>
          <w:sz w:val="24"/>
          <w:szCs w:val="24"/>
        </w:rPr>
      </w:pPr>
      <w:r w:rsidRPr="00200CCC">
        <w:rPr>
          <w:rFonts w:cstheme="minorHAnsi"/>
          <w:b/>
          <w:color w:val="000000" w:themeColor="text1"/>
          <w:sz w:val="24"/>
          <w:szCs w:val="24"/>
        </w:rPr>
        <w:br w:type="page"/>
      </w:r>
    </w:p>
    <w:p w14:paraId="097CDEF7" w14:textId="10A655AB" w:rsidR="00752606" w:rsidRPr="00200CCC" w:rsidRDefault="00752606" w:rsidP="00752606">
      <w:pPr>
        <w:shd w:val="clear" w:color="auto" w:fill="FFFFFF"/>
        <w:spacing w:after="240" w:line="360" w:lineRule="auto"/>
        <w:rPr>
          <w:rFonts w:cstheme="minorHAnsi"/>
          <w:b/>
          <w:bCs/>
          <w:color w:val="000000" w:themeColor="text1"/>
          <w:sz w:val="24"/>
          <w:szCs w:val="24"/>
        </w:rPr>
      </w:pPr>
      <w:r w:rsidRPr="00200CCC">
        <w:rPr>
          <w:rFonts w:cstheme="minorHAnsi"/>
          <w:b/>
          <w:color w:val="000000" w:themeColor="text1"/>
          <w:sz w:val="24"/>
          <w:szCs w:val="24"/>
        </w:rPr>
        <w:lastRenderedPageBreak/>
        <w:t xml:space="preserve">Methods </w:t>
      </w:r>
    </w:p>
    <w:p w14:paraId="168264C7" w14:textId="77777777" w:rsidR="00752606" w:rsidRPr="00200CCC" w:rsidRDefault="00752606" w:rsidP="00752606">
      <w:pPr>
        <w:pStyle w:val="Heading2"/>
        <w:spacing w:before="0" w:beforeAutospacing="0" w:after="120" w:afterAutospacing="0" w:line="360" w:lineRule="auto"/>
        <w:rPr>
          <w:rFonts w:asciiTheme="minorHAnsi" w:hAnsiTheme="minorHAnsi" w:cstheme="minorHAnsi"/>
          <w:bCs w:val="0"/>
          <w:color w:val="000000" w:themeColor="text1"/>
          <w:sz w:val="24"/>
          <w:szCs w:val="24"/>
        </w:rPr>
      </w:pPr>
      <w:r w:rsidRPr="00200CCC">
        <w:rPr>
          <w:rFonts w:asciiTheme="minorHAnsi" w:hAnsiTheme="minorHAnsi" w:cstheme="minorHAnsi"/>
          <w:bCs w:val="0"/>
          <w:color w:val="000000" w:themeColor="text1"/>
          <w:sz w:val="24"/>
          <w:szCs w:val="24"/>
        </w:rPr>
        <w:t xml:space="preserve">Study design and </w:t>
      </w:r>
      <w:proofErr w:type="gramStart"/>
      <w:r w:rsidRPr="00200CCC">
        <w:rPr>
          <w:rFonts w:asciiTheme="minorHAnsi" w:hAnsiTheme="minorHAnsi" w:cstheme="minorHAnsi"/>
          <w:bCs w:val="0"/>
          <w:color w:val="000000" w:themeColor="text1"/>
          <w:sz w:val="24"/>
          <w:szCs w:val="24"/>
        </w:rPr>
        <w:t>oversight</w:t>
      </w:r>
      <w:proofErr w:type="gramEnd"/>
    </w:p>
    <w:p w14:paraId="2360DEDE" w14:textId="4646385B" w:rsidR="00752606" w:rsidRPr="00200CCC" w:rsidRDefault="00752606" w:rsidP="00752606">
      <w:pPr>
        <w:spacing w:line="360" w:lineRule="auto"/>
        <w:rPr>
          <w:rFonts w:cstheme="minorHAnsi"/>
          <w:color w:val="000000" w:themeColor="text1"/>
          <w:sz w:val="24"/>
          <w:szCs w:val="24"/>
        </w:rPr>
      </w:pPr>
      <w:r w:rsidRPr="00200CCC">
        <w:rPr>
          <w:rFonts w:eastAsiaTheme="minorEastAsia" w:cstheme="minorHAnsi"/>
          <w:color w:val="000000" w:themeColor="text1"/>
          <w:sz w:val="24"/>
          <w:szCs w:val="24"/>
        </w:rPr>
        <w:t xml:space="preserve">This Phase 2 multicentre clinical trial recruited participants from 20 psychiatric clinics in New Zealand, Australia, Singapore and Taiwan. The trial design included an initial 1 week open-label enrichment phase to exclude non-responders, followed by a 12-week double-blind relapse prevention phase in participants who were treatment responders in the enrichment phase (Figure 1). </w:t>
      </w:r>
      <w:r w:rsidRPr="00200CCC">
        <w:rPr>
          <w:rFonts w:cstheme="minorHAnsi"/>
          <w:color w:val="000000" w:themeColor="text1"/>
          <w:sz w:val="24"/>
          <w:szCs w:val="24"/>
        </w:rPr>
        <w:t>The trial was conducted in accordance with the ethical principles stated in the Declaration of Helsinki and</w:t>
      </w:r>
      <w:r w:rsidRPr="00200CCC">
        <w:rPr>
          <w:rFonts w:cstheme="minorHAnsi"/>
          <w:color w:val="222222"/>
          <w:sz w:val="24"/>
          <w:szCs w:val="24"/>
          <w:shd w:val="clear" w:color="auto" w:fill="FFFFFF"/>
        </w:rPr>
        <w:t xml:space="preserve"> Good Clinical Practice quality </w:t>
      </w:r>
      <w:proofErr w:type="gramStart"/>
      <w:r w:rsidRPr="00200CCC">
        <w:rPr>
          <w:rFonts w:cstheme="minorHAnsi"/>
          <w:color w:val="222222"/>
          <w:sz w:val="24"/>
          <w:szCs w:val="24"/>
          <w:shd w:val="clear" w:color="auto" w:fill="FFFFFF"/>
        </w:rPr>
        <w:t>standards, and</w:t>
      </w:r>
      <w:proofErr w:type="gramEnd"/>
      <w:r w:rsidRPr="00200CCC">
        <w:rPr>
          <w:rFonts w:cstheme="minorHAnsi"/>
          <w:color w:val="222222"/>
          <w:sz w:val="24"/>
          <w:szCs w:val="24"/>
          <w:shd w:val="clear" w:color="auto" w:fill="FFFFFF"/>
        </w:rPr>
        <w:t xml:space="preserve"> is reported in accordance with the CONSORT 2010 statement</w:t>
      </w:r>
      <w:r w:rsidRPr="00200CCC">
        <w:rPr>
          <w:rFonts w:eastAsiaTheme="minorEastAsia" w:cstheme="minorHAnsi"/>
          <w:color w:val="000000" w:themeColor="text1"/>
          <w:sz w:val="24"/>
          <w:szCs w:val="24"/>
        </w:rPr>
        <w:t xml:space="preserve">. The protocol, consent forms and associated documents were approved by local or national ethics committees. A copy of the protocol and statistical analysis plan are included with </w:t>
      </w:r>
      <w:r w:rsidR="006F0D16" w:rsidRPr="00200CCC">
        <w:rPr>
          <w:rFonts w:eastAsiaTheme="minorEastAsia" w:cstheme="minorHAnsi"/>
          <w:color w:val="000000" w:themeColor="text1"/>
          <w:sz w:val="24"/>
          <w:szCs w:val="24"/>
        </w:rPr>
        <w:t>S</w:t>
      </w:r>
      <w:r w:rsidRPr="00200CCC">
        <w:rPr>
          <w:rFonts w:eastAsiaTheme="minorEastAsia" w:cstheme="minorHAnsi"/>
          <w:color w:val="000000" w:themeColor="text1"/>
          <w:sz w:val="24"/>
          <w:szCs w:val="24"/>
        </w:rPr>
        <w:t xml:space="preserve">upplementary </w:t>
      </w:r>
      <w:r w:rsidR="006F0D16" w:rsidRPr="00200CCC">
        <w:rPr>
          <w:rFonts w:eastAsiaTheme="minorEastAsia" w:cstheme="minorHAnsi"/>
          <w:color w:val="000000" w:themeColor="text1"/>
          <w:sz w:val="24"/>
          <w:szCs w:val="24"/>
        </w:rPr>
        <w:t>Information</w:t>
      </w:r>
      <w:r w:rsidRPr="00200CCC">
        <w:rPr>
          <w:rFonts w:eastAsiaTheme="minorEastAsia" w:cstheme="minorHAnsi"/>
          <w:color w:val="000000" w:themeColor="text1"/>
          <w:sz w:val="24"/>
          <w:szCs w:val="24"/>
        </w:rPr>
        <w:t xml:space="preserve">. </w:t>
      </w:r>
      <w:r w:rsidRPr="00200CCC">
        <w:rPr>
          <w:rFonts w:eastAsia="Times New Roman" w:cstheme="minorHAnsi"/>
          <w:color w:val="000000" w:themeColor="text1"/>
          <w:sz w:val="24"/>
          <w:szCs w:val="24"/>
          <w:lang w:eastAsia="en-NZ"/>
        </w:rPr>
        <w:t>This study was prospectively registered (</w:t>
      </w:r>
      <w:r w:rsidRPr="00200CCC">
        <w:rPr>
          <w:rFonts w:cstheme="minorHAnsi"/>
          <w:color w:val="000000" w:themeColor="text1"/>
          <w:sz w:val="24"/>
          <w:szCs w:val="24"/>
        </w:rPr>
        <w:t>ACTRN12618001042235).</w:t>
      </w:r>
    </w:p>
    <w:p w14:paraId="5652A371" w14:textId="77777777" w:rsidR="00752606" w:rsidRPr="00200CCC" w:rsidRDefault="00752606" w:rsidP="00752606">
      <w:pPr>
        <w:spacing w:line="360" w:lineRule="auto"/>
        <w:rPr>
          <w:rFonts w:cstheme="minorHAnsi"/>
          <w:b/>
          <w:color w:val="000000" w:themeColor="text1"/>
          <w:sz w:val="24"/>
          <w:szCs w:val="24"/>
        </w:rPr>
      </w:pPr>
      <w:r w:rsidRPr="00200CCC">
        <w:rPr>
          <w:rFonts w:cstheme="minorHAnsi"/>
          <w:b/>
          <w:color w:val="000000" w:themeColor="text1"/>
          <w:sz w:val="24"/>
          <w:szCs w:val="24"/>
        </w:rPr>
        <w:t>Patients</w:t>
      </w:r>
    </w:p>
    <w:p w14:paraId="3B551A1E" w14:textId="77777777" w:rsidR="00752606" w:rsidRPr="00200CCC" w:rsidRDefault="00752606" w:rsidP="00752606">
      <w:pPr>
        <w:spacing w:line="360" w:lineRule="auto"/>
        <w:rPr>
          <w:rFonts w:eastAsiaTheme="minorEastAsia" w:cstheme="minorHAnsi"/>
          <w:color w:val="000000" w:themeColor="text1"/>
          <w:sz w:val="24"/>
          <w:szCs w:val="24"/>
        </w:rPr>
      </w:pPr>
      <w:bookmarkStart w:id="5" w:name="_Hlk153457989"/>
      <w:bookmarkStart w:id="6" w:name="_Hlk162015454"/>
      <w:r w:rsidRPr="00200CCC">
        <w:rPr>
          <w:rFonts w:eastAsiaTheme="minorEastAsia" w:cstheme="minorHAnsi"/>
          <w:color w:val="000000" w:themeColor="text1"/>
          <w:sz w:val="24"/>
          <w:szCs w:val="24"/>
        </w:rPr>
        <w:t xml:space="preserve">We screened adult self-reported male and female patients (18-80 years) </w:t>
      </w:r>
      <w:bookmarkEnd w:id="5"/>
      <w:r w:rsidRPr="00200CCC">
        <w:rPr>
          <w:rFonts w:eastAsiaTheme="minorEastAsia" w:cstheme="minorHAnsi"/>
          <w:color w:val="000000" w:themeColor="text1"/>
          <w:sz w:val="24"/>
          <w:szCs w:val="24"/>
        </w:rPr>
        <w:t xml:space="preserve">with DSM-5 major depressive disorder which was treatment resistant. This was defined as lack of clinically meaningful improvement despite the use of adequate doses of at least two antidepressant agents, derived from the group(s) of commonly used first line treatment, prescribed for adequate duration. Adequate dose was defined as the minimum therapeutic dose as per the product label or maximum tolerated dose, and adequate duration was defined as a minimum duration of 6 weeks. Patients who provided written informed consent were eligible to enter screening. </w:t>
      </w:r>
      <w:bookmarkEnd w:id="6"/>
      <w:proofErr w:type="gramStart"/>
      <w:r w:rsidRPr="00200CCC">
        <w:rPr>
          <w:rFonts w:eastAsiaTheme="minorEastAsia" w:cstheme="minorHAnsi"/>
          <w:color w:val="000000" w:themeColor="text1"/>
          <w:sz w:val="24"/>
          <w:szCs w:val="24"/>
        </w:rPr>
        <w:t>Patients’ depression scores,</w:t>
      </w:r>
      <w:proofErr w:type="gramEnd"/>
      <w:r w:rsidRPr="00200CCC">
        <w:rPr>
          <w:rFonts w:eastAsiaTheme="minorEastAsia" w:cstheme="minorHAnsi"/>
          <w:color w:val="000000" w:themeColor="text1"/>
          <w:sz w:val="24"/>
          <w:szCs w:val="24"/>
        </w:rPr>
        <w:t xml:space="preserve"> assessed using the Montgomery-Asberg Depression Rating Scale (MADRS)</w:t>
      </w:r>
      <w:r w:rsidRPr="00200CCC">
        <w:rPr>
          <w:rFonts w:eastAsiaTheme="minorEastAsia" w:cstheme="minorHAnsi"/>
          <w:color w:val="000000" w:themeColor="text1"/>
          <w:sz w:val="24"/>
          <w:szCs w:val="24"/>
          <w:vertAlign w:val="superscript"/>
        </w:rPr>
        <w:t>1</w:t>
      </w:r>
      <w:r w:rsidRPr="00200CCC">
        <w:rPr>
          <w:rFonts w:eastAsiaTheme="minorEastAsia" w:cstheme="minorHAnsi"/>
          <w:color w:val="000000" w:themeColor="text1"/>
          <w:sz w:val="24"/>
          <w:szCs w:val="24"/>
        </w:rPr>
        <w:t xml:space="preserve"> were 20 or higher during screening. </w:t>
      </w:r>
      <w:r w:rsidRPr="00200CCC">
        <w:rPr>
          <w:rFonts w:cstheme="minorHAnsi"/>
          <w:color w:val="000000" w:themeColor="text1"/>
          <w:sz w:val="24"/>
          <w:szCs w:val="24"/>
        </w:rPr>
        <w:t xml:space="preserve">Any concurrent antidepressant medication had to be at stable dosage ≥ 4 weeks prior to study entry, and during the study. </w:t>
      </w:r>
      <w:r w:rsidRPr="00200CCC">
        <w:rPr>
          <w:rFonts w:eastAsiaTheme="minorEastAsia" w:cstheme="minorHAnsi"/>
          <w:color w:val="000000" w:themeColor="text1"/>
          <w:sz w:val="24"/>
          <w:szCs w:val="24"/>
        </w:rPr>
        <w:t xml:space="preserve">Key exclusion criteria included having severe medical disorders, contraindications to the use of ketamine, clinically significant findings on physical examination, safety laboratory tests or ECGs, serious risk for suicide, recent history of alcohol or drug abuse, or a history of bipolar disorder, schizophrenia, or severe personality disorder. </w:t>
      </w:r>
      <w:r w:rsidRPr="00200CCC">
        <w:rPr>
          <w:rFonts w:cstheme="minorHAnsi"/>
          <w:color w:val="222222"/>
          <w:sz w:val="24"/>
          <w:szCs w:val="24"/>
          <w:shd w:val="clear" w:color="auto" w:fill="FFFFFF"/>
        </w:rPr>
        <w:t>Detailed inclusion/exclusion criteria can be found in the study protocol (</w:t>
      </w:r>
      <w:r w:rsidRPr="00200CCC">
        <w:rPr>
          <w:rFonts w:cstheme="minorHAnsi"/>
          <w:sz w:val="24"/>
          <w:szCs w:val="24"/>
          <w:shd w:val="clear" w:color="auto" w:fill="FFFFFF"/>
        </w:rPr>
        <w:t>Supplementary Information</w:t>
      </w:r>
      <w:r w:rsidRPr="00200CCC">
        <w:rPr>
          <w:rFonts w:cstheme="minorHAnsi"/>
          <w:color w:val="222222"/>
          <w:sz w:val="24"/>
          <w:szCs w:val="24"/>
          <w:shd w:val="clear" w:color="auto" w:fill="FFFFFF"/>
        </w:rPr>
        <w:t>).</w:t>
      </w:r>
    </w:p>
    <w:p w14:paraId="4AD7B23C" w14:textId="77777777" w:rsidR="00752606" w:rsidRPr="00200CCC" w:rsidRDefault="00752606" w:rsidP="00752606">
      <w:pPr>
        <w:spacing w:line="360" w:lineRule="auto"/>
        <w:rPr>
          <w:rFonts w:eastAsiaTheme="minorEastAsia" w:cstheme="minorHAnsi"/>
          <w:b/>
          <w:color w:val="000000" w:themeColor="text1"/>
          <w:sz w:val="24"/>
          <w:szCs w:val="24"/>
        </w:rPr>
      </w:pPr>
      <w:r w:rsidRPr="00200CCC">
        <w:rPr>
          <w:rFonts w:eastAsiaTheme="minorEastAsia" w:cstheme="minorHAnsi"/>
          <w:b/>
          <w:color w:val="000000" w:themeColor="text1"/>
          <w:sz w:val="24"/>
          <w:szCs w:val="24"/>
        </w:rPr>
        <w:t>Trial Procedures, Randomization and Blinding</w:t>
      </w:r>
    </w:p>
    <w:p w14:paraId="4FDD909F" w14:textId="77777777" w:rsidR="00752606" w:rsidRPr="00200CCC" w:rsidRDefault="00752606" w:rsidP="00752606">
      <w:pPr>
        <w:spacing w:line="360" w:lineRule="auto"/>
        <w:rPr>
          <w:rFonts w:eastAsia="Times New Roman" w:cstheme="minorHAnsi"/>
          <w:color w:val="000000" w:themeColor="text1"/>
          <w:sz w:val="24"/>
          <w:szCs w:val="24"/>
          <w:lang w:eastAsia="en-NZ"/>
        </w:rPr>
      </w:pPr>
      <w:r w:rsidRPr="00200CCC">
        <w:rPr>
          <w:rFonts w:eastAsiaTheme="minorEastAsia" w:cstheme="minorHAnsi"/>
          <w:color w:val="000000" w:themeColor="text1"/>
          <w:sz w:val="24"/>
          <w:szCs w:val="24"/>
        </w:rPr>
        <w:lastRenderedPageBreak/>
        <w:t xml:space="preserve">Patients who met eligibility criteria and completed screening received open label R-107 tablets 120mg/day for 5 days (Days 1-5; enrichment phase). On Day 8, dosing responders (MADRS scores </w:t>
      </w:r>
      <w:r w:rsidRPr="00200CCC">
        <w:rPr>
          <w:rFonts w:eastAsiaTheme="minorEastAsia" w:cstheme="minorHAnsi"/>
          <w:color w:val="000000" w:themeColor="text1"/>
          <w:sz w:val="24"/>
          <w:szCs w:val="24"/>
          <w:u w:val="single"/>
        </w:rPr>
        <w:t>&lt;</w:t>
      </w:r>
      <w:r w:rsidRPr="00200CCC">
        <w:rPr>
          <w:rFonts w:eastAsiaTheme="minorEastAsia" w:cstheme="minorHAnsi"/>
          <w:color w:val="000000" w:themeColor="text1"/>
          <w:sz w:val="24"/>
          <w:szCs w:val="24"/>
        </w:rPr>
        <w:t xml:space="preserve">12 and reduction </w:t>
      </w:r>
      <w:r w:rsidRPr="00200CCC">
        <w:rPr>
          <w:rFonts w:eastAsiaTheme="minorEastAsia" w:cstheme="minorHAnsi"/>
          <w:color w:val="000000" w:themeColor="text1"/>
          <w:sz w:val="24"/>
          <w:szCs w:val="24"/>
          <w:u w:val="single"/>
        </w:rPr>
        <w:t>&gt;</w:t>
      </w:r>
      <w:r w:rsidRPr="00200CCC">
        <w:rPr>
          <w:rFonts w:eastAsiaTheme="minorEastAsia" w:cstheme="minorHAnsi"/>
          <w:color w:val="000000" w:themeColor="text1"/>
          <w:sz w:val="24"/>
          <w:szCs w:val="24"/>
        </w:rPr>
        <w:t xml:space="preserve">50% from baseline) were randomized on a 1:1:1:1:1 basis to receive </w:t>
      </w:r>
      <w:r w:rsidRPr="00200CCC">
        <w:rPr>
          <w:rFonts w:cstheme="minorHAnsi"/>
          <w:color w:val="000000" w:themeColor="text1"/>
          <w:sz w:val="24"/>
          <w:szCs w:val="24"/>
        </w:rPr>
        <w:t xml:space="preserve">double-blind R-107 doses of 30, 60, 120, or 180mg, or placebo, twice weekly for 12 weeks; non-responders exited the study. Each dose administered during the double-blind phase comprised 3 tablets which could contain 0, 30 or 60mg R-107, to make up the allocated dose. Active and placebo tablets dispensed during the trial were identical in appearance. Randomization was by an automated integrated web response system. </w:t>
      </w:r>
      <w:r w:rsidRPr="00200CCC">
        <w:rPr>
          <w:rFonts w:eastAsia="Times New Roman" w:cstheme="minorHAnsi"/>
          <w:color w:val="000000" w:themeColor="text1"/>
          <w:sz w:val="24"/>
          <w:szCs w:val="24"/>
          <w:lang w:eastAsia="en-NZ"/>
        </w:rPr>
        <w:t xml:space="preserve">All patients, and all people involved in the conduct of the clinical trial were blinded to treatment allocation. </w:t>
      </w:r>
      <w:r w:rsidRPr="00200CCC">
        <w:rPr>
          <w:rFonts w:cstheme="minorHAnsi"/>
          <w:color w:val="000000" w:themeColor="text1"/>
          <w:sz w:val="24"/>
          <w:szCs w:val="24"/>
        </w:rPr>
        <w:t xml:space="preserve">During the double-blind relapse prevention phase, there were weekly clinic visits up to week 6, and clinic visits every 4 weeks up to 13 weeks. </w:t>
      </w:r>
      <w:r w:rsidRPr="00200CCC">
        <w:rPr>
          <w:rFonts w:cstheme="minorHAnsi"/>
          <w:sz w:val="24"/>
          <w:szCs w:val="24"/>
          <w:lang w:val="en-US"/>
        </w:rPr>
        <w:t xml:space="preserve">Medication compliance was monitored by participants completing a dosing diary that they brought to clinic visits for checking, plus return of investigational product containers. Participants also received scheduled phone checks from investigators at the study sites to enquire about compliance, during these calls patients were asked if they had experienced any AE’s. </w:t>
      </w:r>
      <w:r w:rsidRPr="00200CCC">
        <w:rPr>
          <w:rFonts w:cstheme="minorHAnsi"/>
          <w:color w:val="000000" w:themeColor="text1"/>
          <w:sz w:val="24"/>
          <w:szCs w:val="24"/>
        </w:rPr>
        <w:t xml:space="preserve">Patients who relapsed during double blind treatment (MADRS </w:t>
      </w:r>
      <w:r w:rsidRPr="00200CCC">
        <w:rPr>
          <w:rFonts w:cstheme="minorHAnsi"/>
          <w:color w:val="000000" w:themeColor="text1"/>
          <w:sz w:val="24"/>
          <w:szCs w:val="24"/>
          <w:u w:val="single"/>
        </w:rPr>
        <w:t>&gt;</w:t>
      </w:r>
      <w:r w:rsidRPr="00200CCC">
        <w:rPr>
          <w:rFonts w:cstheme="minorHAnsi"/>
          <w:color w:val="000000" w:themeColor="text1"/>
          <w:sz w:val="24"/>
          <w:szCs w:val="24"/>
        </w:rPr>
        <w:t>22) were withdrawn from the study and could enter an open-label extension study.</w:t>
      </w:r>
    </w:p>
    <w:p w14:paraId="02020207" w14:textId="77777777" w:rsidR="00752606" w:rsidRPr="00200CCC" w:rsidRDefault="00752606" w:rsidP="00752606">
      <w:pPr>
        <w:pStyle w:val="NormalWeb"/>
        <w:spacing w:before="0" w:beforeAutospacing="0" w:after="240" w:afterAutospacing="0" w:line="360" w:lineRule="auto"/>
        <w:rPr>
          <w:rFonts w:asciiTheme="minorHAnsi" w:hAnsiTheme="minorHAnsi" w:cstheme="minorHAnsi"/>
          <w:b/>
          <w:color w:val="000000" w:themeColor="text1"/>
        </w:rPr>
      </w:pPr>
      <w:r w:rsidRPr="00200CCC">
        <w:rPr>
          <w:rFonts w:asciiTheme="minorHAnsi" w:hAnsiTheme="minorHAnsi" w:cstheme="minorHAnsi"/>
          <w:b/>
          <w:color w:val="000000" w:themeColor="text1"/>
        </w:rPr>
        <w:t xml:space="preserve">Dose </w:t>
      </w:r>
      <w:proofErr w:type="gramStart"/>
      <w:r w:rsidRPr="00200CCC">
        <w:rPr>
          <w:rFonts w:asciiTheme="minorHAnsi" w:hAnsiTheme="minorHAnsi" w:cstheme="minorHAnsi"/>
          <w:b/>
          <w:color w:val="000000" w:themeColor="text1"/>
        </w:rPr>
        <w:t>justification</w:t>
      </w:r>
      <w:proofErr w:type="gramEnd"/>
    </w:p>
    <w:p w14:paraId="221466FD" w14:textId="584F89E5" w:rsidR="00752606" w:rsidRPr="00200CCC" w:rsidRDefault="00752606" w:rsidP="00752606">
      <w:pPr>
        <w:pStyle w:val="NormalWeb"/>
        <w:spacing w:before="0" w:beforeAutospacing="0" w:after="240" w:afterAutospacing="0" w:line="360" w:lineRule="auto"/>
        <w:rPr>
          <w:rFonts w:asciiTheme="minorHAnsi" w:hAnsiTheme="minorHAnsi" w:cstheme="minorHAnsi"/>
          <w:color w:val="000000" w:themeColor="text1"/>
        </w:rPr>
      </w:pPr>
      <w:r w:rsidRPr="00200CCC">
        <w:rPr>
          <w:rFonts w:asciiTheme="minorHAnsi" w:hAnsiTheme="minorHAnsi" w:cstheme="minorHAnsi"/>
          <w:color w:val="000000" w:themeColor="text1"/>
        </w:rPr>
        <w:t>The open-label R-107 used in the Day 1-5 enrichment phase had previously shown onset of antidepressant activity by day 2 of dosing in a pilot study of R-107 in patients with TRD.</w:t>
      </w:r>
      <w:r w:rsidRPr="00200CCC">
        <w:rPr>
          <w:rFonts w:asciiTheme="minorHAnsi" w:hAnsiTheme="minorHAnsi" w:cstheme="minorHAnsi"/>
          <w:color w:val="000000" w:themeColor="text1"/>
          <w:vertAlign w:val="superscript"/>
        </w:rPr>
        <w:t>2</w:t>
      </w:r>
      <w:r w:rsidRPr="00200CCC">
        <w:rPr>
          <w:rFonts w:asciiTheme="minorHAnsi" w:hAnsiTheme="minorHAnsi" w:cstheme="minorHAnsi"/>
          <w:color w:val="000000" w:themeColor="text1"/>
        </w:rPr>
        <w:t xml:space="preserve"> This method of dosing was intended to provide continuous exposure to ketamine metabolites and to recreate exposures that would occur in a continuous ketamine infusion paradigm previously reported to have rapid onset antidepressant effects.</w:t>
      </w:r>
      <w:r w:rsidRPr="00200CCC">
        <w:rPr>
          <w:rFonts w:asciiTheme="minorHAnsi" w:hAnsiTheme="minorHAnsi" w:cstheme="minorHAnsi"/>
          <w:color w:val="000000" w:themeColor="text1"/>
          <w:vertAlign w:val="superscript"/>
        </w:rPr>
        <w:t>3</w:t>
      </w:r>
      <w:r w:rsidRPr="00200CCC">
        <w:rPr>
          <w:rFonts w:asciiTheme="minorHAnsi" w:hAnsiTheme="minorHAnsi" w:cstheme="minorHAnsi"/>
          <w:color w:val="000000" w:themeColor="text1"/>
        </w:rPr>
        <w:t xml:space="preserve"> Doses used in the double-blind phase were intended to cover the range of oral doses reported to be active in a review of oral ketamine for depression.</w:t>
      </w:r>
      <w:r w:rsidRPr="00200CCC">
        <w:rPr>
          <w:rFonts w:asciiTheme="minorHAnsi" w:hAnsiTheme="minorHAnsi" w:cstheme="minorHAnsi"/>
          <w:color w:val="000000" w:themeColor="text1"/>
          <w:vertAlign w:val="superscript"/>
        </w:rPr>
        <w:t>4</w:t>
      </w:r>
      <w:r w:rsidRPr="00200CCC">
        <w:rPr>
          <w:rFonts w:asciiTheme="minorHAnsi" w:hAnsiTheme="minorHAnsi" w:cstheme="minorHAnsi"/>
          <w:color w:val="000000" w:themeColor="text1"/>
        </w:rPr>
        <w:t xml:space="preserve">  </w:t>
      </w:r>
    </w:p>
    <w:p w14:paraId="03BFC458" w14:textId="77777777" w:rsidR="00752606" w:rsidRPr="00200CCC" w:rsidRDefault="00752606" w:rsidP="00752606">
      <w:pPr>
        <w:spacing w:line="360" w:lineRule="auto"/>
        <w:rPr>
          <w:rFonts w:eastAsia="Times New Roman" w:cstheme="minorHAnsi"/>
          <w:b/>
          <w:color w:val="000000" w:themeColor="text1"/>
          <w:sz w:val="24"/>
          <w:szCs w:val="24"/>
          <w:lang w:eastAsia="en-NZ"/>
        </w:rPr>
      </w:pPr>
      <w:r w:rsidRPr="00200CCC">
        <w:rPr>
          <w:rFonts w:eastAsia="Times New Roman" w:cstheme="minorHAnsi"/>
          <w:b/>
          <w:color w:val="000000" w:themeColor="text1"/>
          <w:sz w:val="24"/>
          <w:szCs w:val="24"/>
          <w:lang w:eastAsia="en-NZ"/>
        </w:rPr>
        <w:t>Endpoints</w:t>
      </w:r>
    </w:p>
    <w:p w14:paraId="6EDC1292" w14:textId="77777777" w:rsidR="00752606" w:rsidRPr="00200CCC" w:rsidRDefault="00752606" w:rsidP="00752606">
      <w:pPr>
        <w:spacing w:line="360" w:lineRule="auto"/>
        <w:rPr>
          <w:rFonts w:eastAsia="Times New Roman" w:cstheme="minorHAnsi"/>
          <w:color w:val="000000" w:themeColor="text1"/>
          <w:sz w:val="24"/>
          <w:szCs w:val="24"/>
          <w:lang w:eastAsia="en-NZ"/>
        </w:rPr>
      </w:pPr>
      <w:r w:rsidRPr="00200CCC">
        <w:rPr>
          <w:rFonts w:eastAsia="Times New Roman" w:cstheme="minorHAnsi"/>
          <w:color w:val="000000" w:themeColor="text1"/>
          <w:sz w:val="24"/>
          <w:szCs w:val="24"/>
          <w:lang w:eastAsia="en-NZ"/>
        </w:rPr>
        <w:t xml:space="preserve">The primary efficacy endpoint was the change in MADRS total score from baseline (Day 1) to Day 92 (Week 13). </w:t>
      </w:r>
      <w:r w:rsidRPr="00200CCC">
        <w:rPr>
          <w:rFonts w:cstheme="minorHAnsi"/>
          <w:color w:val="000000" w:themeColor="text1"/>
          <w:sz w:val="24"/>
          <w:szCs w:val="24"/>
        </w:rPr>
        <w:t xml:space="preserve">This was evaluated with analysis of covariance (ANCOVA), with dose as a factor and baseline MADRS as a covariate. </w:t>
      </w:r>
      <w:r w:rsidRPr="00200CCC">
        <w:rPr>
          <w:rFonts w:eastAsia="Times New Roman" w:cstheme="minorHAnsi"/>
          <w:color w:val="000000" w:themeColor="text1"/>
          <w:sz w:val="24"/>
          <w:szCs w:val="24"/>
          <w:lang w:eastAsia="en-NZ"/>
        </w:rPr>
        <w:t xml:space="preserve">Time to relapse was another efficacy measure. Other efficacy measures included the Patient Global Impression-Improvement (PGI-I) and </w:t>
      </w:r>
      <w:r w:rsidRPr="00200CCC">
        <w:rPr>
          <w:rFonts w:eastAsia="Times New Roman" w:cstheme="minorHAnsi"/>
          <w:color w:val="000000" w:themeColor="text1"/>
          <w:sz w:val="24"/>
          <w:szCs w:val="24"/>
          <w:lang w:eastAsia="en-NZ"/>
        </w:rPr>
        <w:lastRenderedPageBreak/>
        <w:t>Clinical Global Improvement-Severity (CGI-S) scales.</w:t>
      </w:r>
      <w:r w:rsidRPr="00200CCC">
        <w:rPr>
          <w:rFonts w:eastAsia="Times New Roman" w:cstheme="minorHAnsi"/>
          <w:color w:val="000000" w:themeColor="text1"/>
          <w:sz w:val="24"/>
          <w:szCs w:val="24"/>
          <w:vertAlign w:val="superscript"/>
          <w:lang w:eastAsia="en-NZ"/>
        </w:rPr>
        <w:t>5</w:t>
      </w:r>
      <w:r w:rsidRPr="00200CCC">
        <w:rPr>
          <w:rFonts w:eastAsia="Times New Roman" w:cstheme="minorHAnsi"/>
          <w:color w:val="000000" w:themeColor="text1"/>
          <w:sz w:val="24"/>
          <w:szCs w:val="24"/>
          <w:lang w:eastAsia="en-NZ"/>
        </w:rPr>
        <w:t xml:space="preserve"> Safety assessments included safety laboratory tests (haematology and biochemistry), ECGs, Montreal Cognitive Assessment (MoCA)</w:t>
      </w:r>
      <w:r w:rsidRPr="00200CCC">
        <w:rPr>
          <w:rFonts w:eastAsia="Times New Roman" w:cstheme="minorHAnsi"/>
          <w:color w:val="000000" w:themeColor="text1"/>
          <w:sz w:val="24"/>
          <w:szCs w:val="24"/>
          <w:vertAlign w:val="superscript"/>
          <w:lang w:eastAsia="en-NZ"/>
        </w:rPr>
        <w:t>6</w:t>
      </w:r>
      <w:r w:rsidRPr="00200CCC">
        <w:rPr>
          <w:rFonts w:eastAsia="Times New Roman" w:cstheme="minorHAnsi"/>
          <w:color w:val="000000" w:themeColor="text1"/>
          <w:sz w:val="24"/>
          <w:szCs w:val="24"/>
          <w:lang w:eastAsia="en-NZ"/>
        </w:rPr>
        <w:t xml:space="preserve"> and verbal fluency tests, Columbia Suicide Severity Rating Scale (CSSRS)</w:t>
      </w:r>
      <w:r w:rsidRPr="00200CCC">
        <w:rPr>
          <w:rFonts w:eastAsia="Times New Roman" w:cstheme="minorHAnsi"/>
          <w:color w:val="000000" w:themeColor="text1"/>
          <w:sz w:val="24"/>
          <w:szCs w:val="24"/>
          <w:vertAlign w:val="superscript"/>
          <w:lang w:eastAsia="en-NZ"/>
        </w:rPr>
        <w:t>7</w:t>
      </w:r>
      <w:r w:rsidRPr="00200CCC">
        <w:rPr>
          <w:rFonts w:eastAsia="Times New Roman" w:cstheme="minorHAnsi"/>
          <w:color w:val="000000" w:themeColor="text1"/>
          <w:sz w:val="24"/>
          <w:szCs w:val="24"/>
          <w:lang w:eastAsia="en-NZ"/>
        </w:rPr>
        <w:t xml:space="preserve">, </w:t>
      </w:r>
      <w:r w:rsidRPr="00200CCC">
        <w:rPr>
          <w:rFonts w:cstheme="minorHAnsi"/>
          <w:color w:val="000000" w:themeColor="text1"/>
          <w:sz w:val="24"/>
          <w:szCs w:val="24"/>
        </w:rPr>
        <w:t>bladder pain/interstitial cystitis symptom score (</w:t>
      </w:r>
      <w:r w:rsidRPr="00200CCC">
        <w:rPr>
          <w:rFonts w:eastAsia="Times New Roman" w:cstheme="minorHAnsi"/>
          <w:color w:val="000000" w:themeColor="text1"/>
          <w:sz w:val="24"/>
          <w:szCs w:val="24"/>
          <w:lang w:eastAsia="en-NZ"/>
        </w:rPr>
        <w:t>BPIC-SS)</w:t>
      </w:r>
      <w:r w:rsidRPr="00200CCC">
        <w:rPr>
          <w:rFonts w:eastAsia="Times New Roman" w:cstheme="minorHAnsi"/>
          <w:color w:val="000000" w:themeColor="text1"/>
          <w:sz w:val="24"/>
          <w:szCs w:val="24"/>
          <w:vertAlign w:val="superscript"/>
          <w:lang w:eastAsia="en-NZ"/>
        </w:rPr>
        <w:t>8</w:t>
      </w:r>
      <w:r w:rsidRPr="00200CCC">
        <w:rPr>
          <w:rFonts w:eastAsia="Times New Roman" w:cstheme="minorHAnsi"/>
          <w:color w:val="000000" w:themeColor="text1"/>
          <w:sz w:val="24"/>
          <w:szCs w:val="24"/>
          <w:lang w:eastAsia="en-NZ"/>
        </w:rPr>
        <w:t xml:space="preserve"> and the </w:t>
      </w:r>
      <w:r w:rsidRPr="00200CCC">
        <w:rPr>
          <w:rFonts w:cstheme="minorHAnsi"/>
          <w:color w:val="000000" w:themeColor="text1"/>
          <w:sz w:val="24"/>
          <w:szCs w:val="24"/>
          <w:shd w:val="clear" w:color="auto" w:fill="FFFFFF"/>
        </w:rPr>
        <w:t>four-item positive symptom subscale of </w:t>
      </w:r>
      <w:r w:rsidRPr="00200CCC">
        <w:rPr>
          <w:rFonts w:cstheme="minorHAnsi"/>
          <w:color w:val="000000" w:themeColor="text1"/>
          <w:sz w:val="24"/>
          <w:szCs w:val="24"/>
        </w:rPr>
        <w:t>Brief Psychiatric Rating Scale (</w:t>
      </w:r>
      <w:r w:rsidRPr="00200CCC">
        <w:rPr>
          <w:rFonts w:eastAsia="Times New Roman" w:cstheme="minorHAnsi"/>
          <w:color w:val="000000" w:themeColor="text1"/>
          <w:sz w:val="24"/>
          <w:szCs w:val="24"/>
          <w:lang w:eastAsia="en-NZ"/>
        </w:rPr>
        <w:t>BPRS+).</w:t>
      </w:r>
      <w:r w:rsidRPr="00200CCC">
        <w:rPr>
          <w:rFonts w:eastAsia="Times New Roman" w:cstheme="minorHAnsi"/>
          <w:color w:val="000000" w:themeColor="text1"/>
          <w:sz w:val="24"/>
          <w:szCs w:val="24"/>
          <w:vertAlign w:val="superscript"/>
          <w:lang w:eastAsia="en-NZ"/>
        </w:rPr>
        <w:t>9</w:t>
      </w:r>
      <w:r w:rsidRPr="00200CCC">
        <w:rPr>
          <w:rFonts w:eastAsia="Times New Roman" w:cstheme="minorHAnsi"/>
          <w:color w:val="000000" w:themeColor="text1"/>
          <w:sz w:val="24"/>
          <w:szCs w:val="24"/>
          <w:lang w:eastAsia="en-NZ"/>
        </w:rPr>
        <w:t xml:space="preserve"> Tolerability assessments included reported adverse events, and CADSS (dissociation)</w:t>
      </w:r>
      <w:r w:rsidRPr="00200CCC">
        <w:rPr>
          <w:rFonts w:eastAsia="Times New Roman" w:cstheme="minorHAnsi"/>
          <w:color w:val="000000" w:themeColor="text1"/>
          <w:sz w:val="24"/>
          <w:szCs w:val="24"/>
          <w:vertAlign w:val="superscript"/>
          <w:lang w:eastAsia="en-NZ"/>
        </w:rPr>
        <w:t>10</w:t>
      </w:r>
      <w:r w:rsidRPr="00200CCC">
        <w:rPr>
          <w:rFonts w:eastAsia="Times New Roman" w:cstheme="minorHAnsi"/>
          <w:color w:val="000000" w:themeColor="text1"/>
          <w:sz w:val="24"/>
          <w:szCs w:val="24"/>
          <w:lang w:eastAsia="en-NZ"/>
        </w:rPr>
        <w:t xml:space="preserve"> scores.</w:t>
      </w:r>
    </w:p>
    <w:p w14:paraId="0BC16A7F" w14:textId="77777777" w:rsidR="00752606" w:rsidRPr="00200CCC" w:rsidRDefault="00752606" w:rsidP="00752606">
      <w:pPr>
        <w:pStyle w:val="Heading2"/>
        <w:spacing w:before="0" w:beforeAutospacing="0" w:after="120" w:afterAutospacing="0" w:line="360" w:lineRule="auto"/>
        <w:rPr>
          <w:rFonts w:asciiTheme="minorHAnsi" w:hAnsiTheme="minorHAnsi" w:cstheme="minorHAnsi"/>
          <w:bCs w:val="0"/>
          <w:color w:val="000000" w:themeColor="text1"/>
          <w:sz w:val="24"/>
          <w:szCs w:val="24"/>
        </w:rPr>
      </w:pPr>
      <w:r w:rsidRPr="00200CCC">
        <w:rPr>
          <w:rFonts w:asciiTheme="minorHAnsi" w:hAnsiTheme="minorHAnsi" w:cstheme="minorHAnsi"/>
          <w:bCs w:val="0"/>
          <w:color w:val="000000" w:themeColor="text1"/>
          <w:sz w:val="24"/>
          <w:szCs w:val="24"/>
        </w:rPr>
        <w:t xml:space="preserve">Sample size and statistical </w:t>
      </w:r>
      <w:proofErr w:type="gramStart"/>
      <w:r w:rsidRPr="00200CCC">
        <w:rPr>
          <w:rFonts w:asciiTheme="minorHAnsi" w:hAnsiTheme="minorHAnsi" w:cstheme="minorHAnsi"/>
          <w:bCs w:val="0"/>
          <w:color w:val="000000" w:themeColor="text1"/>
          <w:sz w:val="24"/>
          <w:szCs w:val="24"/>
        </w:rPr>
        <w:t>analysis</w:t>
      </w:r>
      <w:proofErr w:type="gramEnd"/>
    </w:p>
    <w:p w14:paraId="161F3C91" w14:textId="77777777" w:rsidR="00752606" w:rsidRPr="00200CCC" w:rsidRDefault="00752606" w:rsidP="00752606">
      <w:pPr>
        <w:pStyle w:val="NormalWeb"/>
        <w:spacing w:before="0" w:beforeAutospacing="0" w:after="240" w:afterAutospacing="0" w:line="360" w:lineRule="auto"/>
        <w:rPr>
          <w:rFonts w:asciiTheme="minorHAnsi" w:hAnsiTheme="minorHAnsi" w:cstheme="minorHAnsi"/>
          <w:color w:val="000000" w:themeColor="text1"/>
        </w:rPr>
      </w:pPr>
      <w:r w:rsidRPr="00200CCC">
        <w:rPr>
          <w:rFonts w:asciiTheme="minorHAnsi" w:hAnsiTheme="minorHAnsi" w:cstheme="minorHAnsi"/>
          <w:color w:val="000000" w:themeColor="text1"/>
        </w:rPr>
        <w:t xml:space="preserve">The sample size calculation was based on the superiority of R-107 to placebo by a magnitude of 6 MADRS units, using a standard deviation of change in MADRS of 7.5 units, a two-sided Type 1 error of 0.05, and a power of 80%. A closed testing procedure was assumed whereby each dose group was compared with the placebo group in descending dose order, and 26 subjects per group were required. Allowing for a 13% drop-out rate and an attrition rate of 25% during the enrichment open-label phase, approximately 200 subjects were required initially </w:t>
      </w:r>
      <w:proofErr w:type="gramStart"/>
      <w:r w:rsidRPr="00200CCC">
        <w:rPr>
          <w:rFonts w:asciiTheme="minorHAnsi" w:hAnsiTheme="minorHAnsi" w:cstheme="minorHAnsi"/>
          <w:color w:val="000000" w:themeColor="text1"/>
        </w:rPr>
        <w:t>in order to</w:t>
      </w:r>
      <w:proofErr w:type="gramEnd"/>
      <w:r w:rsidRPr="00200CCC">
        <w:rPr>
          <w:rFonts w:asciiTheme="minorHAnsi" w:hAnsiTheme="minorHAnsi" w:cstheme="minorHAnsi"/>
          <w:color w:val="000000" w:themeColor="text1"/>
        </w:rPr>
        <w:t xml:space="preserve"> have 150 subjects randomized to five treatment groups at the start of the double-blind randomized treatment phase.</w:t>
      </w:r>
    </w:p>
    <w:p w14:paraId="47634384" w14:textId="77777777" w:rsidR="00752606" w:rsidRPr="00200CCC" w:rsidRDefault="00752606" w:rsidP="00752606">
      <w:pPr>
        <w:spacing w:line="360" w:lineRule="auto"/>
        <w:rPr>
          <w:rFonts w:cstheme="minorHAnsi"/>
          <w:sz w:val="24"/>
          <w:szCs w:val="24"/>
        </w:rPr>
      </w:pPr>
      <w:bookmarkStart w:id="7" w:name="_Hlk153450544"/>
      <w:r w:rsidRPr="00200CCC">
        <w:rPr>
          <w:rFonts w:cstheme="minorHAnsi"/>
          <w:sz w:val="24"/>
          <w:szCs w:val="24"/>
        </w:rPr>
        <w:t xml:space="preserve">The primary endpoint, change in MADRS total score from baseline (Day 1) to Day 92, </w:t>
      </w:r>
      <w:bookmarkEnd w:id="7"/>
      <w:r w:rsidRPr="00200CCC">
        <w:rPr>
          <w:rFonts w:cstheme="minorHAnsi"/>
          <w:sz w:val="24"/>
          <w:szCs w:val="24"/>
        </w:rPr>
        <w:t xml:space="preserve">was analysed using ANCOVA. The analysis was based on differences in MADRS total scores at Day 92 from Day 1 MADRS total score, with dose as factor and baseline MADRS total score as a covariate. Missing values for the Day 92 MADRS total scores were imputed from the last available MADRS total score using a last observation carried forward approach, under the assumption that this was a conservative imputation (it was assumed that more relapses would occur in the placebo group, and that relapsed subjects would have deteriorated further had they remained in the study, so this imputation method was conservative in terms of the estimation of a treatment effect).  This ensured the main analysis of the primary endpoint was not left unanalysable due to high relapse rates in some groups. Time to relapse (defined as a MADRS score </w:t>
      </w:r>
      <w:r w:rsidRPr="00200CCC">
        <w:rPr>
          <w:rFonts w:cstheme="minorHAnsi"/>
          <w:sz w:val="24"/>
          <w:szCs w:val="24"/>
          <w:u w:val="single"/>
        </w:rPr>
        <w:t>&gt;</w:t>
      </w:r>
      <w:r w:rsidRPr="00200CCC">
        <w:rPr>
          <w:rFonts w:cstheme="minorHAnsi"/>
          <w:sz w:val="24"/>
          <w:szCs w:val="24"/>
        </w:rPr>
        <w:t>22) was evaluated by Kaplan-Meier analysis, with restricted mean survival time calculated for each treatment group and differences compared with the placebo group.</w:t>
      </w:r>
    </w:p>
    <w:p w14:paraId="1A5E1A6B" w14:textId="77777777" w:rsidR="00752606" w:rsidRPr="00200CCC" w:rsidRDefault="00752606" w:rsidP="00752606">
      <w:pPr>
        <w:pStyle w:val="NormalWeb"/>
        <w:spacing w:before="0" w:beforeAutospacing="0" w:after="240" w:afterAutospacing="0" w:line="360" w:lineRule="auto"/>
        <w:rPr>
          <w:rFonts w:asciiTheme="minorHAnsi" w:hAnsiTheme="minorHAnsi" w:cstheme="minorHAnsi"/>
          <w:b/>
        </w:rPr>
      </w:pPr>
      <w:r w:rsidRPr="00200CCC">
        <w:rPr>
          <w:rFonts w:asciiTheme="minorHAnsi" w:hAnsiTheme="minorHAnsi" w:cstheme="minorHAnsi"/>
          <w:b/>
        </w:rPr>
        <w:t>Data Availability</w:t>
      </w:r>
    </w:p>
    <w:p w14:paraId="22ECA9E5" w14:textId="77777777" w:rsidR="00881737" w:rsidRPr="00200CCC" w:rsidRDefault="00E4422C" w:rsidP="00752606">
      <w:pPr>
        <w:pStyle w:val="NormalWeb"/>
        <w:spacing w:before="0" w:beforeAutospacing="0" w:after="240" w:afterAutospacing="0" w:line="360" w:lineRule="auto"/>
        <w:rPr>
          <w:rFonts w:asciiTheme="minorHAnsi" w:hAnsiTheme="minorHAnsi" w:cstheme="minorHAnsi"/>
          <w:color w:val="222222"/>
        </w:rPr>
      </w:pPr>
      <w:r w:rsidRPr="00200CCC">
        <w:rPr>
          <w:rFonts w:asciiTheme="minorHAnsi" w:hAnsiTheme="minorHAnsi" w:cstheme="minorHAnsi"/>
          <w:color w:val="222222"/>
        </w:rPr>
        <w:lastRenderedPageBreak/>
        <w:t xml:space="preserve">De-identified individual participant data and the data dictionary will be made available 24 months after publication. Proposals with specific aims and an analysis plan should be directed to one of the authors (P.S.). </w:t>
      </w:r>
    </w:p>
    <w:p w14:paraId="32D5A65F" w14:textId="77777777" w:rsidR="00881737" w:rsidRPr="00200CCC" w:rsidRDefault="00881737" w:rsidP="00752606">
      <w:pPr>
        <w:pStyle w:val="NormalWeb"/>
        <w:spacing w:before="0" w:beforeAutospacing="0" w:after="240" w:afterAutospacing="0" w:line="360" w:lineRule="auto"/>
        <w:rPr>
          <w:rFonts w:asciiTheme="minorHAnsi" w:hAnsiTheme="minorHAnsi" w:cstheme="minorHAnsi"/>
          <w:color w:val="222222"/>
        </w:rPr>
      </w:pPr>
    </w:p>
    <w:p w14:paraId="626E73AE" w14:textId="6C3E732E" w:rsidR="00752606" w:rsidRPr="00200CCC" w:rsidRDefault="00752606" w:rsidP="00752606">
      <w:pPr>
        <w:pStyle w:val="NormalWeb"/>
        <w:spacing w:before="0" w:beforeAutospacing="0" w:after="240" w:afterAutospacing="0" w:line="360" w:lineRule="auto"/>
        <w:rPr>
          <w:rFonts w:asciiTheme="minorHAnsi" w:hAnsiTheme="minorHAnsi" w:cstheme="minorHAnsi"/>
          <w:b/>
          <w:color w:val="0D0D0D" w:themeColor="text1" w:themeTint="F2"/>
        </w:rPr>
      </w:pPr>
      <w:r w:rsidRPr="00200CCC">
        <w:rPr>
          <w:rFonts w:asciiTheme="minorHAnsi" w:hAnsiTheme="minorHAnsi" w:cstheme="minorHAnsi"/>
          <w:b/>
          <w:color w:val="0D0D0D" w:themeColor="text1" w:themeTint="F2"/>
        </w:rPr>
        <w:t xml:space="preserve">Methods-only references: </w:t>
      </w:r>
    </w:p>
    <w:p w14:paraId="4258B925" w14:textId="77777777" w:rsidR="00752606" w:rsidRPr="00200CCC" w:rsidRDefault="00752606" w:rsidP="00752606">
      <w:pPr>
        <w:pStyle w:val="ListParagraph"/>
        <w:numPr>
          <w:ilvl w:val="0"/>
          <w:numId w:val="4"/>
        </w:numPr>
        <w:shd w:val="clear" w:color="auto" w:fill="FFFFFF"/>
        <w:spacing w:after="160"/>
        <w:rPr>
          <w:rFonts w:asciiTheme="minorHAnsi" w:hAnsiTheme="minorHAnsi" w:cstheme="minorHAnsi"/>
        </w:rPr>
      </w:pPr>
      <w:bookmarkStart w:id="8" w:name="_Hlk147341123"/>
      <w:r w:rsidRPr="00200CCC">
        <w:rPr>
          <w:rFonts w:asciiTheme="minorHAnsi" w:hAnsiTheme="minorHAnsi" w:cstheme="minorHAnsi"/>
          <w:color w:val="222222"/>
          <w:shd w:val="clear" w:color="auto" w:fill="FFFFFF"/>
        </w:rPr>
        <w:t xml:space="preserve">Montgomery, S. A., &amp; </w:t>
      </w:r>
      <w:proofErr w:type="spellStart"/>
      <w:r w:rsidRPr="00200CCC">
        <w:rPr>
          <w:rFonts w:asciiTheme="minorHAnsi" w:hAnsiTheme="minorHAnsi" w:cstheme="minorHAnsi"/>
          <w:color w:val="222222"/>
          <w:shd w:val="clear" w:color="auto" w:fill="FFFFFF"/>
        </w:rPr>
        <w:t>Åsberg</w:t>
      </w:r>
      <w:proofErr w:type="spellEnd"/>
      <w:r w:rsidRPr="00200CCC">
        <w:rPr>
          <w:rFonts w:asciiTheme="minorHAnsi" w:hAnsiTheme="minorHAnsi" w:cstheme="minorHAnsi"/>
          <w:color w:val="222222"/>
          <w:shd w:val="clear" w:color="auto" w:fill="FFFFFF"/>
        </w:rPr>
        <w:t>, M. A new depression scale designed to be sensitive to change. </w:t>
      </w:r>
      <w:r w:rsidRPr="00200CCC">
        <w:rPr>
          <w:rFonts w:asciiTheme="minorHAnsi" w:hAnsiTheme="minorHAnsi" w:cstheme="minorHAnsi"/>
          <w:i/>
          <w:iCs/>
          <w:color w:val="222222"/>
          <w:shd w:val="clear" w:color="auto" w:fill="FFFFFF"/>
        </w:rPr>
        <w:t>Br J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134</w:t>
      </w:r>
      <w:r w:rsidRPr="00200CCC">
        <w:rPr>
          <w:rFonts w:asciiTheme="minorHAnsi" w:hAnsiTheme="minorHAnsi" w:cstheme="minorHAnsi"/>
          <w:color w:val="222222"/>
          <w:shd w:val="clear" w:color="auto" w:fill="FFFFFF"/>
        </w:rPr>
        <w:t>, 382-389</w:t>
      </w:r>
      <w:r w:rsidRPr="00200CCC">
        <w:rPr>
          <w:rFonts w:asciiTheme="minorHAnsi" w:hAnsiTheme="minorHAnsi" w:cstheme="minorHAnsi"/>
        </w:rPr>
        <w:t xml:space="preserve"> (1979).</w:t>
      </w:r>
    </w:p>
    <w:p w14:paraId="60C39F99" w14:textId="77777777" w:rsidR="00752606" w:rsidRPr="00200CCC" w:rsidRDefault="00752606" w:rsidP="00752606">
      <w:pPr>
        <w:pStyle w:val="ListParagraph"/>
        <w:numPr>
          <w:ilvl w:val="0"/>
          <w:numId w:val="4"/>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Glue, P., Medlicott, N. J., Surman, P., Lam, F., Hung, N., &amp; Hung, C. T. Ascending‐dose study of controlled‐release ketamine tablets in healthy volunteers: pharmacokinetics, pharmacodynamics, safety, and tolerability. </w:t>
      </w:r>
      <w:r w:rsidRPr="00200CCC">
        <w:rPr>
          <w:rFonts w:asciiTheme="minorHAnsi" w:hAnsiTheme="minorHAnsi" w:cstheme="minorHAnsi"/>
          <w:i/>
          <w:iCs/>
          <w:color w:val="222222"/>
          <w:shd w:val="clear" w:color="auto" w:fill="FFFFFF"/>
        </w:rPr>
        <w:t xml:space="preserve">J Clin </w:t>
      </w:r>
      <w:proofErr w:type="spellStart"/>
      <w:r w:rsidRPr="00200CCC">
        <w:rPr>
          <w:rFonts w:asciiTheme="minorHAnsi" w:hAnsiTheme="minorHAnsi" w:cstheme="minorHAnsi"/>
          <w:i/>
          <w:iCs/>
          <w:color w:val="222222"/>
          <w:shd w:val="clear" w:color="auto" w:fill="FFFFFF"/>
        </w:rPr>
        <w:t>Pharmacol</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60</w:t>
      </w:r>
      <w:r w:rsidRPr="00200CCC">
        <w:rPr>
          <w:rFonts w:asciiTheme="minorHAnsi" w:hAnsiTheme="minorHAnsi" w:cstheme="minorHAnsi"/>
          <w:color w:val="222222"/>
          <w:shd w:val="clear" w:color="auto" w:fill="FFFFFF"/>
        </w:rPr>
        <w:t>, 751-757 (2020).</w:t>
      </w:r>
    </w:p>
    <w:p w14:paraId="4BCEA4A5" w14:textId="77777777" w:rsidR="00752606" w:rsidRPr="00200CCC" w:rsidRDefault="00752606" w:rsidP="00752606">
      <w:pPr>
        <w:pStyle w:val="ListParagraph"/>
        <w:numPr>
          <w:ilvl w:val="0"/>
          <w:numId w:val="4"/>
        </w:numPr>
        <w:shd w:val="clear" w:color="auto" w:fill="FFFFFF"/>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Correll, G. E., &amp; Futter, G. E. Two case studies of patients with major depressive disorder given low-dose (</w:t>
      </w:r>
      <w:proofErr w:type="spellStart"/>
      <w:r w:rsidRPr="00200CCC">
        <w:rPr>
          <w:rFonts w:asciiTheme="minorHAnsi" w:hAnsiTheme="minorHAnsi" w:cstheme="minorHAnsi"/>
          <w:color w:val="222222"/>
          <w:shd w:val="clear" w:color="auto" w:fill="FFFFFF"/>
        </w:rPr>
        <w:t>subanesthetic</w:t>
      </w:r>
      <w:proofErr w:type="spellEnd"/>
      <w:r w:rsidRPr="00200CCC">
        <w:rPr>
          <w:rFonts w:asciiTheme="minorHAnsi" w:hAnsiTheme="minorHAnsi" w:cstheme="minorHAnsi"/>
          <w:color w:val="222222"/>
          <w:shd w:val="clear" w:color="auto" w:fill="FFFFFF"/>
        </w:rPr>
        <w:t>) ketamine infusions. </w:t>
      </w:r>
      <w:r w:rsidRPr="00200CCC">
        <w:rPr>
          <w:rFonts w:asciiTheme="minorHAnsi" w:hAnsiTheme="minorHAnsi" w:cstheme="minorHAnsi"/>
          <w:i/>
          <w:iCs/>
          <w:color w:val="222222"/>
          <w:shd w:val="clear" w:color="auto" w:fill="FFFFFF"/>
        </w:rPr>
        <w:t>Pain Med</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7</w:t>
      </w:r>
      <w:r w:rsidRPr="00200CCC">
        <w:rPr>
          <w:rFonts w:asciiTheme="minorHAnsi" w:hAnsiTheme="minorHAnsi" w:cstheme="minorHAnsi"/>
          <w:color w:val="222222"/>
          <w:shd w:val="clear" w:color="auto" w:fill="FFFFFF"/>
        </w:rPr>
        <w:t>, 92-95 (2006).</w:t>
      </w:r>
    </w:p>
    <w:p w14:paraId="518F35A4" w14:textId="77777777" w:rsidR="00752606" w:rsidRPr="00200CCC" w:rsidRDefault="00752606" w:rsidP="00752606">
      <w:pPr>
        <w:pStyle w:val="ListParagraph"/>
        <w:numPr>
          <w:ilvl w:val="0"/>
          <w:numId w:val="4"/>
        </w:numPr>
        <w:spacing w:after="160" w:line="259" w:lineRule="auto"/>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 xml:space="preserve">Schoevers, R. A., Chaves, T. V., </w:t>
      </w:r>
      <w:proofErr w:type="spellStart"/>
      <w:r w:rsidRPr="00200CCC">
        <w:rPr>
          <w:rFonts w:asciiTheme="minorHAnsi" w:hAnsiTheme="minorHAnsi" w:cstheme="minorHAnsi"/>
          <w:color w:val="222222"/>
          <w:shd w:val="clear" w:color="auto" w:fill="FFFFFF"/>
        </w:rPr>
        <w:t>Balukova</w:t>
      </w:r>
      <w:proofErr w:type="spellEnd"/>
      <w:r w:rsidRPr="00200CCC">
        <w:rPr>
          <w:rFonts w:asciiTheme="minorHAnsi" w:hAnsiTheme="minorHAnsi" w:cstheme="minorHAnsi"/>
          <w:color w:val="222222"/>
          <w:shd w:val="clear" w:color="auto" w:fill="FFFFFF"/>
        </w:rPr>
        <w:t>, S. M., &amp; Kortekaas, R. Oral ketamine for the treatment of pain and treatment-resistant depression. </w:t>
      </w:r>
      <w:r w:rsidRPr="00200CCC">
        <w:rPr>
          <w:rFonts w:asciiTheme="minorHAnsi" w:hAnsiTheme="minorHAnsi" w:cstheme="minorHAnsi"/>
          <w:i/>
          <w:iCs/>
          <w:color w:val="222222"/>
          <w:shd w:val="clear" w:color="auto" w:fill="FFFFFF"/>
        </w:rPr>
        <w:t>Br J Psychiatry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208</w:t>
      </w:r>
      <w:r w:rsidRPr="00200CCC">
        <w:rPr>
          <w:rFonts w:asciiTheme="minorHAnsi" w:hAnsiTheme="minorHAnsi" w:cstheme="minorHAnsi"/>
          <w:color w:val="222222"/>
          <w:shd w:val="clear" w:color="auto" w:fill="FFFFFF"/>
        </w:rPr>
        <w:t>, 108-113 (2016).</w:t>
      </w:r>
    </w:p>
    <w:p w14:paraId="7E09BD66" w14:textId="77777777" w:rsidR="00752606" w:rsidRPr="00200CCC" w:rsidRDefault="00752606" w:rsidP="00752606">
      <w:pPr>
        <w:pStyle w:val="ListParagraph"/>
        <w:numPr>
          <w:ilvl w:val="0"/>
          <w:numId w:val="4"/>
        </w:numPr>
        <w:spacing w:after="160" w:line="259" w:lineRule="auto"/>
        <w:rPr>
          <w:rFonts w:asciiTheme="minorHAnsi" w:hAnsiTheme="minorHAnsi" w:cstheme="minorHAnsi"/>
          <w:color w:val="212121"/>
          <w:shd w:val="clear" w:color="auto" w:fill="FFFFFF"/>
        </w:rPr>
      </w:pPr>
      <w:proofErr w:type="spellStart"/>
      <w:r w:rsidRPr="00200CCC">
        <w:rPr>
          <w:rFonts w:asciiTheme="minorHAnsi" w:hAnsiTheme="minorHAnsi" w:cstheme="minorHAnsi"/>
          <w:color w:val="222222"/>
          <w:shd w:val="clear" w:color="auto" w:fill="FFFFFF"/>
        </w:rPr>
        <w:t>Busner</w:t>
      </w:r>
      <w:proofErr w:type="spellEnd"/>
      <w:r w:rsidRPr="00200CCC">
        <w:rPr>
          <w:rFonts w:asciiTheme="minorHAnsi" w:hAnsiTheme="minorHAnsi" w:cstheme="minorHAnsi"/>
          <w:color w:val="222222"/>
          <w:shd w:val="clear" w:color="auto" w:fill="FFFFFF"/>
        </w:rPr>
        <w:t>, J., &amp; Targum, S. D. The clinical global impressions scale: applying a research tool in clinical practice. </w:t>
      </w:r>
      <w:r w:rsidRPr="00200CCC">
        <w:rPr>
          <w:rFonts w:asciiTheme="minorHAnsi" w:hAnsiTheme="minorHAnsi" w:cstheme="minorHAnsi"/>
          <w:i/>
          <w:iCs/>
          <w:color w:val="222222"/>
          <w:shd w:val="clear" w:color="auto" w:fill="FFFFFF"/>
        </w:rPr>
        <w:t>Psychiatry (</w:t>
      </w:r>
      <w:proofErr w:type="spellStart"/>
      <w:r w:rsidRPr="00200CCC">
        <w:rPr>
          <w:rFonts w:asciiTheme="minorHAnsi" w:hAnsiTheme="minorHAnsi" w:cstheme="minorHAnsi"/>
          <w:i/>
          <w:iCs/>
          <w:color w:val="222222"/>
          <w:shd w:val="clear" w:color="auto" w:fill="FFFFFF"/>
        </w:rPr>
        <w:t>Edgmont</w:t>
      </w:r>
      <w:proofErr w:type="spellEnd"/>
      <w:r w:rsidRPr="00200CCC">
        <w:rPr>
          <w:rFonts w:asciiTheme="minorHAnsi" w:hAnsiTheme="minorHAnsi" w:cstheme="minorHAnsi"/>
          <w:i/>
          <w:iCs/>
          <w:color w:val="222222"/>
          <w:shd w:val="clear" w:color="auto" w:fill="FFFFFF"/>
        </w:rPr>
        <w:t>)</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4</w:t>
      </w:r>
      <w:r w:rsidRPr="00200CCC">
        <w:rPr>
          <w:rFonts w:asciiTheme="minorHAnsi" w:hAnsiTheme="minorHAnsi" w:cstheme="minorHAnsi"/>
          <w:color w:val="222222"/>
          <w:shd w:val="clear" w:color="auto" w:fill="FFFFFF"/>
        </w:rPr>
        <w:t>, 28.</w:t>
      </w:r>
      <w:r w:rsidRPr="00200CCC">
        <w:rPr>
          <w:rFonts w:asciiTheme="minorHAnsi" w:hAnsiTheme="minorHAnsi" w:cstheme="minorHAnsi"/>
        </w:rPr>
        <w:t xml:space="preserve"> (2007).</w:t>
      </w:r>
    </w:p>
    <w:p w14:paraId="56B3F6AD" w14:textId="77777777" w:rsidR="00752606" w:rsidRPr="00200CCC" w:rsidRDefault="00752606" w:rsidP="00752606">
      <w:pPr>
        <w:pStyle w:val="ListParagraph"/>
        <w:numPr>
          <w:ilvl w:val="0"/>
          <w:numId w:val="4"/>
        </w:numPr>
        <w:spacing w:after="160" w:line="259" w:lineRule="auto"/>
        <w:rPr>
          <w:rFonts w:asciiTheme="minorHAnsi" w:hAnsiTheme="minorHAnsi" w:cstheme="minorHAnsi"/>
        </w:rPr>
      </w:pPr>
      <w:r w:rsidRPr="00200CCC">
        <w:rPr>
          <w:rFonts w:asciiTheme="minorHAnsi" w:hAnsiTheme="minorHAnsi" w:cstheme="minorHAnsi"/>
          <w:color w:val="222222"/>
          <w:shd w:val="clear" w:color="auto" w:fill="FFFFFF"/>
        </w:rPr>
        <w:t>Blair, M., et al. Depressive symptoms negatively impact Montreal Cognitive Assessment performance: a memory clinic experience. </w:t>
      </w:r>
      <w:r w:rsidRPr="00200CCC">
        <w:rPr>
          <w:rFonts w:asciiTheme="minorHAnsi" w:hAnsiTheme="minorHAnsi" w:cstheme="minorHAnsi"/>
          <w:i/>
          <w:iCs/>
          <w:color w:val="222222"/>
          <w:shd w:val="clear" w:color="auto" w:fill="FFFFFF"/>
        </w:rPr>
        <w:t xml:space="preserve">Can J </w:t>
      </w:r>
      <w:proofErr w:type="spellStart"/>
      <w:r w:rsidRPr="00200CCC">
        <w:rPr>
          <w:rFonts w:asciiTheme="minorHAnsi" w:hAnsiTheme="minorHAnsi" w:cstheme="minorHAnsi"/>
          <w:i/>
          <w:iCs/>
          <w:color w:val="222222"/>
          <w:shd w:val="clear" w:color="auto" w:fill="FFFFFF"/>
        </w:rPr>
        <w:t>Neurol</w:t>
      </w:r>
      <w:proofErr w:type="spellEnd"/>
      <w:r w:rsidRPr="00200CCC">
        <w:rPr>
          <w:rFonts w:asciiTheme="minorHAnsi" w:hAnsiTheme="minorHAnsi" w:cstheme="minorHAnsi"/>
          <w:i/>
          <w:iCs/>
          <w:color w:val="222222"/>
          <w:shd w:val="clear" w:color="auto" w:fill="FFFFFF"/>
        </w:rPr>
        <w:t xml:space="preserve"> Sci</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43</w:t>
      </w:r>
      <w:r w:rsidRPr="00200CCC">
        <w:rPr>
          <w:rFonts w:asciiTheme="minorHAnsi" w:hAnsiTheme="minorHAnsi" w:cstheme="minorHAnsi"/>
          <w:color w:val="222222"/>
          <w:shd w:val="clear" w:color="auto" w:fill="FFFFFF"/>
        </w:rPr>
        <w:t>, 513-517</w:t>
      </w:r>
      <w:r w:rsidRPr="00200CCC">
        <w:rPr>
          <w:rFonts w:asciiTheme="minorHAnsi" w:hAnsiTheme="minorHAnsi" w:cstheme="minorHAnsi"/>
        </w:rPr>
        <w:t xml:space="preserve"> (2016).</w:t>
      </w:r>
    </w:p>
    <w:p w14:paraId="510B382B" w14:textId="77777777" w:rsidR="00752606" w:rsidRPr="00200CCC" w:rsidRDefault="00752606" w:rsidP="00752606">
      <w:pPr>
        <w:pStyle w:val="ListParagraph"/>
        <w:numPr>
          <w:ilvl w:val="0"/>
          <w:numId w:val="4"/>
        </w:numPr>
        <w:spacing w:after="160" w:line="259" w:lineRule="auto"/>
        <w:rPr>
          <w:rFonts w:asciiTheme="minorHAnsi" w:hAnsiTheme="minorHAnsi" w:cstheme="minorHAnsi"/>
          <w:color w:val="222222"/>
          <w:shd w:val="clear" w:color="auto" w:fill="FFFFFF"/>
        </w:rPr>
      </w:pPr>
      <w:r w:rsidRPr="00200CCC">
        <w:rPr>
          <w:rFonts w:asciiTheme="minorHAnsi" w:hAnsiTheme="minorHAnsi" w:cstheme="minorHAnsi"/>
          <w:color w:val="222222"/>
          <w:shd w:val="clear" w:color="auto" w:fill="FFFFFF"/>
        </w:rPr>
        <w:t>Posner, K., et al. Columbia-suicide severity rating scale (C-SSRS). </w:t>
      </w:r>
      <w:r w:rsidRPr="00200CCC">
        <w:rPr>
          <w:rFonts w:asciiTheme="minorHAnsi" w:hAnsiTheme="minorHAnsi" w:cstheme="minorHAnsi"/>
          <w:i/>
          <w:iCs/>
          <w:color w:val="222222"/>
          <w:shd w:val="clear" w:color="auto" w:fill="FFFFFF"/>
        </w:rPr>
        <w:t xml:space="preserve">New York, NY: Columbia University Medical </w:t>
      </w:r>
      <w:proofErr w:type="spellStart"/>
      <w:r w:rsidRPr="00200CCC">
        <w:rPr>
          <w:rFonts w:asciiTheme="minorHAnsi" w:hAnsiTheme="minorHAnsi" w:cstheme="minorHAnsi"/>
          <w:i/>
          <w:iCs/>
          <w:color w:val="222222"/>
          <w:shd w:val="clear" w:color="auto" w:fill="FFFFFF"/>
        </w:rPr>
        <w:t>Center</w:t>
      </w:r>
      <w:proofErr w:type="spellEnd"/>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10</w:t>
      </w:r>
      <w:r w:rsidRPr="00200CCC">
        <w:rPr>
          <w:rFonts w:asciiTheme="minorHAnsi" w:hAnsiTheme="minorHAnsi" w:cstheme="minorHAnsi"/>
          <w:color w:val="222222"/>
          <w:shd w:val="clear" w:color="auto" w:fill="FFFFFF"/>
        </w:rPr>
        <w:t xml:space="preserve">, (2008). </w:t>
      </w:r>
    </w:p>
    <w:p w14:paraId="3676A3FC" w14:textId="77777777" w:rsidR="00752606" w:rsidRPr="00200CCC" w:rsidRDefault="00752606" w:rsidP="00752606">
      <w:pPr>
        <w:pStyle w:val="ListParagraph"/>
        <w:numPr>
          <w:ilvl w:val="0"/>
          <w:numId w:val="4"/>
        </w:numPr>
        <w:spacing w:after="160" w:line="259" w:lineRule="auto"/>
        <w:rPr>
          <w:rFonts w:asciiTheme="minorHAnsi" w:hAnsiTheme="minorHAnsi" w:cstheme="minorHAnsi"/>
        </w:rPr>
      </w:pPr>
      <w:r w:rsidRPr="00200CCC">
        <w:rPr>
          <w:rFonts w:asciiTheme="minorHAnsi" w:hAnsiTheme="minorHAnsi" w:cstheme="minorHAnsi"/>
          <w:color w:val="222222"/>
          <w:shd w:val="clear" w:color="auto" w:fill="FFFFFF"/>
        </w:rPr>
        <w:t>Humphrey, L., et al. The bladder pain/interstitial cystitis symptom score: development, validation, and identification of a cut score. </w:t>
      </w:r>
      <w:proofErr w:type="spellStart"/>
      <w:r w:rsidRPr="00200CCC">
        <w:rPr>
          <w:rFonts w:asciiTheme="minorHAnsi" w:hAnsiTheme="minorHAnsi" w:cstheme="minorHAnsi"/>
          <w:i/>
          <w:iCs/>
          <w:color w:val="222222"/>
          <w:shd w:val="clear" w:color="auto" w:fill="FFFFFF"/>
        </w:rPr>
        <w:t>Eur</w:t>
      </w:r>
      <w:proofErr w:type="spellEnd"/>
      <w:r w:rsidRPr="00200CCC">
        <w:rPr>
          <w:rFonts w:asciiTheme="minorHAnsi" w:hAnsiTheme="minorHAnsi" w:cstheme="minorHAnsi"/>
          <w:i/>
          <w:iCs/>
          <w:color w:val="222222"/>
          <w:shd w:val="clear" w:color="auto" w:fill="FFFFFF"/>
        </w:rPr>
        <w:t xml:space="preserve"> Urology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61</w:t>
      </w:r>
      <w:r w:rsidRPr="00200CCC">
        <w:rPr>
          <w:rFonts w:asciiTheme="minorHAnsi" w:hAnsiTheme="minorHAnsi" w:cstheme="minorHAnsi"/>
          <w:color w:val="222222"/>
          <w:shd w:val="clear" w:color="auto" w:fill="FFFFFF"/>
        </w:rPr>
        <w:t>, 271-279. (2012).</w:t>
      </w:r>
      <w:r w:rsidRPr="00200CCC">
        <w:rPr>
          <w:rFonts w:asciiTheme="minorHAnsi" w:hAnsiTheme="minorHAnsi" w:cstheme="minorHAnsi"/>
        </w:rPr>
        <w:t xml:space="preserve"> </w:t>
      </w:r>
    </w:p>
    <w:p w14:paraId="007DD6A3" w14:textId="77777777" w:rsidR="00752606" w:rsidRPr="00200CCC" w:rsidRDefault="00752606" w:rsidP="00752606">
      <w:pPr>
        <w:pStyle w:val="ListParagraph"/>
        <w:numPr>
          <w:ilvl w:val="0"/>
          <w:numId w:val="4"/>
        </w:numPr>
        <w:spacing w:after="160" w:line="259" w:lineRule="auto"/>
        <w:rPr>
          <w:rFonts w:asciiTheme="minorHAnsi" w:hAnsiTheme="minorHAnsi" w:cstheme="minorHAnsi"/>
        </w:rPr>
      </w:pPr>
      <w:r w:rsidRPr="00200CCC">
        <w:rPr>
          <w:rFonts w:asciiTheme="minorHAnsi" w:hAnsiTheme="minorHAnsi" w:cstheme="minorHAnsi"/>
          <w:color w:val="222222"/>
          <w:shd w:val="clear" w:color="auto" w:fill="FFFFFF"/>
        </w:rPr>
        <w:t>Overall, J. E., &amp; Beller, S. A. The Brief Psychiatric Rating Scale (BPRS) in geropsychiatric research: I. Factor structure on an inpatient unit. </w:t>
      </w:r>
      <w:r w:rsidRPr="00200CCC">
        <w:rPr>
          <w:rFonts w:asciiTheme="minorHAnsi" w:hAnsiTheme="minorHAnsi" w:cstheme="minorHAnsi"/>
          <w:i/>
          <w:iCs/>
          <w:color w:val="222222"/>
          <w:shd w:val="clear" w:color="auto" w:fill="FFFFFF"/>
        </w:rPr>
        <w:t>Journal of Gerontology</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39</w:t>
      </w:r>
      <w:r w:rsidRPr="00200CCC">
        <w:rPr>
          <w:rFonts w:asciiTheme="minorHAnsi" w:hAnsiTheme="minorHAnsi" w:cstheme="minorHAnsi"/>
          <w:color w:val="222222"/>
          <w:shd w:val="clear" w:color="auto" w:fill="FFFFFF"/>
        </w:rPr>
        <w:t>, 187-193</w:t>
      </w:r>
      <w:r w:rsidRPr="00200CCC">
        <w:rPr>
          <w:rFonts w:asciiTheme="minorHAnsi" w:hAnsiTheme="minorHAnsi" w:cstheme="minorHAnsi"/>
        </w:rPr>
        <w:t xml:space="preserve"> (1984). </w:t>
      </w:r>
    </w:p>
    <w:p w14:paraId="1BB1CF05" w14:textId="0AA8F255" w:rsidR="006B340F" w:rsidRPr="00200CCC" w:rsidRDefault="00752606" w:rsidP="005F7D56">
      <w:pPr>
        <w:pStyle w:val="ListParagraph"/>
        <w:numPr>
          <w:ilvl w:val="0"/>
          <w:numId w:val="4"/>
        </w:numPr>
        <w:spacing w:after="160" w:line="259" w:lineRule="auto"/>
        <w:ind w:left="0" w:firstLine="0"/>
      </w:pPr>
      <w:r w:rsidRPr="00200CCC">
        <w:rPr>
          <w:rFonts w:asciiTheme="minorHAnsi" w:hAnsiTheme="minorHAnsi" w:cstheme="minorHAnsi"/>
          <w:color w:val="222222"/>
          <w:shd w:val="clear" w:color="auto" w:fill="FFFFFF"/>
        </w:rPr>
        <w:t>Bremner, J. D., et al. Measurement of dissociative states with the clinician-administered dissociative states scale (CADSS). </w:t>
      </w:r>
      <w:r w:rsidRPr="00200CCC">
        <w:rPr>
          <w:rFonts w:asciiTheme="minorHAnsi" w:hAnsiTheme="minorHAnsi" w:cstheme="minorHAnsi"/>
          <w:i/>
          <w:iCs/>
          <w:color w:val="222222"/>
          <w:shd w:val="clear" w:color="auto" w:fill="FFFFFF"/>
        </w:rPr>
        <w:t>J Trauma Stress</w:t>
      </w:r>
      <w:r w:rsidRPr="00200CCC">
        <w:rPr>
          <w:rFonts w:asciiTheme="minorHAnsi" w:hAnsiTheme="minorHAnsi" w:cstheme="minorHAnsi"/>
          <w:color w:val="222222"/>
          <w:shd w:val="clear" w:color="auto" w:fill="FFFFFF"/>
        </w:rPr>
        <w:t>, </w:t>
      </w:r>
      <w:r w:rsidRPr="00200CCC">
        <w:rPr>
          <w:rFonts w:asciiTheme="minorHAnsi" w:hAnsiTheme="minorHAnsi" w:cstheme="minorHAnsi"/>
          <w:i/>
          <w:iCs/>
          <w:color w:val="222222"/>
          <w:shd w:val="clear" w:color="auto" w:fill="FFFFFF"/>
        </w:rPr>
        <w:t>11</w:t>
      </w:r>
      <w:r w:rsidRPr="00200CCC">
        <w:rPr>
          <w:rFonts w:asciiTheme="minorHAnsi" w:hAnsiTheme="minorHAnsi" w:cstheme="minorHAnsi"/>
          <w:color w:val="222222"/>
          <w:shd w:val="clear" w:color="auto" w:fill="FFFFFF"/>
        </w:rPr>
        <w:t>, 125-136.</w:t>
      </w:r>
      <w:r w:rsidRPr="00200CCC">
        <w:rPr>
          <w:rFonts w:asciiTheme="minorHAnsi" w:hAnsiTheme="minorHAnsi" w:cstheme="minorHAnsi"/>
        </w:rPr>
        <w:t xml:space="preserve"> (1998).</w:t>
      </w:r>
      <w:bookmarkEnd w:id="8"/>
    </w:p>
    <w:sectPr w:rsidR="006B340F" w:rsidRPr="00200CCC" w:rsidSect="00D924A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D0D8" w14:textId="77777777" w:rsidR="00854A47" w:rsidRDefault="00854A47" w:rsidP="00FD465B">
      <w:pPr>
        <w:spacing w:after="0" w:line="240" w:lineRule="auto"/>
      </w:pPr>
      <w:r>
        <w:separator/>
      </w:r>
    </w:p>
  </w:endnote>
  <w:endnote w:type="continuationSeparator" w:id="0">
    <w:p w14:paraId="0ACF7370" w14:textId="77777777" w:rsidR="00854A47" w:rsidRDefault="00854A47" w:rsidP="00FD465B">
      <w:pPr>
        <w:spacing w:after="0" w:line="240" w:lineRule="auto"/>
      </w:pPr>
      <w:r>
        <w:continuationSeparator/>
      </w:r>
    </w:p>
  </w:endnote>
  <w:endnote w:type="continuationNotice" w:id="1">
    <w:p w14:paraId="488BE1D3" w14:textId="77777777" w:rsidR="00854A47" w:rsidRDefault="00854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E552" w14:textId="77777777" w:rsidR="00854A47" w:rsidRDefault="00854A47" w:rsidP="00FD465B">
      <w:pPr>
        <w:spacing w:after="0" w:line="240" w:lineRule="auto"/>
      </w:pPr>
      <w:r>
        <w:separator/>
      </w:r>
    </w:p>
  </w:footnote>
  <w:footnote w:type="continuationSeparator" w:id="0">
    <w:p w14:paraId="7715EC54" w14:textId="77777777" w:rsidR="00854A47" w:rsidRDefault="00854A47" w:rsidP="00FD465B">
      <w:pPr>
        <w:spacing w:after="0" w:line="240" w:lineRule="auto"/>
      </w:pPr>
      <w:r>
        <w:continuationSeparator/>
      </w:r>
    </w:p>
  </w:footnote>
  <w:footnote w:type="continuationNotice" w:id="1">
    <w:p w14:paraId="02277A3C" w14:textId="77777777" w:rsidR="00854A47" w:rsidRDefault="00854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723253"/>
      <w:docPartObj>
        <w:docPartGallery w:val="Page Numbers (Top of Page)"/>
        <w:docPartUnique/>
      </w:docPartObj>
    </w:sdtPr>
    <w:sdtEndPr>
      <w:rPr>
        <w:noProof/>
      </w:rPr>
    </w:sdtEndPr>
    <w:sdtContent>
      <w:p w14:paraId="17D220B2" w14:textId="77777777" w:rsidR="00752606" w:rsidRDefault="00752606">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733D065B" w14:textId="77777777" w:rsidR="00752606" w:rsidRDefault="00752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944513"/>
      <w:docPartObj>
        <w:docPartGallery w:val="Page Numbers (Top of Page)"/>
        <w:docPartUnique/>
      </w:docPartObj>
    </w:sdtPr>
    <w:sdtEndPr>
      <w:rPr>
        <w:noProof/>
      </w:rPr>
    </w:sdtEndPr>
    <w:sdtContent>
      <w:p w14:paraId="3BEBF913" w14:textId="77777777" w:rsidR="004A3D52" w:rsidRDefault="004A3D52">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66BF2258" w14:textId="77777777" w:rsidR="004A3D52" w:rsidRDefault="004A3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B35"/>
    <w:multiLevelType w:val="hybridMultilevel"/>
    <w:tmpl w:val="8EF6DA22"/>
    <w:lvl w:ilvl="0" w:tplc="CC2C3B60">
      <w:start w:val="1"/>
      <w:numFmt w:val="bullet"/>
      <w:lvlText w:val="•"/>
      <w:lvlJc w:val="left"/>
      <w:pPr>
        <w:tabs>
          <w:tab w:val="num" w:pos="720"/>
        </w:tabs>
        <w:ind w:left="720" w:hanging="360"/>
      </w:pPr>
      <w:rPr>
        <w:rFonts w:ascii="Arial" w:hAnsi="Arial" w:hint="default"/>
      </w:rPr>
    </w:lvl>
    <w:lvl w:ilvl="1" w:tplc="4FEC948E" w:tentative="1">
      <w:start w:val="1"/>
      <w:numFmt w:val="bullet"/>
      <w:lvlText w:val="•"/>
      <w:lvlJc w:val="left"/>
      <w:pPr>
        <w:tabs>
          <w:tab w:val="num" w:pos="1440"/>
        </w:tabs>
        <w:ind w:left="1440" w:hanging="360"/>
      </w:pPr>
      <w:rPr>
        <w:rFonts w:ascii="Arial" w:hAnsi="Arial" w:hint="default"/>
      </w:rPr>
    </w:lvl>
    <w:lvl w:ilvl="2" w:tplc="7EF4C8D2" w:tentative="1">
      <w:start w:val="1"/>
      <w:numFmt w:val="bullet"/>
      <w:lvlText w:val="•"/>
      <w:lvlJc w:val="left"/>
      <w:pPr>
        <w:tabs>
          <w:tab w:val="num" w:pos="2160"/>
        </w:tabs>
        <w:ind w:left="2160" w:hanging="360"/>
      </w:pPr>
      <w:rPr>
        <w:rFonts w:ascii="Arial" w:hAnsi="Arial" w:hint="default"/>
      </w:rPr>
    </w:lvl>
    <w:lvl w:ilvl="3" w:tplc="C05618AC" w:tentative="1">
      <w:start w:val="1"/>
      <w:numFmt w:val="bullet"/>
      <w:lvlText w:val="•"/>
      <w:lvlJc w:val="left"/>
      <w:pPr>
        <w:tabs>
          <w:tab w:val="num" w:pos="2880"/>
        </w:tabs>
        <w:ind w:left="2880" w:hanging="360"/>
      </w:pPr>
      <w:rPr>
        <w:rFonts w:ascii="Arial" w:hAnsi="Arial" w:hint="default"/>
      </w:rPr>
    </w:lvl>
    <w:lvl w:ilvl="4" w:tplc="08445396" w:tentative="1">
      <w:start w:val="1"/>
      <w:numFmt w:val="bullet"/>
      <w:lvlText w:val="•"/>
      <w:lvlJc w:val="left"/>
      <w:pPr>
        <w:tabs>
          <w:tab w:val="num" w:pos="3600"/>
        </w:tabs>
        <w:ind w:left="3600" w:hanging="360"/>
      </w:pPr>
      <w:rPr>
        <w:rFonts w:ascii="Arial" w:hAnsi="Arial" w:hint="default"/>
      </w:rPr>
    </w:lvl>
    <w:lvl w:ilvl="5" w:tplc="370EA2E2" w:tentative="1">
      <w:start w:val="1"/>
      <w:numFmt w:val="bullet"/>
      <w:lvlText w:val="•"/>
      <w:lvlJc w:val="left"/>
      <w:pPr>
        <w:tabs>
          <w:tab w:val="num" w:pos="4320"/>
        </w:tabs>
        <w:ind w:left="4320" w:hanging="360"/>
      </w:pPr>
      <w:rPr>
        <w:rFonts w:ascii="Arial" w:hAnsi="Arial" w:hint="default"/>
      </w:rPr>
    </w:lvl>
    <w:lvl w:ilvl="6" w:tplc="5260A6D6" w:tentative="1">
      <w:start w:val="1"/>
      <w:numFmt w:val="bullet"/>
      <w:lvlText w:val="•"/>
      <w:lvlJc w:val="left"/>
      <w:pPr>
        <w:tabs>
          <w:tab w:val="num" w:pos="5040"/>
        </w:tabs>
        <w:ind w:left="5040" w:hanging="360"/>
      </w:pPr>
      <w:rPr>
        <w:rFonts w:ascii="Arial" w:hAnsi="Arial" w:hint="default"/>
      </w:rPr>
    </w:lvl>
    <w:lvl w:ilvl="7" w:tplc="CF543EDC" w:tentative="1">
      <w:start w:val="1"/>
      <w:numFmt w:val="bullet"/>
      <w:lvlText w:val="•"/>
      <w:lvlJc w:val="left"/>
      <w:pPr>
        <w:tabs>
          <w:tab w:val="num" w:pos="5760"/>
        </w:tabs>
        <w:ind w:left="5760" w:hanging="360"/>
      </w:pPr>
      <w:rPr>
        <w:rFonts w:ascii="Arial" w:hAnsi="Arial" w:hint="default"/>
      </w:rPr>
    </w:lvl>
    <w:lvl w:ilvl="8" w:tplc="D5E668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230611"/>
    <w:multiLevelType w:val="hybridMultilevel"/>
    <w:tmpl w:val="602CCC90"/>
    <w:lvl w:ilvl="0" w:tplc="9AC622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7C6B7C"/>
    <w:multiLevelType w:val="hybridMultilevel"/>
    <w:tmpl w:val="8C74A0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0F083F"/>
    <w:multiLevelType w:val="multilevel"/>
    <w:tmpl w:val="2B360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905671">
    <w:abstractNumId w:val="0"/>
  </w:num>
  <w:num w:numId="2" w16cid:durableId="929892491">
    <w:abstractNumId w:val="2"/>
  </w:num>
  <w:num w:numId="3" w16cid:durableId="1479690897">
    <w:abstractNumId w:val="3"/>
  </w:num>
  <w:num w:numId="4" w16cid:durableId="198072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5F7"/>
    <w:rsid w:val="00000257"/>
    <w:rsid w:val="00000F0B"/>
    <w:rsid w:val="00002BD7"/>
    <w:rsid w:val="00003261"/>
    <w:rsid w:val="00003433"/>
    <w:rsid w:val="0000447F"/>
    <w:rsid w:val="00005118"/>
    <w:rsid w:val="0000557F"/>
    <w:rsid w:val="000079C7"/>
    <w:rsid w:val="00013E5B"/>
    <w:rsid w:val="00016A72"/>
    <w:rsid w:val="000217CF"/>
    <w:rsid w:val="0003141D"/>
    <w:rsid w:val="000329AC"/>
    <w:rsid w:val="00041024"/>
    <w:rsid w:val="00044278"/>
    <w:rsid w:val="00045906"/>
    <w:rsid w:val="0004752F"/>
    <w:rsid w:val="00054D9D"/>
    <w:rsid w:val="000613CB"/>
    <w:rsid w:val="000628CD"/>
    <w:rsid w:val="00064A0D"/>
    <w:rsid w:val="0006797F"/>
    <w:rsid w:val="00070B98"/>
    <w:rsid w:val="00072ADF"/>
    <w:rsid w:val="00083100"/>
    <w:rsid w:val="000833D4"/>
    <w:rsid w:val="00083BF6"/>
    <w:rsid w:val="0008562D"/>
    <w:rsid w:val="00086886"/>
    <w:rsid w:val="00087ABA"/>
    <w:rsid w:val="00093408"/>
    <w:rsid w:val="000942CB"/>
    <w:rsid w:val="000A241A"/>
    <w:rsid w:val="000A2DA0"/>
    <w:rsid w:val="000B1201"/>
    <w:rsid w:val="000B38A8"/>
    <w:rsid w:val="000B4EEC"/>
    <w:rsid w:val="000C4901"/>
    <w:rsid w:val="000C4DE9"/>
    <w:rsid w:val="000C675F"/>
    <w:rsid w:val="000D0186"/>
    <w:rsid w:val="000D0A93"/>
    <w:rsid w:val="000D3150"/>
    <w:rsid w:val="000D42F3"/>
    <w:rsid w:val="000D706C"/>
    <w:rsid w:val="000E0F33"/>
    <w:rsid w:val="000E247B"/>
    <w:rsid w:val="000F0EE4"/>
    <w:rsid w:val="000F11E1"/>
    <w:rsid w:val="000F6330"/>
    <w:rsid w:val="000F76CF"/>
    <w:rsid w:val="0010040F"/>
    <w:rsid w:val="00104D47"/>
    <w:rsid w:val="00112045"/>
    <w:rsid w:val="001121EC"/>
    <w:rsid w:val="00113C16"/>
    <w:rsid w:val="001200F9"/>
    <w:rsid w:val="001204EE"/>
    <w:rsid w:val="00123CB8"/>
    <w:rsid w:val="00131FEC"/>
    <w:rsid w:val="00132E5E"/>
    <w:rsid w:val="00133B14"/>
    <w:rsid w:val="00134678"/>
    <w:rsid w:val="001400C3"/>
    <w:rsid w:val="00147825"/>
    <w:rsid w:val="00153F9A"/>
    <w:rsid w:val="0015482F"/>
    <w:rsid w:val="00154D77"/>
    <w:rsid w:val="0015561F"/>
    <w:rsid w:val="001561B6"/>
    <w:rsid w:val="00156424"/>
    <w:rsid w:val="00162A7E"/>
    <w:rsid w:val="0016767C"/>
    <w:rsid w:val="00170961"/>
    <w:rsid w:val="00170D88"/>
    <w:rsid w:val="00173495"/>
    <w:rsid w:val="001753FF"/>
    <w:rsid w:val="001776F8"/>
    <w:rsid w:val="00183319"/>
    <w:rsid w:val="0018548A"/>
    <w:rsid w:val="00186B92"/>
    <w:rsid w:val="00190118"/>
    <w:rsid w:val="001911CD"/>
    <w:rsid w:val="001924FC"/>
    <w:rsid w:val="0019287A"/>
    <w:rsid w:val="00194580"/>
    <w:rsid w:val="0019676F"/>
    <w:rsid w:val="001976D2"/>
    <w:rsid w:val="001A0CFE"/>
    <w:rsid w:val="001A78BC"/>
    <w:rsid w:val="001A793B"/>
    <w:rsid w:val="001A7F94"/>
    <w:rsid w:val="001B1CD0"/>
    <w:rsid w:val="001B7B50"/>
    <w:rsid w:val="001C5205"/>
    <w:rsid w:val="001C7B01"/>
    <w:rsid w:val="001D0076"/>
    <w:rsid w:val="001D1AB7"/>
    <w:rsid w:val="001D2143"/>
    <w:rsid w:val="001D45EC"/>
    <w:rsid w:val="001D5F89"/>
    <w:rsid w:val="001D62EB"/>
    <w:rsid w:val="001D6FF6"/>
    <w:rsid w:val="001D7321"/>
    <w:rsid w:val="001E19CC"/>
    <w:rsid w:val="001E397A"/>
    <w:rsid w:val="001E4925"/>
    <w:rsid w:val="001E7793"/>
    <w:rsid w:val="001E7FD6"/>
    <w:rsid w:val="001F4DA8"/>
    <w:rsid w:val="001F649B"/>
    <w:rsid w:val="001F71F1"/>
    <w:rsid w:val="001F79D1"/>
    <w:rsid w:val="001F7CBF"/>
    <w:rsid w:val="00200CCC"/>
    <w:rsid w:val="00200FFA"/>
    <w:rsid w:val="002012C0"/>
    <w:rsid w:val="00204CD5"/>
    <w:rsid w:val="00207011"/>
    <w:rsid w:val="0020720E"/>
    <w:rsid w:val="00214215"/>
    <w:rsid w:val="00214FE0"/>
    <w:rsid w:val="00216A3C"/>
    <w:rsid w:val="0022415C"/>
    <w:rsid w:val="00225D24"/>
    <w:rsid w:val="002260B6"/>
    <w:rsid w:val="0023073A"/>
    <w:rsid w:val="00231DF4"/>
    <w:rsid w:val="002329BC"/>
    <w:rsid w:val="00233CE8"/>
    <w:rsid w:val="00235ADE"/>
    <w:rsid w:val="002372DF"/>
    <w:rsid w:val="00240A51"/>
    <w:rsid w:val="00240A61"/>
    <w:rsid w:val="00240C99"/>
    <w:rsid w:val="00241802"/>
    <w:rsid w:val="0024599A"/>
    <w:rsid w:val="00246C44"/>
    <w:rsid w:val="0025345C"/>
    <w:rsid w:val="00257396"/>
    <w:rsid w:val="00257B72"/>
    <w:rsid w:val="00262E83"/>
    <w:rsid w:val="002677F4"/>
    <w:rsid w:val="002768BB"/>
    <w:rsid w:val="002775FD"/>
    <w:rsid w:val="002828FE"/>
    <w:rsid w:val="00282AEC"/>
    <w:rsid w:val="00284822"/>
    <w:rsid w:val="00297383"/>
    <w:rsid w:val="002A0ACB"/>
    <w:rsid w:val="002A2072"/>
    <w:rsid w:val="002A58BC"/>
    <w:rsid w:val="002A62DC"/>
    <w:rsid w:val="002A69DD"/>
    <w:rsid w:val="002B08B9"/>
    <w:rsid w:val="002B0FBD"/>
    <w:rsid w:val="002B34ED"/>
    <w:rsid w:val="002B4F9D"/>
    <w:rsid w:val="002B630A"/>
    <w:rsid w:val="002B715D"/>
    <w:rsid w:val="002C0784"/>
    <w:rsid w:val="002C115F"/>
    <w:rsid w:val="002C789C"/>
    <w:rsid w:val="002D25FB"/>
    <w:rsid w:val="002D28BA"/>
    <w:rsid w:val="002D379B"/>
    <w:rsid w:val="002D3E41"/>
    <w:rsid w:val="002D73E4"/>
    <w:rsid w:val="002E1881"/>
    <w:rsid w:val="002E48B1"/>
    <w:rsid w:val="002E58B1"/>
    <w:rsid w:val="002E7EB1"/>
    <w:rsid w:val="002F0863"/>
    <w:rsid w:val="002F09EB"/>
    <w:rsid w:val="002F1CF6"/>
    <w:rsid w:val="002F3FF5"/>
    <w:rsid w:val="002F6B8A"/>
    <w:rsid w:val="0030076B"/>
    <w:rsid w:val="003025C2"/>
    <w:rsid w:val="00302BF4"/>
    <w:rsid w:val="00303CA2"/>
    <w:rsid w:val="00303DEB"/>
    <w:rsid w:val="00311452"/>
    <w:rsid w:val="003117F6"/>
    <w:rsid w:val="00312827"/>
    <w:rsid w:val="003145F6"/>
    <w:rsid w:val="00321AC2"/>
    <w:rsid w:val="003220F4"/>
    <w:rsid w:val="00326CCF"/>
    <w:rsid w:val="003335B0"/>
    <w:rsid w:val="00334AD9"/>
    <w:rsid w:val="00334E29"/>
    <w:rsid w:val="00335C66"/>
    <w:rsid w:val="00344451"/>
    <w:rsid w:val="00345616"/>
    <w:rsid w:val="00346529"/>
    <w:rsid w:val="0034749A"/>
    <w:rsid w:val="003502FB"/>
    <w:rsid w:val="0035143C"/>
    <w:rsid w:val="00351466"/>
    <w:rsid w:val="003517D7"/>
    <w:rsid w:val="0035316D"/>
    <w:rsid w:val="0036061F"/>
    <w:rsid w:val="00363E48"/>
    <w:rsid w:val="00366520"/>
    <w:rsid w:val="00373C00"/>
    <w:rsid w:val="003763B7"/>
    <w:rsid w:val="003769FE"/>
    <w:rsid w:val="0037717A"/>
    <w:rsid w:val="00380BA0"/>
    <w:rsid w:val="0038577A"/>
    <w:rsid w:val="00386343"/>
    <w:rsid w:val="00390B29"/>
    <w:rsid w:val="00391E26"/>
    <w:rsid w:val="0039321A"/>
    <w:rsid w:val="00393ACC"/>
    <w:rsid w:val="003A3628"/>
    <w:rsid w:val="003B20A0"/>
    <w:rsid w:val="003B2159"/>
    <w:rsid w:val="003B220F"/>
    <w:rsid w:val="003B32DE"/>
    <w:rsid w:val="003B3AAD"/>
    <w:rsid w:val="003B4807"/>
    <w:rsid w:val="003B4F3F"/>
    <w:rsid w:val="003B73EF"/>
    <w:rsid w:val="003C4612"/>
    <w:rsid w:val="003C69F4"/>
    <w:rsid w:val="003D0AF1"/>
    <w:rsid w:val="003D1301"/>
    <w:rsid w:val="003E563B"/>
    <w:rsid w:val="003E5D06"/>
    <w:rsid w:val="003E6C7F"/>
    <w:rsid w:val="00401FA2"/>
    <w:rsid w:val="0040508D"/>
    <w:rsid w:val="00405595"/>
    <w:rsid w:val="00407B60"/>
    <w:rsid w:val="00407D91"/>
    <w:rsid w:val="0041129C"/>
    <w:rsid w:val="00413C3B"/>
    <w:rsid w:val="00414784"/>
    <w:rsid w:val="00421B5D"/>
    <w:rsid w:val="00423D03"/>
    <w:rsid w:val="00425EAD"/>
    <w:rsid w:val="00426302"/>
    <w:rsid w:val="0042747F"/>
    <w:rsid w:val="00432A74"/>
    <w:rsid w:val="00432DF2"/>
    <w:rsid w:val="00434AE4"/>
    <w:rsid w:val="004358C0"/>
    <w:rsid w:val="00441A38"/>
    <w:rsid w:val="004472D8"/>
    <w:rsid w:val="004508F7"/>
    <w:rsid w:val="0045301E"/>
    <w:rsid w:val="0045352B"/>
    <w:rsid w:val="00453552"/>
    <w:rsid w:val="004626CB"/>
    <w:rsid w:val="004662D5"/>
    <w:rsid w:val="0047180C"/>
    <w:rsid w:val="00472202"/>
    <w:rsid w:val="004744FE"/>
    <w:rsid w:val="00486261"/>
    <w:rsid w:val="00490176"/>
    <w:rsid w:val="0049236D"/>
    <w:rsid w:val="004930C4"/>
    <w:rsid w:val="00493698"/>
    <w:rsid w:val="004A08D8"/>
    <w:rsid w:val="004A3D52"/>
    <w:rsid w:val="004A59E5"/>
    <w:rsid w:val="004B3C24"/>
    <w:rsid w:val="004B5132"/>
    <w:rsid w:val="004B5279"/>
    <w:rsid w:val="004B575C"/>
    <w:rsid w:val="004C15A2"/>
    <w:rsid w:val="004C4AAB"/>
    <w:rsid w:val="004C530C"/>
    <w:rsid w:val="004D1520"/>
    <w:rsid w:val="004D1EB7"/>
    <w:rsid w:val="004D272D"/>
    <w:rsid w:val="004D58FC"/>
    <w:rsid w:val="004E19EC"/>
    <w:rsid w:val="004E2672"/>
    <w:rsid w:val="004E33BC"/>
    <w:rsid w:val="004E3D67"/>
    <w:rsid w:val="004E663F"/>
    <w:rsid w:val="004E7C53"/>
    <w:rsid w:val="004F27D9"/>
    <w:rsid w:val="004F6ED1"/>
    <w:rsid w:val="004F76B2"/>
    <w:rsid w:val="005058DC"/>
    <w:rsid w:val="00506281"/>
    <w:rsid w:val="00507113"/>
    <w:rsid w:val="0051532B"/>
    <w:rsid w:val="00515E61"/>
    <w:rsid w:val="00520F62"/>
    <w:rsid w:val="005265BF"/>
    <w:rsid w:val="005268BA"/>
    <w:rsid w:val="005330E2"/>
    <w:rsid w:val="005331F2"/>
    <w:rsid w:val="005376C7"/>
    <w:rsid w:val="00540DAC"/>
    <w:rsid w:val="005448E9"/>
    <w:rsid w:val="005453A2"/>
    <w:rsid w:val="00550787"/>
    <w:rsid w:val="00553ECC"/>
    <w:rsid w:val="00556C7E"/>
    <w:rsid w:val="005600AF"/>
    <w:rsid w:val="00562677"/>
    <w:rsid w:val="0056614B"/>
    <w:rsid w:val="00566BF9"/>
    <w:rsid w:val="005768BE"/>
    <w:rsid w:val="00577648"/>
    <w:rsid w:val="00580FF8"/>
    <w:rsid w:val="00582446"/>
    <w:rsid w:val="00583E56"/>
    <w:rsid w:val="005856CB"/>
    <w:rsid w:val="00594112"/>
    <w:rsid w:val="00594BC9"/>
    <w:rsid w:val="00595315"/>
    <w:rsid w:val="00597E8B"/>
    <w:rsid w:val="005A15AA"/>
    <w:rsid w:val="005A1F24"/>
    <w:rsid w:val="005A27A2"/>
    <w:rsid w:val="005A7510"/>
    <w:rsid w:val="005A76BC"/>
    <w:rsid w:val="005A78CE"/>
    <w:rsid w:val="005B0D76"/>
    <w:rsid w:val="005C059B"/>
    <w:rsid w:val="005C1AFB"/>
    <w:rsid w:val="005C4AF3"/>
    <w:rsid w:val="005C75ED"/>
    <w:rsid w:val="005C76F8"/>
    <w:rsid w:val="005D2027"/>
    <w:rsid w:val="005E07F5"/>
    <w:rsid w:val="005E4AD1"/>
    <w:rsid w:val="005E58B7"/>
    <w:rsid w:val="005E7D4D"/>
    <w:rsid w:val="005F1081"/>
    <w:rsid w:val="005F162A"/>
    <w:rsid w:val="005F1C75"/>
    <w:rsid w:val="005F27AD"/>
    <w:rsid w:val="005F27E6"/>
    <w:rsid w:val="005F3445"/>
    <w:rsid w:val="005F3983"/>
    <w:rsid w:val="005F65F7"/>
    <w:rsid w:val="005F67DB"/>
    <w:rsid w:val="005F6FA3"/>
    <w:rsid w:val="00600650"/>
    <w:rsid w:val="00603D00"/>
    <w:rsid w:val="006118D7"/>
    <w:rsid w:val="0061287D"/>
    <w:rsid w:val="00613025"/>
    <w:rsid w:val="00615741"/>
    <w:rsid w:val="0062015C"/>
    <w:rsid w:val="0062072C"/>
    <w:rsid w:val="00623513"/>
    <w:rsid w:val="00624272"/>
    <w:rsid w:val="006271D8"/>
    <w:rsid w:val="0063046C"/>
    <w:rsid w:val="006334EA"/>
    <w:rsid w:val="00634335"/>
    <w:rsid w:val="006343E6"/>
    <w:rsid w:val="00636CDE"/>
    <w:rsid w:val="00637943"/>
    <w:rsid w:val="006429FA"/>
    <w:rsid w:val="0064357A"/>
    <w:rsid w:val="00643A7B"/>
    <w:rsid w:val="0064500B"/>
    <w:rsid w:val="0064676A"/>
    <w:rsid w:val="0064766B"/>
    <w:rsid w:val="006525A1"/>
    <w:rsid w:val="006541A4"/>
    <w:rsid w:val="00656B70"/>
    <w:rsid w:val="006573CF"/>
    <w:rsid w:val="006629F8"/>
    <w:rsid w:val="006641C4"/>
    <w:rsid w:val="006648F1"/>
    <w:rsid w:val="00664ADD"/>
    <w:rsid w:val="006676A9"/>
    <w:rsid w:val="00671994"/>
    <w:rsid w:val="00672B9B"/>
    <w:rsid w:val="0067376B"/>
    <w:rsid w:val="00675E0F"/>
    <w:rsid w:val="006773D5"/>
    <w:rsid w:val="0068144D"/>
    <w:rsid w:val="00681FF4"/>
    <w:rsid w:val="00682A10"/>
    <w:rsid w:val="00683EBF"/>
    <w:rsid w:val="006863C6"/>
    <w:rsid w:val="00686915"/>
    <w:rsid w:val="006955ED"/>
    <w:rsid w:val="00696B68"/>
    <w:rsid w:val="006A16EC"/>
    <w:rsid w:val="006A3BD8"/>
    <w:rsid w:val="006A4022"/>
    <w:rsid w:val="006B0580"/>
    <w:rsid w:val="006B1D2C"/>
    <w:rsid w:val="006B340F"/>
    <w:rsid w:val="006B5052"/>
    <w:rsid w:val="006B5252"/>
    <w:rsid w:val="006B67A6"/>
    <w:rsid w:val="006C2791"/>
    <w:rsid w:val="006C2A2A"/>
    <w:rsid w:val="006C54EE"/>
    <w:rsid w:val="006C5686"/>
    <w:rsid w:val="006C5B6B"/>
    <w:rsid w:val="006C62AE"/>
    <w:rsid w:val="006C6B36"/>
    <w:rsid w:val="006C7BB0"/>
    <w:rsid w:val="006C7CDC"/>
    <w:rsid w:val="006C7DE0"/>
    <w:rsid w:val="006D1501"/>
    <w:rsid w:val="006D20BF"/>
    <w:rsid w:val="006D3747"/>
    <w:rsid w:val="006D50C4"/>
    <w:rsid w:val="006D64A9"/>
    <w:rsid w:val="006E1530"/>
    <w:rsid w:val="006E1C4D"/>
    <w:rsid w:val="006E471D"/>
    <w:rsid w:val="006E624B"/>
    <w:rsid w:val="006E62E3"/>
    <w:rsid w:val="006F0BA4"/>
    <w:rsid w:val="006F0D16"/>
    <w:rsid w:val="006F13CB"/>
    <w:rsid w:val="006F1B55"/>
    <w:rsid w:val="006F3EB7"/>
    <w:rsid w:val="006F5A51"/>
    <w:rsid w:val="00706A4D"/>
    <w:rsid w:val="00711269"/>
    <w:rsid w:val="0071285D"/>
    <w:rsid w:val="00713401"/>
    <w:rsid w:val="0071357B"/>
    <w:rsid w:val="007140B8"/>
    <w:rsid w:val="007232DE"/>
    <w:rsid w:val="007254A5"/>
    <w:rsid w:val="00727B92"/>
    <w:rsid w:val="007309DB"/>
    <w:rsid w:val="00732F2B"/>
    <w:rsid w:val="0073389C"/>
    <w:rsid w:val="00737A88"/>
    <w:rsid w:val="00743463"/>
    <w:rsid w:val="00743A49"/>
    <w:rsid w:val="00746621"/>
    <w:rsid w:val="00746754"/>
    <w:rsid w:val="00746E9D"/>
    <w:rsid w:val="00752606"/>
    <w:rsid w:val="00753037"/>
    <w:rsid w:val="00753F13"/>
    <w:rsid w:val="007545EB"/>
    <w:rsid w:val="0075544D"/>
    <w:rsid w:val="00760EB4"/>
    <w:rsid w:val="00762811"/>
    <w:rsid w:val="0076397A"/>
    <w:rsid w:val="007737ED"/>
    <w:rsid w:val="007816F2"/>
    <w:rsid w:val="00783993"/>
    <w:rsid w:val="00783E6A"/>
    <w:rsid w:val="00786217"/>
    <w:rsid w:val="007867D1"/>
    <w:rsid w:val="00792C27"/>
    <w:rsid w:val="00793232"/>
    <w:rsid w:val="0079409A"/>
    <w:rsid w:val="007943A3"/>
    <w:rsid w:val="0079646B"/>
    <w:rsid w:val="007A3916"/>
    <w:rsid w:val="007A5B5D"/>
    <w:rsid w:val="007A6172"/>
    <w:rsid w:val="007A6256"/>
    <w:rsid w:val="007B04AC"/>
    <w:rsid w:val="007B0701"/>
    <w:rsid w:val="007B22C2"/>
    <w:rsid w:val="007B695C"/>
    <w:rsid w:val="007C0FAB"/>
    <w:rsid w:val="007C1221"/>
    <w:rsid w:val="007C7215"/>
    <w:rsid w:val="007D04C5"/>
    <w:rsid w:val="007D19F0"/>
    <w:rsid w:val="007D1AAA"/>
    <w:rsid w:val="007D5A86"/>
    <w:rsid w:val="007D5B51"/>
    <w:rsid w:val="007E1BDE"/>
    <w:rsid w:val="007E23E8"/>
    <w:rsid w:val="007E60D1"/>
    <w:rsid w:val="007E633C"/>
    <w:rsid w:val="007E7405"/>
    <w:rsid w:val="007E7415"/>
    <w:rsid w:val="007F1980"/>
    <w:rsid w:val="007F283B"/>
    <w:rsid w:val="007F2B63"/>
    <w:rsid w:val="007F4B75"/>
    <w:rsid w:val="007F6B21"/>
    <w:rsid w:val="008015F3"/>
    <w:rsid w:val="00801808"/>
    <w:rsid w:val="00801EAD"/>
    <w:rsid w:val="00801F46"/>
    <w:rsid w:val="008065E0"/>
    <w:rsid w:val="00820BA2"/>
    <w:rsid w:val="00822F13"/>
    <w:rsid w:val="00822FB7"/>
    <w:rsid w:val="00824E19"/>
    <w:rsid w:val="00833448"/>
    <w:rsid w:val="00833C1E"/>
    <w:rsid w:val="008423CB"/>
    <w:rsid w:val="008456B1"/>
    <w:rsid w:val="008461C4"/>
    <w:rsid w:val="00854A47"/>
    <w:rsid w:val="0086572C"/>
    <w:rsid w:val="008657C6"/>
    <w:rsid w:val="00867220"/>
    <w:rsid w:val="008714C3"/>
    <w:rsid w:val="00873F86"/>
    <w:rsid w:val="00876240"/>
    <w:rsid w:val="0087695D"/>
    <w:rsid w:val="00877329"/>
    <w:rsid w:val="008778DA"/>
    <w:rsid w:val="008801A1"/>
    <w:rsid w:val="00881737"/>
    <w:rsid w:val="008845BC"/>
    <w:rsid w:val="00887785"/>
    <w:rsid w:val="00887CA3"/>
    <w:rsid w:val="00892B16"/>
    <w:rsid w:val="008941D7"/>
    <w:rsid w:val="008B032C"/>
    <w:rsid w:val="008B5295"/>
    <w:rsid w:val="008B5817"/>
    <w:rsid w:val="008B67AD"/>
    <w:rsid w:val="008B730B"/>
    <w:rsid w:val="008C08A6"/>
    <w:rsid w:val="008C16C4"/>
    <w:rsid w:val="008C63BD"/>
    <w:rsid w:val="008C79F2"/>
    <w:rsid w:val="008C7C8A"/>
    <w:rsid w:val="008D27D7"/>
    <w:rsid w:val="008D6487"/>
    <w:rsid w:val="008E233A"/>
    <w:rsid w:val="008E257E"/>
    <w:rsid w:val="008F0C32"/>
    <w:rsid w:val="008F1627"/>
    <w:rsid w:val="008F4F78"/>
    <w:rsid w:val="008F5AEE"/>
    <w:rsid w:val="008F6BD8"/>
    <w:rsid w:val="008F7C71"/>
    <w:rsid w:val="00900B68"/>
    <w:rsid w:val="00900E20"/>
    <w:rsid w:val="009021EA"/>
    <w:rsid w:val="0090524A"/>
    <w:rsid w:val="00905F40"/>
    <w:rsid w:val="00913681"/>
    <w:rsid w:val="00914391"/>
    <w:rsid w:val="009159FF"/>
    <w:rsid w:val="0091617E"/>
    <w:rsid w:val="00917B28"/>
    <w:rsid w:val="00921FEC"/>
    <w:rsid w:val="0092243F"/>
    <w:rsid w:val="00924F54"/>
    <w:rsid w:val="009364E4"/>
    <w:rsid w:val="009365A3"/>
    <w:rsid w:val="0094064C"/>
    <w:rsid w:val="009407B0"/>
    <w:rsid w:val="00941791"/>
    <w:rsid w:val="00944820"/>
    <w:rsid w:val="00944A48"/>
    <w:rsid w:val="009506EC"/>
    <w:rsid w:val="00950D3E"/>
    <w:rsid w:val="00953026"/>
    <w:rsid w:val="009538A9"/>
    <w:rsid w:val="009547F1"/>
    <w:rsid w:val="00956CB1"/>
    <w:rsid w:val="00965DF9"/>
    <w:rsid w:val="00972A7B"/>
    <w:rsid w:val="00972F8C"/>
    <w:rsid w:val="00981AFE"/>
    <w:rsid w:val="009846EC"/>
    <w:rsid w:val="00984BDB"/>
    <w:rsid w:val="009876F7"/>
    <w:rsid w:val="009943BC"/>
    <w:rsid w:val="009946E0"/>
    <w:rsid w:val="0099562D"/>
    <w:rsid w:val="009972DD"/>
    <w:rsid w:val="009A1C96"/>
    <w:rsid w:val="009A2B62"/>
    <w:rsid w:val="009B3FA2"/>
    <w:rsid w:val="009B5B9B"/>
    <w:rsid w:val="009B761E"/>
    <w:rsid w:val="009C6409"/>
    <w:rsid w:val="009D0615"/>
    <w:rsid w:val="009D0E15"/>
    <w:rsid w:val="009D1B9E"/>
    <w:rsid w:val="009D4630"/>
    <w:rsid w:val="009D6DD0"/>
    <w:rsid w:val="009E64FC"/>
    <w:rsid w:val="009F1316"/>
    <w:rsid w:val="009F2523"/>
    <w:rsid w:val="009F4978"/>
    <w:rsid w:val="009F5289"/>
    <w:rsid w:val="00A04327"/>
    <w:rsid w:val="00A0616A"/>
    <w:rsid w:val="00A06D7D"/>
    <w:rsid w:val="00A0754A"/>
    <w:rsid w:val="00A12964"/>
    <w:rsid w:val="00A171B6"/>
    <w:rsid w:val="00A20EDC"/>
    <w:rsid w:val="00A237F4"/>
    <w:rsid w:val="00A266E6"/>
    <w:rsid w:val="00A27DC2"/>
    <w:rsid w:val="00A30D6C"/>
    <w:rsid w:val="00A31240"/>
    <w:rsid w:val="00A33F1B"/>
    <w:rsid w:val="00A40F76"/>
    <w:rsid w:val="00A432E5"/>
    <w:rsid w:val="00A47F69"/>
    <w:rsid w:val="00A54FCF"/>
    <w:rsid w:val="00A57584"/>
    <w:rsid w:val="00A63439"/>
    <w:rsid w:val="00A64B35"/>
    <w:rsid w:val="00A65D4B"/>
    <w:rsid w:val="00A6764B"/>
    <w:rsid w:val="00A70718"/>
    <w:rsid w:val="00A73513"/>
    <w:rsid w:val="00A73C9C"/>
    <w:rsid w:val="00A768F6"/>
    <w:rsid w:val="00A8056F"/>
    <w:rsid w:val="00A805B5"/>
    <w:rsid w:val="00A815D8"/>
    <w:rsid w:val="00A82279"/>
    <w:rsid w:val="00A90595"/>
    <w:rsid w:val="00A91B9D"/>
    <w:rsid w:val="00A9576A"/>
    <w:rsid w:val="00A97300"/>
    <w:rsid w:val="00AA2088"/>
    <w:rsid w:val="00AA79AE"/>
    <w:rsid w:val="00AB3DEB"/>
    <w:rsid w:val="00AB3E22"/>
    <w:rsid w:val="00AC246A"/>
    <w:rsid w:val="00AC7219"/>
    <w:rsid w:val="00AD1DCD"/>
    <w:rsid w:val="00AD69D1"/>
    <w:rsid w:val="00AD6F36"/>
    <w:rsid w:val="00AE4A92"/>
    <w:rsid w:val="00AE4DE7"/>
    <w:rsid w:val="00AF58AB"/>
    <w:rsid w:val="00B02F40"/>
    <w:rsid w:val="00B031DF"/>
    <w:rsid w:val="00B05713"/>
    <w:rsid w:val="00B1567D"/>
    <w:rsid w:val="00B22949"/>
    <w:rsid w:val="00B25D7F"/>
    <w:rsid w:val="00B32FB7"/>
    <w:rsid w:val="00B33B97"/>
    <w:rsid w:val="00B35BC4"/>
    <w:rsid w:val="00B36611"/>
    <w:rsid w:val="00B36E5E"/>
    <w:rsid w:val="00B42FDB"/>
    <w:rsid w:val="00B5199F"/>
    <w:rsid w:val="00B558BE"/>
    <w:rsid w:val="00B56CDB"/>
    <w:rsid w:val="00B62C94"/>
    <w:rsid w:val="00B652F1"/>
    <w:rsid w:val="00B65681"/>
    <w:rsid w:val="00B65804"/>
    <w:rsid w:val="00B67E6C"/>
    <w:rsid w:val="00B71CCF"/>
    <w:rsid w:val="00B74016"/>
    <w:rsid w:val="00B77088"/>
    <w:rsid w:val="00B77796"/>
    <w:rsid w:val="00B81265"/>
    <w:rsid w:val="00B83329"/>
    <w:rsid w:val="00B83855"/>
    <w:rsid w:val="00B8456D"/>
    <w:rsid w:val="00B85456"/>
    <w:rsid w:val="00B873C0"/>
    <w:rsid w:val="00B87C4B"/>
    <w:rsid w:val="00B927B7"/>
    <w:rsid w:val="00B929C9"/>
    <w:rsid w:val="00B930A0"/>
    <w:rsid w:val="00B93FF9"/>
    <w:rsid w:val="00B9722A"/>
    <w:rsid w:val="00BA1E40"/>
    <w:rsid w:val="00BA681F"/>
    <w:rsid w:val="00BA699F"/>
    <w:rsid w:val="00BB08C2"/>
    <w:rsid w:val="00BB14B8"/>
    <w:rsid w:val="00BB2647"/>
    <w:rsid w:val="00BB4A5D"/>
    <w:rsid w:val="00BB631F"/>
    <w:rsid w:val="00BC0B3E"/>
    <w:rsid w:val="00BC13B9"/>
    <w:rsid w:val="00BC1C34"/>
    <w:rsid w:val="00BC2B9A"/>
    <w:rsid w:val="00BC4567"/>
    <w:rsid w:val="00BC54A3"/>
    <w:rsid w:val="00BD39F7"/>
    <w:rsid w:val="00BD430E"/>
    <w:rsid w:val="00BD4EA6"/>
    <w:rsid w:val="00BD7232"/>
    <w:rsid w:val="00BE2503"/>
    <w:rsid w:val="00BE45AA"/>
    <w:rsid w:val="00BE5210"/>
    <w:rsid w:val="00BE58CF"/>
    <w:rsid w:val="00BE5DD7"/>
    <w:rsid w:val="00BE60F8"/>
    <w:rsid w:val="00BE72C1"/>
    <w:rsid w:val="00BF2935"/>
    <w:rsid w:val="00BF507B"/>
    <w:rsid w:val="00BF51AC"/>
    <w:rsid w:val="00BF5649"/>
    <w:rsid w:val="00C01F46"/>
    <w:rsid w:val="00C04A8C"/>
    <w:rsid w:val="00C05B60"/>
    <w:rsid w:val="00C06950"/>
    <w:rsid w:val="00C10215"/>
    <w:rsid w:val="00C10B46"/>
    <w:rsid w:val="00C10C82"/>
    <w:rsid w:val="00C1346E"/>
    <w:rsid w:val="00C157B0"/>
    <w:rsid w:val="00C1623A"/>
    <w:rsid w:val="00C16D0D"/>
    <w:rsid w:val="00C21684"/>
    <w:rsid w:val="00C2285C"/>
    <w:rsid w:val="00C23011"/>
    <w:rsid w:val="00C237E2"/>
    <w:rsid w:val="00C30478"/>
    <w:rsid w:val="00C35391"/>
    <w:rsid w:val="00C36205"/>
    <w:rsid w:val="00C364EA"/>
    <w:rsid w:val="00C376DA"/>
    <w:rsid w:val="00C50238"/>
    <w:rsid w:val="00C53253"/>
    <w:rsid w:val="00C535F9"/>
    <w:rsid w:val="00C54B73"/>
    <w:rsid w:val="00C57090"/>
    <w:rsid w:val="00C576A3"/>
    <w:rsid w:val="00C57865"/>
    <w:rsid w:val="00C628B4"/>
    <w:rsid w:val="00C663B1"/>
    <w:rsid w:val="00C7055E"/>
    <w:rsid w:val="00C7082C"/>
    <w:rsid w:val="00C72FF8"/>
    <w:rsid w:val="00C751CE"/>
    <w:rsid w:val="00C75BAD"/>
    <w:rsid w:val="00C80241"/>
    <w:rsid w:val="00C8231E"/>
    <w:rsid w:val="00C917D6"/>
    <w:rsid w:val="00C92469"/>
    <w:rsid w:val="00C9251B"/>
    <w:rsid w:val="00CA28AF"/>
    <w:rsid w:val="00CB2469"/>
    <w:rsid w:val="00CB276E"/>
    <w:rsid w:val="00CB474E"/>
    <w:rsid w:val="00CB6F56"/>
    <w:rsid w:val="00CC4748"/>
    <w:rsid w:val="00CC4C5A"/>
    <w:rsid w:val="00CC78CE"/>
    <w:rsid w:val="00CD18C7"/>
    <w:rsid w:val="00CD1D01"/>
    <w:rsid w:val="00CD4A15"/>
    <w:rsid w:val="00CD4A8B"/>
    <w:rsid w:val="00CD4EB4"/>
    <w:rsid w:val="00CE25EF"/>
    <w:rsid w:val="00CE299C"/>
    <w:rsid w:val="00CF540A"/>
    <w:rsid w:val="00D0098C"/>
    <w:rsid w:val="00D06552"/>
    <w:rsid w:val="00D07248"/>
    <w:rsid w:val="00D12FDD"/>
    <w:rsid w:val="00D13297"/>
    <w:rsid w:val="00D1466A"/>
    <w:rsid w:val="00D14CEE"/>
    <w:rsid w:val="00D15381"/>
    <w:rsid w:val="00D20792"/>
    <w:rsid w:val="00D20BB9"/>
    <w:rsid w:val="00D2141E"/>
    <w:rsid w:val="00D2273C"/>
    <w:rsid w:val="00D22AC5"/>
    <w:rsid w:val="00D22C5C"/>
    <w:rsid w:val="00D255AC"/>
    <w:rsid w:val="00D266B3"/>
    <w:rsid w:val="00D27FB0"/>
    <w:rsid w:val="00D300AE"/>
    <w:rsid w:val="00D3058E"/>
    <w:rsid w:val="00D32123"/>
    <w:rsid w:val="00D32803"/>
    <w:rsid w:val="00D34C01"/>
    <w:rsid w:val="00D356D3"/>
    <w:rsid w:val="00D40B52"/>
    <w:rsid w:val="00D438AD"/>
    <w:rsid w:val="00D51370"/>
    <w:rsid w:val="00D5250A"/>
    <w:rsid w:val="00D53F88"/>
    <w:rsid w:val="00D5530A"/>
    <w:rsid w:val="00D56173"/>
    <w:rsid w:val="00D561F1"/>
    <w:rsid w:val="00D57172"/>
    <w:rsid w:val="00D619E7"/>
    <w:rsid w:val="00D62C7D"/>
    <w:rsid w:val="00D63A66"/>
    <w:rsid w:val="00D63D8F"/>
    <w:rsid w:val="00D64C21"/>
    <w:rsid w:val="00D64FFB"/>
    <w:rsid w:val="00D65E31"/>
    <w:rsid w:val="00D66759"/>
    <w:rsid w:val="00D70060"/>
    <w:rsid w:val="00D70DE7"/>
    <w:rsid w:val="00D7168A"/>
    <w:rsid w:val="00D738FF"/>
    <w:rsid w:val="00D7537D"/>
    <w:rsid w:val="00D77D9E"/>
    <w:rsid w:val="00D82766"/>
    <w:rsid w:val="00D84630"/>
    <w:rsid w:val="00D85BFB"/>
    <w:rsid w:val="00D85FA0"/>
    <w:rsid w:val="00D911A4"/>
    <w:rsid w:val="00D924A4"/>
    <w:rsid w:val="00D93702"/>
    <w:rsid w:val="00D95DC4"/>
    <w:rsid w:val="00DA3465"/>
    <w:rsid w:val="00DA39C0"/>
    <w:rsid w:val="00DA4A86"/>
    <w:rsid w:val="00DA57FF"/>
    <w:rsid w:val="00DA7692"/>
    <w:rsid w:val="00DB1D27"/>
    <w:rsid w:val="00DC0AA6"/>
    <w:rsid w:val="00DC545A"/>
    <w:rsid w:val="00DC69AE"/>
    <w:rsid w:val="00DC6CD2"/>
    <w:rsid w:val="00DC6DD7"/>
    <w:rsid w:val="00DD03D1"/>
    <w:rsid w:val="00DD0B01"/>
    <w:rsid w:val="00DE061F"/>
    <w:rsid w:val="00DE488C"/>
    <w:rsid w:val="00DE5C37"/>
    <w:rsid w:val="00DE75ED"/>
    <w:rsid w:val="00DF6AC1"/>
    <w:rsid w:val="00E03D14"/>
    <w:rsid w:val="00E045BC"/>
    <w:rsid w:val="00E05660"/>
    <w:rsid w:val="00E0676B"/>
    <w:rsid w:val="00E07973"/>
    <w:rsid w:val="00E10712"/>
    <w:rsid w:val="00E1171E"/>
    <w:rsid w:val="00E17C58"/>
    <w:rsid w:val="00E203DB"/>
    <w:rsid w:val="00E215E9"/>
    <w:rsid w:val="00E24381"/>
    <w:rsid w:val="00E25F54"/>
    <w:rsid w:val="00E266CD"/>
    <w:rsid w:val="00E30276"/>
    <w:rsid w:val="00E33148"/>
    <w:rsid w:val="00E36FAE"/>
    <w:rsid w:val="00E37684"/>
    <w:rsid w:val="00E4422C"/>
    <w:rsid w:val="00E46A2D"/>
    <w:rsid w:val="00E47B18"/>
    <w:rsid w:val="00E54966"/>
    <w:rsid w:val="00E55A7E"/>
    <w:rsid w:val="00E57761"/>
    <w:rsid w:val="00E61B64"/>
    <w:rsid w:val="00E673EE"/>
    <w:rsid w:val="00E7332D"/>
    <w:rsid w:val="00E77882"/>
    <w:rsid w:val="00E81543"/>
    <w:rsid w:val="00E818FF"/>
    <w:rsid w:val="00E8481D"/>
    <w:rsid w:val="00E849F6"/>
    <w:rsid w:val="00E863D6"/>
    <w:rsid w:val="00E90109"/>
    <w:rsid w:val="00E90BE7"/>
    <w:rsid w:val="00E94EEF"/>
    <w:rsid w:val="00EA0379"/>
    <w:rsid w:val="00EA26EF"/>
    <w:rsid w:val="00EA449E"/>
    <w:rsid w:val="00EA484A"/>
    <w:rsid w:val="00EA4D3A"/>
    <w:rsid w:val="00EA7E62"/>
    <w:rsid w:val="00EB3DF8"/>
    <w:rsid w:val="00EB42A6"/>
    <w:rsid w:val="00EB4954"/>
    <w:rsid w:val="00EC1734"/>
    <w:rsid w:val="00EC1C17"/>
    <w:rsid w:val="00EC20F3"/>
    <w:rsid w:val="00EC39F8"/>
    <w:rsid w:val="00ED00A0"/>
    <w:rsid w:val="00ED3DCC"/>
    <w:rsid w:val="00ED4E6F"/>
    <w:rsid w:val="00EE2665"/>
    <w:rsid w:val="00EE2A75"/>
    <w:rsid w:val="00EE58DA"/>
    <w:rsid w:val="00EE7AB7"/>
    <w:rsid w:val="00EE7D93"/>
    <w:rsid w:val="00EF33F8"/>
    <w:rsid w:val="00EF5B88"/>
    <w:rsid w:val="00EF76BD"/>
    <w:rsid w:val="00EF7BA6"/>
    <w:rsid w:val="00F041D6"/>
    <w:rsid w:val="00F053F9"/>
    <w:rsid w:val="00F05F0E"/>
    <w:rsid w:val="00F12E91"/>
    <w:rsid w:val="00F13EA7"/>
    <w:rsid w:val="00F17A4E"/>
    <w:rsid w:val="00F204C8"/>
    <w:rsid w:val="00F20CEF"/>
    <w:rsid w:val="00F2124A"/>
    <w:rsid w:val="00F23837"/>
    <w:rsid w:val="00F23E04"/>
    <w:rsid w:val="00F30368"/>
    <w:rsid w:val="00F310EE"/>
    <w:rsid w:val="00F34997"/>
    <w:rsid w:val="00F34CC4"/>
    <w:rsid w:val="00F36A31"/>
    <w:rsid w:val="00F4069F"/>
    <w:rsid w:val="00F4169C"/>
    <w:rsid w:val="00F424C3"/>
    <w:rsid w:val="00F44D6F"/>
    <w:rsid w:val="00F4640E"/>
    <w:rsid w:val="00F53F26"/>
    <w:rsid w:val="00F53F48"/>
    <w:rsid w:val="00F54D1B"/>
    <w:rsid w:val="00F71287"/>
    <w:rsid w:val="00F71910"/>
    <w:rsid w:val="00F731E5"/>
    <w:rsid w:val="00F7434F"/>
    <w:rsid w:val="00F75703"/>
    <w:rsid w:val="00F758A0"/>
    <w:rsid w:val="00F7772E"/>
    <w:rsid w:val="00F80625"/>
    <w:rsid w:val="00F81B01"/>
    <w:rsid w:val="00F830EB"/>
    <w:rsid w:val="00F851A7"/>
    <w:rsid w:val="00F85273"/>
    <w:rsid w:val="00F86CD2"/>
    <w:rsid w:val="00F925AD"/>
    <w:rsid w:val="00F96066"/>
    <w:rsid w:val="00F9643C"/>
    <w:rsid w:val="00FA0151"/>
    <w:rsid w:val="00FA089C"/>
    <w:rsid w:val="00FA2440"/>
    <w:rsid w:val="00FA4417"/>
    <w:rsid w:val="00FA59E3"/>
    <w:rsid w:val="00FA64BC"/>
    <w:rsid w:val="00FB02C3"/>
    <w:rsid w:val="00FB1C39"/>
    <w:rsid w:val="00FB230A"/>
    <w:rsid w:val="00FB36B6"/>
    <w:rsid w:val="00FB4E74"/>
    <w:rsid w:val="00FC14D2"/>
    <w:rsid w:val="00FC3944"/>
    <w:rsid w:val="00FC3F26"/>
    <w:rsid w:val="00FC6067"/>
    <w:rsid w:val="00FC644E"/>
    <w:rsid w:val="00FD2611"/>
    <w:rsid w:val="00FD302D"/>
    <w:rsid w:val="00FD4029"/>
    <w:rsid w:val="00FD465B"/>
    <w:rsid w:val="00FD63F4"/>
    <w:rsid w:val="00FE0DBF"/>
    <w:rsid w:val="00FE2A97"/>
    <w:rsid w:val="00FE2B78"/>
    <w:rsid w:val="00FE43F1"/>
    <w:rsid w:val="00FE48E2"/>
    <w:rsid w:val="00FE6117"/>
    <w:rsid w:val="00FF05EA"/>
    <w:rsid w:val="00FF2641"/>
    <w:rsid w:val="00FF46DD"/>
    <w:rsid w:val="00FF6529"/>
    <w:rsid w:val="1A16CCD8"/>
    <w:rsid w:val="2272AC3B"/>
    <w:rsid w:val="2A5E9FB7"/>
    <w:rsid w:val="31245596"/>
    <w:rsid w:val="321DD403"/>
    <w:rsid w:val="337281C0"/>
    <w:rsid w:val="37AD50E1"/>
    <w:rsid w:val="3AF60D94"/>
    <w:rsid w:val="3DC8C782"/>
    <w:rsid w:val="4D4160DD"/>
    <w:rsid w:val="5461CC45"/>
    <w:rsid w:val="54B834B6"/>
    <w:rsid w:val="55A63F03"/>
    <w:rsid w:val="596562CE"/>
    <w:rsid w:val="61F7FED2"/>
    <w:rsid w:val="654E609A"/>
    <w:rsid w:val="6725A6CD"/>
    <w:rsid w:val="679E2DC8"/>
    <w:rsid w:val="716CC69C"/>
    <w:rsid w:val="7613E36D"/>
    <w:rsid w:val="7666079B"/>
    <w:rsid w:val="7AB078EE"/>
    <w:rsid w:val="7BC30C5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A040"/>
  <w15:chartTrackingRefBased/>
  <w15:docId w15:val="{D6675F18-0757-4CC9-89FD-0B546322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65F7"/>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5F7"/>
    <w:rPr>
      <w:rFonts w:ascii="Times New Roman" w:eastAsia="Times New Roman" w:hAnsi="Times New Roman" w:cs="Times New Roman"/>
      <w:b/>
      <w:bCs/>
      <w:sz w:val="36"/>
      <w:szCs w:val="36"/>
      <w:lang w:eastAsia="en-NZ"/>
    </w:rPr>
  </w:style>
  <w:style w:type="paragraph" w:styleId="NormalWeb">
    <w:name w:val="Normal (Web)"/>
    <w:basedOn w:val="Normal"/>
    <w:uiPriority w:val="99"/>
    <w:unhideWhenUsed/>
    <w:rsid w:val="005F65F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5F65F7"/>
    <w:rPr>
      <w:color w:val="0563C1" w:themeColor="hyperlink"/>
      <w:u w:val="single"/>
    </w:rPr>
  </w:style>
  <w:style w:type="character" w:customStyle="1" w:styleId="UnresolvedMention1">
    <w:name w:val="Unresolved Mention1"/>
    <w:basedOn w:val="DefaultParagraphFont"/>
    <w:uiPriority w:val="99"/>
    <w:semiHidden/>
    <w:unhideWhenUsed/>
    <w:rsid w:val="005F65F7"/>
    <w:rPr>
      <w:color w:val="605E5C"/>
      <w:shd w:val="clear" w:color="auto" w:fill="E1DFDD"/>
    </w:rPr>
  </w:style>
  <w:style w:type="paragraph" w:customStyle="1" w:styleId="Default">
    <w:name w:val="Default"/>
    <w:rsid w:val="006869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g-scope">
    <w:name w:val="ng-scope"/>
    <w:basedOn w:val="Normal"/>
    <w:rsid w:val="009B5B9B"/>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366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sauthors">
    <w:name w:val="references__authors"/>
    <w:basedOn w:val="DefaultParagraphFont"/>
    <w:rsid w:val="00F758A0"/>
  </w:style>
  <w:style w:type="character" w:customStyle="1" w:styleId="referencesauthorsothers">
    <w:name w:val="references__authors__others"/>
    <w:basedOn w:val="DefaultParagraphFont"/>
    <w:rsid w:val="00F758A0"/>
  </w:style>
  <w:style w:type="character" w:customStyle="1" w:styleId="referencesarticle-title">
    <w:name w:val="references__article-title"/>
    <w:basedOn w:val="DefaultParagraphFont"/>
    <w:rsid w:val="00F758A0"/>
  </w:style>
  <w:style w:type="character" w:styleId="Strong">
    <w:name w:val="Strong"/>
    <w:basedOn w:val="DefaultParagraphFont"/>
    <w:uiPriority w:val="22"/>
    <w:qFormat/>
    <w:rsid w:val="00F758A0"/>
    <w:rPr>
      <w:b/>
      <w:bCs/>
    </w:rPr>
  </w:style>
  <w:style w:type="character" w:customStyle="1" w:styleId="referencesyear">
    <w:name w:val="references__year"/>
    <w:basedOn w:val="DefaultParagraphFont"/>
    <w:rsid w:val="00F758A0"/>
  </w:style>
  <w:style w:type="paragraph" w:styleId="ListParagraph">
    <w:name w:val="List Paragraph"/>
    <w:basedOn w:val="Normal"/>
    <w:uiPriority w:val="34"/>
    <w:qFormat/>
    <w:rsid w:val="00F7772E"/>
    <w:pPr>
      <w:spacing w:after="0" w:line="240" w:lineRule="auto"/>
      <w:ind w:left="720"/>
      <w:contextualSpacing/>
    </w:pPr>
    <w:rPr>
      <w:rFonts w:ascii="Times New Roman" w:eastAsia="Times New Roman" w:hAnsi="Times New Roman" w:cs="Times New Roman"/>
      <w:sz w:val="24"/>
      <w:szCs w:val="24"/>
      <w:lang w:eastAsia="en-NZ"/>
    </w:rPr>
  </w:style>
  <w:style w:type="paragraph" w:customStyle="1" w:styleId="c-bibliographic-informationcitation">
    <w:name w:val="c-bibliographic-information__citation"/>
    <w:basedOn w:val="Normal"/>
    <w:rsid w:val="0091368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C21684"/>
    <w:rPr>
      <w:sz w:val="16"/>
      <w:szCs w:val="16"/>
    </w:rPr>
  </w:style>
  <w:style w:type="paragraph" w:styleId="CommentText">
    <w:name w:val="annotation text"/>
    <w:basedOn w:val="Normal"/>
    <w:link w:val="CommentTextChar"/>
    <w:uiPriority w:val="99"/>
    <w:unhideWhenUsed/>
    <w:rsid w:val="00C21684"/>
    <w:pPr>
      <w:spacing w:line="240" w:lineRule="auto"/>
    </w:pPr>
    <w:rPr>
      <w:sz w:val="20"/>
      <w:szCs w:val="20"/>
    </w:rPr>
  </w:style>
  <w:style w:type="character" w:customStyle="1" w:styleId="CommentTextChar">
    <w:name w:val="Comment Text Char"/>
    <w:basedOn w:val="DefaultParagraphFont"/>
    <w:link w:val="CommentText"/>
    <w:uiPriority w:val="99"/>
    <w:rsid w:val="00C21684"/>
    <w:rPr>
      <w:sz w:val="20"/>
      <w:szCs w:val="20"/>
    </w:rPr>
  </w:style>
  <w:style w:type="paragraph" w:styleId="CommentSubject">
    <w:name w:val="annotation subject"/>
    <w:basedOn w:val="CommentText"/>
    <w:next w:val="CommentText"/>
    <w:link w:val="CommentSubjectChar"/>
    <w:uiPriority w:val="99"/>
    <w:semiHidden/>
    <w:unhideWhenUsed/>
    <w:rsid w:val="00C21684"/>
    <w:rPr>
      <w:b/>
      <w:bCs/>
    </w:rPr>
  </w:style>
  <w:style w:type="character" w:customStyle="1" w:styleId="CommentSubjectChar">
    <w:name w:val="Comment Subject Char"/>
    <w:basedOn w:val="CommentTextChar"/>
    <w:link w:val="CommentSubject"/>
    <w:uiPriority w:val="99"/>
    <w:semiHidden/>
    <w:rsid w:val="00C21684"/>
    <w:rPr>
      <w:b/>
      <w:bCs/>
      <w:sz w:val="20"/>
      <w:szCs w:val="20"/>
    </w:rPr>
  </w:style>
  <w:style w:type="paragraph" w:styleId="BalloonText">
    <w:name w:val="Balloon Text"/>
    <w:basedOn w:val="Normal"/>
    <w:link w:val="BalloonTextChar"/>
    <w:uiPriority w:val="99"/>
    <w:semiHidden/>
    <w:unhideWhenUsed/>
    <w:rsid w:val="00C21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684"/>
    <w:rPr>
      <w:rFonts w:ascii="Segoe UI" w:hAnsi="Segoe UI" w:cs="Segoe UI"/>
      <w:sz w:val="18"/>
      <w:szCs w:val="18"/>
    </w:rPr>
  </w:style>
  <w:style w:type="character" w:customStyle="1" w:styleId="Mention1">
    <w:name w:val="Mention1"/>
    <w:basedOn w:val="DefaultParagraphFont"/>
    <w:uiPriority w:val="99"/>
    <w:unhideWhenUsed/>
    <w:rsid w:val="0003141D"/>
    <w:rPr>
      <w:color w:val="2B579A"/>
      <w:shd w:val="clear" w:color="auto" w:fill="E1DFDD"/>
    </w:rPr>
  </w:style>
  <w:style w:type="paragraph" w:styleId="Revision">
    <w:name w:val="Revision"/>
    <w:hidden/>
    <w:uiPriority w:val="99"/>
    <w:semiHidden/>
    <w:rsid w:val="00CC78CE"/>
    <w:pPr>
      <w:spacing w:after="0" w:line="240" w:lineRule="auto"/>
    </w:pPr>
  </w:style>
  <w:style w:type="character" w:customStyle="1" w:styleId="Heading1Char">
    <w:name w:val="Heading 1 Char"/>
    <w:basedOn w:val="DefaultParagraphFont"/>
    <w:link w:val="Heading1"/>
    <w:uiPriority w:val="9"/>
    <w:rsid w:val="00753F1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D4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65B"/>
  </w:style>
  <w:style w:type="paragraph" w:styleId="Footer">
    <w:name w:val="footer"/>
    <w:basedOn w:val="Normal"/>
    <w:link w:val="FooterChar"/>
    <w:uiPriority w:val="99"/>
    <w:unhideWhenUsed/>
    <w:rsid w:val="00FD4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65B"/>
  </w:style>
  <w:style w:type="character" w:styleId="Emphasis">
    <w:name w:val="Emphasis"/>
    <w:basedOn w:val="DefaultParagraphFont"/>
    <w:uiPriority w:val="20"/>
    <w:qFormat/>
    <w:rsid w:val="004D272D"/>
    <w:rPr>
      <w:i/>
      <w:iCs/>
    </w:rPr>
  </w:style>
  <w:style w:type="paragraph" w:styleId="PlainText">
    <w:name w:val="Plain Text"/>
    <w:basedOn w:val="Normal"/>
    <w:link w:val="PlainTextChar"/>
    <w:uiPriority w:val="99"/>
    <w:semiHidden/>
    <w:unhideWhenUsed/>
    <w:rsid w:val="008F5AE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F5AEE"/>
    <w:rPr>
      <w:rFonts w:ascii="Calibri" w:eastAsiaTheme="minorHAnsi" w:hAnsi="Calibri"/>
      <w:szCs w:val="21"/>
    </w:rPr>
  </w:style>
  <w:style w:type="character" w:customStyle="1" w:styleId="UnresolvedMention2">
    <w:name w:val="Unresolved Mention2"/>
    <w:basedOn w:val="DefaultParagraphFont"/>
    <w:uiPriority w:val="99"/>
    <w:semiHidden/>
    <w:unhideWhenUsed/>
    <w:rsid w:val="00A06D7D"/>
    <w:rPr>
      <w:color w:val="605E5C"/>
      <w:shd w:val="clear" w:color="auto" w:fill="E1DFDD"/>
    </w:rPr>
  </w:style>
  <w:style w:type="character" w:styleId="FollowedHyperlink">
    <w:name w:val="FollowedHyperlink"/>
    <w:basedOn w:val="DefaultParagraphFont"/>
    <w:uiPriority w:val="99"/>
    <w:semiHidden/>
    <w:unhideWhenUsed/>
    <w:rsid w:val="009538A9"/>
    <w:rPr>
      <w:color w:val="954F72" w:themeColor="followedHyperlink"/>
      <w:u w:val="single"/>
    </w:rPr>
  </w:style>
  <w:style w:type="character" w:styleId="Mention">
    <w:name w:val="Mention"/>
    <w:basedOn w:val="DefaultParagraphFont"/>
    <w:uiPriority w:val="99"/>
    <w:unhideWhenUsed/>
    <w:rsid w:val="00783993"/>
    <w:rPr>
      <w:color w:val="2B579A"/>
      <w:shd w:val="clear" w:color="auto" w:fill="E1DFDD"/>
    </w:rPr>
  </w:style>
  <w:style w:type="paragraph" w:styleId="Caption">
    <w:name w:val="caption"/>
    <w:basedOn w:val="Normal"/>
    <w:next w:val="Normal"/>
    <w:link w:val="CaptionChar"/>
    <w:qFormat/>
    <w:rsid w:val="00D15381"/>
    <w:pPr>
      <w:keepNext/>
      <w:suppressAutoHyphens/>
      <w:spacing w:before="120" w:after="120" w:line="320" w:lineRule="exact"/>
      <w:ind w:left="1440" w:hanging="1440"/>
    </w:pPr>
    <w:rPr>
      <w:rFonts w:ascii="Times New Roman" w:eastAsia="SimSun" w:hAnsi="Times New Roman" w:cs="Times New Roman"/>
      <w:b/>
      <w:sz w:val="24"/>
      <w:szCs w:val="20"/>
      <w:lang w:val="en-US"/>
    </w:rPr>
  </w:style>
  <w:style w:type="paragraph" w:customStyle="1" w:styleId="TableFootnote">
    <w:name w:val="Table Footnote"/>
    <w:basedOn w:val="Normal"/>
    <w:uiPriority w:val="2"/>
    <w:qFormat/>
    <w:rsid w:val="00D15381"/>
    <w:pPr>
      <w:keepLines/>
      <w:tabs>
        <w:tab w:val="left" w:pos="259"/>
      </w:tabs>
      <w:overflowPunct w:val="0"/>
      <w:autoSpaceDE w:val="0"/>
      <w:autoSpaceDN w:val="0"/>
      <w:adjustRightInd w:val="0"/>
      <w:spacing w:after="120" w:line="259" w:lineRule="atLeast"/>
      <w:ind w:left="259" w:hanging="259"/>
      <w:contextualSpacing/>
      <w:textAlignment w:val="baseline"/>
    </w:pPr>
    <w:rPr>
      <w:rFonts w:ascii="Times New Roman" w:eastAsia="SimSun" w:hAnsi="Times New Roman" w:cs="Times New Roman"/>
      <w:sz w:val="20"/>
      <w:szCs w:val="20"/>
      <w:lang w:val="en-US"/>
    </w:rPr>
  </w:style>
  <w:style w:type="paragraph" w:customStyle="1" w:styleId="TableText">
    <w:name w:val="Table Text"/>
    <w:basedOn w:val="Normal"/>
    <w:link w:val="TableTextChar"/>
    <w:uiPriority w:val="2"/>
    <w:qFormat/>
    <w:rsid w:val="00D15381"/>
    <w:pPr>
      <w:keepNext/>
      <w:spacing w:before="60" w:after="60" w:line="240" w:lineRule="auto"/>
    </w:pPr>
    <w:rPr>
      <w:rFonts w:ascii="Times New Roman" w:eastAsia="SimSun" w:hAnsi="Times New Roman" w:cs="Times New Roman"/>
      <w:sz w:val="20"/>
      <w:szCs w:val="24"/>
      <w:lang w:val="en-US"/>
    </w:rPr>
  </w:style>
  <w:style w:type="character" w:customStyle="1" w:styleId="TableTextChar">
    <w:name w:val="Table Text Char"/>
    <w:basedOn w:val="DefaultParagraphFont"/>
    <w:link w:val="TableText"/>
    <w:uiPriority w:val="2"/>
    <w:rsid w:val="00D15381"/>
    <w:rPr>
      <w:rFonts w:ascii="Times New Roman" w:eastAsia="SimSun" w:hAnsi="Times New Roman" w:cs="Times New Roman"/>
      <w:sz w:val="20"/>
      <w:szCs w:val="24"/>
      <w:lang w:val="en-US"/>
    </w:rPr>
  </w:style>
  <w:style w:type="paragraph" w:customStyle="1" w:styleId="TableHead">
    <w:name w:val="Table Head"/>
    <w:basedOn w:val="TableText"/>
    <w:uiPriority w:val="11"/>
    <w:qFormat/>
    <w:rsid w:val="00D15381"/>
    <w:pPr>
      <w:keepNext w:val="0"/>
      <w:spacing w:before="40" w:after="40"/>
      <w:jc w:val="center"/>
    </w:pPr>
    <w:rPr>
      <w:b/>
      <w:szCs w:val="48"/>
      <w:lang w:val="en-GB"/>
    </w:rPr>
  </w:style>
  <w:style w:type="character" w:customStyle="1" w:styleId="CaptionChar">
    <w:name w:val="Caption Char"/>
    <w:link w:val="Caption"/>
    <w:rsid w:val="00D15381"/>
    <w:rPr>
      <w:rFonts w:ascii="Times New Roman" w:eastAsia="SimSu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209">
      <w:bodyDiv w:val="1"/>
      <w:marLeft w:val="0"/>
      <w:marRight w:val="0"/>
      <w:marTop w:val="0"/>
      <w:marBottom w:val="0"/>
      <w:divBdr>
        <w:top w:val="none" w:sz="0" w:space="0" w:color="auto"/>
        <w:left w:val="none" w:sz="0" w:space="0" w:color="auto"/>
        <w:bottom w:val="none" w:sz="0" w:space="0" w:color="auto"/>
        <w:right w:val="none" w:sz="0" w:space="0" w:color="auto"/>
      </w:divBdr>
    </w:div>
    <w:div w:id="69817940">
      <w:bodyDiv w:val="1"/>
      <w:marLeft w:val="0"/>
      <w:marRight w:val="0"/>
      <w:marTop w:val="0"/>
      <w:marBottom w:val="0"/>
      <w:divBdr>
        <w:top w:val="none" w:sz="0" w:space="0" w:color="auto"/>
        <w:left w:val="none" w:sz="0" w:space="0" w:color="auto"/>
        <w:bottom w:val="none" w:sz="0" w:space="0" w:color="auto"/>
        <w:right w:val="none" w:sz="0" w:space="0" w:color="auto"/>
      </w:divBdr>
    </w:div>
    <w:div w:id="77216784">
      <w:bodyDiv w:val="1"/>
      <w:marLeft w:val="0"/>
      <w:marRight w:val="0"/>
      <w:marTop w:val="0"/>
      <w:marBottom w:val="0"/>
      <w:divBdr>
        <w:top w:val="none" w:sz="0" w:space="0" w:color="auto"/>
        <w:left w:val="none" w:sz="0" w:space="0" w:color="auto"/>
        <w:bottom w:val="none" w:sz="0" w:space="0" w:color="auto"/>
        <w:right w:val="none" w:sz="0" w:space="0" w:color="auto"/>
      </w:divBdr>
    </w:div>
    <w:div w:id="118182324">
      <w:bodyDiv w:val="1"/>
      <w:marLeft w:val="0"/>
      <w:marRight w:val="0"/>
      <w:marTop w:val="0"/>
      <w:marBottom w:val="0"/>
      <w:divBdr>
        <w:top w:val="none" w:sz="0" w:space="0" w:color="auto"/>
        <w:left w:val="none" w:sz="0" w:space="0" w:color="auto"/>
        <w:bottom w:val="none" w:sz="0" w:space="0" w:color="auto"/>
        <w:right w:val="none" w:sz="0" w:space="0" w:color="auto"/>
      </w:divBdr>
    </w:div>
    <w:div w:id="121117038">
      <w:bodyDiv w:val="1"/>
      <w:marLeft w:val="0"/>
      <w:marRight w:val="0"/>
      <w:marTop w:val="0"/>
      <w:marBottom w:val="0"/>
      <w:divBdr>
        <w:top w:val="none" w:sz="0" w:space="0" w:color="auto"/>
        <w:left w:val="none" w:sz="0" w:space="0" w:color="auto"/>
        <w:bottom w:val="none" w:sz="0" w:space="0" w:color="auto"/>
        <w:right w:val="none" w:sz="0" w:space="0" w:color="auto"/>
      </w:divBdr>
    </w:div>
    <w:div w:id="216862232">
      <w:bodyDiv w:val="1"/>
      <w:marLeft w:val="0"/>
      <w:marRight w:val="0"/>
      <w:marTop w:val="0"/>
      <w:marBottom w:val="0"/>
      <w:divBdr>
        <w:top w:val="none" w:sz="0" w:space="0" w:color="auto"/>
        <w:left w:val="none" w:sz="0" w:space="0" w:color="auto"/>
        <w:bottom w:val="none" w:sz="0" w:space="0" w:color="auto"/>
        <w:right w:val="none" w:sz="0" w:space="0" w:color="auto"/>
      </w:divBdr>
    </w:div>
    <w:div w:id="254172664">
      <w:bodyDiv w:val="1"/>
      <w:marLeft w:val="0"/>
      <w:marRight w:val="0"/>
      <w:marTop w:val="0"/>
      <w:marBottom w:val="0"/>
      <w:divBdr>
        <w:top w:val="none" w:sz="0" w:space="0" w:color="auto"/>
        <w:left w:val="none" w:sz="0" w:space="0" w:color="auto"/>
        <w:bottom w:val="none" w:sz="0" w:space="0" w:color="auto"/>
        <w:right w:val="none" w:sz="0" w:space="0" w:color="auto"/>
      </w:divBdr>
    </w:div>
    <w:div w:id="256403596">
      <w:bodyDiv w:val="1"/>
      <w:marLeft w:val="0"/>
      <w:marRight w:val="0"/>
      <w:marTop w:val="0"/>
      <w:marBottom w:val="0"/>
      <w:divBdr>
        <w:top w:val="none" w:sz="0" w:space="0" w:color="auto"/>
        <w:left w:val="none" w:sz="0" w:space="0" w:color="auto"/>
        <w:bottom w:val="none" w:sz="0" w:space="0" w:color="auto"/>
        <w:right w:val="none" w:sz="0" w:space="0" w:color="auto"/>
      </w:divBdr>
    </w:div>
    <w:div w:id="428425691">
      <w:bodyDiv w:val="1"/>
      <w:marLeft w:val="0"/>
      <w:marRight w:val="0"/>
      <w:marTop w:val="0"/>
      <w:marBottom w:val="0"/>
      <w:divBdr>
        <w:top w:val="none" w:sz="0" w:space="0" w:color="auto"/>
        <w:left w:val="none" w:sz="0" w:space="0" w:color="auto"/>
        <w:bottom w:val="none" w:sz="0" w:space="0" w:color="auto"/>
        <w:right w:val="none" w:sz="0" w:space="0" w:color="auto"/>
      </w:divBdr>
    </w:div>
    <w:div w:id="451482802">
      <w:bodyDiv w:val="1"/>
      <w:marLeft w:val="0"/>
      <w:marRight w:val="0"/>
      <w:marTop w:val="0"/>
      <w:marBottom w:val="0"/>
      <w:divBdr>
        <w:top w:val="none" w:sz="0" w:space="0" w:color="auto"/>
        <w:left w:val="none" w:sz="0" w:space="0" w:color="auto"/>
        <w:bottom w:val="none" w:sz="0" w:space="0" w:color="auto"/>
        <w:right w:val="none" w:sz="0" w:space="0" w:color="auto"/>
      </w:divBdr>
    </w:div>
    <w:div w:id="461071096">
      <w:bodyDiv w:val="1"/>
      <w:marLeft w:val="0"/>
      <w:marRight w:val="0"/>
      <w:marTop w:val="0"/>
      <w:marBottom w:val="0"/>
      <w:divBdr>
        <w:top w:val="none" w:sz="0" w:space="0" w:color="auto"/>
        <w:left w:val="none" w:sz="0" w:space="0" w:color="auto"/>
        <w:bottom w:val="none" w:sz="0" w:space="0" w:color="auto"/>
        <w:right w:val="none" w:sz="0" w:space="0" w:color="auto"/>
      </w:divBdr>
    </w:div>
    <w:div w:id="466624870">
      <w:bodyDiv w:val="1"/>
      <w:marLeft w:val="0"/>
      <w:marRight w:val="0"/>
      <w:marTop w:val="0"/>
      <w:marBottom w:val="0"/>
      <w:divBdr>
        <w:top w:val="none" w:sz="0" w:space="0" w:color="auto"/>
        <w:left w:val="none" w:sz="0" w:space="0" w:color="auto"/>
        <w:bottom w:val="none" w:sz="0" w:space="0" w:color="auto"/>
        <w:right w:val="none" w:sz="0" w:space="0" w:color="auto"/>
      </w:divBdr>
    </w:div>
    <w:div w:id="473301126">
      <w:bodyDiv w:val="1"/>
      <w:marLeft w:val="0"/>
      <w:marRight w:val="0"/>
      <w:marTop w:val="0"/>
      <w:marBottom w:val="0"/>
      <w:divBdr>
        <w:top w:val="none" w:sz="0" w:space="0" w:color="auto"/>
        <w:left w:val="none" w:sz="0" w:space="0" w:color="auto"/>
        <w:bottom w:val="none" w:sz="0" w:space="0" w:color="auto"/>
        <w:right w:val="none" w:sz="0" w:space="0" w:color="auto"/>
      </w:divBdr>
    </w:div>
    <w:div w:id="506209367">
      <w:bodyDiv w:val="1"/>
      <w:marLeft w:val="0"/>
      <w:marRight w:val="0"/>
      <w:marTop w:val="0"/>
      <w:marBottom w:val="0"/>
      <w:divBdr>
        <w:top w:val="none" w:sz="0" w:space="0" w:color="auto"/>
        <w:left w:val="none" w:sz="0" w:space="0" w:color="auto"/>
        <w:bottom w:val="none" w:sz="0" w:space="0" w:color="auto"/>
        <w:right w:val="none" w:sz="0" w:space="0" w:color="auto"/>
      </w:divBdr>
    </w:div>
    <w:div w:id="513766523">
      <w:bodyDiv w:val="1"/>
      <w:marLeft w:val="0"/>
      <w:marRight w:val="0"/>
      <w:marTop w:val="0"/>
      <w:marBottom w:val="0"/>
      <w:divBdr>
        <w:top w:val="none" w:sz="0" w:space="0" w:color="auto"/>
        <w:left w:val="none" w:sz="0" w:space="0" w:color="auto"/>
        <w:bottom w:val="none" w:sz="0" w:space="0" w:color="auto"/>
        <w:right w:val="none" w:sz="0" w:space="0" w:color="auto"/>
      </w:divBdr>
      <w:divsChild>
        <w:div w:id="53650326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34123469">
      <w:bodyDiv w:val="1"/>
      <w:marLeft w:val="0"/>
      <w:marRight w:val="0"/>
      <w:marTop w:val="0"/>
      <w:marBottom w:val="0"/>
      <w:divBdr>
        <w:top w:val="none" w:sz="0" w:space="0" w:color="auto"/>
        <w:left w:val="none" w:sz="0" w:space="0" w:color="auto"/>
        <w:bottom w:val="none" w:sz="0" w:space="0" w:color="auto"/>
        <w:right w:val="none" w:sz="0" w:space="0" w:color="auto"/>
      </w:divBdr>
    </w:div>
    <w:div w:id="599411326">
      <w:bodyDiv w:val="1"/>
      <w:marLeft w:val="0"/>
      <w:marRight w:val="0"/>
      <w:marTop w:val="0"/>
      <w:marBottom w:val="0"/>
      <w:divBdr>
        <w:top w:val="none" w:sz="0" w:space="0" w:color="auto"/>
        <w:left w:val="none" w:sz="0" w:space="0" w:color="auto"/>
        <w:bottom w:val="none" w:sz="0" w:space="0" w:color="auto"/>
        <w:right w:val="none" w:sz="0" w:space="0" w:color="auto"/>
      </w:divBdr>
    </w:div>
    <w:div w:id="776827753">
      <w:bodyDiv w:val="1"/>
      <w:marLeft w:val="0"/>
      <w:marRight w:val="0"/>
      <w:marTop w:val="0"/>
      <w:marBottom w:val="0"/>
      <w:divBdr>
        <w:top w:val="none" w:sz="0" w:space="0" w:color="auto"/>
        <w:left w:val="none" w:sz="0" w:space="0" w:color="auto"/>
        <w:bottom w:val="none" w:sz="0" w:space="0" w:color="auto"/>
        <w:right w:val="none" w:sz="0" w:space="0" w:color="auto"/>
      </w:divBdr>
    </w:div>
    <w:div w:id="780998797">
      <w:bodyDiv w:val="1"/>
      <w:marLeft w:val="0"/>
      <w:marRight w:val="0"/>
      <w:marTop w:val="0"/>
      <w:marBottom w:val="0"/>
      <w:divBdr>
        <w:top w:val="none" w:sz="0" w:space="0" w:color="auto"/>
        <w:left w:val="none" w:sz="0" w:space="0" w:color="auto"/>
        <w:bottom w:val="none" w:sz="0" w:space="0" w:color="auto"/>
        <w:right w:val="none" w:sz="0" w:space="0" w:color="auto"/>
      </w:divBdr>
    </w:div>
    <w:div w:id="791097987">
      <w:bodyDiv w:val="1"/>
      <w:marLeft w:val="0"/>
      <w:marRight w:val="0"/>
      <w:marTop w:val="0"/>
      <w:marBottom w:val="0"/>
      <w:divBdr>
        <w:top w:val="none" w:sz="0" w:space="0" w:color="auto"/>
        <w:left w:val="none" w:sz="0" w:space="0" w:color="auto"/>
        <w:bottom w:val="none" w:sz="0" w:space="0" w:color="auto"/>
        <w:right w:val="none" w:sz="0" w:space="0" w:color="auto"/>
      </w:divBdr>
    </w:div>
    <w:div w:id="856311926">
      <w:bodyDiv w:val="1"/>
      <w:marLeft w:val="0"/>
      <w:marRight w:val="0"/>
      <w:marTop w:val="0"/>
      <w:marBottom w:val="0"/>
      <w:divBdr>
        <w:top w:val="none" w:sz="0" w:space="0" w:color="auto"/>
        <w:left w:val="none" w:sz="0" w:space="0" w:color="auto"/>
        <w:bottom w:val="none" w:sz="0" w:space="0" w:color="auto"/>
        <w:right w:val="none" w:sz="0" w:space="0" w:color="auto"/>
      </w:divBdr>
    </w:div>
    <w:div w:id="920649742">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
    <w:div w:id="1311253067">
      <w:bodyDiv w:val="1"/>
      <w:marLeft w:val="0"/>
      <w:marRight w:val="0"/>
      <w:marTop w:val="0"/>
      <w:marBottom w:val="0"/>
      <w:divBdr>
        <w:top w:val="none" w:sz="0" w:space="0" w:color="auto"/>
        <w:left w:val="none" w:sz="0" w:space="0" w:color="auto"/>
        <w:bottom w:val="none" w:sz="0" w:space="0" w:color="auto"/>
        <w:right w:val="none" w:sz="0" w:space="0" w:color="auto"/>
      </w:divBdr>
      <w:divsChild>
        <w:div w:id="1662001183">
          <w:marLeft w:val="360"/>
          <w:marRight w:val="0"/>
          <w:marTop w:val="200"/>
          <w:marBottom w:val="0"/>
          <w:divBdr>
            <w:top w:val="none" w:sz="0" w:space="0" w:color="auto"/>
            <w:left w:val="none" w:sz="0" w:space="0" w:color="auto"/>
            <w:bottom w:val="none" w:sz="0" w:space="0" w:color="auto"/>
            <w:right w:val="none" w:sz="0" w:space="0" w:color="auto"/>
          </w:divBdr>
        </w:div>
      </w:divsChild>
    </w:div>
    <w:div w:id="1463882591">
      <w:bodyDiv w:val="1"/>
      <w:marLeft w:val="0"/>
      <w:marRight w:val="0"/>
      <w:marTop w:val="0"/>
      <w:marBottom w:val="0"/>
      <w:divBdr>
        <w:top w:val="none" w:sz="0" w:space="0" w:color="auto"/>
        <w:left w:val="none" w:sz="0" w:space="0" w:color="auto"/>
        <w:bottom w:val="none" w:sz="0" w:space="0" w:color="auto"/>
        <w:right w:val="none" w:sz="0" w:space="0" w:color="auto"/>
      </w:divBdr>
    </w:div>
    <w:div w:id="1505129156">
      <w:bodyDiv w:val="1"/>
      <w:marLeft w:val="0"/>
      <w:marRight w:val="0"/>
      <w:marTop w:val="0"/>
      <w:marBottom w:val="0"/>
      <w:divBdr>
        <w:top w:val="none" w:sz="0" w:space="0" w:color="auto"/>
        <w:left w:val="none" w:sz="0" w:space="0" w:color="auto"/>
        <w:bottom w:val="none" w:sz="0" w:space="0" w:color="auto"/>
        <w:right w:val="none" w:sz="0" w:space="0" w:color="auto"/>
      </w:divBdr>
      <w:divsChild>
        <w:div w:id="100886832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7276569">
      <w:bodyDiv w:val="1"/>
      <w:marLeft w:val="0"/>
      <w:marRight w:val="0"/>
      <w:marTop w:val="0"/>
      <w:marBottom w:val="0"/>
      <w:divBdr>
        <w:top w:val="none" w:sz="0" w:space="0" w:color="auto"/>
        <w:left w:val="none" w:sz="0" w:space="0" w:color="auto"/>
        <w:bottom w:val="none" w:sz="0" w:space="0" w:color="auto"/>
        <w:right w:val="none" w:sz="0" w:space="0" w:color="auto"/>
      </w:divBdr>
    </w:div>
    <w:div w:id="1603029690">
      <w:bodyDiv w:val="1"/>
      <w:marLeft w:val="0"/>
      <w:marRight w:val="0"/>
      <w:marTop w:val="0"/>
      <w:marBottom w:val="0"/>
      <w:divBdr>
        <w:top w:val="none" w:sz="0" w:space="0" w:color="auto"/>
        <w:left w:val="none" w:sz="0" w:space="0" w:color="auto"/>
        <w:bottom w:val="none" w:sz="0" w:space="0" w:color="auto"/>
        <w:right w:val="none" w:sz="0" w:space="0" w:color="auto"/>
      </w:divBdr>
    </w:div>
    <w:div w:id="1743795259">
      <w:bodyDiv w:val="1"/>
      <w:marLeft w:val="0"/>
      <w:marRight w:val="0"/>
      <w:marTop w:val="0"/>
      <w:marBottom w:val="0"/>
      <w:divBdr>
        <w:top w:val="none" w:sz="0" w:space="0" w:color="auto"/>
        <w:left w:val="none" w:sz="0" w:space="0" w:color="auto"/>
        <w:bottom w:val="none" w:sz="0" w:space="0" w:color="auto"/>
        <w:right w:val="none" w:sz="0" w:space="0" w:color="auto"/>
      </w:divBdr>
    </w:div>
    <w:div w:id="1912041241">
      <w:bodyDiv w:val="1"/>
      <w:marLeft w:val="0"/>
      <w:marRight w:val="0"/>
      <w:marTop w:val="0"/>
      <w:marBottom w:val="0"/>
      <w:divBdr>
        <w:top w:val="none" w:sz="0" w:space="0" w:color="auto"/>
        <w:left w:val="none" w:sz="0" w:space="0" w:color="auto"/>
        <w:bottom w:val="none" w:sz="0" w:space="0" w:color="auto"/>
        <w:right w:val="none" w:sz="0" w:space="0" w:color="auto"/>
      </w:divBdr>
    </w:div>
    <w:div w:id="1973974738">
      <w:bodyDiv w:val="1"/>
      <w:marLeft w:val="0"/>
      <w:marRight w:val="0"/>
      <w:marTop w:val="0"/>
      <w:marBottom w:val="0"/>
      <w:divBdr>
        <w:top w:val="none" w:sz="0" w:space="0" w:color="auto"/>
        <w:left w:val="none" w:sz="0" w:space="0" w:color="auto"/>
        <w:bottom w:val="none" w:sz="0" w:space="0" w:color="auto"/>
        <w:right w:val="none" w:sz="0" w:space="0" w:color="auto"/>
      </w:divBdr>
    </w:div>
    <w:div w:id="2080859455">
      <w:bodyDiv w:val="1"/>
      <w:marLeft w:val="0"/>
      <w:marRight w:val="0"/>
      <w:marTop w:val="0"/>
      <w:marBottom w:val="0"/>
      <w:divBdr>
        <w:top w:val="none" w:sz="0" w:space="0" w:color="auto"/>
        <w:left w:val="none" w:sz="0" w:space="0" w:color="auto"/>
        <w:bottom w:val="none" w:sz="0" w:space="0" w:color="auto"/>
        <w:right w:val="none" w:sz="0" w:space="0" w:color="auto"/>
      </w:divBdr>
    </w:div>
    <w:div w:id="2124762099">
      <w:bodyDiv w:val="1"/>
      <w:marLeft w:val="0"/>
      <w:marRight w:val="0"/>
      <w:marTop w:val="0"/>
      <w:marBottom w:val="0"/>
      <w:divBdr>
        <w:top w:val="none" w:sz="0" w:space="0" w:color="auto"/>
        <w:left w:val="none" w:sz="0" w:space="0" w:color="auto"/>
        <w:bottom w:val="none" w:sz="0" w:space="0" w:color="auto"/>
        <w:right w:val="none" w:sz="0" w:space="0" w:color="auto"/>
      </w:divBdr>
    </w:div>
    <w:div w:id="21250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glue@otago.ac.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A9FE0E05BF7488A2ADE413F4E2F85" ma:contentTypeVersion="14" ma:contentTypeDescription="Create a new document." ma:contentTypeScope="" ma:versionID="69a1840ba7fdbb7147f5f08d3902a001">
  <xsd:schema xmlns:xsd="http://www.w3.org/2001/XMLSchema" xmlns:xs="http://www.w3.org/2001/XMLSchema" xmlns:p="http://schemas.microsoft.com/office/2006/metadata/properties" xmlns:ns2="d992a86e-0f5c-4688-8e5d-41d288bcd354" xmlns:ns3="2509c61f-7925-41fb-96dd-e1c91e8227d1" xmlns:ns4="eb1bc38a-0b93-4961-883f-c12b4be0b59f" targetNamespace="http://schemas.microsoft.com/office/2006/metadata/properties" ma:root="true" ma:fieldsID="bdf7d37dfb0114bea6f834e261112b31" ns2:_="" ns3:_="" ns4:_="">
    <xsd:import namespace="d992a86e-0f5c-4688-8e5d-41d288bcd354"/>
    <xsd:import namespace="2509c61f-7925-41fb-96dd-e1c91e8227d1"/>
    <xsd:import namespace="eb1bc38a-0b93-4961-883f-c12b4be0b5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2a86e-0f5c-4688-8e5d-41d288bcd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f433c1-c0b9-4963-919c-f68fe5314e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9c61f-7925-41fb-96dd-e1c91e8227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bc38a-0b93-4961-883f-c12b4be0b5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3d4e2-39b9-47a2-9aa9-95133a9bdc8c}" ma:internalName="TaxCatchAll" ma:showField="CatchAllData" ma:web="2509c61f-7925-41fb-96dd-e1c91e822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92a86e-0f5c-4688-8e5d-41d288bcd354">
      <Terms xmlns="http://schemas.microsoft.com/office/infopath/2007/PartnerControls"/>
    </lcf76f155ced4ddcb4097134ff3c332f>
    <TaxCatchAll xmlns="eb1bc38a-0b93-4961-883f-c12b4be0b59f" xsi:nil="true"/>
    <SharedWithUsers xmlns="2509c61f-7925-41fb-96dd-e1c91e8227d1">
      <UserInfo>
        <DisplayName>Peter Surman</DisplayName>
        <AccountId>18</AccountId>
        <AccountType/>
      </UserInfo>
      <UserInfo>
        <DisplayName>Clinton Qin</DisplayName>
        <AccountId>292</AccountId>
        <AccountType/>
      </UserInfo>
      <UserInfo>
        <DisplayName>Karen Leong</DisplayName>
        <AccountId>336</AccountId>
        <AccountType/>
      </UserInfo>
      <UserInfo>
        <DisplayName>Blair Dickman</DisplayName>
        <AccountId>70</AccountId>
        <AccountType/>
      </UserInfo>
      <UserInfo>
        <DisplayName>Jason Long</DisplayName>
        <AccountId>12</AccountId>
        <AccountType/>
      </UserInfo>
      <UserInfo>
        <DisplayName>Talyn Stanton</DisplayName>
        <AccountId>199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25534-06EF-4B6A-8F4F-4CA703C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2a86e-0f5c-4688-8e5d-41d288bcd354"/>
    <ds:schemaRef ds:uri="2509c61f-7925-41fb-96dd-e1c91e8227d1"/>
    <ds:schemaRef ds:uri="eb1bc38a-0b93-4961-883f-c12b4be0b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5EE2D-E9F0-41D0-B3FF-79F3BD3CCCD7}">
  <ds:schemaRefs>
    <ds:schemaRef ds:uri="http://schemas.microsoft.com/office/2006/metadata/properties"/>
    <ds:schemaRef ds:uri="http://schemas.microsoft.com/office/infopath/2007/PartnerControls"/>
    <ds:schemaRef ds:uri="d992a86e-0f5c-4688-8e5d-41d288bcd354"/>
    <ds:schemaRef ds:uri="eb1bc38a-0b93-4961-883f-c12b4be0b59f"/>
    <ds:schemaRef ds:uri="2509c61f-7925-41fb-96dd-e1c91e8227d1"/>
  </ds:schemaRefs>
</ds:datastoreItem>
</file>

<file path=customXml/itemProps3.xml><?xml version="1.0" encoding="utf-8"?>
<ds:datastoreItem xmlns:ds="http://schemas.openxmlformats.org/officeDocument/2006/customXml" ds:itemID="{AB6F8630-6518-4B57-A188-13A1899CFAF7}">
  <ds:schemaRefs>
    <ds:schemaRef ds:uri="http://schemas.openxmlformats.org/officeDocument/2006/bibliography"/>
  </ds:schemaRefs>
</ds:datastoreItem>
</file>

<file path=customXml/itemProps4.xml><?xml version="1.0" encoding="utf-8"?>
<ds:datastoreItem xmlns:ds="http://schemas.openxmlformats.org/officeDocument/2006/customXml" ds:itemID="{D57B55C7-E2BD-4E8F-8D56-ED09DC516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41790</CharactersWithSpaces>
  <SharedDoc>false</SharedDoc>
  <HLinks>
    <vt:vector size="48" baseType="variant">
      <vt:variant>
        <vt:i4>1310757</vt:i4>
      </vt:variant>
      <vt:variant>
        <vt:i4>0</vt:i4>
      </vt:variant>
      <vt:variant>
        <vt:i4>0</vt:i4>
      </vt:variant>
      <vt:variant>
        <vt:i4>5</vt:i4>
      </vt:variant>
      <vt:variant>
        <vt:lpwstr>mailto:Paul.glue@otago.ac.nz</vt:lpwstr>
      </vt:variant>
      <vt:variant>
        <vt:lpwstr/>
      </vt:variant>
      <vt:variant>
        <vt:i4>1245291</vt:i4>
      </vt:variant>
      <vt:variant>
        <vt:i4>18</vt:i4>
      </vt:variant>
      <vt:variant>
        <vt:i4>0</vt:i4>
      </vt:variant>
      <vt:variant>
        <vt:i4>5</vt:i4>
      </vt:variant>
      <vt:variant>
        <vt:lpwstr>mailto:JasonL@douglas.co.nz</vt:lpwstr>
      </vt:variant>
      <vt:variant>
        <vt:lpwstr/>
      </vt:variant>
      <vt:variant>
        <vt:i4>1245291</vt:i4>
      </vt:variant>
      <vt:variant>
        <vt:i4>15</vt:i4>
      </vt:variant>
      <vt:variant>
        <vt:i4>0</vt:i4>
      </vt:variant>
      <vt:variant>
        <vt:i4>5</vt:i4>
      </vt:variant>
      <vt:variant>
        <vt:lpwstr>mailto:JasonL@douglas.co.nz</vt:lpwstr>
      </vt:variant>
      <vt:variant>
        <vt:lpwstr/>
      </vt:variant>
      <vt:variant>
        <vt:i4>7602197</vt:i4>
      </vt:variant>
      <vt:variant>
        <vt:i4>12</vt:i4>
      </vt:variant>
      <vt:variant>
        <vt:i4>0</vt:i4>
      </vt:variant>
      <vt:variant>
        <vt:i4>5</vt:i4>
      </vt:variant>
      <vt:variant>
        <vt:lpwstr>mailto:ClintonQ@douglas.co.nz</vt:lpwstr>
      </vt:variant>
      <vt:variant>
        <vt:lpwstr/>
      </vt:variant>
      <vt:variant>
        <vt:i4>7602197</vt:i4>
      </vt:variant>
      <vt:variant>
        <vt:i4>9</vt:i4>
      </vt:variant>
      <vt:variant>
        <vt:i4>0</vt:i4>
      </vt:variant>
      <vt:variant>
        <vt:i4>5</vt:i4>
      </vt:variant>
      <vt:variant>
        <vt:lpwstr>mailto:ClintonQ@douglas.co.nz</vt:lpwstr>
      </vt:variant>
      <vt:variant>
        <vt:lpwstr/>
      </vt:variant>
      <vt:variant>
        <vt:i4>7602197</vt:i4>
      </vt:variant>
      <vt:variant>
        <vt:i4>6</vt:i4>
      </vt:variant>
      <vt:variant>
        <vt:i4>0</vt:i4>
      </vt:variant>
      <vt:variant>
        <vt:i4>5</vt:i4>
      </vt:variant>
      <vt:variant>
        <vt:lpwstr>mailto:ClintonQ@douglas.co.nz</vt:lpwstr>
      </vt:variant>
      <vt:variant>
        <vt:lpwstr/>
      </vt:variant>
      <vt:variant>
        <vt:i4>1245291</vt:i4>
      </vt:variant>
      <vt:variant>
        <vt:i4>3</vt:i4>
      </vt:variant>
      <vt:variant>
        <vt:i4>0</vt:i4>
      </vt:variant>
      <vt:variant>
        <vt:i4>5</vt:i4>
      </vt:variant>
      <vt:variant>
        <vt:lpwstr>mailto:JasonL@douglas.co.nz</vt:lpwstr>
      </vt:variant>
      <vt:variant>
        <vt:lpwstr/>
      </vt:variant>
      <vt:variant>
        <vt:i4>1245291</vt:i4>
      </vt:variant>
      <vt:variant>
        <vt:i4>0</vt:i4>
      </vt:variant>
      <vt:variant>
        <vt:i4>0</vt:i4>
      </vt:variant>
      <vt:variant>
        <vt:i4>5</vt:i4>
      </vt:variant>
      <vt:variant>
        <vt:lpwstr>mailto:JasonL@douglas.co.nz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Glue</dc:creator>
  <cp:keywords/>
  <dc:description/>
  <cp:lastModifiedBy>Paul Glue</cp:lastModifiedBy>
  <cp:revision>2</cp:revision>
  <dcterms:created xsi:type="dcterms:W3CDTF">2024-05-07T05:25:00Z</dcterms:created>
  <dcterms:modified xsi:type="dcterms:W3CDTF">2024-05-07T05:25:00Z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0x01010062DA9FE0E05BF7488A2ADE413F4E2F85</vt:lpwstr>
  </property>
  <property fmtid="{D5CDD505-2E9C-101B-9397-08002B2CF9AE}" pid="3" name="MediaServiceImageTags">
    <vt:lpwstr/>
  </property>
</Properties>
</file>