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E05E2" w14:textId="77777777" w:rsidR="00DC45C7" w:rsidRDefault="00DC45C7" w:rsidP="00DC45C7">
      <w:pPr>
        <w:spacing w:after="0"/>
        <w:jc w:val="center"/>
        <w:rPr>
          <w:rFonts w:ascii="Californian FB" w:hAnsi="Californian FB"/>
          <w:b/>
          <w:bCs/>
          <w:sz w:val="32"/>
          <w:szCs w:val="28"/>
        </w:rPr>
      </w:pPr>
      <w:r w:rsidRPr="00431293">
        <w:rPr>
          <w:rFonts w:ascii="Californian FB" w:hAnsi="Californian FB"/>
          <w:b/>
          <w:bCs/>
          <w:sz w:val="32"/>
          <w:szCs w:val="28"/>
        </w:rPr>
        <w:t>The Supreme Court: 15 Years of Shaping ‘Property’</w:t>
      </w:r>
    </w:p>
    <w:p w14:paraId="2F3C3485" w14:textId="6202B0A7" w:rsidR="00DC45C7" w:rsidRDefault="00DC45C7" w:rsidP="00DC45C7">
      <w:pPr>
        <w:spacing w:after="0"/>
        <w:jc w:val="center"/>
        <w:rPr>
          <w:rFonts w:ascii="Californian FB" w:hAnsi="Californian FB"/>
          <w:b/>
          <w:bCs/>
          <w:sz w:val="28"/>
          <w:szCs w:val="24"/>
        </w:rPr>
      </w:pPr>
      <w:r w:rsidRPr="00DC45C7">
        <w:rPr>
          <w:rFonts w:ascii="Californian FB" w:hAnsi="Californian FB"/>
          <w:b/>
          <w:bCs/>
          <w:sz w:val="28"/>
          <w:szCs w:val="24"/>
        </w:rPr>
        <w:t xml:space="preserve">Part Two: The Power and Role of the Court and Policy </w:t>
      </w:r>
      <w:r w:rsidR="008B2A1E">
        <w:rPr>
          <w:rFonts w:ascii="Californian FB" w:hAnsi="Californian FB"/>
          <w:b/>
          <w:bCs/>
          <w:sz w:val="28"/>
          <w:szCs w:val="24"/>
        </w:rPr>
        <w:t>(</w:t>
      </w:r>
      <w:r w:rsidRPr="00DC45C7">
        <w:rPr>
          <w:rFonts w:ascii="Californian FB" w:hAnsi="Californian FB"/>
          <w:b/>
          <w:bCs/>
          <w:sz w:val="28"/>
          <w:szCs w:val="24"/>
        </w:rPr>
        <w:t>and Other</w:t>
      </w:r>
      <w:r w:rsidR="008B2A1E">
        <w:rPr>
          <w:rFonts w:ascii="Californian FB" w:hAnsi="Californian FB"/>
          <w:b/>
          <w:bCs/>
          <w:sz w:val="28"/>
          <w:szCs w:val="24"/>
        </w:rPr>
        <w:t>)</w:t>
      </w:r>
      <w:r w:rsidRPr="00DC45C7">
        <w:rPr>
          <w:rFonts w:ascii="Californian FB" w:hAnsi="Californian FB"/>
          <w:b/>
          <w:bCs/>
          <w:sz w:val="28"/>
          <w:szCs w:val="24"/>
        </w:rPr>
        <w:t xml:space="preserve"> Reasoning Themes </w:t>
      </w:r>
    </w:p>
    <w:p w14:paraId="2774564C" w14:textId="77777777" w:rsidR="00DC45C7" w:rsidRPr="00DC45C7" w:rsidRDefault="00DC45C7" w:rsidP="00DC45C7">
      <w:pPr>
        <w:spacing w:after="0"/>
        <w:jc w:val="center"/>
        <w:rPr>
          <w:rFonts w:ascii="Californian FB" w:hAnsi="Californian FB"/>
          <w:b/>
          <w:bCs/>
          <w:sz w:val="28"/>
          <w:szCs w:val="24"/>
        </w:rPr>
      </w:pPr>
    </w:p>
    <w:p w14:paraId="65DB481B" w14:textId="52CB18E9" w:rsidR="00D80339" w:rsidRDefault="00D80339" w:rsidP="00D80339">
      <w:pPr>
        <w:spacing w:after="0"/>
        <w:jc w:val="center"/>
        <w:rPr>
          <w:rFonts w:ascii="Californian FB" w:hAnsi="Californian FB"/>
          <w:sz w:val="24"/>
        </w:rPr>
      </w:pPr>
      <w:r w:rsidRPr="00F95796">
        <w:rPr>
          <w:rFonts w:ascii="Californian FB" w:hAnsi="Californian FB"/>
          <w:sz w:val="24"/>
        </w:rPr>
        <w:t xml:space="preserve">Dr </w:t>
      </w:r>
      <w:r>
        <w:rPr>
          <w:rFonts w:ascii="Californian FB" w:hAnsi="Californian FB"/>
          <w:sz w:val="24"/>
        </w:rPr>
        <w:t>Catherine</w:t>
      </w:r>
      <w:r w:rsidRPr="00F95796">
        <w:rPr>
          <w:rFonts w:ascii="Californian FB" w:hAnsi="Californian FB"/>
          <w:sz w:val="24"/>
        </w:rPr>
        <w:t xml:space="preserve"> de Contreras</w:t>
      </w:r>
      <w:r>
        <w:rPr>
          <w:rFonts w:ascii="Californian FB" w:hAnsi="Californian FB"/>
          <w:sz w:val="24"/>
        </w:rPr>
        <w:t xml:space="preserve"> and Dr Victoria Evans (née Ball)</w:t>
      </w:r>
      <w:r>
        <w:rPr>
          <w:rStyle w:val="FootnoteReference"/>
          <w:rFonts w:ascii="Californian FB" w:hAnsi="Californian FB"/>
          <w:sz w:val="24"/>
        </w:rPr>
        <w:footnoteReference w:id="2"/>
      </w:r>
    </w:p>
    <w:p w14:paraId="3AEF5982" w14:textId="77777777" w:rsidR="00D80339" w:rsidRDefault="00DC45C7" w:rsidP="00D80339">
      <w:pPr>
        <w:spacing w:after="0"/>
        <w:jc w:val="center"/>
        <w:rPr>
          <w:rFonts w:ascii="Californian FB" w:hAnsi="Californian FB"/>
          <w:sz w:val="24"/>
        </w:rPr>
        <w:sectPr w:rsidR="00D80339" w:rsidSect="00DC45C7">
          <w:footerReference w:type="default" r:id="rId8"/>
          <w:footnotePr>
            <w:numFmt w:val="chicago"/>
            <w:numRestart w:val="eachSect"/>
          </w:footnotePr>
          <w:pgSz w:w="11906" w:h="16838"/>
          <w:pgMar w:top="1440" w:right="1440" w:bottom="1440" w:left="1440" w:header="708" w:footer="708" w:gutter="0"/>
          <w:cols w:space="708"/>
          <w:docGrid w:linePitch="360"/>
        </w:sectPr>
      </w:pPr>
      <w:r w:rsidRPr="00F95796">
        <w:rPr>
          <w:rFonts w:ascii="Californian FB" w:hAnsi="Californian FB"/>
          <w:sz w:val="24"/>
        </w:rPr>
        <w:t>King’s College London</w:t>
      </w:r>
    </w:p>
    <w:p w14:paraId="54B98AFF" w14:textId="448845EC" w:rsidR="00DC45C7" w:rsidRPr="00F95796" w:rsidRDefault="00DC45C7" w:rsidP="00DC45C7">
      <w:pPr>
        <w:spacing w:after="0"/>
        <w:jc w:val="center"/>
        <w:rPr>
          <w:rFonts w:ascii="Californian FB" w:hAnsi="Californian FB"/>
          <w:sz w:val="24"/>
        </w:rPr>
      </w:pPr>
    </w:p>
    <w:p w14:paraId="6D16468E" w14:textId="42EDA2D7" w:rsidR="00DC45C7" w:rsidRPr="00DC45C7" w:rsidRDefault="00DC45C7" w:rsidP="00DC45C7">
      <w:pPr>
        <w:pStyle w:val="Heading1"/>
      </w:pPr>
      <w:r w:rsidRPr="00DC45C7">
        <w:t>INTRODUCTION</w:t>
      </w:r>
      <w:r w:rsidR="00636EF4">
        <w:t xml:space="preserve"> </w:t>
      </w:r>
    </w:p>
    <w:p w14:paraId="50964393" w14:textId="0CAA1E87" w:rsidR="00E14E14" w:rsidRDefault="00E14E14" w:rsidP="00E14E14">
      <w:pPr>
        <w:jc w:val="both"/>
        <w:rPr>
          <w:rFonts w:ascii="Californian FB" w:hAnsi="Californian FB"/>
        </w:rPr>
      </w:pPr>
      <w:r w:rsidRPr="11D0A3ED">
        <w:rPr>
          <w:rFonts w:ascii="Californian FB" w:hAnsi="Californian FB"/>
        </w:rPr>
        <w:t>The</w:t>
      </w:r>
      <w:r>
        <w:rPr>
          <w:rFonts w:ascii="Californian FB" w:hAnsi="Californian FB"/>
        </w:rPr>
        <w:t xml:space="preserve"> </w:t>
      </w:r>
      <w:r w:rsidRPr="11D0A3ED">
        <w:rPr>
          <w:rFonts w:ascii="Californian FB" w:hAnsi="Californian FB"/>
        </w:rPr>
        <w:t>Supreme Court</w:t>
      </w:r>
      <w:r>
        <w:rPr>
          <w:rFonts w:ascii="Californian FB" w:hAnsi="Californian FB"/>
        </w:rPr>
        <w:t xml:space="preserve"> of the United Kingdom</w:t>
      </w:r>
      <w:r>
        <w:rPr>
          <w:rStyle w:val="FootnoteReference"/>
          <w:rFonts w:ascii="Californian FB" w:hAnsi="Californian FB"/>
        </w:rPr>
        <w:footnoteReference w:id="3"/>
      </w:r>
      <w:r w:rsidRPr="11D0A3ED">
        <w:rPr>
          <w:rFonts w:ascii="Californian FB" w:hAnsi="Californian FB"/>
        </w:rPr>
        <w:t xml:space="preserve"> turns 15 in 2024. This</w:t>
      </w:r>
      <w:r>
        <w:rPr>
          <w:rFonts w:ascii="Californian FB" w:hAnsi="Californian FB"/>
        </w:rPr>
        <w:t xml:space="preserve"> milestone</w:t>
      </w:r>
      <w:r w:rsidRPr="11D0A3ED">
        <w:rPr>
          <w:rFonts w:ascii="Californian FB" w:hAnsi="Californian FB"/>
        </w:rPr>
        <w:t xml:space="preserve"> provides the ideal opportunity to consider how the Supreme Court has shaped the concept of ‘property’</w:t>
      </w:r>
      <w:r>
        <w:rPr>
          <w:rFonts w:ascii="Californian FB" w:hAnsi="Californian FB"/>
        </w:rPr>
        <w:t xml:space="preserve"> through its judgments. A</w:t>
      </w:r>
      <w:r w:rsidRPr="11D0A3ED">
        <w:rPr>
          <w:rFonts w:ascii="Californian FB" w:hAnsi="Californian FB"/>
        </w:rPr>
        <w:t>s the Court’s own materials tell us, ‘[t]he impact of Supreme Court decisions extend far beyond the parties involved in any given case, shaping our society, and directly affecting our everyday lives.’</w:t>
      </w:r>
      <w:r>
        <w:rPr>
          <w:rStyle w:val="FootnoteReference"/>
          <w:rFonts w:ascii="Californian FB" w:hAnsi="Californian FB"/>
        </w:rPr>
        <w:footnoteReference w:id="4"/>
      </w:r>
      <w:r w:rsidRPr="11D0A3ED">
        <w:rPr>
          <w:rFonts w:ascii="Californian FB" w:hAnsi="Californian FB"/>
        </w:rPr>
        <w:t xml:space="preserve"> </w:t>
      </w:r>
      <w:r>
        <w:rPr>
          <w:rFonts w:ascii="Californian FB" w:hAnsi="Californian FB"/>
        </w:rPr>
        <w:t>This paper</w:t>
      </w:r>
      <w:r w:rsidR="005000C4">
        <w:rPr>
          <w:rFonts w:ascii="Californian FB" w:hAnsi="Californian FB"/>
        </w:rPr>
        <w:t xml:space="preserve">, which is the second </w:t>
      </w:r>
      <w:r w:rsidR="00B762AC">
        <w:rPr>
          <w:rFonts w:ascii="Californian FB" w:hAnsi="Californian FB"/>
        </w:rPr>
        <w:t>produced from this project,</w:t>
      </w:r>
      <w:r>
        <w:rPr>
          <w:rFonts w:ascii="Californian FB" w:hAnsi="Californian FB"/>
        </w:rPr>
        <w:t xml:space="preserve"> </w:t>
      </w:r>
      <w:r w:rsidR="00F97136">
        <w:rPr>
          <w:rFonts w:ascii="Californian FB" w:hAnsi="Californian FB"/>
        </w:rPr>
        <w:t>continues</w:t>
      </w:r>
      <w:r w:rsidRPr="001D04FA">
        <w:rPr>
          <w:rFonts w:ascii="Californian FB" w:hAnsi="Californian FB"/>
        </w:rPr>
        <w:t xml:space="preserve"> to elucidate </w:t>
      </w:r>
      <w:r>
        <w:rPr>
          <w:rFonts w:ascii="Californian FB" w:hAnsi="Californian FB"/>
        </w:rPr>
        <w:t xml:space="preserve">some of </w:t>
      </w:r>
      <w:r w:rsidRPr="001D04FA">
        <w:rPr>
          <w:rFonts w:ascii="Californian FB" w:hAnsi="Californian FB"/>
        </w:rPr>
        <w:t xml:space="preserve">the </w:t>
      </w:r>
      <w:r>
        <w:rPr>
          <w:rFonts w:ascii="Californian FB" w:hAnsi="Californian FB"/>
        </w:rPr>
        <w:t>‘</w:t>
      </w:r>
      <w:r w:rsidRPr="001D04FA">
        <w:rPr>
          <w:rFonts w:ascii="Californian FB" w:hAnsi="Californian FB"/>
        </w:rPr>
        <w:t>themes</w:t>
      </w:r>
      <w:r>
        <w:rPr>
          <w:rFonts w:ascii="Californian FB" w:hAnsi="Californian FB"/>
        </w:rPr>
        <w:t>’</w:t>
      </w:r>
      <w:r w:rsidRPr="001D04FA">
        <w:rPr>
          <w:rFonts w:ascii="Californian FB" w:hAnsi="Californian FB"/>
        </w:rPr>
        <w:t xml:space="preserve"> </w:t>
      </w:r>
      <w:r>
        <w:rPr>
          <w:rFonts w:ascii="Californian FB" w:hAnsi="Californian FB"/>
        </w:rPr>
        <w:t>that</w:t>
      </w:r>
      <w:r w:rsidRPr="001D04FA">
        <w:rPr>
          <w:rFonts w:ascii="Californian FB" w:hAnsi="Californian FB"/>
        </w:rPr>
        <w:t xml:space="preserve"> arise from a consideration of Supreme Court </w:t>
      </w:r>
      <w:r>
        <w:rPr>
          <w:rFonts w:ascii="Californian FB" w:hAnsi="Californian FB"/>
        </w:rPr>
        <w:t>decisions relating</w:t>
      </w:r>
      <w:r w:rsidRPr="001D04FA">
        <w:rPr>
          <w:rFonts w:ascii="Californian FB" w:hAnsi="Californian FB"/>
        </w:rPr>
        <w:t xml:space="preserve"> to </w:t>
      </w:r>
      <w:r>
        <w:rPr>
          <w:rFonts w:ascii="Californian FB" w:hAnsi="Californian FB"/>
        </w:rPr>
        <w:t>‘</w:t>
      </w:r>
      <w:r w:rsidRPr="001D04FA">
        <w:rPr>
          <w:rFonts w:ascii="Californian FB" w:hAnsi="Californian FB"/>
        </w:rPr>
        <w:t>property</w:t>
      </w:r>
      <w:r>
        <w:rPr>
          <w:rFonts w:ascii="Californian FB" w:hAnsi="Californian FB"/>
        </w:rPr>
        <w:t>’</w:t>
      </w:r>
      <w:r w:rsidR="00EB482F">
        <w:rPr>
          <w:rFonts w:ascii="Californian FB" w:hAnsi="Californian FB"/>
        </w:rPr>
        <w:t xml:space="preserve"> </w:t>
      </w:r>
      <w:r w:rsidR="00710767">
        <w:rPr>
          <w:rFonts w:ascii="Californian FB" w:hAnsi="Californian FB"/>
        </w:rPr>
        <w:t>and gives a d</w:t>
      </w:r>
      <w:r w:rsidR="00710767" w:rsidRPr="02CB3AC0">
        <w:rPr>
          <w:rFonts w:ascii="Californian FB" w:hAnsi="Californian FB"/>
        </w:rPr>
        <w:t xml:space="preserve">octrinal and descriptive overview </w:t>
      </w:r>
      <w:r w:rsidR="00710767">
        <w:rPr>
          <w:rFonts w:ascii="Californian FB" w:hAnsi="Californian FB"/>
        </w:rPr>
        <w:t xml:space="preserve">of </w:t>
      </w:r>
      <w:r w:rsidR="00710767" w:rsidRPr="02CB3AC0">
        <w:rPr>
          <w:rFonts w:ascii="Californian FB" w:hAnsi="Californian FB"/>
        </w:rPr>
        <w:t xml:space="preserve">the ‘property’ decisions </w:t>
      </w:r>
      <w:r w:rsidR="00710767">
        <w:rPr>
          <w:rFonts w:ascii="Californian FB" w:hAnsi="Californian FB"/>
        </w:rPr>
        <w:t xml:space="preserve">handed down by the Court </w:t>
      </w:r>
      <w:r w:rsidR="00EB482F" w:rsidRPr="00164D77">
        <w:rPr>
          <w:rFonts w:ascii="Californian FB" w:hAnsi="Californian FB"/>
        </w:rPr>
        <w:t xml:space="preserve">as </w:t>
      </w:r>
      <w:r w:rsidR="00710767">
        <w:rPr>
          <w:rFonts w:ascii="Californian FB" w:hAnsi="Californian FB"/>
        </w:rPr>
        <w:t>a</w:t>
      </w:r>
      <w:r w:rsidR="00EB482F">
        <w:rPr>
          <w:rFonts w:ascii="Californian FB" w:hAnsi="Californian FB"/>
        </w:rPr>
        <w:t xml:space="preserve"> </w:t>
      </w:r>
      <w:r w:rsidR="00EB482F" w:rsidRPr="00164D77">
        <w:rPr>
          <w:rFonts w:ascii="Californian FB" w:hAnsi="Californian FB"/>
        </w:rPr>
        <w:t>foundation for future exploration</w:t>
      </w:r>
      <w:r w:rsidRPr="001D04FA">
        <w:rPr>
          <w:rFonts w:ascii="Californian FB" w:hAnsi="Californian FB"/>
        </w:rPr>
        <w:t>.</w:t>
      </w:r>
      <w:r>
        <w:rPr>
          <w:rFonts w:ascii="Californian FB" w:hAnsi="Californian FB"/>
        </w:rPr>
        <w:t xml:space="preserve"> </w:t>
      </w:r>
      <w:r w:rsidR="00F97136">
        <w:rPr>
          <w:rFonts w:ascii="Californian FB" w:hAnsi="Californian FB"/>
        </w:rPr>
        <w:t xml:space="preserve">Our project makes </w:t>
      </w:r>
      <w:r>
        <w:rPr>
          <w:rFonts w:ascii="Californian FB" w:eastAsia="Californian FB" w:hAnsi="Californian FB" w:cs="Californian FB"/>
        </w:rPr>
        <w:t>two key contributions. First, w</w:t>
      </w:r>
      <w:r w:rsidRPr="00164D77">
        <w:rPr>
          <w:rStyle w:val="cf01"/>
          <w:rFonts w:ascii="Californian FB" w:hAnsi="Californian FB"/>
          <w:sz w:val="22"/>
          <w:szCs w:val="22"/>
        </w:rPr>
        <w:t>e give the decisions a fresh review within thematic groupings</w:t>
      </w:r>
      <w:r>
        <w:rPr>
          <w:rFonts w:ascii="Californian FB" w:eastAsia="Californian FB" w:hAnsi="Californian FB" w:cs="Californian FB"/>
        </w:rPr>
        <w:t>. Secondly, we</w:t>
      </w:r>
      <w:r w:rsidRPr="001D04FA">
        <w:rPr>
          <w:rFonts w:ascii="Californian FB" w:hAnsi="Californian FB"/>
        </w:rPr>
        <w:t xml:space="preserve"> contrast how specific themes are dealt with across decisions and </w:t>
      </w:r>
      <w:r>
        <w:rPr>
          <w:rFonts w:ascii="Californian FB" w:hAnsi="Californian FB"/>
        </w:rPr>
        <w:t>analyse</w:t>
      </w:r>
      <w:r w:rsidRPr="001D04FA">
        <w:rPr>
          <w:rFonts w:ascii="Californian FB" w:hAnsi="Californian FB"/>
        </w:rPr>
        <w:t xml:space="preserve"> the</w:t>
      </w:r>
      <w:r>
        <w:rPr>
          <w:rFonts w:ascii="Californian FB" w:hAnsi="Californian FB"/>
        </w:rPr>
        <w:t>ir</w:t>
      </w:r>
      <w:r w:rsidRPr="001D04FA">
        <w:rPr>
          <w:rFonts w:ascii="Californian FB" w:hAnsi="Californian FB"/>
        </w:rPr>
        <w:t xml:space="preserve"> internal consistency.</w:t>
      </w:r>
      <w:r>
        <w:rPr>
          <w:rFonts w:ascii="Californian FB" w:hAnsi="Californian FB"/>
        </w:rPr>
        <w:t xml:space="preserve">  </w:t>
      </w:r>
    </w:p>
    <w:p w14:paraId="2FAB47AE" w14:textId="150176E2" w:rsidR="00E14E14" w:rsidRPr="00483965" w:rsidRDefault="00E14E14" w:rsidP="00E14E14">
      <w:pPr>
        <w:jc w:val="both"/>
        <w:rPr>
          <w:rFonts w:ascii="Californian FB" w:hAnsi="Californian FB"/>
        </w:rPr>
      </w:pPr>
      <w:r>
        <w:rPr>
          <w:rFonts w:ascii="Californian FB" w:hAnsi="Californian FB"/>
        </w:rPr>
        <w:t xml:space="preserve">Section II explains this </w:t>
      </w:r>
      <w:r w:rsidR="00C11B66">
        <w:rPr>
          <w:rFonts w:ascii="Californian FB" w:hAnsi="Californian FB"/>
        </w:rPr>
        <w:t>paper</w:t>
      </w:r>
      <w:r>
        <w:rPr>
          <w:rFonts w:ascii="Californian FB" w:hAnsi="Californian FB"/>
        </w:rPr>
        <w:t xml:space="preserve">'s methodological approach and section III explores the </w:t>
      </w:r>
      <w:r w:rsidR="00C11B66">
        <w:rPr>
          <w:rFonts w:ascii="Californian FB" w:hAnsi="Californian FB"/>
        </w:rPr>
        <w:t>eight remaining</w:t>
      </w:r>
      <w:r w:rsidRPr="02CB3AC0">
        <w:rPr>
          <w:rFonts w:ascii="Californian FB" w:hAnsi="Californian FB"/>
        </w:rPr>
        <w:t xml:space="preserve"> </w:t>
      </w:r>
      <w:r>
        <w:rPr>
          <w:rFonts w:ascii="Californian FB" w:hAnsi="Californian FB"/>
        </w:rPr>
        <w:t xml:space="preserve">themes that </w:t>
      </w:r>
      <w:r w:rsidRPr="02CB3AC0">
        <w:rPr>
          <w:rFonts w:ascii="Californian FB" w:hAnsi="Californian FB"/>
        </w:rPr>
        <w:t>are the focus of this paper.</w:t>
      </w:r>
      <w:r>
        <w:rPr>
          <w:rFonts w:ascii="Californian FB" w:hAnsi="Californian FB"/>
        </w:rPr>
        <w:t xml:space="preserve"> Within section III</w:t>
      </w:r>
      <w:r w:rsidRPr="02CB3AC0">
        <w:rPr>
          <w:rFonts w:ascii="Californian FB" w:hAnsi="Californian FB"/>
        </w:rPr>
        <w:t>,</w:t>
      </w:r>
      <w:r>
        <w:rPr>
          <w:rFonts w:ascii="Californian FB" w:hAnsi="Californian FB"/>
        </w:rPr>
        <w:t xml:space="preserve"> </w:t>
      </w:r>
      <w:r w:rsidRPr="02CB3AC0">
        <w:rPr>
          <w:rFonts w:ascii="Californian FB" w:hAnsi="Californian FB"/>
        </w:rPr>
        <w:t xml:space="preserve">we consider </w:t>
      </w:r>
      <w:r>
        <w:rPr>
          <w:rFonts w:ascii="Californian FB" w:hAnsi="Californian FB"/>
        </w:rPr>
        <w:t xml:space="preserve">how each theme </w:t>
      </w:r>
      <w:r w:rsidRPr="02CB3AC0">
        <w:rPr>
          <w:rFonts w:ascii="Californian FB" w:hAnsi="Californian FB"/>
        </w:rPr>
        <w:t xml:space="preserve">arises and </w:t>
      </w:r>
      <w:r>
        <w:rPr>
          <w:rFonts w:ascii="Californian FB" w:hAnsi="Californian FB"/>
        </w:rPr>
        <w:t>has been developed</w:t>
      </w:r>
      <w:r w:rsidRPr="02CB3AC0">
        <w:rPr>
          <w:rFonts w:ascii="Californian FB" w:hAnsi="Californian FB"/>
        </w:rPr>
        <w:t xml:space="preserve"> in</w:t>
      </w:r>
      <w:r>
        <w:rPr>
          <w:rFonts w:ascii="Californian FB" w:hAnsi="Californian FB"/>
        </w:rPr>
        <w:t xml:space="preserve"> </w:t>
      </w:r>
      <w:r w:rsidRPr="02CB3AC0">
        <w:rPr>
          <w:rFonts w:ascii="Californian FB" w:hAnsi="Californian FB"/>
        </w:rPr>
        <w:t>the case-law.</w:t>
      </w:r>
      <w:r>
        <w:rPr>
          <w:rFonts w:ascii="Californian FB" w:hAnsi="Californian FB"/>
        </w:rPr>
        <w:t xml:space="preserve"> </w:t>
      </w:r>
    </w:p>
    <w:p w14:paraId="15833E12" w14:textId="77777777" w:rsidR="00DC45C7" w:rsidRDefault="00DC45C7" w:rsidP="00DC45C7">
      <w:pPr>
        <w:pStyle w:val="Heading1"/>
      </w:pPr>
      <w:r>
        <w:t>METHODOLOGY</w:t>
      </w:r>
    </w:p>
    <w:p w14:paraId="604E5826" w14:textId="1DFAF303" w:rsidR="00093FFD" w:rsidRDefault="00093FFD" w:rsidP="00093FFD">
      <w:pPr>
        <w:jc w:val="both"/>
        <w:rPr>
          <w:rFonts w:ascii="Californian FB" w:hAnsi="Californian FB"/>
        </w:rPr>
      </w:pPr>
      <w:r w:rsidRPr="00F95796">
        <w:rPr>
          <w:rFonts w:ascii="Californian FB" w:hAnsi="Californian FB"/>
        </w:rPr>
        <w:t>T</w:t>
      </w:r>
      <w:r>
        <w:rPr>
          <w:rFonts w:ascii="Californian FB" w:hAnsi="Californian FB"/>
        </w:rPr>
        <w:t>o explore how the Supreme Court has shaped the concept of ‘property’, we surveyed</w:t>
      </w:r>
      <w:r w:rsidRPr="00F95796">
        <w:rPr>
          <w:rFonts w:ascii="Californian FB" w:hAnsi="Californian FB"/>
        </w:rPr>
        <w:t xml:space="preserve"> all decisions handed down by the Supreme Court </w:t>
      </w:r>
      <w:r>
        <w:rPr>
          <w:rFonts w:ascii="Californian FB" w:hAnsi="Californian FB"/>
        </w:rPr>
        <w:t>since its establishment in 2009 to identify any that had a ‘</w:t>
      </w:r>
      <w:r w:rsidRPr="00F95796">
        <w:rPr>
          <w:rFonts w:ascii="Californian FB" w:hAnsi="Californian FB"/>
        </w:rPr>
        <w:t>property’ dimension.</w:t>
      </w:r>
      <w:r w:rsidRPr="009A2D2A">
        <w:rPr>
          <w:rFonts w:ascii="Californian FB" w:hAnsi="Californian FB"/>
        </w:rPr>
        <w:t xml:space="preserve"> </w:t>
      </w:r>
      <w:r>
        <w:rPr>
          <w:rFonts w:ascii="Californian FB" w:hAnsi="Californian FB"/>
        </w:rPr>
        <w:t>‘Property’ was initially given a generous and broad interpretation, the aim being to be over-inclusive at the outset. As the research developed, some areas were sidelined</w:t>
      </w:r>
      <w:r>
        <w:rPr>
          <w:rStyle w:val="FootnoteReference"/>
          <w:rFonts w:ascii="Californian FB" w:hAnsi="Californian FB"/>
        </w:rPr>
        <w:footnoteReference w:id="5"/>
      </w:r>
      <w:r>
        <w:rPr>
          <w:rFonts w:ascii="Californian FB" w:hAnsi="Californian FB"/>
        </w:rPr>
        <w:t xml:space="preserve"> to allow for a focus on cases more strictly relevant to ‘core’ property rights and law.</w:t>
      </w:r>
      <w:r>
        <w:rPr>
          <w:rStyle w:val="FootnoteReference"/>
          <w:rFonts w:ascii="Californian FB" w:hAnsi="Californian FB"/>
        </w:rPr>
        <w:footnoteReference w:id="6"/>
      </w:r>
    </w:p>
    <w:p w14:paraId="38988F8F" w14:textId="651BFDE3" w:rsidR="00093FFD" w:rsidRDefault="00093FFD" w:rsidP="00093FFD">
      <w:pPr>
        <w:jc w:val="both"/>
        <w:rPr>
          <w:rFonts w:ascii="Californian FB" w:hAnsi="Californian FB"/>
        </w:rPr>
      </w:pPr>
      <w:r>
        <w:rPr>
          <w:rFonts w:ascii="Californian FB" w:hAnsi="Californian FB"/>
        </w:rPr>
        <w:lastRenderedPageBreak/>
        <w:t>The research, which was supported by a research assistant, used thematic analysis as a method to identify</w:t>
      </w:r>
      <w:r w:rsidRPr="00691FE8">
        <w:rPr>
          <w:rFonts w:ascii="Californian FB" w:hAnsi="Californian FB"/>
        </w:rPr>
        <w:t xml:space="preserve">, </w:t>
      </w:r>
      <w:r>
        <w:rPr>
          <w:rFonts w:ascii="Californian FB" w:hAnsi="Californian FB"/>
        </w:rPr>
        <w:t>analyse</w:t>
      </w:r>
      <w:r w:rsidRPr="00691FE8">
        <w:rPr>
          <w:rFonts w:ascii="Californian FB" w:hAnsi="Californian FB"/>
        </w:rPr>
        <w:t xml:space="preserve"> and </w:t>
      </w:r>
      <w:r>
        <w:rPr>
          <w:rFonts w:ascii="Californian FB" w:hAnsi="Californian FB"/>
        </w:rPr>
        <w:t>report</w:t>
      </w:r>
      <w:r w:rsidRPr="00691FE8">
        <w:rPr>
          <w:rFonts w:ascii="Californian FB" w:hAnsi="Californian FB"/>
        </w:rPr>
        <w:t xml:space="preserve"> patterns (themes) within </w:t>
      </w:r>
      <w:r>
        <w:rPr>
          <w:rFonts w:ascii="Californian FB" w:hAnsi="Californian FB"/>
        </w:rPr>
        <w:t xml:space="preserve">the </w:t>
      </w:r>
      <w:r w:rsidRPr="00691FE8">
        <w:rPr>
          <w:rFonts w:ascii="Californian FB" w:hAnsi="Californian FB"/>
        </w:rPr>
        <w:t>data</w:t>
      </w:r>
      <w:r>
        <w:rPr>
          <w:rFonts w:ascii="Californian FB" w:hAnsi="Californian FB"/>
        </w:rPr>
        <w:t xml:space="preserve"> (the judgments of the Supreme Court).</w:t>
      </w:r>
      <w:bookmarkStart w:id="0" w:name="_Ref174695990"/>
      <w:r>
        <w:rPr>
          <w:rStyle w:val="FootnoteReference"/>
          <w:rFonts w:ascii="Californian FB" w:hAnsi="Californian FB"/>
        </w:rPr>
        <w:footnoteReference w:id="7"/>
      </w:r>
      <w:bookmarkEnd w:id="0"/>
      <w:r>
        <w:rPr>
          <w:rFonts w:ascii="Californian FB" w:hAnsi="Californian FB"/>
        </w:rPr>
        <w:t xml:space="preserve"> This involved identifying and reading all the cases which had a ‘property element’ and adopting an inductive/bottom-up coding approach.</w:t>
      </w:r>
      <w:r>
        <w:rPr>
          <w:rStyle w:val="FootnoteReference"/>
          <w:rFonts w:ascii="Californian FB" w:hAnsi="Californian FB"/>
        </w:rPr>
        <w:footnoteReference w:id="8"/>
      </w:r>
      <w:r>
        <w:rPr>
          <w:rFonts w:ascii="Californian FB" w:hAnsi="Californian FB"/>
        </w:rPr>
        <w:t xml:space="preserve"> Here, the authors summarised the decisions and pulled out quotations from the cases, </w:t>
      </w:r>
      <w:r w:rsidR="00752E64">
        <w:rPr>
          <w:rFonts w:ascii="Californian FB" w:hAnsi="Californian FB"/>
        </w:rPr>
        <w:t>while jotting</w:t>
      </w:r>
      <w:r>
        <w:rPr>
          <w:rFonts w:ascii="Californian FB" w:hAnsi="Californian FB"/>
        </w:rPr>
        <w:t xml:space="preserve"> down any </w:t>
      </w:r>
      <w:r w:rsidRPr="0031612B">
        <w:rPr>
          <w:rFonts w:ascii="Californian FB" w:hAnsi="Californian FB"/>
        </w:rPr>
        <w:t>keyworks/terms/</w:t>
      </w:r>
      <w:r>
        <w:rPr>
          <w:rFonts w:ascii="Californian FB" w:hAnsi="Californian FB"/>
        </w:rPr>
        <w:t xml:space="preserve">themes. At the end of this process, all the keywords were collated to identify broader themes </w:t>
      </w:r>
      <w:r w:rsidRPr="00350399">
        <w:rPr>
          <w:rFonts w:ascii="Californian FB" w:hAnsi="Californian FB"/>
        </w:rPr>
        <w:t>which were then refined</w:t>
      </w:r>
      <w:r>
        <w:rPr>
          <w:rFonts w:ascii="Californian FB" w:hAnsi="Californian FB"/>
        </w:rPr>
        <w:t>.</w:t>
      </w:r>
      <w:r>
        <w:rPr>
          <w:rStyle w:val="FootnoteReference"/>
          <w:rFonts w:ascii="Californian FB" w:hAnsi="Californian FB"/>
        </w:rPr>
        <w:footnoteReference w:id="9"/>
      </w:r>
      <w:r>
        <w:rPr>
          <w:rFonts w:ascii="Californian FB" w:hAnsi="Californian FB"/>
        </w:rPr>
        <w:t xml:space="preserve"> These themes were also grouped into larger categories for ease of discussion.</w:t>
      </w:r>
      <w:r w:rsidRPr="006417B5">
        <w:rPr>
          <w:rFonts w:ascii="Californian FB" w:hAnsi="Californian FB"/>
        </w:rPr>
        <w:t xml:space="preserve"> As this was a relatively small data set, manual coding</w:t>
      </w:r>
      <w:r>
        <w:rPr>
          <w:rFonts w:ascii="Californian FB" w:hAnsi="Californian FB"/>
        </w:rPr>
        <w:t xml:space="preserve"> </w:t>
      </w:r>
      <w:r w:rsidRPr="006417B5">
        <w:rPr>
          <w:rFonts w:ascii="Californian FB" w:hAnsi="Californian FB"/>
        </w:rPr>
        <w:t>was employed.</w:t>
      </w:r>
      <w:r>
        <w:rPr>
          <w:rStyle w:val="FootnoteReference"/>
          <w:rFonts w:ascii="Californian FB" w:hAnsi="Californian FB"/>
        </w:rPr>
        <w:footnoteReference w:id="10"/>
      </w:r>
    </w:p>
    <w:p w14:paraId="4FC82E0D" w14:textId="5528F0D5" w:rsidR="00093FFD" w:rsidRDefault="00093FFD" w:rsidP="00093FFD">
      <w:pPr>
        <w:jc w:val="both"/>
        <w:rPr>
          <w:rFonts w:ascii="Californian FB" w:hAnsi="Californian FB"/>
        </w:rPr>
      </w:pPr>
      <w:r>
        <w:rPr>
          <w:rFonts w:ascii="Californian FB" w:hAnsi="Californian FB"/>
        </w:rPr>
        <w:t>The themes and categories raised are presented in the table below (Figure 1).</w:t>
      </w:r>
      <w:r w:rsidRPr="003B0505">
        <w:rPr>
          <w:rFonts w:ascii="Californian FB" w:hAnsi="Californian FB" w:cs="Segoe UI"/>
          <w:sz w:val="18"/>
          <w:szCs w:val="18"/>
        </w:rPr>
        <w:t xml:space="preserve"> </w:t>
      </w:r>
      <w:r w:rsidRPr="008373A8">
        <w:rPr>
          <w:rFonts w:ascii="Californian FB" w:hAnsi="Californian FB"/>
        </w:rPr>
        <w:t xml:space="preserve">The initial papers arising from this research </w:t>
      </w:r>
      <w:r>
        <w:rPr>
          <w:rFonts w:ascii="Californian FB" w:hAnsi="Californian FB"/>
        </w:rPr>
        <w:t>project explore</w:t>
      </w:r>
      <w:r w:rsidRPr="00C92958">
        <w:rPr>
          <w:rFonts w:ascii="Californian FB" w:hAnsi="Californian FB"/>
        </w:rPr>
        <w:t xml:space="preserve"> the core and reoccurring themes that emerged through this process</w:t>
      </w:r>
      <w:r>
        <w:rPr>
          <w:rFonts w:ascii="Californian FB" w:hAnsi="Californian FB"/>
        </w:rPr>
        <w:t xml:space="preserve">: the </w:t>
      </w:r>
      <w:r w:rsidRPr="00C92958">
        <w:rPr>
          <w:rFonts w:ascii="Californian FB" w:hAnsi="Californian FB"/>
        </w:rPr>
        <w:t>‘</w:t>
      </w:r>
      <w:proofErr w:type="spellStart"/>
      <w:r w:rsidRPr="00C92958">
        <w:rPr>
          <w:rFonts w:ascii="Californian FB" w:hAnsi="Californian FB"/>
        </w:rPr>
        <w:t>keyness</w:t>
      </w:r>
      <w:proofErr w:type="spellEnd"/>
      <w:r w:rsidRPr="00C92958">
        <w:rPr>
          <w:rFonts w:ascii="Californian FB" w:hAnsi="Californian FB"/>
        </w:rPr>
        <w:t>’ of a theme is not necessarily dependent on quantifiable measures</w:t>
      </w:r>
      <w:r>
        <w:rPr>
          <w:rFonts w:ascii="Californian FB" w:hAnsi="Californian FB"/>
        </w:rPr>
        <w:t>, as discussed by Braun and Clarke,</w:t>
      </w:r>
      <w:r w:rsidRPr="00C92958">
        <w:rPr>
          <w:rFonts w:ascii="Californian FB" w:eastAsiaTheme="minorEastAsia" w:hAnsi="Californian FB"/>
          <w:color w:val="000000" w:themeColor="text1"/>
          <w:kern w:val="24"/>
          <w:lang w:eastAsia="en-GB"/>
          <w14:ligatures w14:val="none"/>
        </w:rPr>
        <w:t xml:space="preserve"> </w:t>
      </w:r>
      <w:r>
        <w:rPr>
          <w:rFonts w:ascii="Californian FB" w:eastAsiaTheme="minorEastAsia" w:hAnsi="Californian FB"/>
          <w:color w:val="000000" w:themeColor="text1"/>
          <w:kern w:val="24"/>
          <w:lang w:eastAsia="en-GB"/>
          <w14:ligatures w14:val="none"/>
        </w:rPr>
        <w:t>‘</w:t>
      </w:r>
      <w:r w:rsidRPr="00C92958">
        <w:rPr>
          <w:rFonts w:ascii="Californian FB" w:hAnsi="Californian FB"/>
        </w:rPr>
        <w:t>but rather on whether it captures something important in relation to the overall research question</w:t>
      </w:r>
      <w:r>
        <w:rPr>
          <w:rFonts w:ascii="Californian FB" w:hAnsi="Californian FB"/>
        </w:rPr>
        <w:t>.</w:t>
      </w:r>
      <w:r w:rsidRPr="00C92958">
        <w:rPr>
          <w:rFonts w:ascii="Californian FB" w:hAnsi="Californian FB"/>
        </w:rPr>
        <w:t>’</w:t>
      </w:r>
      <w:r>
        <w:rPr>
          <w:rStyle w:val="FootnoteReference"/>
          <w:rFonts w:ascii="Californian FB" w:hAnsi="Californian FB"/>
        </w:rPr>
        <w:footnoteReference w:id="11"/>
      </w:r>
      <w:r>
        <w:rPr>
          <w:rFonts w:ascii="Californian FB" w:hAnsi="Californian FB"/>
        </w:rPr>
        <w:t xml:space="preserve"> Within each theme, we focus on analysing and comparing the cases that emerged as the strongest illustrations of their particular theme. For most themes, this was an exhaustive list: however, for space reasons, where there was overlap with other parts of the two papers, cases were omitted. This paper, as the second instalment of our broader project, focuses on the last eight themes that fall within the ‘</w:t>
      </w:r>
      <w:r w:rsidR="00DD0E95">
        <w:rPr>
          <w:rFonts w:ascii="Californian FB" w:hAnsi="Californian FB"/>
        </w:rPr>
        <w:t>Power and Role of the Court’ theme</w:t>
      </w:r>
      <w:r w:rsidR="00A7315F">
        <w:rPr>
          <w:rFonts w:ascii="Californian FB" w:hAnsi="Californian FB"/>
        </w:rPr>
        <w:t>s</w:t>
      </w:r>
      <w:r w:rsidR="00DD0E95">
        <w:rPr>
          <w:rFonts w:ascii="Californian FB" w:hAnsi="Californian FB"/>
        </w:rPr>
        <w:t xml:space="preserve"> and </w:t>
      </w:r>
      <w:r w:rsidR="00A7315F">
        <w:rPr>
          <w:rFonts w:ascii="Californian FB" w:hAnsi="Californian FB"/>
        </w:rPr>
        <w:t>‘The Influence of Policy (or other Reasoning)</w:t>
      </w:r>
      <w:r w:rsidR="009434CA">
        <w:rPr>
          <w:rFonts w:ascii="Californian FB" w:hAnsi="Californian FB"/>
        </w:rPr>
        <w:t>’</w:t>
      </w:r>
      <w:r w:rsidR="00A7315F">
        <w:rPr>
          <w:rFonts w:ascii="Californian FB" w:hAnsi="Californian FB"/>
        </w:rPr>
        <w:t xml:space="preserve"> themes</w:t>
      </w:r>
      <w:r>
        <w:rPr>
          <w:rFonts w:ascii="Californian FB" w:hAnsi="Californian FB"/>
        </w:rPr>
        <w:t>, which are bolded in the table below.</w:t>
      </w:r>
    </w:p>
    <w:p w14:paraId="420F4EC9" w14:textId="180441D5" w:rsidR="00093FFD" w:rsidRDefault="00093FFD" w:rsidP="00DC45C7">
      <w:pPr>
        <w:jc w:val="both"/>
        <w:rPr>
          <w:rFonts w:ascii="Californian FB" w:hAnsi="Californian FB"/>
        </w:rPr>
      </w:pPr>
    </w:p>
    <w:p w14:paraId="027B7594" w14:textId="5281FAAE" w:rsidR="518C1157" w:rsidRDefault="518C1157" w:rsidP="2CFACACD">
      <w:pPr>
        <w:keepNext/>
        <w:spacing w:after="0"/>
        <w:jc w:val="both"/>
        <w:rPr>
          <w:rFonts w:ascii="Californian FB" w:eastAsia="Californian FB" w:hAnsi="Californian FB" w:cs="Californian FB"/>
          <w:color w:val="000000" w:themeColor="text1"/>
        </w:rPr>
      </w:pPr>
      <w:r w:rsidRPr="2CFACACD">
        <w:rPr>
          <w:rFonts w:ascii="Californian FB" w:eastAsia="Californian FB" w:hAnsi="Californian FB" w:cs="Californian FB"/>
          <w:b/>
          <w:bCs/>
          <w:color w:val="000000" w:themeColor="text1"/>
        </w:rPr>
        <w:t>Figure 1: Table of Themes and Categories identified through Thematic Analysis</w:t>
      </w: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7038"/>
      </w:tblGrid>
      <w:tr w:rsidR="2CFACACD" w:rsidRPr="003B0505" w14:paraId="7AC407A2" w14:textId="77777777" w:rsidTr="00A7315F">
        <w:trPr>
          <w:trHeight w:val="300"/>
        </w:trPr>
        <w:tc>
          <w:tcPr>
            <w:tcW w:w="1977" w:type="dxa"/>
            <w:tcMar>
              <w:left w:w="105" w:type="dxa"/>
              <w:right w:w="105" w:type="dxa"/>
            </w:tcMar>
          </w:tcPr>
          <w:p w14:paraId="1FC4E9C2" w14:textId="046EEDA0" w:rsidR="2CFACACD" w:rsidRDefault="2CFACACD" w:rsidP="2CFACACD">
            <w:pPr>
              <w:keepNext/>
              <w:spacing w:line="259" w:lineRule="auto"/>
              <w:jc w:val="both"/>
              <w:rPr>
                <w:rFonts w:ascii="Californian FB" w:eastAsia="Californian FB" w:hAnsi="Californian FB" w:cs="Californian FB"/>
              </w:rPr>
            </w:pPr>
            <w:r w:rsidRPr="2CFACACD">
              <w:rPr>
                <w:rFonts w:ascii="Californian FB" w:eastAsia="Californian FB" w:hAnsi="Californian FB" w:cs="Californian FB"/>
              </w:rPr>
              <w:t xml:space="preserve">Category </w:t>
            </w:r>
          </w:p>
        </w:tc>
        <w:tc>
          <w:tcPr>
            <w:tcW w:w="7038" w:type="dxa"/>
            <w:tcMar>
              <w:left w:w="105" w:type="dxa"/>
              <w:right w:w="105" w:type="dxa"/>
            </w:tcMar>
          </w:tcPr>
          <w:p w14:paraId="7E43052C" w14:textId="1D7D6816" w:rsidR="2CFACACD" w:rsidRDefault="2CFACACD" w:rsidP="2CFACACD">
            <w:pPr>
              <w:keepNext/>
              <w:spacing w:line="259" w:lineRule="auto"/>
              <w:jc w:val="both"/>
              <w:rPr>
                <w:rFonts w:ascii="Californian FB" w:eastAsia="Californian FB" w:hAnsi="Californian FB" w:cs="Californian FB"/>
              </w:rPr>
            </w:pPr>
            <w:r w:rsidRPr="2CFACACD">
              <w:rPr>
                <w:rFonts w:ascii="Californian FB" w:eastAsia="Californian FB" w:hAnsi="Californian FB" w:cs="Californian FB"/>
              </w:rPr>
              <w:t>Individual Themes</w:t>
            </w:r>
          </w:p>
        </w:tc>
      </w:tr>
      <w:tr w:rsidR="2CFACACD" w:rsidRPr="003B0505" w14:paraId="1B5D8666" w14:textId="77777777" w:rsidTr="00A7315F">
        <w:trPr>
          <w:trHeight w:val="300"/>
        </w:trPr>
        <w:tc>
          <w:tcPr>
            <w:tcW w:w="1977" w:type="dxa"/>
            <w:tcMar>
              <w:left w:w="105" w:type="dxa"/>
              <w:right w:w="105" w:type="dxa"/>
            </w:tcMar>
          </w:tcPr>
          <w:p w14:paraId="7CC7511F" w14:textId="11FE2DF7" w:rsidR="2CFACACD" w:rsidRDefault="2CFACACD" w:rsidP="2CFACACD">
            <w:pPr>
              <w:keepNext/>
              <w:spacing w:line="259" w:lineRule="auto"/>
              <w:jc w:val="both"/>
              <w:rPr>
                <w:rFonts w:ascii="Californian FB" w:eastAsia="Californian FB" w:hAnsi="Californian FB" w:cs="Californian FB"/>
              </w:rPr>
            </w:pPr>
            <w:r w:rsidRPr="2CFACACD">
              <w:rPr>
                <w:rFonts w:ascii="Californian FB" w:eastAsia="Californian FB" w:hAnsi="Californian FB" w:cs="Californian FB"/>
              </w:rPr>
              <w:t>‘Defining Property’ Themes</w:t>
            </w:r>
          </w:p>
        </w:tc>
        <w:tc>
          <w:tcPr>
            <w:tcW w:w="7038" w:type="dxa"/>
            <w:tcMar>
              <w:left w:w="105" w:type="dxa"/>
              <w:right w:w="105" w:type="dxa"/>
            </w:tcMar>
          </w:tcPr>
          <w:p w14:paraId="10B26182" w14:textId="6E899CA7" w:rsidR="2CFACACD" w:rsidRDefault="2CFACACD" w:rsidP="00D80E50">
            <w:pPr>
              <w:pStyle w:val="ListParagraph"/>
              <w:keepNext/>
              <w:numPr>
                <w:ilvl w:val="0"/>
                <w:numId w:val="5"/>
              </w:numPr>
              <w:spacing w:line="259" w:lineRule="auto"/>
              <w:jc w:val="both"/>
              <w:rPr>
                <w:rFonts w:ascii="Californian FB" w:eastAsia="Californian FB" w:hAnsi="Californian FB" w:cs="Californian FB"/>
              </w:rPr>
            </w:pPr>
            <w:r w:rsidRPr="2CFACACD">
              <w:rPr>
                <w:rFonts w:ascii="Californian FB" w:eastAsia="Californian FB" w:hAnsi="Californian FB" w:cs="Californian FB"/>
              </w:rPr>
              <w:t xml:space="preserve">Understanding the Essential Characteristics of Property Rights </w:t>
            </w:r>
          </w:p>
          <w:p w14:paraId="3C315EFF" w14:textId="11A45013" w:rsidR="2CFACACD" w:rsidRDefault="2CFACACD" w:rsidP="00D80E50">
            <w:pPr>
              <w:pStyle w:val="ListParagraph"/>
              <w:keepNext/>
              <w:numPr>
                <w:ilvl w:val="0"/>
                <w:numId w:val="5"/>
              </w:numPr>
              <w:spacing w:line="259" w:lineRule="auto"/>
              <w:jc w:val="both"/>
              <w:rPr>
                <w:rFonts w:ascii="Californian FB" w:eastAsia="Californian FB" w:hAnsi="Californian FB" w:cs="Californian FB"/>
              </w:rPr>
            </w:pPr>
            <w:r w:rsidRPr="2CFACACD">
              <w:rPr>
                <w:rFonts w:ascii="Californian FB" w:eastAsia="Californian FB" w:hAnsi="Californian FB" w:cs="Californian FB"/>
              </w:rPr>
              <w:t>The Boundaries of Property</w:t>
            </w:r>
          </w:p>
          <w:p w14:paraId="36FD5DB6" w14:textId="7E04AE01" w:rsidR="2CFACACD" w:rsidRDefault="2CFACACD" w:rsidP="00D80E50">
            <w:pPr>
              <w:pStyle w:val="ListParagraph"/>
              <w:keepNext/>
              <w:numPr>
                <w:ilvl w:val="0"/>
                <w:numId w:val="5"/>
              </w:numPr>
              <w:spacing w:line="259" w:lineRule="auto"/>
              <w:ind w:left="714" w:hanging="357"/>
              <w:jc w:val="both"/>
              <w:rPr>
                <w:rFonts w:ascii="Californian FB" w:eastAsia="Californian FB" w:hAnsi="Californian FB" w:cs="Californian FB"/>
              </w:rPr>
            </w:pPr>
            <w:r w:rsidRPr="2CFACACD">
              <w:rPr>
                <w:rFonts w:ascii="Californian FB" w:eastAsia="Californian FB" w:hAnsi="Californian FB" w:cs="Californian FB"/>
              </w:rPr>
              <w:t>Defining Key Terms in Relation to Land and Property</w:t>
            </w:r>
          </w:p>
        </w:tc>
      </w:tr>
      <w:tr w:rsidR="2CFACACD" w:rsidRPr="003B0505" w14:paraId="12A23CE7" w14:textId="77777777" w:rsidTr="00A7315F">
        <w:trPr>
          <w:trHeight w:val="300"/>
        </w:trPr>
        <w:tc>
          <w:tcPr>
            <w:tcW w:w="1977" w:type="dxa"/>
            <w:tcMar>
              <w:left w:w="105" w:type="dxa"/>
              <w:right w:w="105" w:type="dxa"/>
            </w:tcMar>
          </w:tcPr>
          <w:p w14:paraId="67E10FCE" w14:textId="5E706C93" w:rsidR="2CFACACD" w:rsidRDefault="2CFACACD" w:rsidP="2CFACACD">
            <w:pPr>
              <w:keepNext/>
              <w:spacing w:line="259" w:lineRule="auto"/>
              <w:jc w:val="both"/>
              <w:rPr>
                <w:rFonts w:ascii="Californian FB" w:eastAsia="Californian FB" w:hAnsi="Californian FB" w:cs="Californian FB"/>
              </w:rPr>
            </w:pPr>
            <w:r w:rsidRPr="2CFACACD">
              <w:rPr>
                <w:rFonts w:ascii="Californian FB" w:eastAsia="Californian FB" w:hAnsi="Californian FB" w:cs="Californian FB"/>
              </w:rPr>
              <w:t>‘Socio-Legal’ Themes</w:t>
            </w:r>
          </w:p>
        </w:tc>
        <w:tc>
          <w:tcPr>
            <w:tcW w:w="7038" w:type="dxa"/>
            <w:tcMar>
              <w:left w:w="105" w:type="dxa"/>
              <w:right w:w="105" w:type="dxa"/>
            </w:tcMar>
          </w:tcPr>
          <w:p w14:paraId="0BEDA22B" w14:textId="13171DA5" w:rsidR="2CFACACD" w:rsidRDefault="2CFACACD" w:rsidP="00D80E50">
            <w:pPr>
              <w:pStyle w:val="ListParagraph"/>
              <w:keepNext/>
              <w:numPr>
                <w:ilvl w:val="0"/>
                <w:numId w:val="4"/>
              </w:numPr>
              <w:spacing w:line="259" w:lineRule="auto"/>
              <w:jc w:val="both"/>
              <w:rPr>
                <w:rFonts w:ascii="Californian FB" w:eastAsia="Californian FB" w:hAnsi="Californian FB" w:cs="Californian FB"/>
              </w:rPr>
            </w:pPr>
            <w:r w:rsidRPr="2CFACACD">
              <w:rPr>
                <w:rFonts w:ascii="Californian FB" w:eastAsia="Californian FB" w:hAnsi="Californian FB" w:cs="Californian FB"/>
              </w:rPr>
              <w:t xml:space="preserve">Balancing the Rights of Property Holders Against Those that are </w:t>
            </w:r>
            <w:proofErr w:type="gramStart"/>
            <w:r w:rsidRPr="2CFACACD">
              <w:rPr>
                <w:rFonts w:ascii="Californian FB" w:eastAsia="Californian FB" w:hAnsi="Californian FB" w:cs="Californian FB"/>
              </w:rPr>
              <w:t>Less-Propertied</w:t>
            </w:r>
            <w:proofErr w:type="gramEnd"/>
            <w:r w:rsidRPr="2CFACACD">
              <w:rPr>
                <w:rFonts w:ascii="Californian FB" w:eastAsia="Californian FB" w:hAnsi="Californian FB" w:cs="Californian FB"/>
              </w:rPr>
              <w:t xml:space="preserve"> or Relatively Less Possessed </w:t>
            </w:r>
          </w:p>
          <w:p w14:paraId="2740AF0F" w14:textId="1CF03DDF" w:rsidR="2CFACACD" w:rsidRDefault="2CFACACD" w:rsidP="00D80E50">
            <w:pPr>
              <w:pStyle w:val="ListParagraph"/>
              <w:keepNext/>
              <w:numPr>
                <w:ilvl w:val="0"/>
                <w:numId w:val="4"/>
              </w:numPr>
              <w:spacing w:line="259" w:lineRule="auto"/>
              <w:jc w:val="both"/>
              <w:rPr>
                <w:rFonts w:ascii="Californian FB" w:eastAsia="Californian FB" w:hAnsi="Californian FB" w:cs="Californian FB"/>
              </w:rPr>
            </w:pPr>
            <w:r w:rsidRPr="2CFACACD">
              <w:rPr>
                <w:rFonts w:ascii="Californian FB" w:eastAsia="Californian FB" w:hAnsi="Californian FB" w:cs="Californian FB"/>
              </w:rPr>
              <w:t>Rights of Property Holder as Balanced against Community at Large</w:t>
            </w:r>
          </w:p>
          <w:p w14:paraId="7FBD9B90" w14:textId="795F15C1" w:rsidR="2CFACACD" w:rsidRDefault="2CFACACD" w:rsidP="00D80E50">
            <w:pPr>
              <w:pStyle w:val="ListParagraph"/>
              <w:keepNext/>
              <w:numPr>
                <w:ilvl w:val="0"/>
                <w:numId w:val="4"/>
              </w:numPr>
              <w:spacing w:line="259" w:lineRule="auto"/>
              <w:jc w:val="both"/>
              <w:rPr>
                <w:rFonts w:ascii="Californian FB" w:eastAsia="Californian FB" w:hAnsi="Californian FB" w:cs="Californian FB"/>
              </w:rPr>
            </w:pPr>
            <w:r w:rsidRPr="2CFACACD">
              <w:rPr>
                <w:rFonts w:ascii="Californian FB" w:eastAsia="Californian FB" w:hAnsi="Californian FB" w:cs="Californian FB"/>
              </w:rPr>
              <w:t>Homelessness and the Concept of Home</w:t>
            </w:r>
          </w:p>
          <w:p w14:paraId="15FF2E36" w14:textId="6C0F0D16" w:rsidR="2CFACACD" w:rsidRDefault="2CFACACD" w:rsidP="00D80E50">
            <w:pPr>
              <w:pStyle w:val="ListParagraph"/>
              <w:keepNext/>
              <w:numPr>
                <w:ilvl w:val="0"/>
                <w:numId w:val="4"/>
              </w:numPr>
              <w:spacing w:line="259" w:lineRule="auto"/>
              <w:jc w:val="both"/>
              <w:rPr>
                <w:rFonts w:ascii="Californian FB" w:eastAsia="Californian FB" w:hAnsi="Californian FB" w:cs="Californian FB"/>
              </w:rPr>
            </w:pPr>
            <w:r w:rsidRPr="2CFACACD">
              <w:rPr>
                <w:rFonts w:ascii="Californian FB" w:eastAsia="Californian FB" w:hAnsi="Californian FB" w:cs="Californian FB"/>
              </w:rPr>
              <w:t>Gender</w:t>
            </w:r>
          </w:p>
        </w:tc>
      </w:tr>
      <w:tr w:rsidR="2CFACACD" w:rsidRPr="003B0505" w14:paraId="43414595" w14:textId="77777777" w:rsidTr="00A7315F">
        <w:trPr>
          <w:trHeight w:val="285"/>
        </w:trPr>
        <w:tc>
          <w:tcPr>
            <w:tcW w:w="1977" w:type="dxa"/>
            <w:tcMar>
              <w:left w:w="105" w:type="dxa"/>
              <w:right w:w="105" w:type="dxa"/>
            </w:tcMar>
          </w:tcPr>
          <w:p w14:paraId="5601FA7C" w14:textId="208BB8B6" w:rsidR="2CFACACD" w:rsidRDefault="2CFACACD" w:rsidP="2CFACACD">
            <w:pPr>
              <w:keepNext/>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‘The Power and Role of the Court’ Themes</w:t>
            </w:r>
          </w:p>
        </w:tc>
        <w:tc>
          <w:tcPr>
            <w:tcW w:w="7038" w:type="dxa"/>
            <w:tcMar>
              <w:left w:w="105" w:type="dxa"/>
              <w:right w:w="105" w:type="dxa"/>
            </w:tcMar>
          </w:tcPr>
          <w:p w14:paraId="6FCD77AE" w14:textId="1A6FB81C" w:rsidR="2CFACACD" w:rsidRDefault="2CFACACD" w:rsidP="00D80E50">
            <w:pPr>
              <w:pStyle w:val="ListParagraph"/>
              <w:keepNext/>
              <w:numPr>
                <w:ilvl w:val="0"/>
                <w:numId w:val="3"/>
              </w:numPr>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 xml:space="preserve">The Relationship Between the Legislature and the Court </w:t>
            </w:r>
          </w:p>
          <w:p w14:paraId="29135B45" w14:textId="6824B2E4" w:rsidR="2CFACACD" w:rsidRDefault="2CFACACD" w:rsidP="00D80E50">
            <w:pPr>
              <w:pStyle w:val="ListParagraph"/>
              <w:keepNext/>
              <w:numPr>
                <w:ilvl w:val="0"/>
                <w:numId w:val="3"/>
              </w:numPr>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The Power of the Courts over the Property of Others</w:t>
            </w:r>
          </w:p>
          <w:p w14:paraId="55F261E3" w14:textId="6F72934E" w:rsidR="2CFACACD" w:rsidRDefault="2CFACACD" w:rsidP="00D80E50">
            <w:pPr>
              <w:pStyle w:val="ListParagraph"/>
              <w:keepNext/>
              <w:numPr>
                <w:ilvl w:val="0"/>
                <w:numId w:val="3"/>
              </w:numPr>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The Influence of Previous Decisions</w:t>
            </w:r>
          </w:p>
          <w:p w14:paraId="3BD8FE90" w14:textId="31EE6900" w:rsidR="2CFACACD" w:rsidRDefault="2CFACACD" w:rsidP="00D80E50">
            <w:pPr>
              <w:pStyle w:val="ListParagraph"/>
              <w:keepNext/>
              <w:numPr>
                <w:ilvl w:val="0"/>
                <w:numId w:val="3"/>
              </w:numPr>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The Relevance of the Intentions of the Parties (and Interpreting Them)</w:t>
            </w:r>
          </w:p>
        </w:tc>
      </w:tr>
      <w:tr w:rsidR="2CFACACD" w:rsidRPr="003B0505" w14:paraId="0C92EBBB" w14:textId="77777777" w:rsidTr="00A7315F">
        <w:trPr>
          <w:trHeight w:val="300"/>
        </w:trPr>
        <w:tc>
          <w:tcPr>
            <w:tcW w:w="1977" w:type="dxa"/>
            <w:tcMar>
              <w:left w:w="105" w:type="dxa"/>
              <w:right w:w="105" w:type="dxa"/>
            </w:tcMar>
          </w:tcPr>
          <w:p w14:paraId="71203104" w14:textId="66B99426" w:rsidR="2CFACACD" w:rsidRDefault="2CFACACD" w:rsidP="2CFACACD">
            <w:pPr>
              <w:keepNext/>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w:t>
            </w:r>
            <w:r w:rsidR="00A7315F">
              <w:rPr>
                <w:rFonts w:ascii="Californian FB" w:eastAsia="Californian FB" w:hAnsi="Californian FB" w:cs="Californian FB"/>
                <w:b/>
                <w:bCs/>
              </w:rPr>
              <w:t>The</w:t>
            </w:r>
            <w:r w:rsidRPr="2CFACACD">
              <w:rPr>
                <w:rFonts w:ascii="Californian FB" w:eastAsia="Californian FB" w:hAnsi="Californian FB" w:cs="Californian FB"/>
                <w:b/>
                <w:bCs/>
              </w:rPr>
              <w:t xml:space="preserve"> Influence of Policy </w:t>
            </w:r>
            <w:r w:rsidR="00A7315F">
              <w:rPr>
                <w:rFonts w:ascii="Californian FB" w:eastAsia="Californian FB" w:hAnsi="Californian FB" w:cs="Californian FB"/>
                <w:b/>
                <w:bCs/>
              </w:rPr>
              <w:t>(</w:t>
            </w:r>
            <w:r w:rsidRPr="2CFACACD">
              <w:rPr>
                <w:rFonts w:ascii="Californian FB" w:eastAsia="Californian FB" w:hAnsi="Californian FB" w:cs="Californian FB"/>
                <w:b/>
                <w:bCs/>
              </w:rPr>
              <w:t>or Other Reasoning</w:t>
            </w:r>
            <w:r w:rsidR="00A7315F">
              <w:rPr>
                <w:rFonts w:ascii="Californian FB" w:eastAsia="Californian FB" w:hAnsi="Californian FB" w:cs="Californian FB"/>
                <w:b/>
                <w:bCs/>
              </w:rPr>
              <w:t>)</w:t>
            </w:r>
            <w:r w:rsidRPr="2CFACACD">
              <w:rPr>
                <w:rFonts w:ascii="Californian FB" w:eastAsia="Californian FB" w:hAnsi="Californian FB" w:cs="Californian FB"/>
                <w:b/>
                <w:bCs/>
              </w:rPr>
              <w:t>’ Themes</w:t>
            </w:r>
          </w:p>
        </w:tc>
        <w:tc>
          <w:tcPr>
            <w:tcW w:w="7038" w:type="dxa"/>
            <w:tcMar>
              <w:left w:w="105" w:type="dxa"/>
              <w:right w:w="105" w:type="dxa"/>
            </w:tcMar>
          </w:tcPr>
          <w:p w14:paraId="4E7144BC" w14:textId="06763C7B" w:rsidR="00065CCD" w:rsidRPr="00065CCD" w:rsidRDefault="00065CCD" w:rsidP="00065CCD">
            <w:pPr>
              <w:pStyle w:val="ListParagraph"/>
              <w:keepNext/>
              <w:numPr>
                <w:ilvl w:val="0"/>
                <w:numId w:val="2"/>
              </w:numPr>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Human Rights and Civil Liberties Influence</w:t>
            </w:r>
          </w:p>
          <w:p w14:paraId="23882F24" w14:textId="7276B100" w:rsidR="2CFACACD" w:rsidRDefault="2CFACACD" w:rsidP="00D80E50">
            <w:pPr>
              <w:pStyle w:val="ListParagraph"/>
              <w:keepNext/>
              <w:numPr>
                <w:ilvl w:val="0"/>
                <w:numId w:val="2"/>
              </w:numPr>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Public Policy Influence</w:t>
            </w:r>
          </w:p>
          <w:p w14:paraId="226F6420" w14:textId="2329BA6A" w:rsidR="2CFACACD" w:rsidRDefault="2CFACACD" w:rsidP="00D80E50">
            <w:pPr>
              <w:pStyle w:val="ListParagraph"/>
              <w:keepNext/>
              <w:numPr>
                <w:ilvl w:val="0"/>
                <w:numId w:val="2"/>
              </w:numPr>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 xml:space="preserve">The Balance Struck in Cases where One Party was a Bank/Commercial Lender </w:t>
            </w:r>
          </w:p>
          <w:p w14:paraId="68246EBD" w14:textId="0DC4F6B0" w:rsidR="2CFACACD" w:rsidRDefault="2CFACACD" w:rsidP="00D80E50">
            <w:pPr>
              <w:pStyle w:val="ListParagraph"/>
              <w:keepNext/>
              <w:numPr>
                <w:ilvl w:val="0"/>
                <w:numId w:val="2"/>
              </w:numPr>
              <w:spacing w:line="259" w:lineRule="auto"/>
              <w:jc w:val="both"/>
              <w:rPr>
                <w:rFonts w:ascii="Californian FB" w:eastAsia="Californian FB" w:hAnsi="Californian FB" w:cs="Californian FB"/>
                <w:b/>
                <w:bCs/>
              </w:rPr>
            </w:pPr>
            <w:r w:rsidRPr="2CFACACD">
              <w:rPr>
                <w:rFonts w:ascii="Californian FB" w:eastAsia="Californian FB" w:hAnsi="Californian FB" w:cs="Californian FB"/>
                <w:b/>
                <w:bCs/>
              </w:rPr>
              <w:t>Modernising the Law</w:t>
            </w:r>
          </w:p>
        </w:tc>
      </w:tr>
    </w:tbl>
    <w:p w14:paraId="73A4C94F" w14:textId="1A6865D6" w:rsidR="2CFACACD" w:rsidRDefault="2CFACACD" w:rsidP="2CFACACD">
      <w:pPr>
        <w:spacing w:after="0"/>
        <w:jc w:val="both"/>
        <w:rPr>
          <w:rFonts w:ascii="Californian FB" w:hAnsi="Californian FB"/>
          <w:b/>
          <w:bCs/>
        </w:rPr>
      </w:pPr>
    </w:p>
    <w:p w14:paraId="02E0CC8A" w14:textId="77777777" w:rsidR="00DC45C7" w:rsidRPr="0041300F" w:rsidRDefault="00DC45C7" w:rsidP="00DC45C7">
      <w:pPr>
        <w:jc w:val="center"/>
        <w:rPr>
          <w:rFonts w:ascii="Californian FB" w:hAnsi="Californian FB"/>
        </w:rPr>
      </w:pPr>
      <w:r>
        <w:rPr>
          <w:rFonts w:ascii="Californian FB" w:hAnsi="Californian FB"/>
        </w:rPr>
        <w:lastRenderedPageBreak/>
        <w:t xml:space="preserve"> </w:t>
      </w:r>
    </w:p>
    <w:p w14:paraId="051380D6" w14:textId="77777777" w:rsidR="00DC45C7" w:rsidRDefault="00DC45C7" w:rsidP="00DC45C7">
      <w:pPr>
        <w:pStyle w:val="Heading1"/>
      </w:pPr>
      <w:r>
        <w:t>THEMES</w:t>
      </w:r>
    </w:p>
    <w:p w14:paraId="6F9E89BB" w14:textId="77777777" w:rsidR="00DC45C7" w:rsidRPr="00DC45C7" w:rsidRDefault="00DC45C7" w:rsidP="00DC45C7">
      <w:pPr>
        <w:pStyle w:val="Heading2"/>
      </w:pPr>
      <w:r w:rsidRPr="00DC45C7">
        <w:t>‘The Power and Role of the Court’ Themes</w:t>
      </w:r>
    </w:p>
    <w:p w14:paraId="3016BDF3" w14:textId="77777777" w:rsidR="00DC45C7" w:rsidRPr="00DC45C7" w:rsidRDefault="00DC45C7" w:rsidP="00DC45C7">
      <w:pPr>
        <w:pStyle w:val="Heading3"/>
      </w:pPr>
      <w:r w:rsidRPr="00DC45C7">
        <w:t>The Relationship Between the Legislature and the Court</w:t>
      </w:r>
    </w:p>
    <w:p w14:paraId="08E8179A" w14:textId="22C212E9" w:rsidR="466E32D9" w:rsidRDefault="61CA9409" w:rsidP="1D8047B7">
      <w:pPr>
        <w:jc w:val="both"/>
        <w:rPr>
          <w:rFonts w:ascii="Californian FB" w:eastAsia="Californian FB" w:hAnsi="Californian FB" w:cs="Californian FB"/>
        </w:rPr>
      </w:pPr>
      <w:r w:rsidRPr="1D8047B7">
        <w:rPr>
          <w:rFonts w:ascii="Californian FB" w:eastAsia="Californian FB" w:hAnsi="Californian FB" w:cs="Californian FB"/>
        </w:rPr>
        <w:t>In this section</w:t>
      </w:r>
      <w:r w:rsidR="18D9D0B6" w:rsidRPr="1D8047B7">
        <w:rPr>
          <w:rFonts w:ascii="Californian FB" w:eastAsia="Californian FB" w:hAnsi="Californian FB" w:cs="Californian FB"/>
        </w:rPr>
        <w:t xml:space="preserve">, </w:t>
      </w:r>
      <w:r w:rsidRPr="1D8047B7">
        <w:rPr>
          <w:rFonts w:ascii="Californian FB" w:eastAsia="Californian FB" w:hAnsi="Californian FB" w:cs="Californian FB"/>
        </w:rPr>
        <w:t xml:space="preserve">we </w:t>
      </w:r>
      <w:r w:rsidR="77A7662F" w:rsidRPr="1D8047B7">
        <w:rPr>
          <w:rFonts w:ascii="Californian FB" w:eastAsia="Californian FB" w:hAnsi="Californian FB" w:cs="Californian FB"/>
        </w:rPr>
        <w:t xml:space="preserve">look </w:t>
      </w:r>
      <w:r w:rsidR="69E035C1" w:rsidRPr="1D8047B7">
        <w:rPr>
          <w:rFonts w:ascii="Californian FB" w:eastAsia="Californian FB" w:hAnsi="Californian FB" w:cs="Californian FB"/>
        </w:rPr>
        <w:t>at the Court’s dialogue with Parliament</w:t>
      </w:r>
      <w:r w:rsidR="00BA7920">
        <w:rPr>
          <w:rFonts w:ascii="Californian FB" w:eastAsia="Californian FB" w:hAnsi="Californian FB" w:cs="Californian FB"/>
        </w:rPr>
        <w:t xml:space="preserve"> and</w:t>
      </w:r>
      <w:r w:rsidR="00752E64">
        <w:rPr>
          <w:rFonts w:ascii="Californian FB" w:eastAsia="Californian FB" w:hAnsi="Californian FB" w:cs="Californian FB"/>
        </w:rPr>
        <w:t>, in asking whether it has shaped property,</w:t>
      </w:r>
      <w:r w:rsidR="00BA7920">
        <w:rPr>
          <w:rFonts w:ascii="Californian FB" w:eastAsia="Californian FB" w:hAnsi="Californian FB" w:cs="Californian FB"/>
        </w:rPr>
        <w:t xml:space="preserve"> we find </w:t>
      </w:r>
      <w:r w:rsidR="0097750C">
        <w:rPr>
          <w:rFonts w:ascii="Californian FB" w:eastAsia="Californian FB" w:hAnsi="Californian FB" w:cs="Californian FB"/>
        </w:rPr>
        <w:t>two</w:t>
      </w:r>
      <w:r w:rsidR="00BA7920">
        <w:rPr>
          <w:rFonts w:ascii="Californian FB" w:eastAsia="Californian FB" w:hAnsi="Californian FB" w:cs="Californian FB"/>
        </w:rPr>
        <w:t xml:space="preserve"> trends: (</w:t>
      </w:r>
      <w:proofErr w:type="spellStart"/>
      <w:r w:rsidR="00BA7920">
        <w:rPr>
          <w:rFonts w:ascii="Californian FB" w:eastAsia="Californian FB" w:hAnsi="Californian FB" w:cs="Californian FB"/>
        </w:rPr>
        <w:t>i</w:t>
      </w:r>
      <w:proofErr w:type="spellEnd"/>
      <w:r w:rsidR="00BA7920">
        <w:rPr>
          <w:rFonts w:ascii="Californian FB" w:eastAsia="Californian FB" w:hAnsi="Californian FB" w:cs="Californian FB"/>
        </w:rPr>
        <w:t>)</w:t>
      </w:r>
      <w:r w:rsidR="69E035C1" w:rsidRPr="1D8047B7">
        <w:rPr>
          <w:rFonts w:ascii="Californian FB" w:eastAsia="Californian FB" w:hAnsi="Californian FB" w:cs="Californian FB"/>
        </w:rPr>
        <w:t xml:space="preserve"> innovat</w:t>
      </w:r>
      <w:r w:rsidR="00BA7920">
        <w:rPr>
          <w:rFonts w:ascii="Californian FB" w:eastAsia="Californian FB" w:hAnsi="Californian FB" w:cs="Californian FB"/>
        </w:rPr>
        <w:t>ing where</w:t>
      </w:r>
      <w:r w:rsidR="69E035C1" w:rsidRPr="1D8047B7">
        <w:rPr>
          <w:rFonts w:ascii="Californian FB" w:eastAsia="Californian FB" w:hAnsi="Californian FB" w:cs="Californian FB"/>
        </w:rPr>
        <w:t xml:space="preserve"> Parliament ought to have done so</w:t>
      </w:r>
      <w:r w:rsidR="0097750C">
        <w:rPr>
          <w:rFonts w:ascii="Californian FB" w:eastAsia="Californian FB" w:hAnsi="Californian FB" w:cs="Californian FB"/>
        </w:rPr>
        <w:t>,</w:t>
      </w:r>
      <w:r w:rsidR="69E035C1" w:rsidRPr="1D8047B7">
        <w:rPr>
          <w:rFonts w:ascii="Californian FB" w:eastAsia="Californian FB" w:hAnsi="Californian FB" w:cs="Californian FB"/>
        </w:rPr>
        <w:t xml:space="preserve"> and </w:t>
      </w:r>
      <w:r w:rsidR="00BA7920">
        <w:rPr>
          <w:rFonts w:ascii="Californian FB" w:eastAsia="Californian FB" w:hAnsi="Californian FB" w:cs="Californian FB"/>
        </w:rPr>
        <w:t>(ii) finding</w:t>
      </w:r>
      <w:r w:rsidR="69E035C1" w:rsidRPr="1D8047B7">
        <w:rPr>
          <w:rFonts w:ascii="Californian FB" w:eastAsia="Californian FB" w:hAnsi="Californian FB" w:cs="Californian FB"/>
        </w:rPr>
        <w:t xml:space="preserve"> novel solutions </w:t>
      </w:r>
      <w:r w:rsidR="0064180C">
        <w:rPr>
          <w:rFonts w:ascii="Californian FB" w:eastAsia="Californian FB" w:hAnsi="Californian FB" w:cs="Californian FB"/>
        </w:rPr>
        <w:t>using</w:t>
      </w:r>
      <w:r w:rsidR="69E035C1" w:rsidRPr="1D8047B7">
        <w:rPr>
          <w:rFonts w:ascii="Californian FB" w:eastAsia="Californian FB" w:hAnsi="Californian FB" w:cs="Californian FB"/>
        </w:rPr>
        <w:t xml:space="preserve"> core prop</w:t>
      </w:r>
      <w:r w:rsidR="71888379" w:rsidRPr="1D8047B7">
        <w:rPr>
          <w:rFonts w:ascii="Californian FB" w:eastAsia="Californian FB" w:hAnsi="Californian FB" w:cs="Californian FB"/>
        </w:rPr>
        <w:t xml:space="preserve">erty </w:t>
      </w:r>
      <w:r w:rsidR="6CEC3E3C" w:rsidRPr="1D8047B7">
        <w:rPr>
          <w:rFonts w:ascii="Californian FB" w:eastAsia="Californian FB" w:hAnsi="Californian FB" w:cs="Californian FB"/>
        </w:rPr>
        <w:t>concepts developed at common law.</w:t>
      </w:r>
    </w:p>
    <w:p w14:paraId="5969F578" w14:textId="7193A58C" w:rsidR="00DC45C7" w:rsidRPr="0015717F" w:rsidRDefault="466E32D9" w:rsidP="0015717F">
      <w:pPr>
        <w:pStyle w:val="Heading4"/>
      </w:pPr>
      <w:r w:rsidRPr="0015717F">
        <w:t>(</w:t>
      </w:r>
      <w:proofErr w:type="spellStart"/>
      <w:r w:rsidRPr="0015717F">
        <w:t>i</w:t>
      </w:r>
      <w:proofErr w:type="spellEnd"/>
      <w:r w:rsidRPr="0015717F">
        <w:t xml:space="preserve">) </w:t>
      </w:r>
      <w:r w:rsidR="36C6524A" w:rsidRPr="0015717F">
        <w:t>Reminders to Parliament of its proper role</w:t>
      </w:r>
    </w:p>
    <w:p w14:paraId="010316CC" w14:textId="3174545E" w:rsidR="00DC45C7" w:rsidRDefault="00DC45C7" w:rsidP="00DC45C7">
      <w:pPr>
        <w:jc w:val="both"/>
        <w:rPr>
          <w:rFonts w:ascii="Californian FB" w:eastAsia="Californian FB" w:hAnsi="Californian FB" w:cs="Californian FB"/>
          <w:color w:val="000000" w:themeColor="text1"/>
        </w:rPr>
      </w:pPr>
      <w:r w:rsidRPr="7B386308">
        <w:rPr>
          <w:rFonts w:ascii="Californian FB" w:eastAsia="Californian FB" w:hAnsi="Californian FB" w:cs="Californian FB"/>
        </w:rPr>
        <w:t xml:space="preserve">The Court’s deference is tested when it </w:t>
      </w:r>
      <w:proofErr w:type="gramStart"/>
      <w:r w:rsidRPr="7B386308">
        <w:rPr>
          <w:rFonts w:ascii="Californian FB" w:eastAsia="Californian FB" w:hAnsi="Californian FB" w:cs="Californian FB"/>
        </w:rPr>
        <w:t>has to</w:t>
      </w:r>
      <w:proofErr w:type="gramEnd"/>
      <w:r w:rsidRPr="7B386308">
        <w:rPr>
          <w:rFonts w:ascii="Californian FB" w:eastAsia="Californian FB" w:hAnsi="Californian FB" w:cs="Californian FB"/>
        </w:rPr>
        <w:t xml:space="preserve"> </w:t>
      </w:r>
      <w:r w:rsidRPr="7B386308">
        <w:rPr>
          <w:rFonts w:ascii="Californian FB" w:eastAsia="Californian FB" w:hAnsi="Californian FB" w:cs="Californian FB"/>
          <w:i/>
          <w:iCs/>
        </w:rPr>
        <w:t xml:space="preserve">remind </w:t>
      </w:r>
      <w:r w:rsidRPr="7B386308">
        <w:rPr>
          <w:rFonts w:ascii="Californian FB" w:eastAsia="Californian FB" w:hAnsi="Californian FB" w:cs="Californian FB"/>
        </w:rPr>
        <w:t xml:space="preserve">Parliament of the latter’s redistributive and policy-making role. </w:t>
      </w:r>
      <w:r w:rsidR="002362CB">
        <w:rPr>
          <w:rFonts w:ascii="Californian FB" w:eastAsia="Californian FB" w:hAnsi="Californian FB" w:cs="Californian FB"/>
        </w:rPr>
        <w:t>To</w:t>
      </w:r>
      <w:r w:rsidRPr="7B386308">
        <w:rPr>
          <w:rFonts w:ascii="Californian FB" w:eastAsia="Californian FB" w:hAnsi="Californian FB" w:cs="Californian FB"/>
        </w:rPr>
        <w:t xml:space="preserve"> fulfil its duty to </w:t>
      </w:r>
      <w:proofErr w:type="gramStart"/>
      <w:r w:rsidRPr="7B386308">
        <w:rPr>
          <w:rFonts w:ascii="Californian FB" w:eastAsia="Californian FB" w:hAnsi="Californian FB" w:cs="Californian FB"/>
        </w:rPr>
        <w:t>make a decision</w:t>
      </w:r>
      <w:proofErr w:type="gramEnd"/>
      <w:r w:rsidRPr="7B386308">
        <w:rPr>
          <w:rFonts w:ascii="Californian FB" w:eastAsia="Californian FB" w:hAnsi="Californian FB" w:cs="Californian FB"/>
        </w:rPr>
        <w:t xml:space="preserve"> in cases where legislation is needed (or better legislation is needed), it can go so far as to legislate itself. In </w:t>
      </w:r>
      <w:r w:rsidRPr="7B386308">
        <w:rPr>
          <w:rFonts w:ascii="Californian FB" w:eastAsia="Californian FB" w:hAnsi="Californian FB" w:cs="Californian FB"/>
          <w:i/>
          <w:iCs/>
        </w:rPr>
        <w:t>Jones v Kernott</w:t>
      </w:r>
      <w:r w:rsidRPr="7B386308">
        <w:rPr>
          <w:rFonts w:ascii="Californian FB" w:eastAsia="Californian FB" w:hAnsi="Californian FB" w:cs="Californian FB"/>
        </w:rPr>
        <w:t>,</w:t>
      </w:r>
      <w:bookmarkStart w:id="1" w:name="_Ref173152264"/>
      <w:r w:rsidR="00762CCF">
        <w:rPr>
          <w:rStyle w:val="FootnoteReference"/>
          <w:rFonts w:ascii="Californian FB" w:eastAsia="Californian FB" w:hAnsi="Californian FB" w:cs="Californian FB"/>
        </w:rPr>
        <w:footnoteReference w:id="12"/>
      </w:r>
      <w:bookmarkEnd w:id="1"/>
      <w:r w:rsidRPr="7B386308">
        <w:rPr>
          <w:rFonts w:ascii="Californian FB" w:eastAsia="Californian FB" w:hAnsi="Californian FB" w:cs="Californian FB"/>
        </w:rPr>
        <w:t xml:space="preserve"> a couple had cohabited for many years before splitting up, and they </w:t>
      </w:r>
      <w:r w:rsidRPr="7B386308">
        <w:rPr>
          <w:rFonts w:ascii="Californian FB" w:eastAsia="Californian FB" w:hAnsi="Californian FB" w:cs="Californian FB"/>
          <w:color w:val="000000" w:themeColor="text1"/>
          <w:lang w:val="en-US"/>
        </w:rPr>
        <w:t xml:space="preserve">sought to establish </w:t>
      </w:r>
      <w:r w:rsidR="00CB5A6F">
        <w:rPr>
          <w:rFonts w:ascii="Californian FB" w:eastAsia="Californian FB" w:hAnsi="Californian FB" w:cs="Californian FB"/>
          <w:color w:val="000000" w:themeColor="text1"/>
          <w:lang w:val="en-US"/>
        </w:rPr>
        <w:t>their</w:t>
      </w:r>
      <w:r w:rsidRPr="7B386308">
        <w:rPr>
          <w:rFonts w:ascii="Californian FB" w:eastAsia="Californian FB" w:hAnsi="Californian FB" w:cs="Californian FB"/>
          <w:color w:val="000000" w:themeColor="text1"/>
          <w:lang w:val="en-US"/>
        </w:rPr>
        <w:t xml:space="preserve"> respective shares in the home. Th</w:t>
      </w:r>
      <w:r w:rsidR="00CB5A6F">
        <w:rPr>
          <w:rFonts w:ascii="Californian FB" w:eastAsia="Californian FB" w:hAnsi="Californian FB" w:cs="Californian FB"/>
          <w:color w:val="000000" w:themeColor="text1"/>
          <w:lang w:val="en-US"/>
        </w:rPr>
        <w:t>ey</w:t>
      </w:r>
      <w:r w:rsidRPr="7B386308">
        <w:rPr>
          <w:rFonts w:ascii="Californian FB" w:eastAsia="Californian FB" w:hAnsi="Californian FB" w:cs="Californian FB"/>
          <w:color w:val="000000" w:themeColor="text1"/>
          <w:lang w:val="en-US"/>
        </w:rPr>
        <w:t xml:space="preserve"> had not </w:t>
      </w:r>
      <w:proofErr w:type="spellStart"/>
      <w:r w:rsidRPr="7B386308">
        <w:rPr>
          <w:rFonts w:ascii="Californian FB" w:eastAsia="Californian FB" w:hAnsi="Californian FB" w:cs="Californian FB"/>
          <w:color w:val="000000" w:themeColor="text1"/>
          <w:lang w:val="en-US"/>
        </w:rPr>
        <w:t>formalised</w:t>
      </w:r>
      <w:proofErr w:type="spellEnd"/>
      <w:r w:rsidRPr="7B386308">
        <w:rPr>
          <w:rFonts w:ascii="Californian FB" w:eastAsia="Californian FB" w:hAnsi="Californian FB" w:cs="Californian FB"/>
          <w:color w:val="000000" w:themeColor="text1"/>
          <w:lang w:val="en-US"/>
        </w:rPr>
        <w:t xml:space="preserve"> how they wanted to divide up their shares</w:t>
      </w:r>
      <w:r w:rsidR="00540291">
        <w:rPr>
          <w:rFonts w:ascii="Californian FB" w:eastAsia="Californian FB" w:hAnsi="Californian FB" w:cs="Californian FB"/>
          <w:color w:val="000000" w:themeColor="text1"/>
          <w:lang w:val="en-US"/>
        </w:rPr>
        <w:t>;</w:t>
      </w:r>
      <w:r w:rsidRPr="7B386308">
        <w:rPr>
          <w:rFonts w:ascii="Californian FB" w:eastAsia="Californian FB" w:hAnsi="Californian FB" w:cs="Californian FB"/>
          <w:color w:val="000000" w:themeColor="text1"/>
          <w:lang w:val="en-US"/>
        </w:rPr>
        <w:t xml:space="preserve"> </w:t>
      </w:r>
      <w:r w:rsidR="00993F70">
        <w:rPr>
          <w:rFonts w:ascii="Californian FB" w:eastAsia="Californian FB" w:hAnsi="Californian FB" w:cs="Californian FB"/>
          <w:color w:val="000000" w:themeColor="text1"/>
          <w:lang w:val="en-US"/>
        </w:rPr>
        <w:t>f</w:t>
      </w:r>
      <w:r w:rsidRPr="7B386308">
        <w:rPr>
          <w:rFonts w:ascii="Californian FB" w:eastAsia="Californian FB" w:hAnsi="Californian FB" w:cs="Californian FB"/>
          <w:color w:val="000000" w:themeColor="text1"/>
          <w:lang w:val="en-US"/>
        </w:rPr>
        <w:t xml:space="preserve">or unmarried cohabiting couples, there is a </w:t>
      </w:r>
      <w:r w:rsidRPr="00304DA6">
        <w:rPr>
          <w:rFonts w:ascii="Californian FB" w:eastAsia="Californian FB" w:hAnsi="Californian FB" w:cs="Californian FB"/>
          <w:color w:val="000000" w:themeColor="text1"/>
        </w:rPr>
        <w:t>legislative</w:t>
      </w:r>
      <w:r w:rsidRPr="7B386308">
        <w:rPr>
          <w:rFonts w:ascii="Californian FB" w:eastAsia="Californian FB" w:hAnsi="Californian FB" w:cs="Californian FB"/>
          <w:color w:val="000000" w:themeColor="text1"/>
          <w:lang w:val="en-US"/>
        </w:rPr>
        <w:t xml:space="preserve"> lacuna, so the issue must be determined using principles of property law. Not long before </w:t>
      </w:r>
      <w:r w:rsidRPr="7B386308">
        <w:rPr>
          <w:rFonts w:ascii="Californian FB" w:eastAsia="Californian FB" w:hAnsi="Californian FB" w:cs="Californian FB"/>
          <w:i/>
          <w:iCs/>
          <w:color w:val="000000" w:themeColor="text1"/>
          <w:lang w:val="en-US"/>
        </w:rPr>
        <w:t>Jones</w:t>
      </w:r>
      <w:r w:rsidRPr="7B386308">
        <w:rPr>
          <w:rFonts w:ascii="Californian FB" w:eastAsia="Californian FB" w:hAnsi="Californian FB" w:cs="Californian FB"/>
          <w:color w:val="000000" w:themeColor="text1"/>
          <w:lang w:val="en-US"/>
        </w:rPr>
        <w:t xml:space="preserve">, the House of Lords in </w:t>
      </w:r>
      <w:r w:rsidRPr="7B386308">
        <w:rPr>
          <w:rFonts w:ascii="Californian FB" w:eastAsia="Californian FB" w:hAnsi="Californian FB" w:cs="Californian FB"/>
          <w:i/>
          <w:iCs/>
          <w:color w:val="000000" w:themeColor="text1"/>
          <w:lang w:val="en-US"/>
        </w:rPr>
        <w:t>Stack v Dowden</w:t>
      </w:r>
      <w:bookmarkStart w:id="2" w:name="_Ref173321130"/>
      <w:r w:rsidR="00071B6E" w:rsidRPr="00F4044A">
        <w:rPr>
          <w:rStyle w:val="FootnoteReference"/>
          <w:rFonts w:ascii="Californian FB" w:eastAsia="Californian FB" w:hAnsi="Californian FB" w:cs="Californian FB"/>
          <w:color w:val="000000" w:themeColor="text1"/>
          <w:lang w:val="en-US"/>
        </w:rPr>
        <w:footnoteReference w:id="13"/>
      </w:r>
      <w:bookmarkEnd w:id="2"/>
      <w:r w:rsidRPr="00F4044A">
        <w:rPr>
          <w:rFonts w:ascii="Californian FB" w:eastAsia="Californian FB" w:hAnsi="Californian FB" w:cs="Californian FB"/>
          <w:color w:val="000000" w:themeColor="text1"/>
          <w:lang w:val="en-US"/>
        </w:rPr>
        <w:t xml:space="preserve"> </w:t>
      </w:r>
      <w:r w:rsidRPr="7B386308">
        <w:rPr>
          <w:rFonts w:ascii="Californian FB" w:eastAsia="Californian FB" w:hAnsi="Californian FB" w:cs="Californian FB"/>
          <w:color w:val="000000" w:themeColor="text1"/>
          <w:lang w:val="en-US"/>
        </w:rPr>
        <w:t xml:space="preserve">had devised a scheme allowing factors </w:t>
      </w:r>
      <w:r w:rsidR="00C918FF">
        <w:rPr>
          <w:rFonts w:ascii="Californian FB" w:eastAsia="Californian FB" w:hAnsi="Californian FB" w:cs="Californian FB"/>
          <w:color w:val="000000" w:themeColor="text1"/>
          <w:lang w:val="en-US"/>
        </w:rPr>
        <w:t>(</w:t>
      </w:r>
      <w:r w:rsidR="0084312C">
        <w:rPr>
          <w:rFonts w:ascii="Californian FB" w:eastAsia="Californian FB" w:hAnsi="Californian FB" w:cs="Californian FB"/>
          <w:color w:val="000000" w:themeColor="text1"/>
          <w:lang w:val="en-US"/>
        </w:rPr>
        <w:t>akin to those found in t</w:t>
      </w:r>
      <w:r w:rsidR="0090063D">
        <w:rPr>
          <w:rFonts w:ascii="Californian FB" w:eastAsia="Californian FB" w:hAnsi="Californian FB" w:cs="Californian FB"/>
          <w:color w:val="000000" w:themeColor="text1"/>
          <w:lang w:val="en-US"/>
        </w:rPr>
        <w:t xml:space="preserve">he </w:t>
      </w:r>
      <w:r w:rsidR="00C07217">
        <w:rPr>
          <w:rFonts w:ascii="Californian FB" w:eastAsia="Californian FB" w:hAnsi="Californian FB" w:cs="Californian FB"/>
          <w:color w:val="000000" w:themeColor="text1"/>
          <w:lang w:val="en-US"/>
        </w:rPr>
        <w:t>Matrimonial</w:t>
      </w:r>
      <w:r w:rsidR="007C274F">
        <w:rPr>
          <w:rFonts w:ascii="Californian FB" w:eastAsia="Californian FB" w:hAnsi="Californian FB" w:cs="Californian FB"/>
          <w:color w:val="000000" w:themeColor="text1"/>
          <w:lang w:val="en-US"/>
        </w:rPr>
        <w:t xml:space="preserve"> Causes Act 1973</w:t>
      </w:r>
      <w:r w:rsidR="0090063D">
        <w:rPr>
          <w:rFonts w:ascii="Californian FB" w:eastAsia="Californian FB" w:hAnsi="Californian FB" w:cs="Californian FB"/>
          <w:color w:val="000000" w:themeColor="text1"/>
          <w:lang w:val="en-US"/>
        </w:rPr>
        <w:t xml:space="preserve">) </w:t>
      </w:r>
      <w:r w:rsidR="466E32D9" w:rsidRPr="7B386308">
        <w:rPr>
          <w:rFonts w:ascii="Californian FB" w:eastAsia="Californian FB" w:hAnsi="Californian FB" w:cs="Californian FB"/>
          <w:color w:val="000000" w:themeColor="text1"/>
          <w:lang w:val="en-US"/>
        </w:rPr>
        <w:t>to</w:t>
      </w:r>
      <w:r w:rsidRPr="7B386308">
        <w:rPr>
          <w:rFonts w:ascii="Californian FB" w:eastAsia="Californian FB" w:hAnsi="Californian FB" w:cs="Californian FB"/>
          <w:color w:val="000000" w:themeColor="text1"/>
          <w:lang w:val="en-US"/>
        </w:rPr>
        <w:t xml:space="preserve"> creep in such as how the parties arranged their finances, whether they had any children, etc</w:t>
      </w:r>
      <w:r w:rsidR="00304DA6">
        <w:rPr>
          <w:rFonts w:ascii="Californian FB" w:eastAsia="Californian FB" w:hAnsi="Californian FB" w:cs="Californian FB"/>
          <w:color w:val="000000" w:themeColor="text1"/>
          <w:lang w:val="en-US"/>
        </w:rPr>
        <w:t>.</w:t>
      </w:r>
      <w:r w:rsidR="466E32D9" w:rsidRPr="7B386308">
        <w:rPr>
          <w:rFonts w:ascii="Californian FB" w:eastAsia="Californian FB" w:hAnsi="Californian FB" w:cs="Californian FB"/>
          <w:color w:val="000000" w:themeColor="text1"/>
          <w:lang w:val="en-US"/>
        </w:rPr>
        <w:t>,</w:t>
      </w:r>
      <w:r w:rsidRPr="7B386308">
        <w:rPr>
          <w:rFonts w:ascii="Californian FB" w:eastAsia="Californian FB" w:hAnsi="Californian FB" w:cs="Californian FB"/>
          <w:color w:val="000000" w:themeColor="text1"/>
          <w:lang w:val="en-US"/>
        </w:rPr>
        <w:t xml:space="preserve"> in determining their respective shares in the family home.</w:t>
      </w:r>
      <w:r w:rsidR="00F4044A">
        <w:rPr>
          <w:rStyle w:val="FootnoteReference"/>
          <w:rFonts w:ascii="Californian FB" w:eastAsia="Californian FB" w:hAnsi="Californian FB" w:cs="Californian FB"/>
          <w:color w:val="000000" w:themeColor="text1"/>
          <w:lang w:val="en-US"/>
        </w:rPr>
        <w:footnoteReference w:id="14"/>
      </w:r>
      <w:r w:rsidRPr="7B386308">
        <w:rPr>
          <w:rFonts w:ascii="Californian FB" w:eastAsia="Californian FB" w:hAnsi="Californian FB" w:cs="Californian FB"/>
          <w:color w:val="000000" w:themeColor="text1"/>
          <w:lang w:val="en-US"/>
        </w:rPr>
        <w:t xml:space="preserve"> This led to </w:t>
      </w:r>
      <w:r w:rsidR="00FB15DE">
        <w:rPr>
          <w:rFonts w:ascii="Californian FB" w:eastAsia="Californian FB" w:hAnsi="Californian FB" w:cs="Californian FB"/>
          <w:color w:val="000000" w:themeColor="text1"/>
          <w:lang w:val="en-US"/>
        </w:rPr>
        <w:t>much</w:t>
      </w:r>
      <w:r w:rsidRPr="7B386308">
        <w:rPr>
          <w:rFonts w:ascii="Californian FB" w:eastAsia="Californian FB" w:hAnsi="Californian FB" w:cs="Californian FB"/>
          <w:color w:val="000000" w:themeColor="text1"/>
          <w:lang w:val="en-US"/>
        </w:rPr>
        <w:t xml:space="preserve"> litigation</w:t>
      </w:r>
      <w:r w:rsidRPr="7B386308">
        <w:rPr>
          <w:rStyle w:val="FootnoteReference"/>
          <w:rFonts w:ascii="Californian FB" w:eastAsia="Californian FB" w:hAnsi="Californian FB" w:cs="Californian FB"/>
          <w:color w:val="000000" w:themeColor="text1"/>
          <w:lang w:val="en-US"/>
        </w:rPr>
        <w:footnoteReference w:id="15"/>
      </w:r>
      <w:r w:rsidRPr="7B386308">
        <w:rPr>
          <w:rFonts w:ascii="Californian FB" w:eastAsia="Californian FB" w:hAnsi="Californian FB" w:cs="Californian FB"/>
          <w:color w:val="000000" w:themeColor="text1"/>
          <w:lang w:val="en-US"/>
        </w:rPr>
        <w:t xml:space="preserve"> but no movement from Parliament. By the time of </w:t>
      </w:r>
      <w:r w:rsidRPr="7B386308">
        <w:rPr>
          <w:rFonts w:ascii="Californian FB" w:eastAsia="Californian FB" w:hAnsi="Californian FB" w:cs="Californian FB"/>
          <w:i/>
          <w:iCs/>
          <w:color w:val="000000" w:themeColor="text1"/>
          <w:lang w:val="en-US"/>
        </w:rPr>
        <w:t>Jones v Kernott</w:t>
      </w:r>
      <w:r w:rsidRPr="7B386308">
        <w:rPr>
          <w:rFonts w:ascii="Californian FB" w:eastAsia="Californian FB" w:hAnsi="Californian FB" w:cs="Californian FB"/>
          <w:color w:val="000000" w:themeColor="text1"/>
          <w:lang w:val="en-US"/>
        </w:rPr>
        <w:t xml:space="preserve">, we find Lord Walker and Lady Hale, also on the bench in </w:t>
      </w:r>
      <w:r w:rsidRPr="7B386308">
        <w:rPr>
          <w:rFonts w:ascii="Californian FB" w:eastAsia="Californian FB" w:hAnsi="Californian FB" w:cs="Californian FB"/>
          <w:i/>
          <w:iCs/>
          <w:color w:val="000000" w:themeColor="text1"/>
          <w:lang w:val="en-US"/>
        </w:rPr>
        <w:t>Stack</w:t>
      </w:r>
      <w:r w:rsidRPr="7B386308">
        <w:rPr>
          <w:rFonts w:ascii="Californian FB" w:eastAsia="Californian FB" w:hAnsi="Californian FB" w:cs="Californian FB"/>
          <w:color w:val="000000" w:themeColor="text1"/>
          <w:lang w:val="en-US"/>
        </w:rPr>
        <w:t>,</w:t>
      </w:r>
      <w:r w:rsidRPr="7B386308">
        <w:rPr>
          <w:rFonts w:ascii="Californian FB" w:eastAsia="Californian FB" w:hAnsi="Californian FB" w:cs="Californian FB"/>
          <w:i/>
          <w:iCs/>
          <w:color w:val="000000" w:themeColor="text1"/>
          <w:lang w:val="en-US"/>
        </w:rPr>
        <w:t xml:space="preserve"> </w:t>
      </w:r>
      <w:r w:rsidRPr="7B386308">
        <w:rPr>
          <w:rFonts w:ascii="Californian FB" w:eastAsia="Californian FB" w:hAnsi="Californian FB" w:cs="Californian FB"/>
          <w:color w:val="000000" w:themeColor="text1"/>
          <w:lang w:val="en-US"/>
        </w:rPr>
        <w:t xml:space="preserve">almost telling Parliament off for </w:t>
      </w:r>
      <w:r w:rsidR="00987010">
        <w:rPr>
          <w:rFonts w:ascii="Californian FB" w:eastAsia="Californian FB" w:hAnsi="Californian FB" w:cs="Californian FB"/>
          <w:color w:val="000000" w:themeColor="text1"/>
          <w:lang w:val="en-US"/>
        </w:rPr>
        <w:t>its</w:t>
      </w:r>
      <w:r w:rsidRPr="7B386308">
        <w:rPr>
          <w:rFonts w:ascii="Californian FB" w:eastAsia="Californian FB" w:hAnsi="Californian FB" w:cs="Californian FB"/>
          <w:color w:val="000000" w:themeColor="text1"/>
          <w:lang w:val="en-US"/>
        </w:rPr>
        <w:t xml:space="preserve"> lack of action in the interim period. Noting that the Law Commission</w:t>
      </w:r>
      <w:r w:rsidR="00C524C4">
        <w:rPr>
          <w:rStyle w:val="FootnoteReference"/>
          <w:rFonts w:ascii="Californian FB" w:eastAsia="Californian FB" w:hAnsi="Californian FB" w:cs="Californian FB"/>
          <w:color w:val="000000" w:themeColor="text1"/>
          <w:lang w:val="en-US"/>
        </w:rPr>
        <w:footnoteReference w:id="16"/>
      </w:r>
      <w:r w:rsidRPr="7B386308">
        <w:rPr>
          <w:rFonts w:ascii="Californian FB" w:eastAsia="Californian FB" w:hAnsi="Californian FB" w:cs="Californian FB"/>
          <w:color w:val="000000" w:themeColor="text1"/>
          <w:lang w:val="en-US"/>
        </w:rPr>
        <w:t xml:space="preserve"> had made recommendations </w:t>
      </w:r>
      <w:r w:rsidR="000B629C" w:rsidRPr="000B629C">
        <w:rPr>
          <w:rFonts w:ascii="Californian FB" w:eastAsia="Californian FB" w:hAnsi="Californian FB" w:cs="Californian FB"/>
          <w:color w:val="000000" w:themeColor="text1"/>
        </w:rPr>
        <w:t xml:space="preserve">for legislation </w:t>
      </w:r>
      <w:r w:rsidR="00EA0DFF">
        <w:rPr>
          <w:rFonts w:ascii="Californian FB" w:eastAsia="Californian FB" w:hAnsi="Californian FB" w:cs="Californian FB"/>
          <w:color w:val="000000" w:themeColor="text1"/>
        </w:rPr>
        <w:t>to give</w:t>
      </w:r>
      <w:r w:rsidR="000B629C" w:rsidRPr="000B629C">
        <w:rPr>
          <w:rFonts w:ascii="Californian FB" w:eastAsia="Californian FB" w:hAnsi="Californian FB" w:cs="Californian FB"/>
          <w:color w:val="000000" w:themeColor="text1"/>
        </w:rPr>
        <w:t xml:space="preserve"> the court specific redistributive </w:t>
      </w:r>
      <w:proofErr w:type="gramStart"/>
      <w:r w:rsidR="000B629C" w:rsidRPr="000B629C">
        <w:rPr>
          <w:rFonts w:ascii="Californian FB" w:eastAsia="Californian FB" w:hAnsi="Californian FB" w:cs="Californian FB"/>
          <w:color w:val="000000" w:themeColor="text1"/>
        </w:rPr>
        <w:t>power</w:t>
      </w:r>
      <w:r w:rsidRPr="7B386308">
        <w:rPr>
          <w:rFonts w:ascii="Californian FB" w:eastAsia="Californian FB" w:hAnsi="Californian FB" w:cs="Californian FB"/>
          <w:color w:val="000000" w:themeColor="text1"/>
          <w:lang w:val="en-US"/>
        </w:rPr>
        <w:t>, and</w:t>
      </w:r>
      <w:proofErr w:type="gramEnd"/>
      <w:r w:rsidRPr="7B386308">
        <w:rPr>
          <w:rFonts w:ascii="Californian FB" w:eastAsia="Californian FB" w:hAnsi="Californian FB" w:cs="Californian FB"/>
          <w:color w:val="000000" w:themeColor="text1"/>
          <w:lang w:val="en-US"/>
        </w:rPr>
        <w:t xml:space="preserve"> highlighting that </w:t>
      </w:r>
      <w:r w:rsidR="00304DA6">
        <w:rPr>
          <w:rFonts w:ascii="Californian FB" w:eastAsia="Californian FB" w:hAnsi="Californian FB" w:cs="Californian FB"/>
          <w:color w:val="000000" w:themeColor="text1"/>
          <w:lang w:val="en-US"/>
        </w:rPr>
        <w:t>‘</w:t>
      </w:r>
      <w:r w:rsidR="466E32D9" w:rsidRPr="7B386308">
        <w:rPr>
          <w:rFonts w:ascii="Californian FB" w:eastAsia="Californian FB" w:hAnsi="Californian FB" w:cs="Californian FB"/>
          <w:color w:val="000000" w:themeColor="text1"/>
        </w:rPr>
        <w:t>there</w:t>
      </w:r>
      <w:r w:rsidRPr="7B386308">
        <w:rPr>
          <w:rFonts w:ascii="Californian FB" w:eastAsia="Californian FB" w:hAnsi="Californian FB" w:cs="Californian FB"/>
          <w:color w:val="000000" w:themeColor="text1"/>
        </w:rPr>
        <w:t xml:space="preserve"> are no plans to implement them in the near future</w:t>
      </w:r>
      <w:r w:rsidR="001D61F9">
        <w:rPr>
          <w:rFonts w:ascii="Californian FB" w:eastAsia="Californian FB" w:hAnsi="Californian FB" w:cs="Californian FB"/>
          <w:color w:val="000000" w:themeColor="text1"/>
        </w:rPr>
        <w:t>,</w:t>
      </w:r>
      <w:r w:rsidRPr="7B386308">
        <w:rPr>
          <w:rStyle w:val="FootnoteReference"/>
          <w:rFonts w:ascii="Californian FB" w:eastAsia="Californian FB" w:hAnsi="Californian FB" w:cs="Californian FB"/>
          <w:color w:val="000000" w:themeColor="text1"/>
        </w:rPr>
        <w:footnoteReference w:id="17"/>
      </w:r>
      <w:r w:rsidRPr="7B386308">
        <w:rPr>
          <w:rFonts w:ascii="Californian FB" w:eastAsia="Californian FB" w:hAnsi="Californian FB" w:cs="Californian FB"/>
          <w:color w:val="000000" w:themeColor="text1"/>
        </w:rPr>
        <w:t xml:space="preserve"> the majority was not pleased. The Court</w:t>
      </w:r>
      <w:r w:rsidR="00960D45">
        <w:rPr>
          <w:rFonts w:ascii="Californian FB" w:eastAsia="Californian FB" w:hAnsi="Californian FB" w:cs="Californian FB"/>
          <w:color w:val="000000" w:themeColor="text1"/>
        </w:rPr>
        <w:t xml:space="preserve"> </w:t>
      </w:r>
      <w:r w:rsidRPr="7B386308">
        <w:rPr>
          <w:rFonts w:ascii="Californian FB" w:eastAsia="Californian FB" w:hAnsi="Californian FB" w:cs="Californian FB"/>
          <w:color w:val="000000" w:themeColor="text1"/>
        </w:rPr>
        <w:t xml:space="preserve">outlined a </w:t>
      </w:r>
      <w:r w:rsidR="00044F1A">
        <w:rPr>
          <w:rFonts w:ascii="Californian FB" w:eastAsia="Californian FB" w:hAnsi="Californian FB" w:cs="Californian FB"/>
          <w:color w:val="000000" w:themeColor="text1"/>
        </w:rPr>
        <w:t xml:space="preserve">fuller </w:t>
      </w:r>
      <w:r w:rsidRPr="7B386308">
        <w:rPr>
          <w:rFonts w:ascii="Californian FB" w:eastAsia="Californian FB" w:hAnsi="Californian FB" w:cs="Californian FB"/>
          <w:color w:val="000000" w:themeColor="text1"/>
        </w:rPr>
        <w:t>quasi-legislative procedure</w:t>
      </w:r>
      <w:r w:rsidR="00044F1A">
        <w:rPr>
          <w:rFonts w:ascii="Californian FB" w:eastAsia="Californian FB" w:hAnsi="Californian FB" w:cs="Californian FB"/>
          <w:color w:val="000000" w:themeColor="text1"/>
        </w:rPr>
        <w:t xml:space="preserve"> than it had in </w:t>
      </w:r>
      <w:r w:rsidR="00044F1A">
        <w:rPr>
          <w:rFonts w:ascii="Californian FB" w:eastAsia="Californian FB" w:hAnsi="Californian FB" w:cs="Californian FB"/>
          <w:i/>
          <w:iCs/>
          <w:color w:val="000000" w:themeColor="text1"/>
        </w:rPr>
        <w:t>Stack</w:t>
      </w:r>
      <w:r w:rsidR="001F4835">
        <w:rPr>
          <w:rFonts w:ascii="Californian FB" w:eastAsia="Californian FB" w:hAnsi="Californian FB" w:cs="Californian FB"/>
          <w:i/>
          <w:iCs/>
          <w:color w:val="000000" w:themeColor="text1"/>
        </w:rPr>
        <w:t xml:space="preserve">. </w:t>
      </w:r>
      <w:r w:rsidR="00960D45">
        <w:rPr>
          <w:rFonts w:ascii="Californian FB" w:eastAsia="Californian FB" w:hAnsi="Californian FB" w:cs="Californian FB"/>
          <w:color w:val="000000" w:themeColor="text1"/>
        </w:rPr>
        <w:t>It</w:t>
      </w:r>
      <w:r w:rsidRPr="7B386308">
        <w:rPr>
          <w:rFonts w:ascii="Californian FB" w:eastAsia="Californian FB" w:hAnsi="Californian FB" w:cs="Californian FB"/>
          <w:color w:val="000000" w:themeColor="text1"/>
        </w:rPr>
        <w:t xml:space="preserve"> seemed to feel almost obliged</w:t>
      </w:r>
      <w:r w:rsidR="006B3098">
        <w:rPr>
          <w:rFonts w:ascii="Californian FB" w:eastAsia="Californian FB" w:hAnsi="Californian FB" w:cs="Californian FB"/>
          <w:color w:val="000000" w:themeColor="text1"/>
        </w:rPr>
        <w:t xml:space="preserve"> to take these steps</w:t>
      </w:r>
      <w:r w:rsidRPr="7B386308">
        <w:rPr>
          <w:rFonts w:ascii="Californian FB" w:eastAsia="Californian FB" w:hAnsi="Californian FB" w:cs="Californian FB"/>
          <w:color w:val="000000" w:themeColor="text1"/>
        </w:rPr>
        <w:t>, noting that:</w:t>
      </w:r>
    </w:p>
    <w:p w14:paraId="6E8E30B3" w14:textId="5781B1AB" w:rsidR="00DC45C7" w:rsidRPr="001F222D" w:rsidRDefault="00DC45C7" w:rsidP="00DC45C7">
      <w:pPr>
        <w:ind w:firstLine="720"/>
        <w:jc w:val="both"/>
        <w:rPr>
          <w:rFonts w:ascii="Californian FB" w:eastAsia="Californian FB" w:hAnsi="Californian FB" w:cs="Californian FB"/>
          <w:color w:val="000000" w:themeColor="text1"/>
        </w:rPr>
      </w:pPr>
      <w:r w:rsidRPr="7B386308">
        <w:rPr>
          <w:rFonts w:ascii="Californian FB" w:eastAsia="Californian FB" w:hAnsi="Californian FB" w:cs="Californian FB"/>
          <w:color w:val="000000" w:themeColor="text1"/>
        </w:rPr>
        <w:t>[</w:t>
      </w:r>
      <w:proofErr w:type="spellStart"/>
      <w:r w:rsidRPr="7B386308">
        <w:rPr>
          <w:rFonts w:ascii="Californian FB" w:eastAsia="Californian FB" w:hAnsi="Californian FB" w:cs="Californian FB"/>
          <w:color w:val="000000" w:themeColor="text1"/>
        </w:rPr>
        <w:t>i</w:t>
      </w:r>
      <w:proofErr w:type="spellEnd"/>
      <w:r w:rsidRPr="7B386308">
        <w:rPr>
          <w:rFonts w:ascii="Californian FB" w:eastAsia="Californian FB" w:hAnsi="Californian FB" w:cs="Californian FB"/>
          <w:color w:val="000000" w:themeColor="text1"/>
        </w:rPr>
        <w:t xml:space="preserve">]n the meantime there will continue to be many difficult cases in which the court has to </w:t>
      </w:r>
      <w:r w:rsidRPr="003B0505">
        <w:rPr>
          <w:rFonts w:ascii="Californian FB" w:hAnsi="Californian FB"/>
        </w:rPr>
        <w:tab/>
      </w:r>
      <w:r w:rsidRPr="7B386308">
        <w:rPr>
          <w:rFonts w:ascii="Californian FB" w:eastAsia="Californian FB" w:hAnsi="Californian FB" w:cs="Californian FB"/>
          <w:color w:val="000000" w:themeColor="text1"/>
        </w:rPr>
        <w:t xml:space="preserve">reach a conclusion on sparse and conflicting evidence. It is the court’s duty to reach a </w:t>
      </w:r>
      <w:r w:rsidRPr="003B0505">
        <w:rPr>
          <w:rFonts w:ascii="Californian FB" w:hAnsi="Californian FB"/>
        </w:rPr>
        <w:tab/>
      </w:r>
      <w:r w:rsidRPr="7B386308">
        <w:rPr>
          <w:rFonts w:ascii="Californian FB" w:eastAsia="Californian FB" w:hAnsi="Californian FB" w:cs="Californian FB"/>
          <w:color w:val="000000" w:themeColor="text1"/>
        </w:rPr>
        <w:t xml:space="preserve">decision on even the most difficult case. As the deputy judge (Mr Nicholas Strauss QC) said </w:t>
      </w:r>
      <w:r w:rsidRPr="003B0505">
        <w:rPr>
          <w:rFonts w:ascii="Californian FB" w:hAnsi="Californian FB"/>
        </w:rPr>
        <w:tab/>
      </w:r>
      <w:r w:rsidRPr="7B386308">
        <w:rPr>
          <w:rFonts w:ascii="Californian FB" w:eastAsia="Californian FB" w:hAnsi="Californian FB" w:cs="Californian FB"/>
          <w:color w:val="000000" w:themeColor="text1"/>
        </w:rPr>
        <w:t>in his admirable judgment...</w:t>
      </w:r>
      <w:r w:rsidRPr="7B386308">
        <w:rPr>
          <w:rStyle w:val="FootnoteReference"/>
          <w:rFonts w:ascii="Californian FB" w:eastAsia="Californian FB" w:hAnsi="Californian FB" w:cs="Californian FB"/>
          <w:color w:val="000000" w:themeColor="text1"/>
        </w:rPr>
        <w:footnoteReference w:id="18"/>
      </w:r>
      <w:r w:rsidRPr="7B386308">
        <w:rPr>
          <w:rFonts w:ascii="Californian FB" w:eastAsia="Californian FB" w:hAnsi="Californian FB" w:cs="Californian FB"/>
          <w:color w:val="000000" w:themeColor="text1"/>
        </w:rPr>
        <w:t xml:space="preserve"> (in the context of a discussion of fairness) “that is what courts </w:t>
      </w:r>
      <w:r w:rsidRPr="003B0505">
        <w:rPr>
          <w:rFonts w:ascii="Californian FB" w:hAnsi="Californian FB"/>
        </w:rPr>
        <w:tab/>
      </w:r>
      <w:r w:rsidRPr="7B386308">
        <w:rPr>
          <w:rFonts w:ascii="Californian FB" w:eastAsia="Californian FB" w:hAnsi="Californian FB" w:cs="Californian FB"/>
          <w:color w:val="000000" w:themeColor="text1"/>
        </w:rPr>
        <w:t>are for.”</w:t>
      </w:r>
      <w:r w:rsidRPr="7B386308">
        <w:rPr>
          <w:rStyle w:val="FootnoteReference"/>
          <w:rFonts w:ascii="Californian FB" w:eastAsia="Californian FB" w:hAnsi="Californian FB" w:cs="Californian FB"/>
          <w:color w:val="000000" w:themeColor="text1"/>
        </w:rPr>
        <w:footnoteReference w:id="19"/>
      </w:r>
    </w:p>
    <w:p w14:paraId="5FEF43C1" w14:textId="07195D1D" w:rsidR="00DC45C7" w:rsidRDefault="00960D45" w:rsidP="00DC45C7">
      <w:pPr>
        <w:jc w:val="both"/>
        <w:rPr>
          <w:rFonts w:ascii="Californian FB" w:eastAsia="Californian FB" w:hAnsi="Californian FB" w:cs="Californian FB"/>
        </w:rPr>
      </w:pPr>
      <w:r>
        <w:rPr>
          <w:rFonts w:ascii="Californian FB" w:eastAsia="Californian FB" w:hAnsi="Californian FB" w:cs="Californian FB"/>
        </w:rPr>
        <w:t>In</w:t>
      </w:r>
      <w:r w:rsidR="00DC45C7" w:rsidRPr="7B386308">
        <w:rPr>
          <w:rFonts w:ascii="Californian FB" w:eastAsia="Californian FB" w:hAnsi="Californian FB" w:cs="Californian FB"/>
        </w:rPr>
        <w:t xml:space="preserve"> </w:t>
      </w:r>
      <w:r w:rsidR="00DC45C7" w:rsidRPr="7B386308">
        <w:rPr>
          <w:rFonts w:ascii="Californian FB" w:eastAsia="Californian FB" w:hAnsi="Californian FB" w:cs="Californian FB"/>
          <w:i/>
          <w:iCs/>
        </w:rPr>
        <w:t>Ilott v The Blue Cross</w:t>
      </w:r>
      <w:r w:rsidR="00DC45C7" w:rsidRPr="7B386308">
        <w:rPr>
          <w:rFonts w:ascii="Californian FB" w:eastAsia="Californian FB" w:hAnsi="Californian FB" w:cs="Californian FB"/>
        </w:rPr>
        <w:t>,</w:t>
      </w:r>
      <w:bookmarkStart w:id="3" w:name="_Ref173321108"/>
      <w:r w:rsidR="0090063D">
        <w:rPr>
          <w:rStyle w:val="FootnoteReference"/>
          <w:rFonts w:ascii="Californian FB" w:eastAsia="Californian FB" w:hAnsi="Californian FB" w:cs="Californian FB"/>
        </w:rPr>
        <w:footnoteReference w:id="20"/>
      </w:r>
      <w:bookmarkEnd w:id="3"/>
      <w:r w:rsidR="00DC45C7" w:rsidRPr="7B386308" w:rsidDel="00960D45">
        <w:rPr>
          <w:rFonts w:ascii="Californian FB" w:eastAsia="Californian FB" w:hAnsi="Californian FB" w:cs="Californian FB"/>
        </w:rPr>
        <w:t xml:space="preserve"> </w:t>
      </w:r>
      <w:r w:rsidR="00DC45C7" w:rsidRPr="7B386308">
        <w:rPr>
          <w:rFonts w:ascii="Californian FB" w:eastAsia="Californian FB" w:hAnsi="Californian FB" w:cs="Californian FB"/>
        </w:rPr>
        <w:t xml:space="preserve">the Court found itself indicating that the applicable legislation gave inadequate guidance in controlling </w:t>
      </w:r>
      <w:r w:rsidR="00A33E7D">
        <w:rPr>
          <w:rFonts w:ascii="Californian FB" w:eastAsia="Californian FB" w:hAnsi="Californian FB" w:cs="Californian FB"/>
        </w:rPr>
        <w:t>courts’</w:t>
      </w:r>
      <w:r w:rsidR="00DC45C7" w:rsidRPr="7B386308">
        <w:rPr>
          <w:rFonts w:ascii="Californian FB" w:eastAsia="Californian FB" w:hAnsi="Californian FB" w:cs="Californian FB"/>
        </w:rPr>
        <w:t xml:space="preserve"> discretion. Here, an estranged daughter applied for provision out of her deceased mother’s estate under the Inheritance (Provision for Family and Dependents) Act</w:t>
      </w:r>
      <w:r w:rsidR="00F724C4">
        <w:rPr>
          <w:rFonts w:ascii="Californian FB" w:eastAsia="Californian FB" w:hAnsi="Californian FB" w:cs="Californian FB"/>
        </w:rPr>
        <w:t xml:space="preserve"> (IPFDA)</w:t>
      </w:r>
      <w:r w:rsidR="00DC45C7" w:rsidRPr="7B386308">
        <w:rPr>
          <w:rFonts w:ascii="Californian FB" w:eastAsia="Californian FB" w:hAnsi="Californian FB" w:cs="Californian FB"/>
        </w:rPr>
        <w:t xml:space="preserve"> 1975. </w:t>
      </w:r>
      <w:r w:rsidR="002B677C">
        <w:rPr>
          <w:rFonts w:ascii="Californian FB" w:eastAsia="Californian FB" w:hAnsi="Californian FB" w:cs="Californian FB"/>
        </w:rPr>
        <w:t>The legislation directs courts to consider a range of</w:t>
      </w:r>
      <w:r w:rsidR="00DC45C7" w:rsidRPr="7B386308">
        <w:rPr>
          <w:rFonts w:ascii="Californian FB" w:eastAsia="Californian FB" w:hAnsi="Californian FB" w:cs="Californian FB"/>
        </w:rPr>
        <w:t xml:space="preserve"> factors</w:t>
      </w:r>
      <w:r w:rsidR="002B677C">
        <w:rPr>
          <w:rFonts w:ascii="Californian FB" w:eastAsia="Californian FB" w:hAnsi="Californian FB" w:cs="Californian FB"/>
        </w:rPr>
        <w:t xml:space="preserve"> in </w:t>
      </w:r>
      <w:r w:rsidR="005B7A79">
        <w:rPr>
          <w:rFonts w:ascii="Californian FB" w:eastAsia="Californian FB" w:hAnsi="Californian FB" w:cs="Californian FB"/>
        </w:rPr>
        <w:t xml:space="preserve">deciding whether the deceased made reasonable financial provision and, if not, whether and how to exercise courts’ discretionary power to </w:t>
      </w:r>
      <w:r w:rsidR="005B7A79">
        <w:rPr>
          <w:rFonts w:ascii="Californian FB" w:eastAsia="Californian FB" w:hAnsi="Californian FB" w:cs="Californian FB"/>
          <w:i/>
          <w:iCs/>
        </w:rPr>
        <w:t>make</w:t>
      </w:r>
      <w:r w:rsidR="005B7A79">
        <w:rPr>
          <w:rFonts w:ascii="Californian FB" w:eastAsia="Californian FB" w:hAnsi="Californian FB" w:cs="Californian FB"/>
        </w:rPr>
        <w:t xml:space="preserve"> reasonable financial provision.</w:t>
      </w:r>
      <w:r w:rsidR="005B7A79">
        <w:rPr>
          <w:rStyle w:val="FootnoteReference"/>
          <w:rFonts w:ascii="Californian FB" w:eastAsia="Californian FB" w:hAnsi="Californian FB" w:cs="Californian FB"/>
        </w:rPr>
        <w:footnoteReference w:id="21"/>
      </w:r>
      <w:r w:rsidR="00DC45C7" w:rsidRPr="7B386308">
        <w:rPr>
          <w:rFonts w:ascii="Californian FB" w:eastAsia="Californian FB" w:hAnsi="Californian FB" w:cs="Californian FB"/>
        </w:rPr>
        <w:t xml:space="preserve"> In considering whether the Court of Appeal was right </w:t>
      </w:r>
      <w:r w:rsidR="00DC45C7" w:rsidRPr="7B386308">
        <w:rPr>
          <w:rFonts w:ascii="Californian FB" w:eastAsia="Californian FB" w:hAnsi="Californian FB" w:cs="Californian FB"/>
        </w:rPr>
        <w:lastRenderedPageBreak/>
        <w:t>to overturn the judge’s decision and award a higher amount, Lady Hale noted that there would be a ‘wide range of opinion’ as to what ought to be done, a range which ‘may very well be shared by members of the judiciary who have to decide these claims</w:t>
      </w:r>
      <w:r w:rsidR="00B97E04">
        <w:rPr>
          <w:rFonts w:ascii="Californian FB" w:eastAsia="Californian FB" w:hAnsi="Californian FB" w:cs="Californian FB"/>
        </w:rPr>
        <w:t>.’</w:t>
      </w:r>
      <w:r w:rsidR="00B97E04">
        <w:rPr>
          <w:rStyle w:val="FootnoteReference"/>
          <w:rFonts w:ascii="Californian FB" w:eastAsia="Californian FB" w:hAnsi="Californian FB" w:cs="Californian FB"/>
        </w:rPr>
        <w:footnoteReference w:id="22"/>
      </w:r>
      <w:r w:rsidR="00DC45C7" w:rsidRPr="7B386308">
        <w:rPr>
          <w:rFonts w:ascii="Californian FB" w:eastAsia="Californian FB" w:hAnsi="Californian FB" w:cs="Californian FB"/>
        </w:rPr>
        <w:t xml:space="preserve"> She went on to say that ‘[t]he problem with the present law is that it gives us virtually no help in deciding how to evaluate these or balance them with other claims on the estate.’</w:t>
      </w:r>
      <w:r w:rsidR="00DC45C7" w:rsidRPr="7B386308">
        <w:rPr>
          <w:rStyle w:val="FootnoteReference"/>
          <w:rFonts w:ascii="Californian FB" w:eastAsia="Californian FB" w:hAnsi="Californian FB" w:cs="Californian FB"/>
        </w:rPr>
        <w:footnoteReference w:id="23"/>
      </w:r>
      <w:r w:rsidR="00DC45C7" w:rsidRPr="7B386308">
        <w:rPr>
          <w:rFonts w:ascii="Californian FB" w:eastAsia="Californian FB" w:hAnsi="Californian FB" w:cs="Californian FB"/>
        </w:rPr>
        <w:t xml:space="preserve"> </w:t>
      </w:r>
    </w:p>
    <w:p w14:paraId="79072ABC" w14:textId="6262ECF2" w:rsidR="00DC45C7" w:rsidRDefault="00DC45C7" w:rsidP="00DC45C7">
      <w:pPr>
        <w:jc w:val="both"/>
        <w:rPr>
          <w:rFonts w:ascii="Californian FB" w:eastAsia="Californian FB" w:hAnsi="Californian FB" w:cs="Californian FB"/>
        </w:rPr>
      </w:pPr>
      <w:r w:rsidRPr="7B386308">
        <w:rPr>
          <w:rFonts w:ascii="Californian FB" w:eastAsia="Californian FB" w:hAnsi="Californian FB" w:cs="Californian FB"/>
        </w:rPr>
        <w:t>Both cases can be read as pleas for Parliament to do necessary work in the field of inter-family disputes. It is</w:t>
      </w:r>
      <w:r w:rsidRPr="7B386308" w:rsidDel="00533AA5">
        <w:rPr>
          <w:rFonts w:ascii="Californian FB" w:eastAsia="Californian FB" w:hAnsi="Californian FB" w:cs="Californian FB"/>
        </w:rPr>
        <w:t xml:space="preserve"> </w:t>
      </w:r>
      <w:r w:rsidRPr="7B386308">
        <w:rPr>
          <w:rFonts w:ascii="Californian FB" w:eastAsia="Californian FB" w:hAnsi="Californian FB" w:cs="Californian FB"/>
        </w:rPr>
        <w:t>notable</w:t>
      </w:r>
      <w:r w:rsidR="00533AA5">
        <w:rPr>
          <w:rFonts w:ascii="Californian FB" w:eastAsia="Californian FB" w:hAnsi="Californian FB" w:cs="Californian FB"/>
        </w:rPr>
        <w:t>, however,</w:t>
      </w:r>
      <w:r w:rsidRPr="7B386308">
        <w:rPr>
          <w:rFonts w:ascii="Californian FB" w:eastAsia="Californian FB" w:hAnsi="Californian FB" w:cs="Californian FB"/>
        </w:rPr>
        <w:t xml:space="preserve"> that no such plea was echoed in the no less family-dispute-related decision in </w:t>
      </w:r>
      <w:r w:rsidRPr="7B386308">
        <w:rPr>
          <w:rFonts w:ascii="Californian FB" w:eastAsia="Californian FB" w:hAnsi="Californian FB" w:cs="Californian FB"/>
          <w:i/>
          <w:iCs/>
        </w:rPr>
        <w:t>Guest v Guest</w:t>
      </w:r>
      <w:r w:rsidRPr="7B386308">
        <w:rPr>
          <w:rFonts w:ascii="Californian FB" w:eastAsia="Californian FB" w:hAnsi="Californian FB" w:cs="Californian FB"/>
        </w:rPr>
        <w:t>,</w:t>
      </w:r>
      <w:r>
        <w:rPr>
          <w:rStyle w:val="FootnoteReference"/>
          <w:rFonts w:ascii="Californian FB" w:eastAsia="Californian FB" w:hAnsi="Californian FB" w:cs="Californian FB"/>
        </w:rPr>
        <w:footnoteReference w:id="24"/>
      </w:r>
      <w:r w:rsidRPr="7B386308">
        <w:rPr>
          <w:rFonts w:ascii="Californian FB" w:eastAsia="Californian FB" w:hAnsi="Californian FB" w:cs="Californian FB"/>
        </w:rPr>
        <w:t xml:space="preserve"> with a </w:t>
      </w:r>
      <w:proofErr w:type="gramStart"/>
      <w:r w:rsidR="008F6C73">
        <w:rPr>
          <w:rFonts w:ascii="Californian FB" w:eastAsia="Californian FB" w:hAnsi="Californian FB" w:cs="Californian FB"/>
        </w:rPr>
        <w:t>differently</w:t>
      </w:r>
      <w:r w:rsidR="00700C33">
        <w:rPr>
          <w:rFonts w:ascii="Californian FB" w:eastAsia="Californian FB" w:hAnsi="Californian FB" w:cs="Californian FB"/>
        </w:rPr>
        <w:t>-</w:t>
      </w:r>
      <w:r w:rsidR="008F6C73">
        <w:rPr>
          <w:rFonts w:ascii="Californian FB" w:eastAsia="Californian FB" w:hAnsi="Californian FB" w:cs="Californian FB"/>
        </w:rPr>
        <w:t>constituted</w:t>
      </w:r>
      <w:proofErr w:type="gramEnd"/>
      <w:r w:rsidRPr="7B386308">
        <w:rPr>
          <w:rFonts w:ascii="Californian FB" w:eastAsia="Californian FB" w:hAnsi="Californian FB" w:cs="Californian FB"/>
        </w:rPr>
        <w:t xml:space="preserve"> Court.</w:t>
      </w:r>
    </w:p>
    <w:p w14:paraId="1B1079F9" w14:textId="4814C07F" w:rsidR="5129AAF2" w:rsidRDefault="25DACAB4" w:rsidP="0015717F">
      <w:pPr>
        <w:pStyle w:val="Heading4"/>
      </w:pPr>
      <w:r w:rsidRPr="1D8047B7">
        <w:t>(</w:t>
      </w:r>
      <w:r w:rsidR="167ED208" w:rsidRPr="1D8047B7">
        <w:t>ii</w:t>
      </w:r>
      <w:r w:rsidR="5129AAF2" w:rsidRPr="1D8047B7">
        <w:t xml:space="preserve">) </w:t>
      </w:r>
      <w:r w:rsidR="1F321262" w:rsidRPr="1D8047B7">
        <w:t>The development of novel solutions at common law</w:t>
      </w:r>
    </w:p>
    <w:p w14:paraId="58811FCD" w14:textId="518C5184" w:rsidR="00DC45C7" w:rsidRPr="00C1151B" w:rsidRDefault="33909152" w:rsidP="1D8047B7">
      <w:pPr>
        <w:jc w:val="both"/>
        <w:rPr>
          <w:rFonts w:ascii="Californian FB" w:eastAsia="Californian FB" w:hAnsi="Californian FB" w:cs="Californian FB"/>
        </w:rPr>
      </w:pPr>
      <w:r w:rsidRPr="7B386308">
        <w:rPr>
          <w:rFonts w:ascii="Californian FB" w:eastAsia="Californian FB" w:hAnsi="Californian FB" w:cs="Californian FB"/>
        </w:rPr>
        <w:t xml:space="preserve">What about when the Court is faced with pure property law issues? </w:t>
      </w:r>
      <w:r w:rsidR="466E32D9" w:rsidRPr="7B386308">
        <w:rPr>
          <w:rFonts w:ascii="Californian FB" w:eastAsia="Californian FB" w:hAnsi="Californian FB" w:cs="Californian FB"/>
        </w:rPr>
        <w:t xml:space="preserve">The Court displayed an innovative approach in </w:t>
      </w:r>
      <w:r w:rsidR="466E32D9" w:rsidRPr="1D8047B7">
        <w:rPr>
          <w:rFonts w:ascii="Californian FB" w:eastAsia="Californian FB" w:hAnsi="Californian FB" w:cs="Californian FB"/>
          <w:i/>
          <w:iCs/>
        </w:rPr>
        <w:t xml:space="preserve">Bank of Cyprus v </w:t>
      </w:r>
      <w:proofErr w:type="spellStart"/>
      <w:r w:rsidR="466E32D9" w:rsidRPr="1D8047B7">
        <w:rPr>
          <w:rFonts w:ascii="Californian FB" w:eastAsia="Californian FB" w:hAnsi="Californian FB" w:cs="Californian FB"/>
          <w:i/>
          <w:iCs/>
        </w:rPr>
        <w:t>Menelaou</w:t>
      </w:r>
      <w:proofErr w:type="spellEnd"/>
      <w:r w:rsidR="00020485" w:rsidRPr="0030451B">
        <w:rPr>
          <w:rFonts w:ascii="Californian FB" w:eastAsia="Californian FB" w:hAnsi="Californian FB" w:cs="Californian FB"/>
        </w:rPr>
        <w:t>.</w:t>
      </w:r>
      <w:bookmarkStart w:id="4" w:name="_Ref173320979"/>
      <w:r w:rsidR="00F00030" w:rsidRPr="0030451B">
        <w:rPr>
          <w:rStyle w:val="FootnoteReference"/>
          <w:rFonts w:ascii="Californian FB" w:eastAsia="Californian FB" w:hAnsi="Californian FB" w:cs="Californian FB"/>
        </w:rPr>
        <w:footnoteReference w:id="25"/>
      </w:r>
      <w:bookmarkEnd w:id="4"/>
      <w:r w:rsidR="466E32D9" w:rsidRPr="0030451B">
        <w:rPr>
          <w:rFonts w:ascii="Californian FB" w:eastAsia="Californian FB" w:hAnsi="Californian FB" w:cs="Californian FB"/>
        </w:rPr>
        <w:t xml:space="preserve"> H</w:t>
      </w:r>
      <w:r w:rsidR="466E32D9" w:rsidRPr="7B386308">
        <w:rPr>
          <w:rFonts w:ascii="Californian FB" w:eastAsia="Californian FB" w:hAnsi="Californian FB" w:cs="Californian FB"/>
        </w:rPr>
        <w:t>ere, it awarded subrogation to a bank which lost its charge owing to a fraudulent registration in the name</w:t>
      </w:r>
      <w:r w:rsidR="00AB3EBD">
        <w:rPr>
          <w:rFonts w:ascii="Californian FB" w:eastAsia="Californian FB" w:hAnsi="Californian FB" w:cs="Californian FB"/>
        </w:rPr>
        <w:t>,</w:t>
      </w:r>
      <w:r w:rsidR="466E32D9" w:rsidRPr="7B386308">
        <w:rPr>
          <w:rFonts w:ascii="Californian FB" w:eastAsia="Californian FB" w:hAnsi="Californian FB" w:cs="Californian FB"/>
        </w:rPr>
        <w:t xml:space="preserve"> not of the purchasers and </w:t>
      </w:r>
      <w:proofErr w:type="spellStart"/>
      <w:r w:rsidR="466E32D9" w:rsidRPr="7B386308">
        <w:rPr>
          <w:rFonts w:ascii="Californian FB" w:eastAsia="Californian FB" w:hAnsi="Californian FB" w:cs="Californian FB"/>
        </w:rPr>
        <w:t>chargeors</w:t>
      </w:r>
      <w:proofErr w:type="spellEnd"/>
      <w:r w:rsidR="466E32D9" w:rsidRPr="7B386308">
        <w:rPr>
          <w:rFonts w:ascii="Californian FB" w:eastAsia="Californian FB" w:hAnsi="Californian FB" w:cs="Californian FB"/>
        </w:rPr>
        <w:t xml:space="preserve">, but their daughter. The </w:t>
      </w:r>
      <w:r w:rsidR="00C37579">
        <w:rPr>
          <w:rFonts w:ascii="Californian FB" w:eastAsia="Californian FB" w:hAnsi="Californian FB" w:cs="Californian FB"/>
        </w:rPr>
        <w:t>C</w:t>
      </w:r>
      <w:r w:rsidR="466E32D9" w:rsidRPr="7B386308">
        <w:rPr>
          <w:rFonts w:ascii="Californian FB" w:eastAsia="Californian FB" w:hAnsi="Californian FB" w:cs="Californian FB"/>
        </w:rPr>
        <w:t>ourt creatively reasoned that the bank should be put in the position of the vendor of the property that was now without a charge: the bank was subrogated to its now-extinguished ‘vendor’s lien’. What was novel here was the manipulation of chronology</w:t>
      </w:r>
      <w:r w:rsidR="00AA014D">
        <w:rPr>
          <w:rFonts w:ascii="Californian FB" w:eastAsia="Californian FB" w:hAnsi="Californian FB" w:cs="Californian FB"/>
        </w:rPr>
        <w:t>:</w:t>
      </w:r>
      <w:r w:rsidR="466E32D9" w:rsidRPr="7B386308">
        <w:rPr>
          <w:rFonts w:ascii="Californian FB" w:eastAsia="Californian FB" w:hAnsi="Californian FB" w:cs="Californian FB"/>
        </w:rPr>
        <w:t xml:space="preserve"> this was not a straightforward case whereby A’s money is used to pay B’s charge, so A takes B’s role as </w:t>
      </w:r>
      <w:proofErr w:type="spellStart"/>
      <w:r w:rsidR="466E32D9" w:rsidRPr="7B386308">
        <w:rPr>
          <w:rFonts w:ascii="Californian FB" w:eastAsia="Californian FB" w:hAnsi="Californian FB" w:cs="Californian FB"/>
        </w:rPr>
        <w:t>chargee</w:t>
      </w:r>
      <w:proofErr w:type="spellEnd"/>
      <w:r w:rsidR="466E32D9" w:rsidRPr="7B386308">
        <w:rPr>
          <w:rFonts w:ascii="Californian FB" w:eastAsia="Californian FB" w:hAnsi="Californian FB" w:cs="Californian FB"/>
        </w:rPr>
        <w:t xml:space="preserve">. Instead, the bank released its charge on the purchasers’ </w:t>
      </w:r>
      <w:r w:rsidR="466E32D9" w:rsidRPr="1D8047B7">
        <w:rPr>
          <w:rFonts w:ascii="Californian FB" w:eastAsia="Californian FB" w:hAnsi="Californian FB" w:cs="Californian FB"/>
          <w:i/>
          <w:iCs/>
        </w:rPr>
        <w:t xml:space="preserve">previous </w:t>
      </w:r>
      <w:r w:rsidR="466E32D9" w:rsidRPr="7B386308">
        <w:rPr>
          <w:rFonts w:ascii="Californian FB" w:eastAsia="Californian FB" w:hAnsi="Californian FB" w:cs="Californian FB"/>
        </w:rPr>
        <w:t xml:space="preserve">property (in the expectation, of course, of securing a charge on their </w:t>
      </w:r>
      <w:r w:rsidR="466E32D9" w:rsidRPr="1D8047B7">
        <w:rPr>
          <w:rFonts w:ascii="Californian FB" w:eastAsia="Californian FB" w:hAnsi="Californian FB" w:cs="Californian FB"/>
          <w:i/>
          <w:iCs/>
        </w:rPr>
        <w:t>new</w:t>
      </w:r>
      <w:r w:rsidR="466E32D9" w:rsidRPr="7B386308">
        <w:rPr>
          <w:rFonts w:ascii="Californian FB" w:eastAsia="Californian FB" w:hAnsi="Californian FB" w:cs="Californian FB"/>
        </w:rPr>
        <w:t xml:space="preserve"> one), </w:t>
      </w:r>
      <w:r w:rsidR="466E32D9" w:rsidRPr="1D8047B7">
        <w:rPr>
          <w:rFonts w:ascii="Californian FB" w:eastAsia="Californian FB" w:hAnsi="Californian FB" w:cs="Californian FB"/>
          <w:i/>
          <w:iCs/>
        </w:rPr>
        <w:t>after</w:t>
      </w:r>
      <w:r w:rsidR="466E32D9" w:rsidRPr="7B386308">
        <w:rPr>
          <w:rFonts w:ascii="Californian FB" w:eastAsia="Californian FB" w:hAnsi="Californian FB" w:cs="Californian FB"/>
        </w:rPr>
        <w:t xml:space="preserve"> the contracts for the new property had been exchanged and the vendor’s lien raised. Nevertheless, the </w:t>
      </w:r>
      <w:r w:rsidR="00AC7B4A">
        <w:rPr>
          <w:rFonts w:ascii="Californian FB" w:eastAsia="Californian FB" w:hAnsi="Californian FB" w:cs="Californian FB"/>
        </w:rPr>
        <w:t>C</w:t>
      </w:r>
      <w:r w:rsidR="466E32D9" w:rsidRPr="7B386308">
        <w:rPr>
          <w:rFonts w:ascii="Californian FB" w:eastAsia="Californian FB" w:hAnsi="Californian FB" w:cs="Californian FB"/>
        </w:rPr>
        <w:t>ourt seemed to think that</w:t>
      </w:r>
      <w:r w:rsidR="00831134">
        <w:rPr>
          <w:rFonts w:ascii="Californian FB" w:eastAsia="Californian FB" w:hAnsi="Californian FB" w:cs="Californian FB"/>
        </w:rPr>
        <w:t xml:space="preserve">, </w:t>
      </w:r>
      <w:r w:rsidR="00831134">
        <w:rPr>
          <w:rFonts w:ascii="Californian FB" w:eastAsia="Californian FB" w:hAnsi="Californian FB" w:cs="Californian FB"/>
          <w:i/>
          <w:iCs/>
        </w:rPr>
        <w:t>in substance</w:t>
      </w:r>
      <w:r w:rsidR="00831134">
        <w:rPr>
          <w:rFonts w:ascii="Californian FB" w:eastAsia="Californian FB" w:hAnsi="Californian FB" w:cs="Californian FB"/>
        </w:rPr>
        <w:t>,</w:t>
      </w:r>
      <w:r w:rsidR="00831134">
        <w:rPr>
          <w:rFonts w:ascii="Californian FB" w:eastAsia="Californian FB" w:hAnsi="Californian FB" w:cs="Californian FB"/>
          <w:i/>
          <w:iCs/>
        </w:rPr>
        <w:t xml:space="preserve"> </w:t>
      </w:r>
      <w:r w:rsidR="466E32D9" w:rsidRPr="7B386308">
        <w:rPr>
          <w:rFonts w:ascii="Californian FB" w:eastAsia="Californian FB" w:hAnsi="Californian FB" w:cs="Californian FB"/>
        </w:rPr>
        <w:t xml:space="preserve">this was an ‘A to B’ type of case. </w:t>
      </w:r>
    </w:p>
    <w:p w14:paraId="1273736E" w14:textId="728616F8" w:rsidR="00DC45C7" w:rsidRDefault="000C43F0" w:rsidP="00ED3B27">
      <w:pPr>
        <w:jc w:val="both"/>
        <w:rPr>
          <w:rFonts w:ascii="Californian FB" w:eastAsia="Californian FB" w:hAnsi="Californian FB" w:cs="Californian FB"/>
        </w:rPr>
      </w:pPr>
      <w:r>
        <w:rPr>
          <w:rFonts w:ascii="Californian FB" w:eastAsia="Californian FB" w:hAnsi="Californian FB" w:cs="Californian FB"/>
        </w:rPr>
        <w:t>The majority of the Court was similarly willing to overlook chronology, and look at the substance of the transaction, in</w:t>
      </w:r>
      <w:r w:rsidR="466E32D9" w:rsidRPr="7B386308">
        <w:rPr>
          <w:rFonts w:ascii="Californian FB" w:eastAsia="Californian FB" w:hAnsi="Californian FB" w:cs="Californian FB"/>
        </w:rPr>
        <w:t xml:space="preserve"> </w:t>
      </w:r>
      <w:r w:rsidR="466E32D9" w:rsidRPr="1D8047B7">
        <w:rPr>
          <w:rFonts w:ascii="Californian FB" w:eastAsia="Californian FB" w:hAnsi="Californian FB" w:cs="Californian FB"/>
          <w:i/>
          <w:iCs/>
        </w:rPr>
        <w:t>Scott v Southern Pacific Mortgages</w:t>
      </w:r>
      <w:r w:rsidR="0085457A">
        <w:rPr>
          <w:rFonts w:ascii="Californian FB" w:eastAsia="Californian FB" w:hAnsi="Californian FB" w:cs="Californian FB"/>
        </w:rPr>
        <w:t>.</w:t>
      </w:r>
      <w:bookmarkStart w:id="5" w:name="_Ref174702333"/>
      <w:r w:rsidR="00F00030" w:rsidRPr="0085457A">
        <w:rPr>
          <w:rStyle w:val="FootnoteReference"/>
          <w:rFonts w:ascii="Californian FB" w:eastAsia="Californian FB" w:hAnsi="Californian FB" w:cs="Californian FB"/>
        </w:rPr>
        <w:footnoteReference w:id="26"/>
      </w:r>
      <w:bookmarkEnd w:id="5"/>
      <w:r w:rsidR="466E32D9" w:rsidRPr="7B386308">
        <w:rPr>
          <w:rFonts w:ascii="Californian FB" w:eastAsia="Californian FB" w:hAnsi="Californian FB" w:cs="Californian FB"/>
        </w:rPr>
        <w:t xml:space="preserve"> </w:t>
      </w:r>
      <w:r>
        <w:rPr>
          <w:rFonts w:ascii="Californian FB" w:eastAsia="Californian FB" w:hAnsi="Californian FB" w:cs="Californian FB"/>
        </w:rPr>
        <w:t>It was</w:t>
      </w:r>
      <w:r w:rsidR="466E32D9" w:rsidRPr="7B386308">
        <w:rPr>
          <w:rFonts w:ascii="Californian FB" w:eastAsia="Californian FB" w:hAnsi="Californian FB" w:cs="Californian FB"/>
        </w:rPr>
        <w:t xml:space="preserve"> held that the (vulnerable) vendor, in making the sale of the property to the (predatory) purchaser, had not retained an equitable interest in the property which she could have then combined with actual occupation to take priority over the bank’s registered charge. The </w:t>
      </w:r>
      <w:r w:rsidR="543ABAEC" w:rsidRPr="1D8047B7">
        <w:rPr>
          <w:rFonts w:ascii="Californian FB" w:eastAsia="Californian FB" w:hAnsi="Californian FB" w:cs="Californian FB"/>
        </w:rPr>
        <w:t xml:space="preserve">majority </w:t>
      </w:r>
      <w:r w:rsidR="543ABAEC" w:rsidRPr="7B386308">
        <w:rPr>
          <w:rFonts w:ascii="Californian FB" w:eastAsia="Californian FB" w:hAnsi="Californian FB" w:cs="Californian FB"/>
        </w:rPr>
        <w:t xml:space="preserve">rejected the </w:t>
      </w:r>
      <w:r w:rsidR="466E32D9" w:rsidRPr="7B386308">
        <w:rPr>
          <w:rFonts w:ascii="Californian FB" w:eastAsia="Californian FB" w:hAnsi="Californian FB" w:cs="Californian FB"/>
        </w:rPr>
        <w:t>vendor’s argument that the contract of sale gave her an equitable interest, which she could use to bind the bank. Lord Wilson held that the contract of sale formed an indivisible part of the same transaction as the conveyance and the mortgage, and</w:t>
      </w:r>
      <w:r w:rsidR="064AE18D" w:rsidRPr="7B386308">
        <w:rPr>
          <w:rFonts w:ascii="Californian FB" w:eastAsia="Californian FB" w:hAnsi="Californian FB" w:cs="Californian FB"/>
        </w:rPr>
        <w:t>,</w:t>
      </w:r>
      <w:r w:rsidR="466E32D9" w:rsidRPr="7B386308">
        <w:rPr>
          <w:rFonts w:ascii="Californian FB" w:eastAsia="Californian FB" w:hAnsi="Californian FB" w:cs="Californian FB"/>
        </w:rPr>
        <w:t xml:space="preserve"> hence</w:t>
      </w:r>
      <w:r w:rsidR="424DED1D" w:rsidRPr="7B386308">
        <w:rPr>
          <w:rFonts w:ascii="Californian FB" w:eastAsia="Californian FB" w:hAnsi="Californian FB" w:cs="Californian FB"/>
        </w:rPr>
        <w:t>,</w:t>
      </w:r>
      <w:r w:rsidR="466E32D9" w:rsidRPr="7B386308">
        <w:rPr>
          <w:rFonts w:ascii="Californian FB" w:eastAsia="Californian FB" w:hAnsi="Californian FB" w:cs="Californian FB"/>
        </w:rPr>
        <w:t xml:space="preserve"> even if it were possible to carve out rights from the contract, they would be postponed to the bank’s acquisition mortgage. </w:t>
      </w:r>
      <w:r w:rsidR="09015FFA" w:rsidRPr="7B386308">
        <w:rPr>
          <w:rFonts w:ascii="Californian FB" w:eastAsia="Californian FB" w:hAnsi="Californian FB" w:cs="Californian FB"/>
        </w:rPr>
        <w:t>T</w:t>
      </w:r>
      <w:r w:rsidR="466E32D9" w:rsidRPr="7B386308">
        <w:rPr>
          <w:rFonts w:ascii="Californian FB" w:eastAsia="Californian FB" w:hAnsi="Californian FB" w:cs="Californian FB"/>
        </w:rPr>
        <w:t xml:space="preserve">he vendor gave away all her rights in the property, so the clock started again when the purchaser obtained freehold title and was able to carve rights out of it for the vendor. </w:t>
      </w:r>
      <w:r w:rsidR="00CF30FC">
        <w:rPr>
          <w:rFonts w:ascii="Californian FB" w:eastAsia="Californian FB" w:hAnsi="Californian FB" w:cs="Californian FB"/>
          <w:i/>
          <w:iCs/>
        </w:rPr>
        <w:t>Scott</w:t>
      </w:r>
      <w:r w:rsidR="466E32D9" w:rsidRPr="7B386308">
        <w:rPr>
          <w:rFonts w:ascii="Californian FB" w:eastAsia="Californian FB" w:hAnsi="Californian FB" w:cs="Californian FB"/>
        </w:rPr>
        <w:t xml:space="preserve"> belongs in a similar category to </w:t>
      </w:r>
      <w:proofErr w:type="spellStart"/>
      <w:r w:rsidR="466E32D9" w:rsidRPr="1D8047B7">
        <w:rPr>
          <w:rFonts w:ascii="Californian FB" w:eastAsia="Californian FB" w:hAnsi="Californian FB" w:cs="Californian FB"/>
          <w:i/>
          <w:iCs/>
        </w:rPr>
        <w:t>Menelaou</w:t>
      </w:r>
      <w:proofErr w:type="spellEnd"/>
      <w:r w:rsidR="008B3A1A">
        <w:rPr>
          <w:rFonts w:ascii="Californian FB" w:eastAsia="Californian FB" w:hAnsi="Californian FB" w:cs="Californian FB"/>
        </w:rPr>
        <w:t xml:space="preserve"> in two ways: first, the Court is deploying pure property law principles </w:t>
      </w:r>
      <w:r w:rsidR="004F6AE6">
        <w:rPr>
          <w:rFonts w:ascii="Californian FB" w:eastAsia="Californian FB" w:hAnsi="Californian FB" w:cs="Californian FB"/>
        </w:rPr>
        <w:t>developed at common-law and considering whether to adopt new ways of looking at it, and, secondly, it is reaching its conclusion in a way that favours the lender</w:t>
      </w:r>
      <w:r w:rsidR="00006490">
        <w:rPr>
          <w:rFonts w:ascii="Californian FB" w:eastAsia="Californian FB" w:hAnsi="Californian FB" w:cs="Californian FB"/>
        </w:rPr>
        <w:t>, a theme that will be explored in more detail below</w:t>
      </w:r>
      <w:r w:rsidR="004F6AE6">
        <w:rPr>
          <w:rFonts w:ascii="Californian FB" w:eastAsia="Californian FB" w:hAnsi="Californian FB" w:cs="Californian FB"/>
        </w:rPr>
        <w:t>.</w:t>
      </w:r>
    </w:p>
    <w:p w14:paraId="76C657CA" w14:textId="7DA6CE6C" w:rsidR="00DC45C7" w:rsidRDefault="17871805" w:rsidP="1D8047B7">
      <w:pPr>
        <w:jc w:val="both"/>
        <w:rPr>
          <w:rFonts w:ascii="Californian FB" w:eastAsia="Californian FB" w:hAnsi="Californian FB" w:cs="Californian FB"/>
          <w:color w:val="000000" w:themeColor="text1"/>
        </w:rPr>
      </w:pPr>
      <w:r w:rsidRPr="1D8047B7">
        <w:rPr>
          <w:rFonts w:ascii="Californian FB" w:eastAsia="Californian FB" w:hAnsi="Californian FB" w:cs="Californian FB"/>
        </w:rPr>
        <w:t xml:space="preserve">The Court has overall not stayed on-message in its dialogue with the legislature. It </w:t>
      </w:r>
      <w:r w:rsidR="08C8A863" w:rsidRPr="1D8047B7">
        <w:rPr>
          <w:rFonts w:ascii="Californian FB" w:eastAsia="Californian FB" w:hAnsi="Californian FB" w:cs="Californian FB"/>
        </w:rPr>
        <w:t>maintains</w:t>
      </w:r>
      <w:r w:rsidR="00D77990">
        <w:rPr>
          <w:rFonts w:ascii="Californian FB" w:eastAsia="Californian FB" w:hAnsi="Californian FB" w:cs="Californian FB"/>
        </w:rPr>
        <w:t xml:space="preserve"> a</w:t>
      </w:r>
      <w:r w:rsidR="08C8A863" w:rsidRPr="1D8047B7">
        <w:rPr>
          <w:rFonts w:ascii="Californian FB" w:eastAsia="Californian FB" w:hAnsi="Californian FB" w:cs="Californian FB"/>
        </w:rPr>
        <w:t xml:space="preserve"> </w:t>
      </w:r>
      <w:r w:rsidR="00C714A8">
        <w:rPr>
          <w:rFonts w:ascii="Californian FB" w:eastAsia="Californian FB" w:hAnsi="Californian FB" w:cs="Californian FB"/>
        </w:rPr>
        <w:t>primarily</w:t>
      </w:r>
      <w:r w:rsidR="47D3ADF7" w:rsidRPr="1D8047B7">
        <w:rPr>
          <w:rFonts w:ascii="Californian FB" w:eastAsia="Californian FB" w:hAnsi="Californian FB" w:cs="Californian FB"/>
        </w:rPr>
        <w:t xml:space="preserve"> deferential policy, </w:t>
      </w:r>
      <w:r w:rsidR="00C714A8">
        <w:rPr>
          <w:rFonts w:ascii="Californian FB" w:eastAsia="Californian FB" w:hAnsi="Californian FB" w:cs="Californian FB"/>
        </w:rPr>
        <w:t xml:space="preserve">though </w:t>
      </w:r>
      <w:r w:rsidR="47D3ADF7" w:rsidRPr="1D8047B7">
        <w:rPr>
          <w:rFonts w:ascii="Californian FB" w:eastAsia="Californian FB" w:hAnsi="Californian FB" w:cs="Californian FB"/>
        </w:rPr>
        <w:t>occasionally reminding Parliament</w:t>
      </w:r>
      <w:r w:rsidR="1A08546D" w:rsidRPr="1D8047B7">
        <w:rPr>
          <w:rFonts w:ascii="Californian FB" w:eastAsia="Californian FB" w:hAnsi="Californian FB" w:cs="Californian FB"/>
        </w:rPr>
        <w:t xml:space="preserve"> of its failure to legislate. </w:t>
      </w:r>
      <w:r w:rsidR="00006490">
        <w:rPr>
          <w:rFonts w:ascii="Californian FB" w:eastAsia="Californian FB" w:hAnsi="Californian FB" w:cs="Californian FB"/>
          <w:color w:val="000000" w:themeColor="text1"/>
        </w:rPr>
        <w:t>The</w:t>
      </w:r>
      <w:r w:rsidR="1A08546D" w:rsidRPr="1D8047B7">
        <w:rPr>
          <w:rFonts w:ascii="Californian FB" w:eastAsia="Californian FB" w:hAnsi="Californian FB" w:cs="Californian FB"/>
          <w:color w:val="000000" w:themeColor="text1"/>
        </w:rPr>
        <w:t xml:space="preserve"> Court flourishes when it </w:t>
      </w:r>
      <w:r w:rsidR="003D3FFC">
        <w:rPr>
          <w:rFonts w:ascii="Californian FB" w:eastAsia="Californian FB" w:hAnsi="Californian FB" w:cs="Californian FB"/>
          <w:color w:val="000000" w:themeColor="text1"/>
        </w:rPr>
        <w:t>can</w:t>
      </w:r>
      <w:r w:rsidR="1A08546D" w:rsidRPr="1D8047B7">
        <w:rPr>
          <w:rFonts w:ascii="Californian FB" w:eastAsia="Californian FB" w:hAnsi="Californian FB" w:cs="Californian FB"/>
          <w:color w:val="000000" w:themeColor="text1"/>
        </w:rPr>
        <w:t xml:space="preserve"> innovate in ‘territory’ not claimed by Parliament: here, deference is rendered instead to lending institutions</w:t>
      </w:r>
      <w:r w:rsidR="00E3461E">
        <w:rPr>
          <w:rFonts w:ascii="Californian FB" w:eastAsia="Californian FB" w:hAnsi="Californian FB" w:cs="Californian FB"/>
          <w:color w:val="000000" w:themeColor="text1"/>
        </w:rPr>
        <w:t xml:space="preserve"> (a theme explored</w:t>
      </w:r>
      <w:r w:rsidR="006949FB">
        <w:rPr>
          <w:rFonts w:ascii="Californian FB" w:eastAsia="Californian FB" w:hAnsi="Californian FB" w:cs="Californian FB"/>
          <w:color w:val="000000" w:themeColor="text1"/>
        </w:rPr>
        <w:t xml:space="preserve"> more fully</w:t>
      </w:r>
      <w:r w:rsidR="00E3461E">
        <w:rPr>
          <w:rFonts w:ascii="Californian FB" w:eastAsia="Californian FB" w:hAnsi="Californian FB" w:cs="Californian FB"/>
          <w:color w:val="000000" w:themeColor="text1"/>
        </w:rPr>
        <w:t xml:space="preserve"> below)</w:t>
      </w:r>
      <w:r w:rsidR="1A08546D" w:rsidRPr="1D8047B7">
        <w:rPr>
          <w:rFonts w:ascii="Californian FB" w:eastAsia="Californian FB" w:hAnsi="Californian FB" w:cs="Californian FB"/>
          <w:color w:val="000000" w:themeColor="text1"/>
        </w:rPr>
        <w:t>. What about, more fundamentally, when the Court confronts the question of whether it ought to redistribute property</w:t>
      </w:r>
      <w:r w:rsidR="66E2DCB4" w:rsidRPr="1D8047B7">
        <w:rPr>
          <w:rFonts w:ascii="Californian FB" w:eastAsia="Californian FB" w:hAnsi="Californian FB" w:cs="Californian FB"/>
          <w:color w:val="000000" w:themeColor="text1"/>
        </w:rPr>
        <w:t xml:space="preserve"> at all</w:t>
      </w:r>
      <w:r w:rsidR="1A08546D" w:rsidRPr="1D8047B7">
        <w:rPr>
          <w:rFonts w:ascii="Californian FB" w:eastAsia="Californian FB" w:hAnsi="Californian FB" w:cs="Californian FB"/>
          <w:color w:val="000000" w:themeColor="text1"/>
        </w:rPr>
        <w:t>?</w:t>
      </w:r>
      <w:r w:rsidR="212538FA" w:rsidRPr="1D8047B7">
        <w:rPr>
          <w:rFonts w:ascii="Californian FB" w:eastAsia="Californian FB" w:hAnsi="Californian FB" w:cs="Californian FB"/>
          <w:color w:val="000000" w:themeColor="text1"/>
        </w:rPr>
        <w:t xml:space="preserve"> </w:t>
      </w:r>
    </w:p>
    <w:p w14:paraId="79CC12F9" w14:textId="6DD03034" w:rsidR="00DC45C7" w:rsidRPr="00915A2D" w:rsidRDefault="00DC45C7" w:rsidP="00DC45C7">
      <w:pPr>
        <w:pStyle w:val="Heading3"/>
      </w:pPr>
      <w:r>
        <w:t>The Power of the Courts over the Property of Others</w:t>
      </w:r>
    </w:p>
    <w:p w14:paraId="6F987CF8" w14:textId="2D66626E" w:rsidR="0A5F1DBA" w:rsidRDefault="4EC28F44" w:rsidP="1D8047B7">
      <w:pPr>
        <w:jc w:val="both"/>
        <w:rPr>
          <w:rFonts w:ascii="Californian FB" w:eastAsia="Californian FB" w:hAnsi="Californian FB" w:cs="Californian FB"/>
          <w:color w:val="000000" w:themeColor="text1"/>
        </w:rPr>
      </w:pPr>
      <w:r w:rsidRPr="1D8047B7">
        <w:rPr>
          <w:rFonts w:ascii="Californian FB" w:eastAsia="Californian FB" w:hAnsi="Californian FB" w:cs="Californian FB"/>
          <w:color w:val="000000" w:themeColor="text1"/>
        </w:rPr>
        <w:t xml:space="preserve">Is </w:t>
      </w:r>
      <w:r w:rsidRPr="1D8047B7">
        <w:rPr>
          <w:rFonts w:ascii="Californian FB" w:eastAsia="Californian FB" w:hAnsi="Californian FB" w:cs="Californian FB"/>
        </w:rPr>
        <w:t xml:space="preserve">it for courts to redistribute property in the absence of clear statutory provisions permitting it to do so? In grappling with this question, the Supreme Court has not always given a consistent answer. </w:t>
      </w:r>
      <w:r w:rsidRPr="1D8047B7">
        <w:rPr>
          <w:rFonts w:ascii="Californian FB" w:eastAsia="Californian FB" w:hAnsi="Californian FB" w:cs="Californian FB"/>
          <w:color w:val="000000" w:themeColor="text1"/>
        </w:rPr>
        <w:lastRenderedPageBreak/>
        <w:t xml:space="preserve">While every decision ends up being redistributive in </w:t>
      </w:r>
      <w:r w:rsidRPr="1D8047B7">
        <w:rPr>
          <w:rFonts w:ascii="Californian FB" w:eastAsia="Californian FB" w:hAnsi="Californian FB" w:cs="Californian FB"/>
          <w:i/>
          <w:iCs/>
          <w:color w:val="000000" w:themeColor="text1"/>
        </w:rPr>
        <w:t xml:space="preserve">some </w:t>
      </w:r>
      <w:r w:rsidRPr="1D8047B7">
        <w:rPr>
          <w:rFonts w:ascii="Californian FB" w:eastAsia="Californian FB" w:hAnsi="Californian FB" w:cs="Californian FB"/>
          <w:color w:val="000000" w:themeColor="text1"/>
        </w:rPr>
        <w:t xml:space="preserve">sense, the question of </w:t>
      </w:r>
      <w:r w:rsidRPr="005B5345">
        <w:rPr>
          <w:rFonts w:ascii="Californian FB" w:eastAsia="Californian FB" w:hAnsi="Californian FB" w:cs="Californian FB"/>
          <w:i/>
          <w:iCs/>
          <w:color w:val="000000" w:themeColor="text1"/>
        </w:rPr>
        <w:t>whose</w:t>
      </w:r>
      <w:r w:rsidRPr="1D8047B7">
        <w:rPr>
          <w:rFonts w:ascii="Californian FB" w:eastAsia="Californian FB" w:hAnsi="Californian FB" w:cs="Californian FB"/>
          <w:color w:val="000000" w:themeColor="text1"/>
        </w:rPr>
        <w:t xml:space="preserve"> role it is to redistribute</w:t>
      </w:r>
      <w:r w:rsidR="3C2DF7D4" w:rsidRPr="1D8047B7">
        <w:rPr>
          <w:rFonts w:ascii="Californian FB" w:eastAsia="Californian FB" w:hAnsi="Californian FB" w:cs="Californian FB"/>
          <w:color w:val="000000" w:themeColor="text1"/>
        </w:rPr>
        <w:t xml:space="preserve"> seems </w:t>
      </w:r>
      <w:r w:rsidR="780DECA7" w:rsidRPr="1D8047B7">
        <w:rPr>
          <w:rFonts w:ascii="Californian FB" w:eastAsia="Californian FB" w:hAnsi="Californian FB" w:cs="Californian FB"/>
          <w:color w:val="000000" w:themeColor="text1"/>
        </w:rPr>
        <w:t>starker</w:t>
      </w:r>
      <w:r w:rsidR="3C2DF7D4" w:rsidRPr="1D8047B7">
        <w:rPr>
          <w:rFonts w:ascii="Californian FB" w:eastAsia="Californian FB" w:hAnsi="Californian FB" w:cs="Californian FB"/>
          <w:color w:val="000000" w:themeColor="text1"/>
        </w:rPr>
        <w:t xml:space="preserve"> in some cases. </w:t>
      </w:r>
    </w:p>
    <w:p w14:paraId="5E7AC778" w14:textId="642C76F8" w:rsidR="0A5F1DBA" w:rsidRDefault="389EC51F" w:rsidP="05D69193">
      <w:pPr>
        <w:jc w:val="both"/>
        <w:rPr>
          <w:rFonts w:ascii="Californian FB" w:eastAsia="Californian FB" w:hAnsi="Californian FB" w:cs="Californian FB"/>
        </w:rPr>
      </w:pPr>
      <w:r w:rsidRPr="05D69193">
        <w:rPr>
          <w:rFonts w:ascii="Californian FB" w:eastAsia="Californian FB" w:hAnsi="Californian FB" w:cs="Californian FB"/>
        </w:rPr>
        <w:t xml:space="preserve">In </w:t>
      </w:r>
      <w:r w:rsidRPr="1D8047B7">
        <w:rPr>
          <w:rFonts w:ascii="Californian FB" w:eastAsia="Californian FB" w:hAnsi="Californian FB" w:cs="Californian FB"/>
          <w:i/>
          <w:iCs/>
        </w:rPr>
        <w:t>Bailey v Angove’s Pty</w:t>
      </w:r>
      <w:r w:rsidRPr="05D69193">
        <w:rPr>
          <w:rFonts w:ascii="Californian FB" w:eastAsia="Californian FB" w:hAnsi="Californian FB" w:cs="Californian FB"/>
        </w:rPr>
        <w:t>,</w:t>
      </w:r>
      <w:bookmarkStart w:id="6" w:name="_Ref173321017"/>
      <w:r w:rsidR="00906DAE">
        <w:rPr>
          <w:rStyle w:val="FootnoteReference"/>
          <w:rFonts w:ascii="Californian FB" w:eastAsia="Californian FB" w:hAnsi="Californian FB" w:cs="Californian FB"/>
        </w:rPr>
        <w:footnoteReference w:id="27"/>
      </w:r>
      <w:bookmarkEnd w:id="6"/>
      <w:r w:rsidRPr="1D8047B7">
        <w:rPr>
          <w:rFonts w:ascii="Californian FB" w:eastAsia="Californian FB" w:hAnsi="Californian FB" w:cs="Californian FB"/>
          <w:i/>
          <w:iCs/>
        </w:rPr>
        <w:t xml:space="preserve"> </w:t>
      </w:r>
      <w:r w:rsidRPr="05D69193">
        <w:rPr>
          <w:rFonts w:ascii="Californian FB" w:eastAsia="Californian FB" w:hAnsi="Californian FB" w:cs="Californian FB"/>
        </w:rPr>
        <w:t xml:space="preserve">Lord Sumption </w:t>
      </w:r>
      <w:r w:rsidR="18083E88" w:rsidRPr="05D69193">
        <w:rPr>
          <w:rFonts w:ascii="Californian FB" w:eastAsia="Californian FB" w:hAnsi="Californian FB" w:cs="Californian FB"/>
        </w:rPr>
        <w:t>remarked</w:t>
      </w:r>
      <w:r w:rsidRPr="05D69193">
        <w:rPr>
          <w:rFonts w:ascii="Californian FB" w:eastAsia="Californian FB" w:hAnsi="Californian FB" w:cs="Californian FB"/>
        </w:rPr>
        <w:t xml:space="preserve"> that ‘English law is generally averse to the discretionary adjustment of property rights.’</w:t>
      </w:r>
      <w:r w:rsidR="0A5F1DBA" w:rsidRPr="05D69193">
        <w:rPr>
          <w:rStyle w:val="FootnoteReference"/>
          <w:rFonts w:ascii="Californian FB" w:eastAsia="Californian FB" w:hAnsi="Californian FB" w:cs="Californian FB"/>
        </w:rPr>
        <w:footnoteReference w:id="28"/>
      </w:r>
      <w:r w:rsidRPr="05D69193">
        <w:rPr>
          <w:rFonts w:ascii="Californian FB" w:eastAsia="Californian FB" w:hAnsi="Californian FB" w:cs="Californian FB"/>
        </w:rPr>
        <w:t xml:space="preserve"> </w:t>
      </w:r>
      <w:r w:rsidR="009D1100">
        <w:rPr>
          <w:rFonts w:ascii="Californian FB" w:eastAsia="Californian FB" w:hAnsi="Californian FB" w:cs="Californian FB"/>
        </w:rPr>
        <w:t>This seems too general a statement, given the specific discretionary powers discussed above.</w:t>
      </w:r>
      <w:r w:rsidRPr="05D69193">
        <w:rPr>
          <w:rFonts w:ascii="Californian FB" w:eastAsia="Californian FB" w:hAnsi="Californian FB" w:cs="Californian FB"/>
        </w:rPr>
        <w:t xml:space="preserve"> </w:t>
      </w:r>
      <w:r w:rsidR="009D1100">
        <w:rPr>
          <w:rFonts w:ascii="Californian FB" w:eastAsia="Californian FB" w:hAnsi="Californian FB" w:cs="Californian FB"/>
        </w:rPr>
        <w:t>His Lordship’s</w:t>
      </w:r>
      <w:r w:rsidRPr="05D69193">
        <w:rPr>
          <w:rFonts w:ascii="Californian FB" w:eastAsia="Californian FB" w:hAnsi="Californian FB" w:cs="Californian FB"/>
        </w:rPr>
        <w:t xml:space="preserve"> concern</w:t>
      </w:r>
      <w:r w:rsidR="00CA2691">
        <w:rPr>
          <w:rFonts w:ascii="Californian FB" w:eastAsia="Californian FB" w:hAnsi="Californian FB" w:cs="Californian FB"/>
        </w:rPr>
        <w:t xml:space="preserve"> </w:t>
      </w:r>
      <w:r w:rsidRPr="05D69193">
        <w:rPr>
          <w:rFonts w:ascii="Californian FB" w:eastAsia="Californian FB" w:hAnsi="Californian FB" w:cs="Californian FB"/>
        </w:rPr>
        <w:t>seemed to be</w:t>
      </w:r>
      <w:r w:rsidR="009D1100">
        <w:rPr>
          <w:rFonts w:ascii="Californian FB" w:eastAsia="Californian FB" w:hAnsi="Californian FB" w:cs="Californian FB"/>
        </w:rPr>
        <w:t xml:space="preserve"> rather</w:t>
      </w:r>
      <w:r w:rsidRPr="05D69193">
        <w:rPr>
          <w:rFonts w:ascii="Californian FB" w:eastAsia="Californian FB" w:hAnsi="Californian FB" w:cs="Californian FB"/>
        </w:rPr>
        <w:t xml:space="preserve"> with </w:t>
      </w:r>
      <w:r w:rsidRPr="00CA2691">
        <w:rPr>
          <w:rFonts w:ascii="Californian FB" w:eastAsia="Californian FB" w:hAnsi="Californian FB" w:cs="Californian FB"/>
          <w:i/>
          <w:iCs/>
        </w:rPr>
        <w:t>judicial</w:t>
      </w:r>
      <w:r w:rsidRPr="05D69193">
        <w:rPr>
          <w:rFonts w:ascii="Californian FB" w:eastAsia="Californian FB" w:hAnsi="Californian FB" w:cs="Californian FB"/>
        </w:rPr>
        <w:t xml:space="preserve"> discretionary adjustment</w:t>
      </w:r>
      <w:r w:rsidR="00E9092D">
        <w:rPr>
          <w:rFonts w:ascii="Californian FB" w:eastAsia="Californian FB" w:hAnsi="Californian FB" w:cs="Californian FB"/>
        </w:rPr>
        <w:t xml:space="preserve">. </w:t>
      </w:r>
      <w:r w:rsidR="00CA2691">
        <w:rPr>
          <w:rFonts w:ascii="Californian FB" w:eastAsia="Californian FB" w:hAnsi="Californian FB" w:cs="Californian FB"/>
        </w:rPr>
        <w:t>He</w:t>
      </w:r>
      <w:r w:rsidRPr="05D69193">
        <w:rPr>
          <w:rFonts w:ascii="Californian FB" w:eastAsia="Californian FB" w:hAnsi="Californian FB" w:cs="Californian FB"/>
        </w:rPr>
        <w:t xml:space="preserve"> appeared to confirm this suspicion of the </w:t>
      </w:r>
      <w:r w:rsidR="00C077DA">
        <w:rPr>
          <w:rFonts w:ascii="Californian FB" w:eastAsia="Californian FB" w:hAnsi="Californian FB" w:cs="Californian FB"/>
        </w:rPr>
        <w:t>C</w:t>
      </w:r>
      <w:r w:rsidRPr="05D69193">
        <w:rPr>
          <w:rFonts w:ascii="Californian FB" w:eastAsia="Californian FB" w:hAnsi="Californian FB" w:cs="Californian FB"/>
        </w:rPr>
        <w:t xml:space="preserve">ourt’s role in citing Roy Goode: </w:t>
      </w:r>
      <w:r w:rsidR="001A6D6E">
        <w:rPr>
          <w:rFonts w:ascii="Californian FB" w:eastAsia="Californian FB" w:hAnsi="Californian FB" w:cs="Californian FB"/>
        </w:rPr>
        <w:t>‘</w:t>
      </w:r>
      <w:r w:rsidRPr="05D69193">
        <w:rPr>
          <w:rFonts w:ascii="Californian FB" w:eastAsia="Californian FB" w:hAnsi="Californian FB" w:cs="Californian FB"/>
        </w:rPr>
        <w:t>[</w:t>
      </w:r>
      <w:proofErr w:type="spellStart"/>
      <w:r w:rsidRPr="05D69193">
        <w:rPr>
          <w:rFonts w:ascii="Californian FB" w:eastAsia="Californian FB" w:hAnsi="Californian FB" w:cs="Californian FB"/>
        </w:rPr>
        <w:t>i</w:t>
      </w:r>
      <w:proofErr w:type="spellEnd"/>
      <w:r w:rsidRPr="05D69193">
        <w:rPr>
          <w:rFonts w:ascii="Californian FB" w:eastAsia="Californian FB" w:hAnsi="Californian FB" w:cs="Californian FB"/>
        </w:rPr>
        <w:t>]t is when [scholars] seek to … argue for a proprietary right when there is no proprietary base that the line is crossed between what is fair and what is not, for it is the defendant’s unsecured creditors who are then at risk...’</w:t>
      </w:r>
      <w:r w:rsidR="0A5F1DBA" w:rsidRPr="05D69193">
        <w:rPr>
          <w:rStyle w:val="FootnoteReference"/>
          <w:rFonts w:ascii="Californian FB" w:eastAsia="Californian FB" w:hAnsi="Californian FB" w:cs="Californian FB"/>
        </w:rPr>
        <w:footnoteReference w:id="29"/>
      </w:r>
      <w:r w:rsidRPr="05D69193">
        <w:rPr>
          <w:rFonts w:ascii="Californian FB" w:eastAsia="Californian FB" w:hAnsi="Californian FB" w:cs="Californian FB"/>
        </w:rPr>
        <w:t xml:space="preserve"> Giving a proprietary right where there is no proprietary base, in this case, would have involved recognising a remedial constructive trust, which is not </w:t>
      </w:r>
      <w:r w:rsidR="00CA2691">
        <w:rPr>
          <w:rFonts w:ascii="Californian FB" w:eastAsia="Californian FB" w:hAnsi="Californian FB" w:cs="Californian FB"/>
        </w:rPr>
        <w:t>apparently possible in England</w:t>
      </w:r>
      <w:r w:rsidRPr="05D69193">
        <w:rPr>
          <w:rFonts w:ascii="Californian FB" w:eastAsia="Californian FB" w:hAnsi="Californian FB" w:cs="Californian FB"/>
        </w:rPr>
        <w:t>.</w:t>
      </w:r>
      <w:bookmarkStart w:id="7" w:name="_Ref174714302"/>
      <w:r w:rsidR="00484E3A">
        <w:rPr>
          <w:rStyle w:val="FootnoteReference"/>
          <w:rFonts w:ascii="Californian FB" w:eastAsia="Californian FB" w:hAnsi="Californian FB" w:cs="Californian FB"/>
        </w:rPr>
        <w:footnoteReference w:id="30"/>
      </w:r>
      <w:bookmarkEnd w:id="7"/>
      <w:r w:rsidRPr="05D69193">
        <w:rPr>
          <w:rFonts w:ascii="Californian FB" w:eastAsia="Californian FB" w:hAnsi="Californian FB" w:cs="Californian FB"/>
        </w:rPr>
        <w:t xml:space="preserve"> </w:t>
      </w:r>
      <w:r w:rsidR="00EF5D35">
        <w:rPr>
          <w:rFonts w:ascii="Californian FB" w:eastAsia="Californian FB" w:hAnsi="Californian FB" w:cs="Californian FB"/>
        </w:rPr>
        <w:t xml:space="preserve">He </w:t>
      </w:r>
      <w:r w:rsidR="00EF5D35" w:rsidRPr="05D69193">
        <w:rPr>
          <w:rFonts w:ascii="Californian FB" w:eastAsia="Californian FB" w:hAnsi="Californian FB" w:cs="Californian FB"/>
        </w:rPr>
        <w:t>denied the existence of a trust over monies held beneficially by an agent and owed to its principal, in circumstances in which one such debt accrued shortly before the agent</w:t>
      </w:r>
      <w:r w:rsidR="00EF5D35">
        <w:rPr>
          <w:rFonts w:ascii="Californian FB" w:eastAsia="Californian FB" w:hAnsi="Californian FB" w:cs="Californian FB"/>
        </w:rPr>
        <w:t>’</w:t>
      </w:r>
      <w:r w:rsidR="00EF5D35" w:rsidRPr="05D69193">
        <w:rPr>
          <w:rFonts w:ascii="Californian FB" w:eastAsia="Californian FB" w:hAnsi="Californian FB" w:cs="Californian FB"/>
        </w:rPr>
        <w:t xml:space="preserve">s insolvency. </w:t>
      </w:r>
      <w:r w:rsidRPr="05D69193">
        <w:rPr>
          <w:rFonts w:ascii="Californian FB" w:eastAsia="Californian FB" w:hAnsi="Californian FB" w:cs="Californian FB"/>
        </w:rPr>
        <w:t>Thus, there were neither factors authorising the recognition of a trust, nor jurisdiction to fashion one ad-hoc. Doing the latter would have involved disrupting the statutory insolvency scheme,</w:t>
      </w:r>
      <w:r w:rsidR="001A6D6E">
        <w:rPr>
          <w:rFonts w:ascii="Californian FB" w:eastAsia="Californian FB" w:hAnsi="Californian FB" w:cs="Californian FB"/>
        </w:rPr>
        <w:t xml:space="preserve"> </w:t>
      </w:r>
      <w:r w:rsidRPr="05D69193">
        <w:rPr>
          <w:rFonts w:ascii="Californian FB" w:eastAsia="Californian FB" w:hAnsi="Californian FB" w:cs="Californian FB"/>
        </w:rPr>
        <w:t xml:space="preserve">although courts nevertheless can find themselves doing precisely this if they recognise an intended or institutional trust on flimsy facts. </w:t>
      </w:r>
    </w:p>
    <w:p w14:paraId="2064B85F" w14:textId="2EF996D3" w:rsidR="00D92907" w:rsidRDefault="389EC51F" w:rsidP="05D69193">
      <w:pPr>
        <w:jc w:val="both"/>
        <w:rPr>
          <w:rFonts w:ascii="Californian FB" w:eastAsia="Californian FB" w:hAnsi="Californian FB" w:cs="Californian FB"/>
        </w:rPr>
      </w:pPr>
      <w:r w:rsidRPr="05D69193">
        <w:rPr>
          <w:rFonts w:ascii="Californian FB" w:eastAsia="Californian FB" w:hAnsi="Californian FB" w:cs="Californian FB"/>
        </w:rPr>
        <w:t xml:space="preserve">The decision in </w:t>
      </w:r>
      <w:r w:rsidRPr="05D69193">
        <w:rPr>
          <w:rFonts w:ascii="Californian FB" w:eastAsia="Californian FB" w:hAnsi="Californian FB" w:cs="Californian FB"/>
          <w:i/>
          <w:iCs/>
        </w:rPr>
        <w:t>Bailey</w:t>
      </w:r>
      <w:r w:rsidRPr="05D69193">
        <w:rPr>
          <w:rFonts w:ascii="Californian FB" w:eastAsia="Californian FB" w:hAnsi="Californian FB" w:cs="Californian FB"/>
        </w:rPr>
        <w:t xml:space="preserve"> makes for an interesting contrast with </w:t>
      </w:r>
      <w:r w:rsidRPr="05D69193">
        <w:rPr>
          <w:rFonts w:ascii="Californian FB" w:eastAsia="Californian FB" w:hAnsi="Californian FB" w:cs="Californian FB"/>
          <w:i/>
          <w:iCs/>
        </w:rPr>
        <w:t>FHR European Ventures v Cedar Capital</w:t>
      </w:r>
      <w:r w:rsidRPr="05D69193">
        <w:rPr>
          <w:rFonts w:ascii="Californian FB" w:eastAsia="Californian FB" w:hAnsi="Californian FB" w:cs="Californian FB"/>
        </w:rPr>
        <w:t>.</w:t>
      </w:r>
      <w:bookmarkStart w:id="8" w:name="_Ref173321058"/>
      <w:r w:rsidR="0A5F1DBA" w:rsidRPr="05D69193">
        <w:rPr>
          <w:rStyle w:val="FootnoteReference"/>
          <w:rFonts w:ascii="Californian FB" w:eastAsia="Californian FB" w:hAnsi="Californian FB" w:cs="Californian FB"/>
        </w:rPr>
        <w:footnoteReference w:id="31"/>
      </w:r>
      <w:bookmarkEnd w:id="8"/>
      <w:r w:rsidRPr="05D69193">
        <w:rPr>
          <w:rFonts w:ascii="Californian FB" w:eastAsia="Californian FB" w:hAnsi="Californian FB" w:cs="Californian FB"/>
        </w:rPr>
        <w:t xml:space="preserve"> Here, the court was faced with a choice between two inconsistent lines of roughly equal authority on the question </w:t>
      </w:r>
      <w:r w:rsidR="001A6D6E">
        <w:rPr>
          <w:rFonts w:ascii="Californian FB" w:eastAsia="Californian FB" w:hAnsi="Californian FB" w:cs="Californian FB"/>
        </w:rPr>
        <w:t xml:space="preserve">of </w:t>
      </w:r>
      <w:r w:rsidRPr="05D69193">
        <w:rPr>
          <w:rFonts w:ascii="Californian FB" w:eastAsia="Californian FB" w:hAnsi="Californian FB" w:cs="Californian FB"/>
        </w:rPr>
        <w:t>whether a fiduciary, having received a bribe related to the scope of his duty of loyalty to its principal, would hold that bribe on constructive trust for the principal, or would merely owe its value as a personal liability to the principal via an equitable account. It appears that the proprietary remedy question was a live one in this case</w:t>
      </w:r>
      <w:r w:rsidR="00AB20F6">
        <w:rPr>
          <w:rFonts w:ascii="Californian FB" w:eastAsia="Californian FB" w:hAnsi="Californian FB" w:cs="Californian FB"/>
        </w:rPr>
        <w:t>,</w:t>
      </w:r>
      <w:r w:rsidRPr="05D69193">
        <w:rPr>
          <w:rFonts w:ascii="Californian FB" w:eastAsia="Californian FB" w:hAnsi="Californian FB" w:cs="Californian FB"/>
        </w:rPr>
        <w:t xml:space="preserve"> not because of any insolvency</w:t>
      </w:r>
      <w:r w:rsidR="00B81A40">
        <w:rPr>
          <w:rFonts w:ascii="Californian FB" w:eastAsia="Californian FB" w:hAnsi="Californian FB" w:cs="Californian FB"/>
        </w:rPr>
        <w:t xml:space="preserve">, </w:t>
      </w:r>
      <w:r w:rsidRPr="05D69193">
        <w:rPr>
          <w:rFonts w:ascii="Californian FB" w:eastAsia="Californian FB" w:hAnsi="Californian FB" w:cs="Californian FB"/>
        </w:rPr>
        <w:t xml:space="preserve">but because the claimant </w:t>
      </w:r>
      <w:r w:rsidR="00B81A40">
        <w:rPr>
          <w:rFonts w:ascii="Californian FB" w:eastAsia="Californian FB" w:hAnsi="Californian FB" w:cs="Californian FB"/>
        </w:rPr>
        <w:t>wished to access</w:t>
      </w:r>
      <w:r w:rsidRPr="05D69193">
        <w:rPr>
          <w:rFonts w:ascii="Californian FB" w:eastAsia="Californian FB" w:hAnsi="Californian FB" w:cs="Californian FB"/>
        </w:rPr>
        <w:t xml:space="preserve"> equitable following and tracing rules.</w:t>
      </w:r>
      <w:r w:rsidR="0A5F1DBA" w:rsidRPr="05D69193">
        <w:rPr>
          <w:rStyle w:val="FootnoteReference"/>
          <w:rFonts w:ascii="Californian FB" w:eastAsia="Californian FB" w:hAnsi="Californian FB" w:cs="Californian FB"/>
        </w:rPr>
        <w:footnoteReference w:id="32"/>
      </w:r>
      <w:r w:rsidRPr="05D69193">
        <w:rPr>
          <w:rFonts w:ascii="Californian FB" w:eastAsia="Californian FB" w:hAnsi="Californian FB" w:cs="Californian FB"/>
        </w:rPr>
        <w:t xml:space="preserve"> In a unanimous judgment, Lord Neuberger held that a constructive trust was the correct remedy, overruling himself in </w:t>
      </w:r>
      <w:r w:rsidRPr="05D69193">
        <w:rPr>
          <w:rFonts w:ascii="Californian FB" w:eastAsia="Californian FB" w:hAnsi="Californian FB" w:cs="Californian FB"/>
          <w:i/>
          <w:iCs/>
        </w:rPr>
        <w:t>Sinclair v Versailles</w:t>
      </w:r>
      <w:r w:rsidR="00370A82" w:rsidRPr="00977453">
        <w:rPr>
          <w:rStyle w:val="FootnoteReference"/>
          <w:rFonts w:ascii="Californian FB" w:eastAsia="Californian FB" w:hAnsi="Californian FB" w:cs="Californian FB"/>
        </w:rPr>
        <w:footnoteReference w:id="33"/>
      </w:r>
      <w:r w:rsidRPr="00977453">
        <w:rPr>
          <w:rFonts w:ascii="Californian FB" w:eastAsia="Californian FB" w:hAnsi="Californian FB" w:cs="Californian FB"/>
        </w:rPr>
        <w:t xml:space="preserve"> thre</w:t>
      </w:r>
      <w:r w:rsidRPr="05D69193">
        <w:rPr>
          <w:rFonts w:ascii="Californian FB" w:eastAsia="Californian FB" w:hAnsi="Californian FB" w:cs="Californian FB"/>
        </w:rPr>
        <w:t xml:space="preserve">e years earlier. In his view, the balance of </w:t>
      </w:r>
      <w:r w:rsidR="001A0C42">
        <w:rPr>
          <w:rFonts w:ascii="Californian FB" w:eastAsia="Californian FB" w:hAnsi="Californian FB" w:cs="Californian FB"/>
        </w:rPr>
        <w:t>‘</w:t>
      </w:r>
      <w:r w:rsidRPr="05D69193">
        <w:rPr>
          <w:rFonts w:ascii="Californian FB" w:eastAsia="Californian FB" w:hAnsi="Californian FB" w:cs="Californian FB"/>
        </w:rPr>
        <w:t>legal principle, decided cases, policy considerations, and practicalities’ favoured the trust approach.</w:t>
      </w:r>
      <w:r w:rsidRPr="10E55573">
        <w:rPr>
          <w:rStyle w:val="FootnoteReference"/>
          <w:rFonts w:ascii="Californian FB" w:eastAsia="Californian FB" w:hAnsi="Californian FB" w:cs="Californian FB"/>
        </w:rPr>
        <w:footnoteReference w:id="34"/>
      </w:r>
      <w:r w:rsidRPr="05D69193">
        <w:rPr>
          <w:rFonts w:ascii="Californian FB" w:eastAsia="Californian FB" w:hAnsi="Californian FB" w:cs="Californian FB"/>
        </w:rPr>
        <w:t xml:space="preserve"> </w:t>
      </w:r>
    </w:p>
    <w:p w14:paraId="2B72A5E7" w14:textId="33411431" w:rsidR="0A5F1DBA" w:rsidRDefault="00991975" w:rsidP="05D69193">
      <w:pPr>
        <w:jc w:val="both"/>
        <w:rPr>
          <w:rFonts w:ascii="Californian FB" w:eastAsia="Californian FB" w:hAnsi="Californian FB" w:cs="Californian FB"/>
        </w:rPr>
      </w:pPr>
      <w:r>
        <w:rPr>
          <w:rFonts w:ascii="Californian FB" w:eastAsia="Californian FB" w:hAnsi="Californian FB" w:cs="Californian FB"/>
        </w:rPr>
        <w:t>Fashioning</w:t>
      </w:r>
      <w:r w:rsidR="389EC51F" w:rsidRPr="05D69193">
        <w:rPr>
          <w:rFonts w:ascii="Californian FB" w:eastAsia="Californian FB" w:hAnsi="Californian FB" w:cs="Californian FB"/>
        </w:rPr>
        <w:t xml:space="preserve"> new rules for the recognition of a trust can </w:t>
      </w:r>
      <w:r>
        <w:rPr>
          <w:rFonts w:ascii="Californian FB" w:eastAsia="Californian FB" w:hAnsi="Californian FB" w:cs="Californian FB"/>
        </w:rPr>
        <w:t>be perceived either as legislating by the Court, or</w:t>
      </w:r>
      <w:r w:rsidR="389EC51F" w:rsidRPr="05D69193">
        <w:rPr>
          <w:rFonts w:ascii="Californian FB" w:eastAsia="Californian FB" w:hAnsi="Californian FB" w:cs="Californian FB"/>
        </w:rPr>
        <w:t xml:space="preserve"> as merely correcting the course of the law in exercising its declaratory function. </w:t>
      </w:r>
      <w:r w:rsidR="00CE06F4">
        <w:rPr>
          <w:rFonts w:ascii="Californian FB" w:eastAsia="Californian FB" w:hAnsi="Californian FB" w:cs="Californian FB"/>
        </w:rPr>
        <w:t>The</w:t>
      </w:r>
      <w:r w:rsidR="389EC51F" w:rsidRPr="00313451">
        <w:rPr>
          <w:rFonts w:ascii="Californian FB" w:eastAsia="Californian FB" w:hAnsi="Californian FB" w:cs="Californian FB"/>
        </w:rPr>
        <w:t xml:space="preserve"> decision to choose one line of authority </w:t>
      </w:r>
      <w:r w:rsidR="389EC51F" w:rsidRPr="00313451">
        <w:rPr>
          <w:rFonts w:ascii="Californian FB" w:eastAsia="Californian FB" w:hAnsi="Californian FB" w:cs="Californian FB"/>
          <w:i/>
          <w:iCs/>
        </w:rPr>
        <w:t xml:space="preserve">is </w:t>
      </w:r>
      <w:r w:rsidR="389EC51F" w:rsidRPr="00313451">
        <w:rPr>
          <w:rFonts w:ascii="Californian FB" w:eastAsia="Californian FB" w:hAnsi="Californian FB" w:cs="Californian FB"/>
        </w:rPr>
        <w:t>essentially a redistributive one</w:t>
      </w:r>
      <w:r w:rsidR="00313451" w:rsidRPr="00313451">
        <w:rPr>
          <w:rFonts w:ascii="Californian FB" w:eastAsia="Californian FB" w:hAnsi="Californian FB" w:cs="Californian FB"/>
        </w:rPr>
        <w:t>.</w:t>
      </w:r>
      <w:r w:rsidR="00313451" w:rsidRPr="00313451">
        <w:rPr>
          <w:rStyle w:val="FootnoteReference"/>
          <w:rFonts w:ascii="Californian FB" w:eastAsia="Californian FB" w:hAnsi="Californian FB" w:cs="Californian FB"/>
        </w:rPr>
        <w:footnoteReference w:id="35"/>
      </w:r>
      <w:r w:rsidR="00313451" w:rsidRPr="00313451">
        <w:rPr>
          <w:rFonts w:ascii="Californian FB" w:hAnsi="Californian FB"/>
        </w:rPr>
        <w:t xml:space="preserve"> </w:t>
      </w:r>
      <w:r w:rsidR="389EC51F" w:rsidRPr="00313451">
        <w:rPr>
          <w:rFonts w:ascii="Californian FB" w:eastAsia="Californian FB" w:hAnsi="Californian FB" w:cs="Californian FB"/>
        </w:rPr>
        <w:t xml:space="preserve">Would </w:t>
      </w:r>
      <w:r w:rsidR="007E3CC4" w:rsidRPr="00313451">
        <w:rPr>
          <w:rFonts w:ascii="Californian FB" w:eastAsia="Californian FB" w:hAnsi="Californian FB" w:cs="Californian FB"/>
        </w:rPr>
        <w:t>the Court</w:t>
      </w:r>
      <w:r w:rsidR="389EC51F" w:rsidRPr="00313451">
        <w:rPr>
          <w:rFonts w:ascii="Californian FB" w:eastAsia="Californian FB" w:hAnsi="Californian FB" w:cs="Californian FB"/>
        </w:rPr>
        <w:t xml:space="preserve"> have been over-stepping </w:t>
      </w:r>
      <w:r w:rsidR="007E3CC4" w:rsidRPr="00313451">
        <w:rPr>
          <w:rFonts w:ascii="Californian FB" w:eastAsia="Californian FB" w:hAnsi="Californian FB" w:cs="Californian FB"/>
        </w:rPr>
        <w:t>its role</w:t>
      </w:r>
      <w:r w:rsidR="389EC51F" w:rsidRPr="00313451">
        <w:rPr>
          <w:rFonts w:ascii="Californian FB" w:eastAsia="Californian FB" w:hAnsi="Californian FB" w:cs="Californian FB"/>
        </w:rPr>
        <w:t xml:space="preserve"> </w:t>
      </w:r>
      <w:r w:rsidR="009364A6" w:rsidRPr="00313451">
        <w:rPr>
          <w:rFonts w:ascii="Californian FB" w:eastAsia="Californian FB" w:hAnsi="Californian FB" w:cs="Californian FB"/>
        </w:rPr>
        <w:t xml:space="preserve">if </w:t>
      </w:r>
      <w:r w:rsidR="007E3CC4" w:rsidRPr="00313451">
        <w:rPr>
          <w:rFonts w:ascii="Californian FB" w:eastAsia="Californian FB" w:hAnsi="Californian FB" w:cs="Californian FB"/>
        </w:rPr>
        <w:t>it</w:t>
      </w:r>
      <w:r w:rsidR="389EC51F" w:rsidRPr="00313451">
        <w:rPr>
          <w:rFonts w:ascii="Californian FB" w:eastAsia="Californian FB" w:hAnsi="Californian FB" w:cs="Californian FB"/>
        </w:rPr>
        <w:t xml:space="preserve"> had come to a different result in </w:t>
      </w:r>
      <w:r w:rsidR="389EC51F" w:rsidRPr="00313451">
        <w:rPr>
          <w:rFonts w:ascii="Californian FB" w:eastAsia="Californian FB" w:hAnsi="Californian FB" w:cs="Californian FB"/>
          <w:i/>
          <w:iCs/>
        </w:rPr>
        <w:t xml:space="preserve">Bailey, </w:t>
      </w:r>
      <w:r w:rsidR="389EC51F" w:rsidRPr="00313451">
        <w:rPr>
          <w:rFonts w:ascii="Californian FB" w:eastAsia="Californian FB" w:hAnsi="Californian FB" w:cs="Californian FB"/>
        </w:rPr>
        <w:t xml:space="preserve">and had found that authority, and general principles of conscience, favoured recognising an institutional trust where one takes on a debt having grounds to believe one risks insolvency? </w:t>
      </w:r>
      <w:r w:rsidR="00B371EF">
        <w:rPr>
          <w:rFonts w:ascii="Californian FB" w:eastAsia="Californian FB" w:hAnsi="Californian FB" w:cs="Californian FB"/>
        </w:rPr>
        <w:t>B</w:t>
      </w:r>
      <w:r w:rsidR="389EC51F" w:rsidRPr="05D69193">
        <w:rPr>
          <w:rFonts w:ascii="Californian FB" w:eastAsia="Californian FB" w:hAnsi="Californian FB" w:cs="Californian FB"/>
        </w:rPr>
        <w:t xml:space="preserve">oth </w:t>
      </w:r>
      <w:r w:rsidR="389EC51F" w:rsidRPr="05D69193">
        <w:rPr>
          <w:rFonts w:ascii="Californian FB" w:eastAsia="Californian FB" w:hAnsi="Californian FB" w:cs="Californian FB"/>
          <w:i/>
          <w:iCs/>
        </w:rPr>
        <w:t>Bailey</w:t>
      </w:r>
      <w:r w:rsidR="389EC51F" w:rsidRPr="05D69193">
        <w:rPr>
          <w:rFonts w:ascii="Californian FB" w:eastAsia="Californian FB" w:hAnsi="Californian FB" w:cs="Californian FB"/>
        </w:rPr>
        <w:t xml:space="preserve"> and </w:t>
      </w:r>
      <w:r w:rsidR="389EC51F" w:rsidRPr="05D69193">
        <w:rPr>
          <w:rFonts w:ascii="Californian FB" w:eastAsia="Californian FB" w:hAnsi="Californian FB" w:cs="Californian FB"/>
          <w:i/>
          <w:iCs/>
        </w:rPr>
        <w:t xml:space="preserve">FHR </w:t>
      </w:r>
      <w:r w:rsidR="389EC51F" w:rsidRPr="05D69193">
        <w:rPr>
          <w:rFonts w:ascii="Californian FB" w:eastAsia="Californian FB" w:hAnsi="Californian FB" w:cs="Californian FB"/>
        </w:rPr>
        <w:t xml:space="preserve">involved a choice between valid outcomes. Had </w:t>
      </w:r>
      <w:r w:rsidR="389EC51F" w:rsidRPr="05D69193">
        <w:rPr>
          <w:rFonts w:ascii="Californian FB" w:eastAsia="Californian FB" w:hAnsi="Californian FB" w:cs="Californian FB"/>
          <w:i/>
          <w:iCs/>
        </w:rPr>
        <w:t>FHR</w:t>
      </w:r>
      <w:r w:rsidR="389EC51F" w:rsidRPr="05D69193">
        <w:rPr>
          <w:rFonts w:ascii="Californian FB" w:eastAsia="Californian FB" w:hAnsi="Californian FB" w:cs="Californian FB"/>
        </w:rPr>
        <w:t xml:space="preserve"> involved an insolvency situation, one can speculate that the decision might have been quite different.</w:t>
      </w:r>
    </w:p>
    <w:p w14:paraId="65A41D8C" w14:textId="44F7B357" w:rsidR="0A5F1DBA" w:rsidRDefault="389EC51F" w:rsidP="05D69193">
      <w:pPr>
        <w:jc w:val="both"/>
        <w:rPr>
          <w:rFonts w:ascii="Californian FB" w:eastAsia="Californian FB" w:hAnsi="Californian FB" w:cs="Californian FB"/>
        </w:rPr>
      </w:pPr>
      <w:r w:rsidRPr="05D69193">
        <w:rPr>
          <w:rFonts w:ascii="Californian FB" w:eastAsia="Californian FB" w:hAnsi="Californian FB" w:cs="Californian FB"/>
        </w:rPr>
        <w:t xml:space="preserve">Another example is </w:t>
      </w:r>
      <w:r w:rsidRPr="4B228B65">
        <w:rPr>
          <w:rFonts w:ascii="Californian FB" w:eastAsia="Californian FB" w:hAnsi="Californian FB" w:cs="Californian FB"/>
          <w:i/>
          <w:iCs/>
        </w:rPr>
        <w:t>Guest v Guest</w:t>
      </w:r>
      <w:r w:rsidRPr="05D69193">
        <w:rPr>
          <w:rFonts w:ascii="Californian FB" w:eastAsia="Californian FB" w:hAnsi="Californian FB" w:cs="Californian FB"/>
        </w:rPr>
        <w:t>,</w:t>
      </w:r>
      <w:r w:rsidR="00C75A97">
        <w:rPr>
          <w:rStyle w:val="FootnoteReference"/>
          <w:rFonts w:ascii="Californian FB" w:eastAsia="Californian FB" w:hAnsi="Californian FB" w:cs="Californian FB"/>
        </w:rPr>
        <w:footnoteReference w:id="36"/>
      </w:r>
      <w:r w:rsidRPr="05D69193">
        <w:rPr>
          <w:rFonts w:ascii="Californian FB" w:eastAsia="Californian FB" w:hAnsi="Californian FB" w:cs="Californian FB"/>
        </w:rPr>
        <w:t xml:space="preserve"> where the issue was the correct remedial approach </w:t>
      </w:r>
      <w:r w:rsidR="00E73597">
        <w:rPr>
          <w:rFonts w:ascii="Californian FB" w:eastAsia="Californian FB" w:hAnsi="Californian FB" w:cs="Californian FB"/>
        </w:rPr>
        <w:t>in proprietary estoppel claims</w:t>
      </w:r>
      <w:r w:rsidRPr="05D69193">
        <w:rPr>
          <w:rFonts w:ascii="Californian FB" w:eastAsia="Californian FB" w:hAnsi="Californian FB" w:cs="Californian FB"/>
        </w:rPr>
        <w:t xml:space="preserve">. </w:t>
      </w:r>
      <w:r w:rsidR="004277C6">
        <w:rPr>
          <w:rFonts w:ascii="Californian FB" w:eastAsia="Californian FB" w:hAnsi="Californian FB" w:cs="Californian FB"/>
        </w:rPr>
        <w:t>The</w:t>
      </w:r>
      <w:r w:rsidRPr="05D69193">
        <w:rPr>
          <w:rFonts w:ascii="Californian FB" w:eastAsia="Californian FB" w:hAnsi="Californian FB" w:cs="Californian FB"/>
        </w:rPr>
        <w:t xml:space="preserve"> debate </w:t>
      </w:r>
      <w:r w:rsidR="00E73597">
        <w:rPr>
          <w:rFonts w:ascii="Californian FB" w:eastAsia="Californian FB" w:hAnsi="Californian FB" w:cs="Californian FB"/>
        </w:rPr>
        <w:t>here</w:t>
      </w:r>
      <w:r w:rsidRPr="05D69193">
        <w:rPr>
          <w:rFonts w:ascii="Californian FB" w:eastAsia="Californian FB" w:hAnsi="Californian FB" w:cs="Californian FB"/>
        </w:rPr>
        <w:t xml:space="preserve"> reflects different responses to a problem of property redistribution. </w:t>
      </w:r>
      <w:r w:rsidR="00B3324B">
        <w:rPr>
          <w:rFonts w:ascii="Californian FB" w:eastAsia="Californian FB" w:hAnsi="Californian FB" w:cs="Californian FB"/>
        </w:rPr>
        <w:t>Both Lord Briggs’ choices of remedy (</w:t>
      </w:r>
      <w:r w:rsidR="0006327C">
        <w:rPr>
          <w:rFonts w:ascii="Californian FB" w:eastAsia="Californian FB" w:hAnsi="Californian FB" w:cs="Californian FB"/>
        </w:rPr>
        <w:t>a life interest for the parents</w:t>
      </w:r>
      <w:r w:rsidR="007F2EEA">
        <w:rPr>
          <w:rFonts w:ascii="Californian FB" w:eastAsia="Californian FB" w:hAnsi="Californian FB" w:cs="Californian FB"/>
        </w:rPr>
        <w:t xml:space="preserve"> with </w:t>
      </w:r>
      <w:r w:rsidR="00351FEA">
        <w:rPr>
          <w:rFonts w:ascii="Californian FB" w:eastAsia="Californian FB" w:hAnsi="Californian FB" w:cs="Californian FB"/>
        </w:rPr>
        <w:t xml:space="preserve">a </w:t>
      </w:r>
      <w:r w:rsidR="0006327C">
        <w:rPr>
          <w:rFonts w:ascii="Californian FB" w:eastAsia="Californian FB" w:hAnsi="Californian FB" w:cs="Californian FB"/>
        </w:rPr>
        <w:t xml:space="preserve">remainder </w:t>
      </w:r>
      <w:r w:rsidR="00351FEA">
        <w:rPr>
          <w:rFonts w:ascii="Californian FB" w:eastAsia="Californian FB" w:hAnsi="Californian FB" w:cs="Californian FB"/>
        </w:rPr>
        <w:t>share for the claimant, or alternatively a lump sum</w:t>
      </w:r>
      <w:r w:rsidRPr="05D69193">
        <w:rPr>
          <w:rFonts w:ascii="Californian FB" w:eastAsia="Californian FB" w:hAnsi="Californian FB" w:cs="Californian FB"/>
        </w:rPr>
        <w:t xml:space="preserve">, presumably to be secured by a charge on </w:t>
      </w:r>
      <w:r w:rsidR="00351FEA">
        <w:rPr>
          <w:rFonts w:ascii="Californian FB" w:eastAsia="Californian FB" w:hAnsi="Californian FB" w:cs="Californian FB"/>
        </w:rPr>
        <w:t xml:space="preserve">the </w:t>
      </w:r>
      <w:r w:rsidRPr="05D69193">
        <w:rPr>
          <w:rFonts w:ascii="Californian FB" w:eastAsia="Californian FB" w:hAnsi="Californian FB" w:cs="Californian FB"/>
        </w:rPr>
        <w:t>land</w:t>
      </w:r>
      <w:r w:rsidR="00351FEA">
        <w:rPr>
          <w:rFonts w:ascii="Californian FB" w:eastAsia="Californian FB" w:hAnsi="Californian FB" w:cs="Californian FB"/>
        </w:rPr>
        <w:t>), and</w:t>
      </w:r>
      <w:r w:rsidR="0006327C">
        <w:rPr>
          <w:rFonts w:ascii="Californian FB" w:eastAsia="Californian FB" w:hAnsi="Californian FB" w:cs="Californian FB"/>
        </w:rPr>
        <w:t xml:space="preserve"> </w:t>
      </w:r>
      <w:r w:rsidRPr="05D69193">
        <w:rPr>
          <w:rFonts w:ascii="Californian FB" w:eastAsia="Californian FB" w:hAnsi="Californian FB" w:cs="Californian FB"/>
        </w:rPr>
        <w:t xml:space="preserve">Lord </w:t>
      </w:r>
      <w:r w:rsidRPr="05D69193">
        <w:rPr>
          <w:rFonts w:ascii="Californian FB" w:eastAsia="Californian FB" w:hAnsi="Californian FB" w:cs="Californian FB"/>
        </w:rPr>
        <w:lastRenderedPageBreak/>
        <w:t xml:space="preserve">Leggatt’s </w:t>
      </w:r>
      <w:r w:rsidR="00351FEA">
        <w:rPr>
          <w:rFonts w:ascii="Californian FB" w:eastAsia="Californian FB" w:hAnsi="Californian FB" w:cs="Californian FB"/>
        </w:rPr>
        <w:t>preference for a</w:t>
      </w:r>
      <w:r w:rsidR="007F2EEA">
        <w:rPr>
          <w:rFonts w:ascii="Californian FB" w:eastAsia="Californian FB" w:hAnsi="Californian FB" w:cs="Californian FB"/>
        </w:rPr>
        <w:t xml:space="preserve"> (smaller)</w:t>
      </w:r>
      <w:r w:rsidR="00351FEA">
        <w:rPr>
          <w:rFonts w:ascii="Californian FB" w:eastAsia="Californian FB" w:hAnsi="Californian FB" w:cs="Californian FB"/>
        </w:rPr>
        <w:t xml:space="preserve"> lump sum, indicate</w:t>
      </w:r>
      <w:r w:rsidRPr="05D69193">
        <w:rPr>
          <w:rFonts w:ascii="Californian FB" w:eastAsia="Californian FB" w:hAnsi="Californian FB" w:cs="Californian FB"/>
        </w:rPr>
        <w:t xml:space="preserve"> that the Court tolerates property redistribution </w:t>
      </w:r>
      <w:r w:rsidR="00B3324B">
        <w:rPr>
          <w:rFonts w:ascii="Californian FB" w:eastAsia="Californian FB" w:hAnsi="Californian FB" w:cs="Californian FB"/>
        </w:rPr>
        <w:t>to some extent</w:t>
      </w:r>
      <w:r w:rsidRPr="05D69193">
        <w:rPr>
          <w:rFonts w:ascii="Californian FB" w:eastAsia="Californian FB" w:hAnsi="Californian FB" w:cs="Californian FB"/>
        </w:rPr>
        <w:t xml:space="preserve">. </w:t>
      </w:r>
      <w:r w:rsidR="00CA2284">
        <w:rPr>
          <w:rFonts w:ascii="Californian FB" w:eastAsia="Californian FB" w:hAnsi="Californian FB" w:cs="Californian FB"/>
        </w:rPr>
        <w:t xml:space="preserve">By contrast with </w:t>
      </w:r>
      <w:r w:rsidR="00CA2284">
        <w:rPr>
          <w:rFonts w:ascii="Californian FB" w:eastAsia="Californian FB" w:hAnsi="Californian FB" w:cs="Californian FB"/>
          <w:i/>
          <w:iCs/>
        </w:rPr>
        <w:t>Jones</w:t>
      </w:r>
      <w:r w:rsidR="00CA2284">
        <w:rPr>
          <w:rFonts w:ascii="Californian FB" w:eastAsia="Californian FB" w:hAnsi="Californian FB" w:cs="Californian FB"/>
        </w:rPr>
        <w:t xml:space="preserve">, here there is </w:t>
      </w:r>
      <w:r w:rsidR="00CE1A3C">
        <w:rPr>
          <w:rFonts w:ascii="Californian FB" w:eastAsia="Californian FB" w:hAnsi="Californian FB" w:cs="Californian FB"/>
        </w:rPr>
        <w:t>no ‘telling of</w:t>
      </w:r>
      <w:r w:rsidR="00283301">
        <w:rPr>
          <w:rFonts w:ascii="Californian FB" w:eastAsia="Californian FB" w:hAnsi="Californian FB" w:cs="Californian FB"/>
        </w:rPr>
        <w:t>f</w:t>
      </w:r>
      <w:r w:rsidR="00CE1A3C">
        <w:rPr>
          <w:rFonts w:ascii="Californian FB" w:eastAsia="Californian FB" w:hAnsi="Californian FB" w:cs="Californian FB"/>
        </w:rPr>
        <w:t>’ of the legislature</w:t>
      </w:r>
      <w:r w:rsidR="00DE5B68">
        <w:rPr>
          <w:rFonts w:ascii="Californian FB" w:eastAsia="Californian FB" w:hAnsi="Californian FB" w:cs="Californian FB"/>
        </w:rPr>
        <w:t>;</w:t>
      </w:r>
      <w:r w:rsidR="00CE1A3C">
        <w:rPr>
          <w:rFonts w:ascii="Californian FB" w:eastAsia="Californian FB" w:hAnsi="Californian FB" w:cs="Californian FB"/>
        </w:rPr>
        <w:t xml:space="preserve"> </w:t>
      </w:r>
      <w:r w:rsidR="00DE5B68">
        <w:rPr>
          <w:rFonts w:ascii="Californian FB" w:eastAsia="Californian FB" w:hAnsi="Californian FB" w:cs="Californian FB"/>
        </w:rPr>
        <w:t>instead,</w:t>
      </w:r>
      <w:r w:rsidR="00283301">
        <w:rPr>
          <w:rFonts w:ascii="Californian FB" w:eastAsia="Californian FB" w:hAnsi="Californian FB" w:cs="Californian FB"/>
        </w:rPr>
        <w:t xml:space="preserve"> a willingness to</w:t>
      </w:r>
      <w:r w:rsidR="000E389F">
        <w:rPr>
          <w:rFonts w:ascii="Californian FB" w:eastAsia="Californian FB" w:hAnsi="Californian FB" w:cs="Californian FB"/>
        </w:rPr>
        <w:t xml:space="preserve"> us</w:t>
      </w:r>
      <w:r w:rsidR="00283301">
        <w:rPr>
          <w:rFonts w:ascii="Californian FB" w:eastAsia="Californian FB" w:hAnsi="Californian FB" w:cs="Californian FB"/>
        </w:rPr>
        <w:t>e</w:t>
      </w:r>
      <w:r w:rsidR="000E389F">
        <w:rPr>
          <w:rFonts w:ascii="Californian FB" w:eastAsia="Californian FB" w:hAnsi="Californian FB" w:cs="Californian FB"/>
        </w:rPr>
        <w:t xml:space="preserve"> equity</w:t>
      </w:r>
      <w:r w:rsidR="002A3FE5">
        <w:rPr>
          <w:rFonts w:ascii="Californian FB" w:eastAsia="Californian FB" w:hAnsi="Californian FB" w:cs="Californian FB"/>
        </w:rPr>
        <w:t>’s creative potential</w:t>
      </w:r>
      <w:r w:rsidR="000E389F">
        <w:rPr>
          <w:rFonts w:ascii="Californian FB" w:eastAsia="Californian FB" w:hAnsi="Californian FB" w:cs="Californian FB"/>
        </w:rPr>
        <w:t xml:space="preserve"> to arrive at novel solutions</w:t>
      </w:r>
      <w:r w:rsidR="008A1FE2">
        <w:rPr>
          <w:rFonts w:ascii="Californian FB" w:eastAsia="Californian FB" w:hAnsi="Californian FB" w:cs="Californian FB"/>
        </w:rPr>
        <w:t>.</w:t>
      </w:r>
      <w:r w:rsidRPr="05D69193">
        <w:rPr>
          <w:rFonts w:ascii="Californian FB" w:eastAsia="Californian FB" w:hAnsi="Californian FB" w:cs="Californian FB"/>
        </w:rPr>
        <w:t xml:space="preserve"> </w:t>
      </w:r>
    </w:p>
    <w:p w14:paraId="24CD83BD" w14:textId="1FEA2F8D" w:rsidR="05D69193" w:rsidRPr="008D1B4F" w:rsidRDefault="389EC51F" w:rsidP="008D1B4F">
      <w:pPr>
        <w:jc w:val="both"/>
        <w:rPr>
          <w:rFonts w:ascii="Californian FB" w:eastAsia="Californian FB" w:hAnsi="Californian FB" w:cs="Californian FB"/>
        </w:rPr>
      </w:pPr>
      <w:r w:rsidRPr="4B228B65">
        <w:rPr>
          <w:rFonts w:ascii="Californian FB" w:eastAsia="Californian FB" w:hAnsi="Californian FB" w:cs="Californian FB"/>
        </w:rPr>
        <w:t>The Court has therefore not been on-message consistently with whether it is empowered to redistribute property</w:t>
      </w:r>
      <w:r w:rsidR="002A3FE5">
        <w:rPr>
          <w:rFonts w:ascii="Californian FB" w:eastAsia="Californian FB" w:hAnsi="Californian FB" w:cs="Californian FB"/>
        </w:rPr>
        <w:t>.</w:t>
      </w:r>
      <w:r w:rsidR="612506C6" w:rsidRPr="4B228B65">
        <w:rPr>
          <w:rFonts w:ascii="Californian FB" w:eastAsia="Californian FB" w:hAnsi="Californian FB" w:cs="Californian FB"/>
        </w:rPr>
        <w:t xml:space="preserve"> </w:t>
      </w:r>
      <w:r w:rsidR="006B510A">
        <w:rPr>
          <w:rFonts w:ascii="Californian FB" w:eastAsia="Californian FB" w:hAnsi="Californian FB" w:cs="Californian FB"/>
        </w:rPr>
        <w:t>The</w:t>
      </w:r>
      <w:r w:rsidRPr="4B228B65">
        <w:rPr>
          <w:rFonts w:ascii="Californian FB" w:eastAsia="Californian FB" w:hAnsi="Californian FB" w:cs="Californian FB"/>
        </w:rPr>
        <w:t xml:space="preserve"> decision in </w:t>
      </w:r>
      <w:r w:rsidRPr="4B228B65">
        <w:rPr>
          <w:rFonts w:ascii="Californian FB" w:eastAsia="Californian FB" w:hAnsi="Californian FB" w:cs="Californian FB"/>
          <w:i/>
          <w:iCs/>
        </w:rPr>
        <w:t>FHR</w:t>
      </w:r>
      <w:r w:rsidRPr="4B228B65">
        <w:rPr>
          <w:rFonts w:ascii="Californian FB" w:eastAsia="Californian FB" w:hAnsi="Californian FB" w:cs="Californian FB"/>
        </w:rPr>
        <w:t xml:space="preserve"> encourages confidence in the integrity of those one is transacting with, while the opposite is true of </w:t>
      </w:r>
      <w:r w:rsidRPr="4B228B65">
        <w:rPr>
          <w:rFonts w:ascii="Californian FB" w:eastAsia="Californian FB" w:hAnsi="Californian FB" w:cs="Californian FB"/>
          <w:i/>
          <w:iCs/>
        </w:rPr>
        <w:t xml:space="preserve">Bailey’s. </w:t>
      </w:r>
      <w:r w:rsidRPr="4B228B65">
        <w:rPr>
          <w:rFonts w:ascii="Californian FB" w:eastAsia="Californian FB" w:hAnsi="Californian FB" w:cs="Californian FB"/>
        </w:rPr>
        <w:t>The</w:t>
      </w:r>
      <w:r w:rsidR="006B510A">
        <w:rPr>
          <w:rFonts w:ascii="Californian FB" w:eastAsia="Californian FB" w:hAnsi="Californian FB" w:cs="Californian FB"/>
        </w:rPr>
        <w:t xml:space="preserve">n </w:t>
      </w:r>
      <w:r w:rsidRPr="4B228B65">
        <w:rPr>
          <w:rFonts w:ascii="Californian FB" w:eastAsia="Californian FB" w:hAnsi="Californian FB" w:cs="Californian FB"/>
          <w:i/>
          <w:iCs/>
        </w:rPr>
        <w:t>Guest</w:t>
      </w:r>
      <w:r w:rsidRPr="4B228B65">
        <w:rPr>
          <w:rFonts w:ascii="Californian FB" w:eastAsia="Californian FB" w:hAnsi="Californian FB" w:cs="Californian FB"/>
        </w:rPr>
        <w:t xml:space="preserve"> </w:t>
      </w:r>
      <w:r w:rsidR="0012680A">
        <w:rPr>
          <w:rFonts w:ascii="Californian FB" w:eastAsia="Californian FB" w:hAnsi="Californian FB" w:cs="Californian FB"/>
        </w:rPr>
        <w:t>involves confidence in</w:t>
      </w:r>
      <w:r w:rsidRPr="4B228B65">
        <w:rPr>
          <w:rFonts w:ascii="Californian FB" w:eastAsia="Californian FB" w:hAnsi="Californian FB" w:cs="Californian FB"/>
        </w:rPr>
        <w:t xml:space="preserve"> a less-formal, familial, farming context, although views of such cases as involving vulnerable individuals are overstated given that they involve </w:t>
      </w:r>
      <w:r w:rsidRPr="4B228B65">
        <w:rPr>
          <w:rFonts w:ascii="Californian FB" w:eastAsia="Californian FB" w:hAnsi="Californian FB" w:cs="Californian FB"/>
          <w:i/>
          <w:iCs/>
        </w:rPr>
        <w:t>both</w:t>
      </w:r>
      <w:r w:rsidRPr="4B228B65">
        <w:rPr>
          <w:rFonts w:ascii="Californian FB" w:eastAsia="Californian FB" w:hAnsi="Californian FB" w:cs="Californian FB"/>
        </w:rPr>
        <w:t xml:space="preserve"> a familial </w:t>
      </w:r>
      <w:r w:rsidRPr="4B228B65">
        <w:rPr>
          <w:rFonts w:ascii="Californian FB" w:eastAsia="Californian FB" w:hAnsi="Californian FB" w:cs="Californian FB"/>
          <w:i/>
          <w:iCs/>
        </w:rPr>
        <w:t>and</w:t>
      </w:r>
      <w:r w:rsidRPr="4B228B65">
        <w:rPr>
          <w:rFonts w:ascii="Californian FB" w:eastAsia="Californian FB" w:hAnsi="Californian FB" w:cs="Californian FB"/>
        </w:rPr>
        <w:t xml:space="preserve"> a business relationship. </w:t>
      </w:r>
      <w:r w:rsidR="00051373">
        <w:rPr>
          <w:rFonts w:ascii="Californian FB" w:eastAsia="Californian FB" w:hAnsi="Californian FB" w:cs="Californian FB"/>
        </w:rPr>
        <w:t>Nevertheless, where</w:t>
      </w:r>
      <w:r w:rsidRPr="4B228B65">
        <w:rPr>
          <w:rFonts w:ascii="Californian FB" w:eastAsia="Californian FB" w:hAnsi="Californian FB" w:cs="Californian FB"/>
        </w:rPr>
        <w:t xml:space="preserve"> parents and their adult children attempt a business venture together but end up falling out, </w:t>
      </w:r>
      <w:r w:rsidR="005F04E0">
        <w:rPr>
          <w:rFonts w:ascii="Californian FB" w:eastAsia="Californian FB" w:hAnsi="Californian FB" w:cs="Californian FB"/>
        </w:rPr>
        <w:t>while</w:t>
      </w:r>
      <w:r w:rsidRPr="4B228B65">
        <w:rPr>
          <w:rFonts w:ascii="Californian FB" w:eastAsia="Californian FB" w:hAnsi="Californian FB" w:cs="Californian FB"/>
        </w:rPr>
        <w:t xml:space="preserve"> this damages th</w:t>
      </w:r>
      <w:r w:rsidR="00420937">
        <w:rPr>
          <w:rFonts w:ascii="Californian FB" w:eastAsia="Californian FB" w:hAnsi="Californian FB" w:cs="Californian FB"/>
        </w:rPr>
        <w:t>eir</w:t>
      </w:r>
      <w:r w:rsidRPr="4B228B65">
        <w:rPr>
          <w:rFonts w:ascii="Californian FB" w:eastAsia="Californian FB" w:hAnsi="Californian FB" w:cs="Californian FB"/>
        </w:rPr>
        <w:t xml:space="preserve"> emotional </w:t>
      </w:r>
      <w:r w:rsidR="00472D61" w:rsidRPr="4B228B65">
        <w:rPr>
          <w:rFonts w:ascii="Californian FB" w:eastAsia="Californian FB" w:hAnsi="Californian FB" w:cs="Californian FB"/>
        </w:rPr>
        <w:t>ties</w:t>
      </w:r>
      <w:r w:rsidR="005F04E0">
        <w:rPr>
          <w:rFonts w:ascii="Californian FB" w:eastAsia="Californian FB" w:hAnsi="Californian FB" w:cs="Californian FB"/>
        </w:rPr>
        <w:t>,</w:t>
      </w:r>
      <w:r w:rsidR="00472D61">
        <w:rPr>
          <w:rFonts w:ascii="Californian FB" w:eastAsia="Californian FB" w:hAnsi="Californian FB" w:cs="Californian FB"/>
        </w:rPr>
        <w:t xml:space="preserve"> </w:t>
      </w:r>
      <w:r w:rsidRPr="4B228B65">
        <w:rPr>
          <w:rFonts w:ascii="Californian FB" w:eastAsia="Californian FB" w:hAnsi="Californian FB" w:cs="Californian FB"/>
        </w:rPr>
        <w:t xml:space="preserve">we still </w:t>
      </w:r>
      <w:r w:rsidRPr="4B228B65">
        <w:rPr>
          <w:rFonts w:ascii="Californian FB" w:eastAsia="Californian FB" w:hAnsi="Californian FB" w:cs="Californian FB"/>
          <w:i/>
          <w:iCs/>
        </w:rPr>
        <w:t>perceive</w:t>
      </w:r>
      <w:r w:rsidRPr="4B228B65">
        <w:rPr>
          <w:rFonts w:ascii="Californian FB" w:eastAsia="Californian FB" w:hAnsi="Californian FB" w:cs="Californian FB"/>
        </w:rPr>
        <w:t xml:space="preserve"> some bond as enduring or some parental duty </w:t>
      </w:r>
      <w:r w:rsidR="005F04E0">
        <w:rPr>
          <w:rFonts w:ascii="Californian FB" w:eastAsia="Californian FB" w:hAnsi="Californian FB" w:cs="Californian FB"/>
        </w:rPr>
        <w:t>persisting</w:t>
      </w:r>
      <w:r w:rsidRPr="4B228B65">
        <w:rPr>
          <w:rFonts w:ascii="Californian FB" w:eastAsia="Californian FB" w:hAnsi="Californian FB" w:cs="Californian FB"/>
        </w:rPr>
        <w:t xml:space="preserve">. </w:t>
      </w:r>
      <w:r w:rsidR="0BCFDCE0" w:rsidRPr="4B228B65">
        <w:rPr>
          <w:rFonts w:ascii="Californian FB" w:eastAsia="Californian FB" w:hAnsi="Californian FB" w:cs="Californian FB"/>
        </w:rPr>
        <w:t xml:space="preserve">Some of the </w:t>
      </w:r>
      <w:r w:rsidR="59FEFE61" w:rsidRPr="4B228B65">
        <w:rPr>
          <w:rFonts w:ascii="Californian FB" w:eastAsia="Californian FB" w:hAnsi="Californian FB" w:cs="Californian FB"/>
        </w:rPr>
        <w:t xml:space="preserve">Court’s decisions can thus be read in almost a moralistic, paternalistic way, </w:t>
      </w:r>
      <w:r w:rsidR="65749ADA" w:rsidRPr="4B228B65">
        <w:rPr>
          <w:rFonts w:ascii="Californian FB" w:eastAsia="Californian FB" w:hAnsi="Californian FB" w:cs="Californian FB"/>
        </w:rPr>
        <w:t>suggesting</w:t>
      </w:r>
      <w:r w:rsidR="64AEEF9E" w:rsidRPr="4B228B65">
        <w:rPr>
          <w:rFonts w:ascii="Californian FB" w:eastAsia="Californian FB" w:hAnsi="Californian FB" w:cs="Californian FB"/>
        </w:rPr>
        <w:t xml:space="preserve"> </w:t>
      </w:r>
      <w:r w:rsidR="59FEFE61" w:rsidRPr="4B228B65">
        <w:rPr>
          <w:rFonts w:ascii="Californian FB" w:eastAsia="Californian FB" w:hAnsi="Californian FB" w:cs="Californian FB"/>
        </w:rPr>
        <w:t>that justice requires a drastic readjustment of wealth.</w:t>
      </w:r>
      <w:r w:rsidR="4F51E13B" w:rsidRPr="4B228B65">
        <w:rPr>
          <w:rFonts w:ascii="Californian FB" w:eastAsia="Californian FB" w:hAnsi="Californian FB" w:cs="Californian FB"/>
        </w:rPr>
        <w:t xml:space="preserve"> As with other themes, though, this is not a consistently sustained </w:t>
      </w:r>
      <w:r w:rsidR="6EA0B823" w:rsidRPr="4B228B65">
        <w:rPr>
          <w:rFonts w:ascii="Californian FB" w:eastAsia="Californian FB" w:hAnsi="Californian FB" w:cs="Californian FB"/>
        </w:rPr>
        <w:t>principle</w:t>
      </w:r>
      <w:r w:rsidR="00537E1F">
        <w:rPr>
          <w:rFonts w:ascii="Californian FB" w:eastAsia="Californian FB" w:hAnsi="Californian FB" w:cs="Californian FB"/>
        </w:rPr>
        <w:t>.</w:t>
      </w:r>
    </w:p>
    <w:p w14:paraId="2500D531" w14:textId="77777777" w:rsidR="00DC45C7" w:rsidRPr="0033104C" w:rsidRDefault="00DC45C7" w:rsidP="00DC45C7">
      <w:pPr>
        <w:pStyle w:val="Heading3"/>
      </w:pPr>
      <w:r>
        <w:t>The I</w:t>
      </w:r>
      <w:r w:rsidRPr="00087480">
        <w:t>nfluence</w:t>
      </w:r>
      <w:r>
        <w:t xml:space="preserve"> of Previous Decisions</w:t>
      </w:r>
    </w:p>
    <w:p w14:paraId="2BFF80A9" w14:textId="1488437F" w:rsidR="00DC45C7" w:rsidRPr="00E77AD2" w:rsidRDefault="00DC45C7" w:rsidP="00DC45C7">
      <w:pPr>
        <w:jc w:val="both"/>
        <w:rPr>
          <w:rFonts w:ascii="Californian FB" w:hAnsi="Californian FB"/>
        </w:rPr>
      </w:pPr>
      <w:r w:rsidRPr="00E77AD2">
        <w:rPr>
          <w:rFonts w:ascii="Californian FB" w:hAnsi="Californian FB"/>
        </w:rPr>
        <w:t>Another theme that arose</w:t>
      </w:r>
      <w:r w:rsidR="00481AE5">
        <w:rPr>
          <w:rFonts w:ascii="Californian FB" w:hAnsi="Californian FB"/>
        </w:rPr>
        <w:t xml:space="preserve"> expl</w:t>
      </w:r>
      <w:r w:rsidR="00AB6FD0">
        <w:rPr>
          <w:rFonts w:ascii="Californian FB" w:hAnsi="Californian FB"/>
        </w:rPr>
        <w:t>ores</w:t>
      </w:r>
      <w:r w:rsidRPr="00E77AD2">
        <w:rPr>
          <w:rFonts w:ascii="Californian FB" w:hAnsi="Californian FB"/>
        </w:rPr>
        <w:t xml:space="preserve"> </w:t>
      </w:r>
      <w:r w:rsidR="00481AE5" w:rsidRPr="00481AE5">
        <w:rPr>
          <w:rFonts w:ascii="Californian FB" w:hAnsi="Californian FB"/>
        </w:rPr>
        <w:t>the different degrees to which previous decisions have influenced the Supreme Court’s decision-making</w:t>
      </w:r>
      <w:r w:rsidRPr="00E77AD2">
        <w:rPr>
          <w:rFonts w:ascii="Californian FB" w:hAnsi="Californian FB"/>
        </w:rPr>
        <w:t xml:space="preserve">. </w:t>
      </w:r>
      <w:r w:rsidR="008E0478">
        <w:rPr>
          <w:rFonts w:ascii="Californian FB" w:hAnsi="Californian FB"/>
        </w:rPr>
        <w:t>All</w:t>
      </w:r>
      <w:r w:rsidRPr="00E77AD2">
        <w:rPr>
          <w:rFonts w:ascii="Californian FB" w:hAnsi="Californian FB"/>
        </w:rPr>
        <w:t xml:space="preserve"> cases </w:t>
      </w:r>
      <w:r w:rsidRPr="008E0478">
        <w:rPr>
          <w:rFonts w:ascii="Californian FB" w:hAnsi="Californian FB"/>
          <w:i/>
        </w:rPr>
        <w:t>could</w:t>
      </w:r>
      <w:r w:rsidRPr="00E77AD2">
        <w:rPr>
          <w:rFonts w:ascii="Californian FB" w:hAnsi="Californian FB"/>
        </w:rPr>
        <w:t xml:space="preserve"> fall within this category</w:t>
      </w:r>
      <w:r w:rsidR="00CC2FE9">
        <w:rPr>
          <w:rFonts w:ascii="Californian FB" w:hAnsi="Californian FB"/>
        </w:rPr>
        <w:t xml:space="preserve"> – </w:t>
      </w:r>
      <w:r w:rsidRPr="00E77AD2">
        <w:rPr>
          <w:rFonts w:ascii="Californian FB" w:hAnsi="Californian FB"/>
        </w:rPr>
        <w:t xml:space="preserve">as </w:t>
      </w:r>
      <w:r w:rsidR="00CC2FE9">
        <w:rPr>
          <w:rFonts w:ascii="Californian FB" w:hAnsi="Californian FB"/>
        </w:rPr>
        <w:t xml:space="preserve">there is always </w:t>
      </w:r>
      <w:r w:rsidR="00CC2FE9">
        <w:rPr>
          <w:rFonts w:ascii="Californian FB" w:hAnsi="Californian FB"/>
          <w:i/>
          <w:iCs/>
        </w:rPr>
        <w:t xml:space="preserve">some </w:t>
      </w:r>
      <w:r w:rsidRPr="00E77AD2">
        <w:rPr>
          <w:rFonts w:ascii="Californian FB" w:hAnsi="Californian FB"/>
        </w:rPr>
        <w:t>previous authority</w:t>
      </w:r>
      <w:r w:rsidR="00FB5618">
        <w:rPr>
          <w:rFonts w:ascii="Californian FB" w:hAnsi="Californian FB"/>
        </w:rPr>
        <w:t>(</w:t>
      </w:r>
      <w:r w:rsidR="00CC2FE9">
        <w:rPr>
          <w:rFonts w:ascii="Californian FB" w:hAnsi="Californian FB"/>
        </w:rPr>
        <w:t>!</w:t>
      </w:r>
      <w:r w:rsidR="00FB5618">
        <w:rPr>
          <w:rFonts w:ascii="Californian FB" w:hAnsi="Californian FB"/>
        </w:rPr>
        <w:t>)</w:t>
      </w:r>
      <w:r w:rsidR="00CC2FE9">
        <w:rPr>
          <w:rFonts w:ascii="Californian FB" w:hAnsi="Californian FB"/>
        </w:rPr>
        <w:t xml:space="preserve"> –</w:t>
      </w:r>
      <w:r w:rsidRPr="00E77AD2">
        <w:rPr>
          <w:rFonts w:ascii="Californian FB" w:hAnsi="Californian FB"/>
        </w:rPr>
        <w:t xml:space="preserve"> but we </w:t>
      </w:r>
      <w:r w:rsidR="00CD6B9D">
        <w:rPr>
          <w:rFonts w:ascii="Californian FB" w:hAnsi="Californian FB"/>
        </w:rPr>
        <w:t>consider</w:t>
      </w:r>
      <w:r w:rsidRPr="00E77AD2" w:rsidDel="00CD6B9D">
        <w:rPr>
          <w:rFonts w:ascii="Californian FB" w:hAnsi="Californian FB"/>
        </w:rPr>
        <w:t xml:space="preserve"> </w:t>
      </w:r>
      <w:r w:rsidR="00A55A04">
        <w:rPr>
          <w:rFonts w:ascii="Californian FB" w:hAnsi="Californian FB"/>
        </w:rPr>
        <w:t>three</w:t>
      </w:r>
      <w:r w:rsidRPr="00E77AD2">
        <w:rPr>
          <w:rFonts w:ascii="Californian FB" w:hAnsi="Californian FB"/>
        </w:rPr>
        <w:t xml:space="preserve"> distinct grou</w:t>
      </w:r>
      <w:r w:rsidR="00472D61">
        <w:rPr>
          <w:rFonts w:ascii="Californian FB" w:hAnsi="Californian FB"/>
        </w:rPr>
        <w:t>pings</w:t>
      </w:r>
      <w:r w:rsidRPr="00E77AD2">
        <w:rPr>
          <w:rFonts w:ascii="Californian FB" w:hAnsi="Californian FB"/>
        </w:rPr>
        <w:t>: (</w:t>
      </w:r>
      <w:proofErr w:type="spellStart"/>
      <w:r w:rsidRPr="00E77AD2">
        <w:rPr>
          <w:rFonts w:ascii="Californian FB" w:hAnsi="Californian FB"/>
        </w:rPr>
        <w:t>i</w:t>
      </w:r>
      <w:proofErr w:type="spellEnd"/>
      <w:r w:rsidRPr="00E77AD2">
        <w:rPr>
          <w:rFonts w:ascii="Californian FB" w:hAnsi="Californian FB"/>
        </w:rPr>
        <w:t xml:space="preserve">) cases which build on and develop previous decisions, (ii) cases that overrule previous decisions, or (iii) cases where the </w:t>
      </w:r>
      <w:r w:rsidR="00BC5445">
        <w:rPr>
          <w:rFonts w:ascii="Californian FB" w:hAnsi="Californian FB"/>
        </w:rPr>
        <w:t>C</w:t>
      </w:r>
      <w:r w:rsidRPr="00E77AD2">
        <w:rPr>
          <w:rFonts w:ascii="Californian FB" w:hAnsi="Californian FB"/>
        </w:rPr>
        <w:t xml:space="preserve">ourt </w:t>
      </w:r>
      <w:r w:rsidRPr="10E55573">
        <w:rPr>
          <w:rFonts w:ascii="Californian FB" w:hAnsi="Californian FB"/>
        </w:rPr>
        <w:t>feel</w:t>
      </w:r>
      <w:r w:rsidR="788C0BD6" w:rsidRPr="10E55573">
        <w:rPr>
          <w:rFonts w:ascii="Californian FB" w:hAnsi="Californian FB"/>
        </w:rPr>
        <w:t>s</w:t>
      </w:r>
      <w:r w:rsidRPr="00E77AD2">
        <w:rPr>
          <w:rFonts w:ascii="Californian FB" w:hAnsi="Californian FB"/>
        </w:rPr>
        <w:t xml:space="preserve"> bound, because of previous decisions, not</w:t>
      </w:r>
      <w:r w:rsidR="00166C1E">
        <w:rPr>
          <w:rFonts w:ascii="Californian FB" w:hAnsi="Californian FB"/>
        </w:rPr>
        <w:t xml:space="preserve"> to</w:t>
      </w:r>
      <w:r w:rsidRPr="00E77AD2">
        <w:rPr>
          <w:rFonts w:ascii="Californian FB" w:hAnsi="Californian FB"/>
        </w:rPr>
        <w:t xml:space="preserve"> develop or change the law. </w:t>
      </w:r>
      <w:r w:rsidR="00FB5618">
        <w:rPr>
          <w:rFonts w:ascii="Californian FB" w:hAnsi="Californian FB"/>
        </w:rPr>
        <w:t>We contend</w:t>
      </w:r>
      <w:r w:rsidR="00087E38">
        <w:rPr>
          <w:rFonts w:ascii="Californian FB" w:hAnsi="Californian FB"/>
        </w:rPr>
        <w:t xml:space="preserve"> that these decisions tell us something about how the </w:t>
      </w:r>
      <w:r w:rsidR="00AD38E3">
        <w:rPr>
          <w:rFonts w:ascii="Californian FB" w:hAnsi="Californian FB"/>
        </w:rPr>
        <w:t>C</w:t>
      </w:r>
      <w:r w:rsidR="00087E38">
        <w:rPr>
          <w:rFonts w:ascii="Californian FB" w:hAnsi="Californian FB"/>
        </w:rPr>
        <w:t xml:space="preserve">ourt sees </w:t>
      </w:r>
      <w:r w:rsidR="00DE2320">
        <w:rPr>
          <w:rFonts w:ascii="Californian FB" w:hAnsi="Californian FB"/>
        </w:rPr>
        <w:t>its</w:t>
      </w:r>
      <w:r w:rsidR="00087E38">
        <w:rPr>
          <w:rFonts w:ascii="Californian FB" w:hAnsi="Californian FB"/>
        </w:rPr>
        <w:t xml:space="preserve"> role and limitations</w:t>
      </w:r>
      <w:r w:rsidR="00906985">
        <w:rPr>
          <w:rFonts w:ascii="Californian FB" w:hAnsi="Californian FB"/>
        </w:rPr>
        <w:t>. This comes</w:t>
      </w:r>
      <w:r w:rsidR="00F74D6D">
        <w:rPr>
          <w:rFonts w:ascii="Californian FB" w:hAnsi="Californian FB"/>
        </w:rPr>
        <w:t xml:space="preserve"> through most strongly in the consideration of the last category</w:t>
      </w:r>
      <w:r w:rsidR="00087E38">
        <w:rPr>
          <w:rFonts w:ascii="Californian FB" w:hAnsi="Californian FB"/>
        </w:rPr>
        <w:t xml:space="preserve">. </w:t>
      </w:r>
    </w:p>
    <w:p w14:paraId="03F78E4B" w14:textId="4CBBA092" w:rsidR="00DC45C7" w:rsidRPr="007A4726" w:rsidRDefault="00DC45C7" w:rsidP="0015717F">
      <w:pPr>
        <w:pStyle w:val="Heading4"/>
      </w:pPr>
      <w:r w:rsidRPr="007A4726">
        <w:t>(</w:t>
      </w:r>
      <w:proofErr w:type="spellStart"/>
      <w:r w:rsidRPr="007A4726">
        <w:t>i</w:t>
      </w:r>
      <w:proofErr w:type="spellEnd"/>
      <w:r w:rsidRPr="007A4726">
        <w:t>) Cases which seek to build on and develop previous decisions</w:t>
      </w:r>
    </w:p>
    <w:p w14:paraId="11A1960B" w14:textId="7EC51F55" w:rsidR="009D7AB9" w:rsidRDefault="00F97616" w:rsidP="00DC45C7">
      <w:pPr>
        <w:jc w:val="both"/>
        <w:rPr>
          <w:rFonts w:ascii="Californian FB" w:hAnsi="Californian FB"/>
        </w:rPr>
      </w:pPr>
      <w:r>
        <w:rPr>
          <w:rFonts w:ascii="Californian FB" w:hAnsi="Californian FB"/>
        </w:rPr>
        <w:t>The Supreme Court, as an apex court</w:t>
      </w:r>
      <w:r w:rsidR="40FF36D2" w:rsidRPr="10E55573">
        <w:rPr>
          <w:rFonts w:ascii="Californian FB" w:hAnsi="Californian FB"/>
        </w:rPr>
        <w:t>,</w:t>
      </w:r>
      <w:r>
        <w:rPr>
          <w:rFonts w:ascii="Californian FB" w:hAnsi="Californian FB"/>
        </w:rPr>
        <w:t xml:space="preserve"> has an important role</w:t>
      </w:r>
      <w:r w:rsidR="001A0C12">
        <w:rPr>
          <w:rFonts w:ascii="Californian FB" w:hAnsi="Californian FB"/>
        </w:rPr>
        <w:t xml:space="preserve"> (and responsibility)</w:t>
      </w:r>
      <w:r>
        <w:rPr>
          <w:rFonts w:ascii="Californian FB" w:hAnsi="Californian FB"/>
        </w:rPr>
        <w:t xml:space="preserve"> in developing </w:t>
      </w:r>
      <w:r w:rsidR="001A0C12">
        <w:rPr>
          <w:rFonts w:ascii="Californian FB" w:hAnsi="Californian FB"/>
        </w:rPr>
        <w:t>the law and overruling previous decisions</w:t>
      </w:r>
      <w:r w:rsidR="00B25A68">
        <w:rPr>
          <w:rFonts w:ascii="Californian FB" w:hAnsi="Californian FB"/>
        </w:rPr>
        <w:t xml:space="preserve"> where necessary</w:t>
      </w:r>
      <w:r w:rsidR="001A0C12">
        <w:rPr>
          <w:rFonts w:ascii="Californian FB" w:hAnsi="Californian FB"/>
        </w:rPr>
        <w:t>. This can be seen in both this grouping of cases and the following one</w:t>
      </w:r>
      <w:r w:rsidR="009D7AB9">
        <w:rPr>
          <w:rFonts w:ascii="Californian FB" w:hAnsi="Californian FB"/>
        </w:rPr>
        <w:t xml:space="preserve">; this grouping considers </w:t>
      </w:r>
      <w:r w:rsidR="000A45A4">
        <w:rPr>
          <w:rFonts w:ascii="Californian FB" w:hAnsi="Californian FB"/>
        </w:rPr>
        <w:t xml:space="preserve">some examples of </w:t>
      </w:r>
      <w:r w:rsidR="009D7AB9">
        <w:rPr>
          <w:rFonts w:ascii="Californian FB" w:hAnsi="Californian FB"/>
        </w:rPr>
        <w:t xml:space="preserve">where the </w:t>
      </w:r>
      <w:r w:rsidR="000C64CB">
        <w:rPr>
          <w:rFonts w:ascii="Californian FB" w:hAnsi="Californian FB"/>
        </w:rPr>
        <w:t>C</w:t>
      </w:r>
      <w:r w:rsidR="009D7AB9">
        <w:rPr>
          <w:rFonts w:ascii="Californian FB" w:hAnsi="Californian FB"/>
        </w:rPr>
        <w:t>ourt builds on</w:t>
      </w:r>
      <w:r w:rsidR="00BE16BD">
        <w:rPr>
          <w:rFonts w:ascii="Californian FB" w:hAnsi="Californian FB"/>
        </w:rPr>
        <w:t xml:space="preserve"> and develops the law based on</w:t>
      </w:r>
      <w:r w:rsidR="009D7AB9">
        <w:rPr>
          <w:rFonts w:ascii="Californian FB" w:hAnsi="Californian FB"/>
        </w:rPr>
        <w:t xml:space="preserve"> previous authority</w:t>
      </w:r>
      <w:r w:rsidR="0011371A">
        <w:rPr>
          <w:rFonts w:ascii="Californian FB" w:hAnsi="Californian FB"/>
        </w:rPr>
        <w:t>.</w:t>
      </w:r>
      <w:r w:rsidR="009D7AB9">
        <w:rPr>
          <w:rFonts w:ascii="Californian FB" w:hAnsi="Californian FB"/>
        </w:rPr>
        <w:t xml:space="preserve"> </w:t>
      </w:r>
    </w:p>
    <w:p w14:paraId="4B1A7DE1" w14:textId="38E3F922" w:rsidR="00DC45C7" w:rsidRPr="00E77AD2" w:rsidRDefault="006C2EAF" w:rsidP="00DC45C7">
      <w:pPr>
        <w:jc w:val="both"/>
        <w:rPr>
          <w:rFonts w:ascii="Californian FB" w:hAnsi="Californian FB"/>
        </w:rPr>
      </w:pPr>
      <w:r>
        <w:rPr>
          <w:rFonts w:ascii="Californian FB" w:hAnsi="Californian FB"/>
        </w:rPr>
        <w:t>One example is</w:t>
      </w:r>
      <w:r w:rsidR="00DC45C7" w:rsidRPr="00E77AD2">
        <w:rPr>
          <w:rFonts w:ascii="Californian FB" w:hAnsi="Californian FB"/>
        </w:rPr>
        <w:t xml:space="preserve"> </w:t>
      </w:r>
      <w:r w:rsidR="00DC45C7" w:rsidRPr="00E77AD2">
        <w:rPr>
          <w:rFonts w:ascii="Californian FB" w:hAnsi="Californian FB"/>
          <w:i/>
          <w:iCs/>
        </w:rPr>
        <w:t>Jones v Kernott</w:t>
      </w:r>
      <w:r w:rsidR="008925C8">
        <w:rPr>
          <w:rFonts w:ascii="Californian FB" w:hAnsi="Californian FB"/>
          <w:i/>
          <w:iCs/>
        </w:rPr>
        <w:t xml:space="preserve">, </w:t>
      </w:r>
      <w:r w:rsidR="008925C8">
        <w:rPr>
          <w:rFonts w:ascii="Californian FB" w:hAnsi="Californian FB"/>
        </w:rPr>
        <w:t>discussed above,</w:t>
      </w:r>
      <w:r w:rsidR="00DC45C7" w:rsidRPr="00E77AD2">
        <w:rPr>
          <w:rFonts w:ascii="Californian FB" w:hAnsi="Californian FB"/>
        </w:rPr>
        <w:t xml:space="preserve"> where the </w:t>
      </w:r>
      <w:r w:rsidR="7F3EC39D" w:rsidRPr="00E77AD2">
        <w:rPr>
          <w:rFonts w:ascii="Californian FB" w:hAnsi="Californian FB"/>
        </w:rPr>
        <w:t>C</w:t>
      </w:r>
      <w:r w:rsidR="00DC45C7" w:rsidRPr="00E77AD2">
        <w:rPr>
          <w:rFonts w:ascii="Californian FB" w:hAnsi="Californian FB"/>
        </w:rPr>
        <w:t>ourt took the opportunity to clarify and develop the House of Lords</w:t>
      </w:r>
      <w:r>
        <w:rPr>
          <w:rFonts w:ascii="Californian FB" w:hAnsi="Californian FB"/>
        </w:rPr>
        <w:t>’ decision a few years earlier</w:t>
      </w:r>
      <w:r w:rsidR="005A617F">
        <w:rPr>
          <w:rFonts w:ascii="Californian FB" w:hAnsi="Californian FB"/>
        </w:rPr>
        <w:t xml:space="preserve"> in </w:t>
      </w:r>
      <w:r w:rsidR="005A617F" w:rsidRPr="0A5F1DBA">
        <w:rPr>
          <w:rFonts w:ascii="Californian FB" w:hAnsi="Californian FB"/>
          <w:i/>
          <w:iCs/>
        </w:rPr>
        <w:t>Stack v Dowden</w:t>
      </w:r>
      <w:r w:rsidR="00261338" w:rsidRPr="0A5F1DBA">
        <w:rPr>
          <w:rFonts w:ascii="Californian FB" w:hAnsi="Californian FB"/>
          <w:i/>
          <w:iCs/>
        </w:rPr>
        <w:t>.</w:t>
      </w:r>
      <w:r w:rsidR="00DC45C7" w:rsidRPr="00E77AD2">
        <w:rPr>
          <w:rFonts w:ascii="Californian FB" w:hAnsi="Californian FB"/>
        </w:rPr>
        <w:t xml:space="preserve"> In doing so</w:t>
      </w:r>
      <w:r w:rsidR="00135EE0">
        <w:rPr>
          <w:rFonts w:ascii="Californian FB" w:hAnsi="Californian FB"/>
        </w:rPr>
        <w:t>,</w:t>
      </w:r>
      <w:r w:rsidR="00DC45C7" w:rsidRPr="00E77AD2">
        <w:rPr>
          <w:rFonts w:ascii="Californian FB" w:hAnsi="Californian FB"/>
        </w:rPr>
        <w:t xml:space="preserve"> </w:t>
      </w:r>
      <w:r w:rsidR="00A323B2">
        <w:rPr>
          <w:rFonts w:ascii="Californian FB" w:hAnsi="Californian FB"/>
        </w:rPr>
        <w:t>it</w:t>
      </w:r>
      <w:r w:rsidR="00DC45C7" w:rsidRPr="00E77AD2">
        <w:rPr>
          <w:rFonts w:ascii="Californian FB" w:hAnsi="Californian FB"/>
        </w:rPr>
        <w:t xml:space="preserve"> reaffirm</w:t>
      </w:r>
      <w:r w:rsidR="00161476">
        <w:rPr>
          <w:rFonts w:ascii="Californian FB" w:hAnsi="Californian FB"/>
        </w:rPr>
        <w:t>ed</w:t>
      </w:r>
      <w:r w:rsidR="00DC45C7" w:rsidRPr="00E77AD2">
        <w:rPr>
          <w:rFonts w:ascii="Californian FB" w:hAnsi="Californian FB"/>
        </w:rPr>
        <w:t xml:space="preserve"> the principles underlying a common intention constructive trust and further developed the concept </w:t>
      </w:r>
      <w:r w:rsidR="00135EE0">
        <w:rPr>
          <w:rFonts w:ascii="Californian FB" w:hAnsi="Californian FB"/>
        </w:rPr>
        <w:t>by</w:t>
      </w:r>
      <w:r w:rsidR="00DC45C7" w:rsidRPr="00E77AD2">
        <w:rPr>
          <w:rFonts w:ascii="Californian FB" w:hAnsi="Californian FB"/>
        </w:rPr>
        <w:t xml:space="preserve"> confirming that </w:t>
      </w:r>
      <w:r w:rsidR="002445CC">
        <w:rPr>
          <w:rFonts w:ascii="Californian FB" w:hAnsi="Californian FB"/>
        </w:rPr>
        <w:t>intentions could be imputed and</w:t>
      </w:r>
      <w:r w:rsidR="00DC45C7" w:rsidRPr="00E77AD2">
        <w:rPr>
          <w:rFonts w:ascii="Californian FB" w:hAnsi="Californian FB"/>
        </w:rPr>
        <w:t xml:space="preserve"> </w:t>
      </w:r>
      <w:r w:rsidR="00E57CD5">
        <w:rPr>
          <w:rFonts w:ascii="Californian FB" w:hAnsi="Californian FB"/>
        </w:rPr>
        <w:t>that the constructive trust</w:t>
      </w:r>
      <w:r w:rsidR="00DC45C7" w:rsidRPr="00E77AD2">
        <w:rPr>
          <w:rFonts w:ascii="Californian FB" w:hAnsi="Californian FB"/>
        </w:rPr>
        <w:t xml:space="preserve"> was ambulatory.</w:t>
      </w:r>
      <w:r w:rsidR="00261338">
        <w:rPr>
          <w:rStyle w:val="FootnoteReference"/>
          <w:rFonts w:ascii="Californian FB" w:hAnsi="Californian FB"/>
        </w:rPr>
        <w:footnoteReference w:id="37"/>
      </w:r>
      <w:r w:rsidR="00DC45C7" w:rsidRPr="00E77AD2">
        <w:rPr>
          <w:rFonts w:ascii="Californian FB" w:hAnsi="Californian FB"/>
        </w:rPr>
        <w:t xml:space="preserve"> </w:t>
      </w:r>
      <w:r w:rsidR="00EB47D7">
        <w:rPr>
          <w:rFonts w:ascii="Californian FB" w:hAnsi="Californian FB"/>
        </w:rPr>
        <w:t>Similarly,</w:t>
      </w:r>
      <w:r w:rsidR="000D034E">
        <w:rPr>
          <w:rFonts w:ascii="Californian FB" w:hAnsi="Californian FB"/>
        </w:rPr>
        <w:t xml:space="preserve"> in</w:t>
      </w:r>
      <w:r w:rsidR="00DC45C7" w:rsidRPr="00E77AD2">
        <w:rPr>
          <w:rFonts w:ascii="Californian FB" w:hAnsi="Californian FB"/>
        </w:rPr>
        <w:t xml:space="preserve"> </w:t>
      </w:r>
      <w:r w:rsidR="00D8549B" w:rsidRPr="0A5F1DBA">
        <w:rPr>
          <w:rFonts w:ascii="Californian FB" w:hAnsi="Californian FB"/>
          <w:i/>
          <w:iCs/>
        </w:rPr>
        <w:t>Tomlinson v Birmingham City Counci</w:t>
      </w:r>
      <w:r w:rsidR="00CB3764">
        <w:rPr>
          <w:rFonts w:ascii="Californian FB" w:hAnsi="Californian FB"/>
          <w:i/>
          <w:iCs/>
        </w:rPr>
        <w:t>l,</w:t>
      </w:r>
      <w:r w:rsidR="00D8549B" w:rsidRPr="0A5F1DBA">
        <w:rPr>
          <w:rFonts w:ascii="Californian FB" w:hAnsi="Californian FB"/>
          <w:i/>
          <w:iCs/>
        </w:rPr>
        <w:t xml:space="preserve"> </w:t>
      </w:r>
      <w:r w:rsidR="00D8549B" w:rsidRPr="00E77AD2">
        <w:rPr>
          <w:rStyle w:val="FootnoteReference"/>
          <w:rFonts w:ascii="Californian FB" w:hAnsi="Californian FB"/>
        </w:rPr>
        <w:footnoteReference w:id="38"/>
      </w:r>
      <w:r w:rsidR="00CB3764">
        <w:rPr>
          <w:rFonts w:ascii="Californian FB" w:hAnsi="Californian FB"/>
          <w:i/>
          <w:iCs/>
        </w:rPr>
        <w:t xml:space="preserve"> </w:t>
      </w:r>
      <w:r w:rsidR="00586461" w:rsidRPr="0A5F1DBA">
        <w:rPr>
          <w:rFonts w:ascii="Californian FB" w:hAnsi="Californian FB"/>
          <w:i/>
          <w:iCs/>
        </w:rPr>
        <w:t xml:space="preserve"> </w:t>
      </w:r>
      <w:r w:rsidR="00836EAF">
        <w:rPr>
          <w:rFonts w:ascii="Californian FB" w:hAnsi="Californian FB"/>
        </w:rPr>
        <w:t>it</w:t>
      </w:r>
      <w:r w:rsidR="00DC45C7" w:rsidRPr="00E77AD2">
        <w:rPr>
          <w:rFonts w:ascii="Californian FB" w:hAnsi="Californian FB"/>
        </w:rPr>
        <w:t xml:space="preserve"> built on the decision of the House of Lords in </w:t>
      </w:r>
      <w:r w:rsidR="00DC45C7" w:rsidRPr="00E77AD2">
        <w:rPr>
          <w:rFonts w:ascii="Californian FB" w:hAnsi="Californian FB"/>
          <w:i/>
          <w:iCs/>
        </w:rPr>
        <w:t>Runa Begum v Tower Hamlets London Borough Council</w:t>
      </w:r>
      <w:r w:rsidR="00586461" w:rsidRPr="0A5F1DBA">
        <w:rPr>
          <w:rFonts w:ascii="Californian FB" w:hAnsi="Californian FB"/>
          <w:i/>
          <w:iCs/>
        </w:rPr>
        <w:t>.</w:t>
      </w:r>
      <w:r w:rsidR="00DC45C7" w:rsidRPr="00E77AD2">
        <w:rPr>
          <w:rStyle w:val="FootnoteReference"/>
          <w:rFonts w:ascii="Californian FB" w:hAnsi="Californian FB"/>
        </w:rPr>
        <w:footnoteReference w:id="39"/>
      </w:r>
      <w:r w:rsidR="00DC45C7" w:rsidRPr="00E77AD2">
        <w:rPr>
          <w:rFonts w:ascii="Californian FB" w:hAnsi="Californian FB"/>
        </w:rPr>
        <w:t xml:space="preserve"> </w:t>
      </w:r>
      <w:r w:rsidR="00C94279">
        <w:rPr>
          <w:rFonts w:ascii="Californian FB" w:hAnsi="Californian FB"/>
        </w:rPr>
        <w:t>One issue</w:t>
      </w:r>
      <w:r w:rsidR="00DC45C7" w:rsidRPr="00E77AD2">
        <w:rPr>
          <w:rFonts w:ascii="Californian FB" w:hAnsi="Californian FB"/>
        </w:rPr>
        <w:t xml:space="preserve"> </w:t>
      </w:r>
      <w:r w:rsidR="00F66440">
        <w:rPr>
          <w:rFonts w:ascii="Californian FB" w:hAnsi="Californian FB"/>
        </w:rPr>
        <w:t>in</w:t>
      </w:r>
      <w:r w:rsidR="00D175BF">
        <w:rPr>
          <w:rFonts w:ascii="Californian FB" w:hAnsi="Californian FB"/>
        </w:rPr>
        <w:t xml:space="preserve"> </w:t>
      </w:r>
      <w:r w:rsidR="00D175BF" w:rsidRPr="0A5F1DBA">
        <w:rPr>
          <w:rFonts w:ascii="Californian FB" w:hAnsi="Californian FB"/>
          <w:i/>
          <w:iCs/>
        </w:rPr>
        <w:t xml:space="preserve">Tomlinson </w:t>
      </w:r>
      <w:r w:rsidR="00F66440">
        <w:rPr>
          <w:rFonts w:ascii="Californian FB" w:hAnsi="Californian FB"/>
        </w:rPr>
        <w:t>was</w:t>
      </w:r>
      <w:r w:rsidR="00DC45C7" w:rsidRPr="00E77AD2">
        <w:rPr>
          <w:rFonts w:ascii="Californian FB" w:hAnsi="Californian FB"/>
        </w:rPr>
        <w:t xml:space="preserve"> whether ‘civil rights’ were engaged </w:t>
      </w:r>
      <w:r w:rsidR="7FF12F38" w:rsidRPr="00E77AD2">
        <w:rPr>
          <w:rFonts w:ascii="Californian FB" w:hAnsi="Californian FB"/>
        </w:rPr>
        <w:t xml:space="preserve">for the purposes of </w:t>
      </w:r>
      <w:r w:rsidR="0024372D">
        <w:rPr>
          <w:rFonts w:ascii="Californian FB" w:hAnsi="Californian FB"/>
        </w:rPr>
        <w:t>A</w:t>
      </w:r>
      <w:r w:rsidR="7FF12F38" w:rsidRPr="00E77AD2">
        <w:rPr>
          <w:rFonts w:ascii="Californian FB" w:hAnsi="Californian FB"/>
        </w:rPr>
        <w:t>rticle 6 of the ECHR</w:t>
      </w:r>
      <w:r w:rsidR="00DC45C7" w:rsidRPr="00E77AD2">
        <w:rPr>
          <w:rFonts w:ascii="Californian FB" w:hAnsi="Californian FB"/>
        </w:rPr>
        <w:t xml:space="preserve"> when a party allegedly refused a suitable offer of accommodation and the local authority </w:t>
      </w:r>
      <w:r w:rsidR="00F66440">
        <w:rPr>
          <w:rFonts w:ascii="Californian FB" w:hAnsi="Californian FB"/>
        </w:rPr>
        <w:t>as a result</w:t>
      </w:r>
      <w:r w:rsidR="006C652A">
        <w:rPr>
          <w:rFonts w:ascii="Californian FB" w:hAnsi="Californian FB"/>
        </w:rPr>
        <w:t xml:space="preserve"> </w:t>
      </w:r>
      <w:r w:rsidR="00D175BF">
        <w:rPr>
          <w:rFonts w:ascii="Californian FB" w:hAnsi="Californian FB"/>
        </w:rPr>
        <w:t>discharged</w:t>
      </w:r>
      <w:r w:rsidR="00DC45C7" w:rsidRPr="00E77AD2">
        <w:rPr>
          <w:rFonts w:ascii="Californian FB" w:hAnsi="Californian FB"/>
        </w:rPr>
        <w:t xml:space="preserve"> their duty </w:t>
      </w:r>
      <w:r w:rsidR="00D175BF">
        <w:rPr>
          <w:rFonts w:ascii="Californian FB" w:hAnsi="Californian FB"/>
        </w:rPr>
        <w:t xml:space="preserve">to house them </w:t>
      </w:r>
      <w:r w:rsidR="00DC45C7" w:rsidRPr="00E77AD2">
        <w:rPr>
          <w:rFonts w:ascii="Californian FB" w:hAnsi="Californian FB"/>
        </w:rPr>
        <w:t>by sending a letter. While the House of Lords had declined to express a concluded view one way or the other on this issue, the Supreme Court made clear that the inclusion of benefits in kind</w:t>
      </w:r>
      <w:r w:rsidR="00522E94">
        <w:rPr>
          <w:rFonts w:ascii="Californian FB" w:hAnsi="Californian FB"/>
        </w:rPr>
        <w:t xml:space="preserve"> within Article 6</w:t>
      </w:r>
      <w:r w:rsidR="00DC45C7" w:rsidRPr="00E77AD2">
        <w:rPr>
          <w:rFonts w:ascii="Californian FB" w:hAnsi="Californian FB"/>
        </w:rPr>
        <w:t xml:space="preserve"> was not a step it was willing to take, drawing a clearer </w:t>
      </w:r>
      <w:r w:rsidR="00DC45C7" w:rsidRPr="00E075F2">
        <w:rPr>
          <w:rFonts w:ascii="Californian FB" w:hAnsi="Californian FB"/>
        </w:rPr>
        <w:t>boundary</w:t>
      </w:r>
      <w:r w:rsidR="006C652A" w:rsidRPr="00E075F2">
        <w:rPr>
          <w:rFonts w:ascii="Californian FB" w:hAnsi="Californian FB"/>
        </w:rPr>
        <w:t>.</w:t>
      </w:r>
      <w:r w:rsidR="00DC45C7" w:rsidRPr="00E075F2">
        <w:rPr>
          <w:rFonts w:ascii="Californian FB" w:hAnsi="Californian FB"/>
        </w:rPr>
        <w:t xml:space="preserve"> </w:t>
      </w:r>
      <w:r w:rsidR="00E075F2" w:rsidRPr="00E075F2">
        <w:rPr>
          <w:rFonts w:ascii="Californian FB" w:hAnsi="Californian FB"/>
        </w:rPr>
        <w:t>Likewise,</w:t>
      </w:r>
      <w:r w:rsidR="4ABD0CC4" w:rsidRPr="00E77AD2">
        <w:rPr>
          <w:rFonts w:ascii="Californian FB" w:hAnsi="Californian FB"/>
        </w:rPr>
        <w:t xml:space="preserve"> in</w:t>
      </w:r>
      <w:r w:rsidR="00DC45C7" w:rsidRPr="00E77AD2">
        <w:rPr>
          <w:rFonts w:ascii="Californian FB" w:hAnsi="Californian FB"/>
        </w:rPr>
        <w:t xml:space="preserve"> </w:t>
      </w:r>
      <w:r w:rsidR="00DC45C7" w:rsidRPr="00E77AD2">
        <w:rPr>
          <w:rFonts w:ascii="Californian FB" w:hAnsi="Californian FB"/>
          <w:i/>
          <w:iCs/>
        </w:rPr>
        <w:t>Powell</w:t>
      </w:r>
      <w:r w:rsidR="788F4AE8" w:rsidRPr="10E55573">
        <w:rPr>
          <w:rFonts w:ascii="Californian FB" w:hAnsi="Californian FB"/>
          <w:i/>
          <w:iCs/>
        </w:rPr>
        <w:t>,</w:t>
      </w:r>
      <w:r w:rsidR="00DC45C7" w:rsidRPr="00E77AD2">
        <w:rPr>
          <w:rStyle w:val="FootnoteReference"/>
          <w:rFonts w:ascii="Californian FB" w:hAnsi="Californian FB"/>
        </w:rPr>
        <w:footnoteReference w:id="40"/>
      </w:r>
      <w:r w:rsidR="00DC45C7" w:rsidRPr="00E77AD2">
        <w:rPr>
          <w:rFonts w:ascii="Californian FB" w:hAnsi="Californian FB"/>
        </w:rPr>
        <w:t xml:space="preserve"> </w:t>
      </w:r>
      <w:r w:rsidR="00E075F2" w:rsidRPr="00E075F2">
        <w:rPr>
          <w:rFonts w:ascii="Californian FB" w:hAnsi="Californian FB"/>
        </w:rPr>
        <w:t>the Court</w:t>
      </w:r>
      <w:r w:rsidR="00DC45C7" w:rsidRPr="00E77AD2">
        <w:rPr>
          <w:rFonts w:ascii="Californian FB" w:hAnsi="Californian FB"/>
        </w:rPr>
        <w:t xml:space="preserve"> extended the reasoning developed in </w:t>
      </w:r>
      <w:r w:rsidR="00E06345" w:rsidRPr="0A5F1DBA">
        <w:rPr>
          <w:rFonts w:ascii="Californian FB" w:eastAsia="Californian FB" w:hAnsi="Californian FB" w:cs="Californian FB"/>
          <w:i/>
          <w:iCs/>
          <w:color w:val="000000" w:themeColor="text1"/>
          <w:lang w:val="en-US"/>
        </w:rPr>
        <w:t>Manchester City Council v</w:t>
      </w:r>
      <w:r w:rsidR="00E06345" w:rsidRPr="067A8035">
        <w:rPr>
          <w:rFonts w:ascii="Californian FB" w:eastAsia="Californian FB" w:hAnsi="Californian FB" w:cs="Californian FB"/>
          <w:color w:val="000000" w:themeColor="text1"/>
          <w:lang w:val="en-US"/>
        </w:rPr>
        <w:t xml:space="preserve"> </w:t>
      </w:r>
      <w:r w:rsidR="00E06345" w:rsidRPr="0A5F1DBA">
        <w:rPr>
          <w:rFonts w:ascii="Californian FB" w:eastAsia="Californian FB" w:hAnsi="Californian FB" w:cs="Californian FB"/>
          <w:i/>
          <w:iCs/>
          <w:color w:val="000000" w:themeColor="text1"/>
          <w:lang w:val="en-US"/>
        </w:rPr>
        <w:t>Pinnock</w:t>
      </w:r>
      <w:r w:rsidR="00E06345" w:rsidRPr="763D5B57">
        <w:rPr>
          <w:rStyle w:val="FootnoteReference"/>
          <w:rFonts w:ascii="Californian FB" w:eastAsia="Californian FB" w:hAnsi="Californian FB" w:cs="Californian FB"/>
          <w:color w:val="000000" w:themeColor="text1"/>
          <w:lang w:val="en-US"/>
        </w:rPr>
        <w:footnoteReference w:id="41"/>
      </w:r>
      <w:r w:rsidR="00DC45C7" w:rsidRPr="00E77AD2">
        <w:rPr>
          <w:rFonts w:ascii="Californian FB" w:hAnsi="Californian FB"/>
          <w:i/>
          <w:iCs/>
        </w:rPr>
        <w:t xml:space="preserve"> </w:t>
      </w:r>
      <w:r w:rsidR="00DC45C7" w:rsidRPr="00E77AD2">
        <w:rPr>
          <w:rFonts w:ascii="Californian FB" w:hAnsi="Californian FB"/>
        </w:rPr>
        <w:t xml:space="preserve">applicable to </w:t>
      </w:r>
      <w:r w:rsidR="00522E94">
        <w:rPr>
          <w:rFonts w:ascii="Californian FB" w:hAnsi="Californian FB"/>
        </w:rPr>
        <w:t>A</w:t>
      </w:r>
      <w:r w:rsidR="00DC45C7" w:rsidRPr="00E77AD2">
        <w:rPr>
          <w:rFonts w:ascii="Californian FB" w:hAnsi="Californian FB"/>
        </w:rPr>
        <w:t xml:space="preserve">rticle 8 of the European Convention on Human Rights to introductory tenancies and cases where a local authority seeks possession in respect of a property that constitutes a </w:t>
      </w:r>
      <w:r w:rsidR="003A676B" w:rsidRPr="00E77AD2">
        <w:rPr>
          <w:rFonts w:ascii="Californian FB" w:hAnsi="Californian FB"/>
        </w:rPr>
        <w:t>person’s</w:t>
      </w:r>
      <w:r w:rsidR="00DC45C7" w:rsidRPr="00E77AD2">
        <w:rPr>
          <w:rFonts w:ascii="Californian FB" w:hAnsi="Californian FB"/>
        </w:rPr>
        <w:t xml:space="preserve"> home. </w:t>
      </w:r>
    </w:p>
    <w:p w14:paraId="525C0823" w14:textId="61E17CAA" w:rsidR="00DC45C7" w:rsidRPr="007A4726" w:rsidRDefault="00DC45C7" w:rsidP="0015717F">
      <w:pPr>
        <w:pStyle w:val="Heading4"/>
      </w:pPr>
      <w:r w:rsidRPr="007A4726">
        <w:lastRenderedPageBreak/>
        <w:t>(ii) Cases which overrule previous decisions</w:t>
      </w:r>
    </w:p>
    <w:p w14:paraId="2FB11A08" w14:textId="6B07087F" w:rsidR="00DC45C7" w:rsidRPr="003D41ED" w:rsidRDefault="00DC45C7" w:rsidP="00DC45C7">
      <w:pPr>
        <w:jc w:val="both"/>
        <w:rPr>
          <w:rFonts w:ascii="Californian FB" w:eastAsia="Californian FB" w:hAnsi="Californian FB" w:cs="Californian FB"/>
          <w:color w:val="000000" w:themeColor="text1"/>
        </w:rPr>
      </w:pPr>
      <w:r w:rsidRPr="00E77AD2">
        <w:rPr>
          <w:rFonts w:ascii="Californian FB" w:hAnsi="Californian FB"/>
        </w:rPr>
        <w:t>The Supreme Court</w:t>
      </w:r>
      <w:r w:rsidR="00B7684D">
        <w:rPr>
          <w:rFonts w:ascii="Californian FB" w:hAnsi="Californian FB"/>
        </w:rPr>
        <w:t xml:space="preserve"> </w:t>
      </w:r>
      <w:proofErr w:type="gramStart"/>
      <w:r w:rsidRPr="00E77AD2">
        <w:rPr>
          <w:rFonts w:ascii="Californian FB" w:hAnsi="Californian FB"/>
        </w:rPr>
        <w:t>has the ability to</w:t>
      </w:r>
      <w:proofErr w:type="gramEnd"/>
      <w:r w:rsidRPr="00E77AD2">
        <w:rPr>
          <w:rFonts w:ascii="Californian FB" w:hAnsi="Californian FB"/>
        </w:rPr>
        <w:t xml:space="preserve"> overrule previous decisions, and there are examples of the </w:t>
      </w:r>
      <w:r w:rsidR="4DB2B813" w:rsidRPr="00E77AD2">
        <w:rPr>
          <w:rFonts w:ascii="Californian FB" w:hAnsi="Californian FB"/>
        </w:rPr>
        <w:t>C</w:t>
      </w:r>
      <w:r w:rsidRPr="00E77AD2">
        <w:rPr>
          <w:rFonts w:ascii="Californian FB" w:hAnsi="Californian FB"/>
        </w:rPr>
        <w:t xml:space="preserve">ourt using this power. One example is </w:t>
      </w:r>
      <w:r w:rsidRPr="0A5F1DBA">
        <w:rPr>
          <w:rFonts w:ascii="Californian FB" w:hAnsi="Californian FB"/>
          <w:i/>
          <w:iCs/>
        </w:rPr>
        <w:t>Secretary of State for Environment, Food and Rural Affairs v Meier,</w:t>
      </w:r>
      <w:bookmarkStart w:id="9" w:name="_Ref173158391"/>
      <w:r w:rsidRPr="10E55573">
        <w:rPr>
          <w:rFonts w:ascii="Californian FB" w:hAnsi="Californian FB"/>
          <w:vertAlign w:val="superscript"/>
        </w:rPr>
        <w:footnoteReference w:id="42"/>
      </w:r>
      <w:bookmarkEnd w:id="9"/>
      <w:r w:rsidRPr="00E77AD2">
        <w:rPr>
          <w:rFonts w:ascii="Californian FB" w:hAnsi="Californian FB"/>
        </w:rPr>
        <w:t xml:space="preserve"> </w:t>
      </w:r>
      <w:r w:rsidR="00C30DE5">
        <w:rPr>
          <w:rFonts w:ascii="Californian FB" w:hAnsi="Californian FB"/>
        </w:rPr>
        <w:t xml:space="preserve">where </w:t>
      </w:r>
      <w:r w:rsidR="00734E7C">
        <w:rPr>
          <w:rFonts w:ascii="Californian FB" w:hAnsi="Californian FB"/>
        </w:rPr>
        <w:t xml:space="preserve">the </w:t>
      </w:r>
      <w:r w:rsidR="00423192">
        <w:rPr>
          <w:rFonts w:ascii="Californian FB" w:hAnsi="Californian FB"/>
        </w:rPr>
        <w:t>Secretary of State</w:t>
      </w:r>
      <w:r w:rsidR="00A43FF6">
        <w:rPr>
          <w:rFonts w:ascii="Californian FB" w:hAnsi="Californian FB"/>
        </w:rPr>
        <w:t xml:space="preserve"> </w:t>
      </w:r>
      <w:r w:rsidR="00FE7D8A">
        <w:rPr>
          <w:rFonts w:ascii="Californian FB" w:hAnsi="Californian FB"/>
        </w:rPr>
        <w:t xml:space="preserve">had claimed </w:t>
      </w:r>
      <w:r w:rsidR="00EB7B6F" w:rsidRPr="00EB7B6F">
        <w:rPr>
          <w:rFonts w:ascii="Californian FB" w:hAnsi="Californian FB"/>
        </w:rPr>
        <w:t>orders for possession over land not yet currently occupied</w:t>
      </w:r>
      <w:r w:rsidR="00FB2D22">
        <w:rPr>
          <w:rFonts w:ascii="Californian FB" w:hAnsi="Californian FB"/>
        </w:rPr>
        <w:t xml:space="preserve"> (but feared to be occupied in the future)</w:t>
      </w:r>
      <w:r w:rsidR="00EB7B6F" w:rsidRPr="00EB7B6F">
        <w:rPr>
          <w:rFonts w:ascii="Californian FB" w:hAnsi="Californian FB"/>
        </w:rPr>
        <w:t xml:space="preserve"> by </w:t>
      </w:r>
      <w:r w:rsidR="00E075F2">
        <w:rPr>
          <w:rFonts w:ascii="Californian FB" w:hAnsi="Californian FB"/>
        </w:rPr>
        <w:t>members of</w:t>
      </w:r>
      <w:r w:rsidR="00FB2D22">
        <w:rPr>
          <w:rFonts w:ascii="Californian FB" w:hAnsi="Californian FB"/>
        </w:rPr>
        <w:t xml:space="preserve"> the t</w:t>
      </w:r>
      <w:r w:rsidR="00EB7B6F" w:rsidRPr="00EB7B6F">
        <w:rPr>
          <w:rFonts w:ascii="Californian FB" w:hAnsi="Californian FB"/>
        </w:rPr>
        <w:t>ravell</w:t>
      </w:r>
      <w:r w:rsidR="00FB2D22">
        <w:rPr>
          <w:rFonts w:ascii="Californian FB" w:hAnsi="Californian FB"/>
        </w:rPr>
        <w:t xml:space="preserve">ing community. </w:t>
      </w:r>
      <w:r w:rsidR="00F01ACA">
        <w:rPr>
          <w:rFonts w:ascii="Californian FB" w:hAnsi="Californian FB"/>
        </w:rPr>
        <w:t xml:space="preserve">The Court ultimately refused to grant </w:t>
      </w:r>
      <w:r w:rsidR="00A51A4E">
        <w:rPr>
          <w:rFonts w:ascii="Californian FB" w:hAnsi="Californian FB"/>
        </w:rPr>
        <w:t xml:space="preserve">these orders of possession, and in </w:t>
      </w:r>
      <w:r w:rsidR="006F3CB6">
        <w:rPr>
          <w:rFonts w:ascii="Californian FB" w:hAnsi="Californian FB"/>
        </w:rPr>
        <w:t>doing so he</w:t>
      </w:r>
      <w:r w:rsidRPr="00E77AD2">
        <w:rPr>
          <w:rFonts w:ascii="Californian FB" w:hAnsi="Californian FB"/>
        </w:rPr>
        <w:t xml:space="preserve">ld that the decision of the Court of Appeal in </w:t>
      </w:r>
      <w:r w:rsidRPr="0A5F1DBA">
        <w:rPr>
          <w:rFonts w:ascii="Californian FB" w:hAnsi="Californian FB"/>
          <w:i/>
          <w:iCs/>
        </w:rPr>
        <w:t>Drury v S</w:t>
      </w:r>
      <w:r w:rsidR="00B7684D" w:rsidRPr="0A5F1DBA">
        <w:rPr>
          <w:rFonts w:ascii="Californian FB" w:hAnsi="Californian FB"/>
          <w:i/>
          <w:iCs/>
        </w:rPr>
        <w:t xml:space="preserve">ecretary </w:t>
      </w:r>
      <w:r w:rsidRPr="0A5F1DBA">
        <w:rPr>
          <w:rFonts w:ascii="Californian FB" w:hAnsi="Californian FB"/>
          <w:i/>
          <w:iCs/>
        </w:rPr>
        <w:t>o</w:t>
      </w:r>
      <w:r w:rsidR="00B7684D" w:rsidRPr="0A5F1DBA">
        <w:rPr>
          <w:rFonts w:ascii="Californian FB" w:hAnsi="Californian FB"/>
          <w:i/>
          <w:iCs/>
        </w:rPr>
        <w:t xml:space="preserve">f </w:t>
      </w:r>
      <w:r w:rsidRPr="0A5F1DBA">
        <w:rPr>
          <w:rFonts w:ascii="Californian FB" w:hAnsi="Californian FB"/>
          <w:i/>
          <w:iCs/>
        </w:rPr>
        <w:t>S</w:t>
      </w:r>
      <w:r w:rsidR="00B7684D" w:rsidRPr="0A5F1DBA">
        <w:rPr>
          <w:rFonts w:ascii="Californian FB" w:hAnsi="Californian FB"/>
          <w:i/>
          <w:iCs/>
        </w:rPr>
        <w:t>tate</w:t>
      </w:r>
      <w:r w:rsidR="006F3CB6">
        <w:rPr>
          <w:rFonts w:ascii="Californian FB" w:hAnsi="Californian FB"/>
          <w:i/>
          <w:iCs/>
        </w:rPr>
        <w:t>,</w:t>
      </w:r>
      <w:r w:rsidR="00B7684D" w:rsidRPr="10E55573">
        <w:rPr>
          <w:rStyle w:val="FootnoteReference"/>
          <w:rFonts w:ascii="Californian FB" w:hAnsi="Californian FB"/>
        </w:rPr>
        <w:footnoteReference w:id="43"/>
      </w:r>
      <w:r w:rsidR="006F3CB6" w:rsidRPr="10E55573">
        <w:rPr>
          <w:rFonts w:ascii="Californian FB" w:hAnsi="Californian FB"/>
        </w:rPr>
        <w:t xml:space="preserve"> </w:t>
      </w:r>
      <w:r w:rsidR="005A6D62">
        <w:rPr>
          <w:rFonts w:ascii="Californian FB" w:hAnsi="Californian FB"/>
        </w:rPr>
        <w:t>upholding the grant of such awards</w:t>
      </w:r>
      <w:r w:rsidR="00D35620">
        <w:rPr>
          <w:rFonts w:ascii="Californian FB" w:hAnsi="Californian FB"/>
        </w:rPr>
        <w:t>,</w:t>
      </w:r>
      <w:r w:rsidRPr="00E77AD2">
        <w:rPr>
          <w:rFonts w:ascii="Californian FB" w:hAnsi="Californian FB"/>
        </w:rPr>
        <w:t xml:space="preserve"> </w:t>
      </w:r>
      <w:r w:rsidR="00FA50FB">
        <w:rPr>
          <w:rFonts w:ascii="Californian FB" w:hAnsi="Californian FB"/>
        </w:rPr>
        <w:t xml:space="preserve">was wrong and </w:t>
      </w:r>
      <w:r w:rsidRPr="00E77AD2">
        <w:rPr>
          <w:rFonts w:ascii="Californian FB" w:hAnsi="Californian FB"/>
        </w:rPr>
        <w:t xml:space="preserve">should </w:t>
      </w:r>
      <w:r w:rsidR="0085300A">
        <w:rPr>
          <w:rFonts w:ascii="Californian FB" w:hAnsi="Californian FB"/>
        </w:rPr>
        <w:t xml:space="preserve">not be followed in </w:t>
      </w:r>
      <w:r w:rsidR="009260B1">
        <w:rPr>
          <w:rFonts w:ascii="Californian FB" w:hAnsi="Californian FB"/>
        </w:rPr>
        <w:t>future</w:t>
      </w:r>
      <w:r w:rsidRPr="00E77AD2">
        <w:rPr>
          <w:rFonts w:ascii="Californian FB" w:hAnsi="Californian FB"/>
        </w:rPr>
        <w:t>.</w:t>
      </w:r>
      <w:r w:rsidR="00AC77D1">
        <w:rPr>
          <w:rStyle w:val="FootnoteReference"/>
          <w:rFonts w:ascii="Californian FB" w:hAnsi="Californian FB"/>
        </w:rPr>
        <w:footnoteReference w:id="44"/>
      </w:r>
      <w:r w:rsidRPr="00E77AD2">
        <w:rPr>
          <w:rFonts w:ascii="Californian FB" w:hAnsi="Californian FB"/>
        </w:rPr>
        <w:t xml:space="preserve"> </w:t>
      </w:r>
      <w:r w:rsidR="00FA50FB">
        <w:rPr>
          <w:rFonts w:ascii="Californian FB" w:hAnsi="Californian FB"/>
        </w:rPr>
        <w:t>Lord Neuberger suggested that</w:t>
      </w:r>
      <w:r w:rsidR="00BD3D0B">
        <w:rPr>
          <w:rFonts w:ascii="Californian FB" w:hAnsi="Californian FB"/>
        </w:rPr>
        <w:t xml:space="preserve"> it was</w:t>
      </w:r>
      <w:r w:rsidR="00FA50FB">
        <w:rPr>
          <w:rFonts w:ascii="Californian FB" w:hAnsi="Californian FB"/>
        </w:rPr>
        <w:t xml:space="preserve"> </w:t>
      </w:r>
      <w:r w:rsidR="00423D91" w:rsidRPr="00423D91">
        <w:rPr>
          <w:rFonts w:ascii="Californian FB" w:hAnsi="Californian FB"/>
        </w:rPr>
        <w:t>simply not possible to make the sort of enlarged order for possession</w:t>
      </w:r>
      <w:r w:rsidR="00423D91">
        <w:rPr>
          <w:rFonts w:ascii="Californian FB" w:hAnsi="Californian FB"/>
        </w:rPr>
        <w:t xml:space="preserve"> that the Court of Appeal sought to make</w:t>
      </w:r>
      <w:r w:rsidRPr="00E77AD2">
        <w:rPr>
          <w:rFonts w:ascii="Californian FB" w:hAnsi="Californian FB"/>
        </w:rPr>
        <w:t>.</w:t>
      </w:r>
      <w:r w:rsidR="009D2A94">
        <w:rPr>
          <w:rStyle w:val="FootnoteReference"/>
          <w:rFonts w:ascii="Californian FB" w:hAnsi="Californian FB"/>
        </w:rPr>
        <w:footnoteReference w:id="45"/>
      </w:r>
      <w:r w:rsidRPr="00E77AD2">
        <w:rPr>
          <w:rFonts w:ascii="Californian FB" w:hAnsi="Californian FB"/>
        </w:rPr>
        <w:t xml:space="preserve"> </w:t>
      </w:r>
      <w:r w:rsidRPr="00216465">
        <w:rPr>
          <w:rFonts w:ascii="Californian FB" w:hAnsi="Californian FB"/>
        </w:rPr>
        <w:t>Another</w:t>
      </w:r>
      <w:r w:rsidRPr="00E77AD2">
        <w:rPr>
          <w:rFonts w:ascii="Californian FB" w:hAnsi="Californian FB"/>
        </w:rPr>
        <w:t xml:space="preserve"> example is</w:t>
      </w:r>
      <w:r w:rsidRPr="10E55573">
        <w:rPr>
          <w:rFonts w:ascii="Californian FB" w:eastAsia="Californian FB" w:hAnsi="Californian FB" w:cs="Californian FB"/>
          <w:i/>
          <w:iCs/>
          <w:color w:val="000000" w:themeColor="text1"/>
        </w:rPr>
        <w:t xml:space="preserve"> Bailey</w:t>
      </w:r>
      <w:r w:rsidR="002C674C" w:rsidRPr="10E55573">
        <w:rPr>
          <w:rFonts w:ascii="Californian FB" w:eastAsia="Californian FB" w:hAnsi="Californian FB" w:cs="Californian FB"/>
          <w:i/>
          <w:iCs/>
          <w:color w:val="000000" w:themeColor="text1"/>
        </w:rPr>
        <w:t>,</w:t>
      </w:r>
      <w:r w:rsidRPr="00E77AD2">
        <w:rPr>
          <w:rStyle w:val="FootnoteReference"/>
          <w:rFonts w:ascii="Californian FB" w:eastAsia="Californian FB" w:hAnsi="Californian FB" w:cs="Californian FB"/>
          <w:color w:val="000000" w:themeColor="text1"/>
        </w:rPr>
        <w:footnoteReference w:id="46"/>
      </w:r>
      <w:r w:rsidRPr="10E55573">
        <w:rPr>
          <w:rFonts w:ascii="Californian FB" w:eastAsia="Californian FB" w:hAnsi="Californian FB" w:cs="Californian FB"/>
          <w:i/>
          <w:iCs/>
          <w:color w:val="000000" w:themeColor="text1"/>
        </w:rPr>
        <w:t xml:space="preserve"> </w:t>
      </w:r>
      <w:r w:rsidR="002C674C">
        <w:rPr>
          <w:rFonts w:ascii="Californian FB" w:eastAsia="Californian FB" w:hAnsi="Californian FB" w:cs="Californian FB"/>
          <w:color w:val="000000" w:themeColor="text1"/>
        </w:rPr>
        <w:t>discussed above,</w:t>
      </w:r>
      <w:r>
        <w:rPr>
          <w:rFonts w:ascii="Californian FB" w:eastAsia="Californian FB" w:hAnsi="Californian FB" w:cs="Californian FB"/>
          <w:color w:val="000000" w:themeColor="text1"/>
        </w:rPr>
        <w:t xml:space="preserve"> </w:t>
      </w:r>
      <w:r w:rsidR="1753C5A8">
        <w:rPr>
          <w:rFonts w:ascii="Californian FB" w:eastAsia="Californian FB" w:hAnsi="Californian FB" w:cs="Californian FB"/>
          <w:color w:val="000000" w:themeColor="text1"/>
        </w:rPr>
        <w:t>in which Lord Sumption</w:t>
      </w:r>
      <w:r w:rsidRPr="00E77AD2">
        <w:rPr>
          <w:rFonts w:ascii="Californian FB" w:eastAsia="Californian FB" w:hAnsi="Californian FB" w:cs="Californian FB"/>
          <w:color w:val="000000" w:themeColor="text1"/>
        </w:rPr>
        <w:t xml:space="preserve"> </w:t>
      </w:r>
      <w:r w:rsidR="71385755">
        <w:rPr>
          <w:rFonts w:ascii="Californian FB" w:eastAsia="Californian FB" w:hAnsi="Californian FB" w:cs="Californian FB"/>
          <w:color w:val="000000" w:themeColor="text1"/>
        </w:rPr>
        <w:t>firmly rejected the approach of the High Court in</w:t>
      </w:r>
      <w:r w:rsidR="003D41ED">
        <w:rPr>
          <w:rFonts w:ascii="Californian FB" w:eastAsia="Californian FB" w:hAnsi="Californian FB" w:cs="Californian FB"/>
          <w:color w:val="000000" w:themeColor="text1"/>
        </w:rPr>
        <w:t xml:space="preserve"> </w:t>
      </w:r>
      <w:r w:rsidR="003D41ED" w:rsidRPr="10E55573">
        <w:rPr>
          <w:rFonts w:ascii="Californian FB" w:eastAsia="Californian FB" w:hAnsi="Californian FB" w:cs="Californian FB"/>
          <w:i/>
          <w:iCs/>
          <w:color w:val="000000" w:themeColor="text1"/>
        </w:rPr>
        <w:t>Neste Oy</w:t>
      </w:r>
      <w:r w:rsidR="003D41ED" w:rsidRPr="003D41ED">
        <w:rPr>
          <w:rStyle w:val="FootnoteReference"/>
          <w:rFonts w:ascii="Californian FB" w:eastAsia="Californian FB" w:hAnsi="Californian FB" w:cs="Californian FB"/>
          <w:color w:val="000000" w:themeColor="text1"/>
        </w:rPr>
        <w:footnoteReference w:id="47"/>
      </w:r>
      <w:r w:rsidR="002C6386" w:rsidRPr="003D41ED">
        <w:rPr>
          <w:rFonts w:ascii="Californian FB" w:eastAsia="Californian FB" w:hAnsi="Californian FB" w:cs="Californian FB"/>
          <w:color w:val="000000" w:themeColor="text1"/>
        </w:rPr>
        <w:t xml:space="preserve"> </w:t>
      </w:r>
      <w:r w:rsidR="00CF04D7">
        <w:rPr>
          <w:rFonts w:ascii="Californian FB" w:eastAsia="Californian FB" w:hAnsi="Californian FB" w:cs="Californian FB"/>
          <w:color w:val="000000" w:themeColor="text1"/>
        </w:rPr>
        <w:t>(and in a cited treatise</w:t>
      </w:r>
      <w:r w:rsidR="00CF04D7" w:rsidRPr="10E55573">
        <w:rPr>
          <w:rStyle w:val="FootnoteReference"/>
          <w:rFonts w:ascii="Californian FB" w:eastAsia="Californian FB" w:hAnsi="Californian FB" w:cs="Californian FB"/>
          <w:color w:val="000000" w:themeColor="text1"/>
        </w:rPr>
        <w:footnoteReference w:id="48"/>
      </w:r>
      <w:r w:rsidR="004B02BB">
        <w:rPr>
          <w:rFonts w:ascii="Californian FB" w:eastAsia="Californian FB" w:hAnsi="Californian FB" w:cs="Californian FB"/>
          <w:color w:val="000000" w:themeColor="text1"/>
        </w:rPr>
        <w:t>)</w:t>
      </w:r>
      <w:r w:rsidR="6B5E40EF">
        <w:rPr>
          <w:rFonts w:ascii="Californian FB" w:eastAsia="Californian FB" w:hAnsi="Californian FB" w:cs="Californian FB"/>
          <w:color w:val="000000" w:themeColor="text1"/>
        </w:rPr>
        <w:t>.</w:t>
      </w:r>
      <w:r w:rsidR="003D41ED">
        <w:rPr>
          <w:rFonts w:ascii="Californian FB" w:eastAsia="Californian FB" w:hAnsi="Californian FB" w:cs="Californian FB"/>
          <w:color w:val="000000" w:themeColor="text1"/>
        </w:rPr>
        <w:t xml:space="preserve"> </w:t>
      </w:r>
      <w:r w:rsidR="22C2A1A1" w:rsidRPr="10E55573">
        <w:rPr>
          <w:rFonts w:ascii="Californian FB" w:eastAsia="Californian FB" w:hAnsi="Californian FB" w:cs="Californian FB"/>
          <w:color w:val="000000" w:themeColor="text1"/>
        </w:rPr>
        <w:t xml:space="preserve">Lord Sumption noted counsel’s argument that </w:t>
      </w:r>
      <w:r w:rsidR="22C2A1A1" w:rsidRPr="10E55573">
        <w:rPr>
          <w:rFonts w:ascii="Californian FB" w:eastAsia="Californian FB" w:hAnsi="Californian FB" w:cs="Californian FB"/>
          <w:i/>
          <w:iCs/>
          <w:color w:val="000000" w:themeColor="text1"/>
        </w:rPr>
        <w:t>Neste Oy</w:t>
      </w:r>
      <w:r w:rsidR="22C2A1A1" w:rsidRPr="10E55573">
        <w:rPr>
          <w:rFonts w:ascii="Californian FB" w:eastAsia="Californian FB" w:hAnsi="Californian FB" w:cs="Californian FB"/>
          <w:color w:val="000000" w:themeColor="text1"/>
        </w:rPr>
        <w:t xml:space="preserve"> could be distinguished </w:t>
      </w:r>
      <w:r w:rsidR="00AC4AA9">
        <w:rPr>
          <w:rFonts w:ascii="Californian FB" w:eastAsia="Californian FB" w:hAnsi="Californian FB" w:cs="Californian FB"/>
          <w:color w:val="000000" w:themeColor="text1"/>
        </w:rPr>
        <w:t>(</w:t>
      </w:r>
      <w:r w:rsidR="22C2A1A1" w:rsidRPr="10E55573">
        <w:rPr>
          <w:rFonts w:ascii="Californian FB" w:eastAsia="Californian FB" w:hAnsi="Californian FB" w:cs="Californian FB"/>
          <w:color w:val="000000" w:themeColor="text1"/>
        </w:rPr>
        <w:t>there, the agent had no contractual right to the payment which was the subject-matter of the trust</w:t>
      </w:r>
      <w:r w:rsidR="00AC4AA9">
        <w:rPr>
          <w:rFonts w:ascii="Californian FB" w:eastAsia="Californian FB" w:hAnsi="Californian FB" w:cs="Californian FB"/>
          <w:color w:val="000000" w:themeColor="text1"/>
        </w:rPr>
        <w:t>) but</w:t>
      </w:r>
      <w:r w:rsidR="22C2A1A1" w:rsidRPr="10E55573">
        <w:rPr>
          <w:rFonts w:ascii="Californian FB" w:eastAsia="Californian FB" w:hAnsi="Californian FB" w:cs="Californian FB"/>
          <w:color w:val="000000" w:themeColor="text1"/>
        </w:rPr>
        <w:t xml:space="preserve"> went even further </w:t>
      </w:r>
      <w:r w:rsidR="7ABEBBC0" w:rsidRPr="10E55573">
        <w:rPr>
          <w:rFonts w:ascii="Californian FB" w:eastAsia="Californian FB" w:hAnsi="Californian FB" w:cs="Californian FB"/>
          <w:color w:val="000000" w:themeColor="text1"/>
        </w:rPr>
        <w:t>and said that the payment fundamentally could not be impressed with the claimed constructive trust</w:t>
      </w:r>
      <w:r w:rsidR="00AC4AA9">
        <w:rPr>
          <w:rFonts w:ascii="Californian FB" w:eastAsia="Californian FB" w:hAnsi="Californian FB" w:cs="Californian FB"/>
          <w:color w:val="000000" w:themeColor="text1"/>
        </w:rPr>
        <w:t>.</w:t>
      </w:r>
      <w:r w:rsidR="6DB81BB7" w:rsidRPr="10E55573">
        <w:rPr>
          <w:rFonts w:ascii="Californian FB" w:eastAsia="Californian FB" w:hAnsi="Californian FB" w:cs="Californian FB"/>
          <w:color w:val="000000" w:themeColor="text1"/>
        </w:rPr>
        <w:t xml:space="preserve"> </w:t>
      </w:r>
      <w:r w:rsidR="00AC4AA9">
        <w:rPr>
          <w:rFonts w:ascii="Californian FB" w:eastAsia="Californian FB" w:hAnsi="Californian FB" w:cs="Californian FB"/>
          <w:color w:val="000000" w:themeColor="text1"/>
        </w:rPr>
        <w:t>S</w:t>
      </w:r>
      <w:r w:rsidR="6DB81BB7" w:rsidRPr="10E55573">
        <w:rPr>
          <w:rFonts w:ascii="Californian FB" w:eastAsia="Californian FB" w:hAnsi="Californian FB" w:cs="Californian FB"/>
          <w:color w:val="000000" w:themeColor="text1"/>
        </w:rPr>
        <w:t>ince English law does not recognise a remedial constructive trust,</w:t>
      </w:r>
      <w:r w:rsidR="207CC9CC" w:rsidRPr="10E55573">
        <w:rPr>
          <w:rFonts w:ascii="Californian FB" w:eastAsia="Californian FB" w:hAnsi="Californian FB" w:cs="Californian FB"/>
          <w:color w:val="000000" w:themeColor="text1"/>
        </w:rPr>
        <w:t xml:space="preserve"> more would be needed than the fact that </w:t>
      </w:r>
      <w:r w:rsidR="004B02BB">
        <w:rPr>
          <w:rFonts w:ascii="Californian FB" w:eastAsia="Californian FB" w:hAnsi="Californian FB" w:cs="Californian FB"/>
          <w:color w:val="000000" w:themeColor="text1"/>
        </w:rPr>
        <w:t>‘</w:t>
      </w:r>
      <w:r w:rsidR="207CC9CC" w:rsidRPr="10E55573">
        <w:rPr>
          <w:rFonts w:ascii="Californian FB" w:eastAsia="Californian FB" w:hAnsi="Californian FB" w:cs="Californian FB"/>
          <w:color w:val="000000" w:themeColor="text1"/>
        </w:rPr>
        <w:t>good conscience requires it</w:t>
      </w:r>
      <w:r w:rsidR="5A3ADE3F" w:rsidRPr="10E55573">
        <w:rPr>
          <w:rFonts w:ascii="Californian FB" w:eastAsia="Californian FB" w:hAnsi="Californian FB" w:cs="Californian FB"/>
          <w:color w:val="000000" w:themeColor="text1"/>
        </w:rPr>
        <w:t>.</w:t>
      </w:r>
      <w:r w:rsidR="207CC9CC" w:rsidRPr="10E55573">
        <w:rPr>
          <w:rFonts w:ascii="Californian FB" w:eastAsia="Californian FB" w:hAnsi="Californian FB" w:cs="Californian FB"/>
          <w:color w:val="000000" w:themeColor="text1"/>
        </w:rPr>
        <w:t>’</w:t>
      </w:r>
      <w:r w:rsidRPr="10E55573">
        <w:rPr>
          <w:rStyle w:val="FootnoteReference"/>
          <w:rFonts w:ascii="Californian FB" w:eastAsia="Californian FB" w:hAnsi="Californian FB" w:cs="Californian FB"/>
          <w:color w:val="000000" w:themeColor="text1"/>
        </w:rPr>
        <w:footnoteReference w:id="49"/>
      </w:r>
      <w:r w:rsidR="5A3ADE3F" w:rsidRPr="10E55573">
        <w:rPr>
          <w:rFonts w:ascii="Californian FB" w:eastAsia="Californian FB" w:hAnsi="Californian FB" w:cs="Californian FB"/>
          <w:color w:val="000000" w:themeColor="text1"/>
        </w:rPr>
        <w:t xml:space="preserve"> </w:t>
      </w:r>
      <w:r w:rsidR="00EB3A94">
        <w:rPr>
          <w:rFonts w:ascii="Californian FB" w:eastAsia="Californian FB" w:hAnsi="Californian FB" w:cs="Californian FB"/>
          <w:color w:val="000000" w:themeColor="text1"/>
        </w:rPr>
        <w:t xml:space="preserve">The trend seems to be </w:t>
      </w:r>
      <w:r w:rsidR="00720507">
        <w:rPr>
          <w:rFonts w:ascii="Californian FB" w:eastAsia="Californian FB" w:hAnsi="Californian FB" w:cs="Californian FB"/>
          <w:color w:val="000000" w:themeColor="text1"/>
        </w:rPr>
        <w:t>in favour of using strong terms when the Court feels able to overrule previous authority</w:t>
      </w:r>
      <w:r w:rsidR="00B472E4">
        <w:rPr>
          <w:rFonts w:ascii="Californian FB" w:eastAsia="Californian FB" w:hAnsi="Californian FB" w:cs="Californian FB"/>
          <w:color w:val="000000" w:themeColor="text1"/>
        </w:rPr>
        <w:t>.</w:t>
      </w:r>
    </w:p>
    <w:p w14:paraId="38406D4A" w14:textId="4E28881D" w:rsidR="00DC45C7" w:rsidRPr="007A4726" w:rsidRDefault="00DC45C7" w:rsidP="0015717F">
      <w:pPr>
        <w:pStyle w:val="Heading4"/>
      </w:pPr>
      <w:r w:rsidRPr="007A4726">
        <w:t xml:space="preserve">(iii) Cases where the </w:t>
      </w:r>
      <w:r w:rsidR="32796D12" w:rsidRPr="007A4726">
        <w:t>Court</w:t>
      </w:r>
      <w:r w:rsidRPr="007A4726">
        <w:t xml:space="preserve"> feel</w:t>
      </w:r>
      <w:r w:rsidR="1C4552CF" w:rsidRPr="007A4726">
        <w:t>s</w:t>
      </w:r>
      <w:r w:rsidRPr="007A4726">
        <w:t xml:space="preserve"> bound, because of previous decision</w:t>
      </w:r>
      <w:r w:rsidR="1D597F5E" w:rsidRPr="007A4726">
        <w:t>s</w:t>
      </w:r>
      <w:r w:rsidRPr="007A4726">
        <w:t xml:space="preserve">, not </w:t>
      </w:r>
      <w:r w:rsidR="598C984C" w:rsidRPr="007A4726">
        <w:t xml:space="preserve">to </w:t>
      </w:r>
      <w:r w:rsidRPr="007A4726">
        <w:t>develop the law</w:t>
      </w:r>
    </w:p>
    <w:p w14:paraId="1AAD7532" w14:textId="4574C931" w:rsidR="00DC45C7" w:rsidRPr="00E77AD2" w:rsidRDefault="0030504E" w:rsidP="00DC45C7">
      <w:pPr>
        <w:jc w:val="both"/>
        <w:rPr>
          <w:rFonts w:ascii="Californian FB" w:hAnsi="Californian FB"/>
        </w:rPr>
      </w:pPr>
      <w:r>
        <w:rPr>
          <w:rFonts w:ascii="Californian FB" w:hAnsi="Californian FB"/>
        </w:rPr>
        <w:t xml:space="preserve"> Occasionally,</w:t>
      </w:r>
      <w:r w:rsidR="00DC45C7" w:rsidRPr="00E77AD2">
        <w:rPr>
          <w:rFonts w:ascii="Californian FB" w:hAnsi="Californian FB"/>
        </w:rPr>
        <w:t xml:space="preserve"> the </w:t>
      </w:r>
      <w:r w:rsidR="737F5EB3" w:rsidRPr="00E77AD2">
        <w:rPr>
          <w:rFonts w:ascii="Californian FB" w:hAnsi="Californian FB"/>
        </w:rPr>
        <w:t>C</w:t>
      </w:r>
      <w:r w:rsidR="00DC45C7" w:rsidRPr="00E77AD2">
        <w:rPr>
          <w:rFonts w:ascii="Californian FB" w:hAnsi="Californian FB"/>
        </w:rPr>
        <w:t xml:space="preserve">ourt feels bound by previous decisions </w:t>
      </w:r>
      <w:r w:rsidR="00DC45C7" w:rsidRPr="0A5F1DBA">
        <w:rPr>
          <w:rFonts w:ascii="Californian FB" w:hAnsi="Californian FB"/>
          <w:i/>
        </w:rPr>
        <w:t>despite</w:t>
      </w:r>
      <w:r w:rsidR="00DC45C7" w:rsidRPr="00E77AD2">
        <w:rPr>
          <w:rFonts w:ascii="Californian FB" w:hAnsi="Californian FB"/>
        </w:rPr>
        <w:t xml:space="preserve"> </w:t>
      </w:r>
      <w:r w:rsidR="3580C6DA" w:rsidRPr="00E77AD2">
        <w:rPr>
          <w:rFonts w:ascii="Californian FB" w:hAnsi="Californian FB"/>
        </w:rPr>
        <w:t>its</w:t>
      </w:r>
      <w:r w:rsidR="00DC45C7" w:rsidRPr="00E77AD2">
        <w:rPr>
          <w:rFonts w:ascii="Californian FB" w:hAnsi="Californian FB"/>
        </w:rPr>
        <w:t xml:space="preserve"> ability to develop the law. One such example is </w:t>
      </w:r>
      <w:r w:rsidR="00DC45C7" w:rsidRPr="00E77AD2">
        <w:rPr>
          <w:rFonts w:ascii="Californian FB" w:hAnsi="Californian FB"/>
          <w:i/>
          <w:iCs/>
        </w:rPr>
        <w:t>Austin v Mayor and Burgesses of the London Borough of Southwark</w:t>
      </w:r>
      <w:r w:rsidR="00D82E85">
        <w:rPr>
          <w:rFonts w:ascii="Californian FB" w:hAnsi="Californian FB"/>
        </w:rPr>
        <w:t>,</w:t>
      </w:r>
      <w:r w:rsidR="00DC45C7" w:rsidRPr="00E77AD2">
        <w:rPr>
          <w:rStyle w:val="FootnoteReference"/>
          <w:rFonts w:ascii="Californian FB" w:hAnsi="Californian FB"/>
        </w:rPr>
        <w:footnoteReference w:id="50"/>
      </w:r>
      <w:r w:rsidR="00DC45C7" w:rsidRPr="00E77AD2">
        <w:rPr>
          <w:rFonts w:ascii="Californian FB" w:hAnsi="Californian FB"/>
        </w:rPr>
        <w:t xml:space="preserve"> </w:t>
      </w:r>
      <w:r w:rsidR="00D82E85">
        <w:rPr>
          <w:rFonts w:ascii="Californian FB" w:hAnsi="Californian FB"/>
        </w:rPr>
        <w:t>on</w:t>
      </w:r>
      <w:r w:rsidR="00FC3017" w:rsidRPr="00BA6F46">
        <w:rPr>
          <w:rFonts w:ascii="Californian FB" w:hAnsi="Californian FB"/>
        </w:rPr>
        <w:t xml:space="preserve"> whether a </w:t>
      </w:r>
      <w:r w:rsidR="00FC3017" w:rsidRPr="00D779EB">
        <w:rPr>
          <w:rFonts w:ascii="Californian FB" w:hAnsi="Californian FB"/>
        </w:rPr>
        <w:t xml:space="preserve">brother could inherit a </w:t>
      </w:r>
      <w:r w:rsidR="00FC3017" w:rsidRPr="00BA6F46">
        <w:rPr>
          <w:rFonts w:ascii="Californian FB" w:hAnsi="Californian FB"/>
        </w:rPr>
        <w:t>secured tenancy. The</w:t>
      </w:r>
      <w:r w:rsidR="00FC3017" w:rsidRPr="00BA6F46" w:rsidDel="005D2976">
        <w:rPr>
          <w:rFonts w:ascii="Californian FB" w:hAnsi="Californian FB"/>
        </w:rPr>
        <w:t xml:space="preserve"> </w:t>
      </w:r>
      <w:r w:rsidR="00FC3017" w:rsidRPr="734B67D0">
        <w:rPr>
          <w:rFonts w:ascii="Californian FB" w:hAnsi="Californian FB"/>
        </w:rPr>
        <w:t>local authority</w:t>
      </w:r>
      <w:r w:rsidR="00FC3017" w:rsidRPr="00BA6F46">
        <w:rPr>
          <w:rFonts w:ascii="Californian FB" w:hAnsi="Californian FB"/>
        </w:rPr>
        <w:t xml:space="preserve"> had already </w:t>
      </w:r>
      <w:r w:rsidR="00FC3017">
        <w:rPr>
          <w:rFonts w:ascii="Californian FB" w:hAnsi="Californian FB"/>
        </w:rPr>
        <w:t>obtained</w:t>
      </w:r>
      <w:r w:rsidR="00FC3017" w:rsidRPr="00BA6F46">
        <w:rPr>
          <w:rFonts w:ascii="Californian FB" w:hAnsi="Californian FB"/>
        </w:rPr>
        <w:t xml:space="preserve"> a possession order against the deceased</w:t>
      </w:r>
      <w:r w:rsidR="00FC3017">
        <w:rPr>
          <w:rFonts w:ascii="Californian FB" w:hAnsi="Californian FB"/>
        </w:rPr>
        <w:t>,</w:t>
      </w:r>
      <w:r w:rsidR="00FC3017" w:rsidRPr="00BA6F46">
        <w:rPr>
          <w:rFonts w:ascii="Californian FB" w:hAnsi="Californian FB"/>
        </w:rPr>
        <w:t xml:space="preserve"> but never sought to enforce it. </w:t>
      </w:r>
      <w:r w:rsidR="00DC45C7" w:rsidRPr="00E77AD2">
        <w:rPr>
          <w:rFonts w:ascii="Californian FB" w:hAnsi="Californian FB"/>
        </w:rPr>
        <w:t>Lord Hope said:</w:t>
      </w:r>
    </w:p>
    <w:p w14:paraId="0B75B351" w14:textId="57C8A98B" w:rsidR="00DC45C7" w:rsidRPr="00E77AD2" w:rsidRDefault="00DC45C7" w:rsidP="00DE656B">
      <w:pPr>
        <w:ind w:left="720"/>
        <w:jc w:val="both"/>
        <w:rPr>
          <w:rFonts w:ascii="Californian FB" w:hAnsi="Californian FB"/>
        </w:rPr>
      </w:pPr>
      <w:r w:rsidRPr="00E77AD2">
        <w:rPr>
          <w:rFonts w:ascii="Californian FB" w:hAnsi="Californian FB"/>
        </w:rPr>
        <w:t>‘</w:t>
      </w:r>
      <w:r w:rsidR="00663D16">
        <w:rPr>
          <w:rFonts w:ascii="Californian FB" w:hAnsi="Californian FB"/>
        </w:rPr>
        <w:t>[T]</w:t>
      </w:r>
      <w:r w:rsidRPr="00E77AD2">
        <w:rPr>
          <w:rFonts w:ascii="Californian FB" w:hAnsi="Californian FB"/>
        </w:rPr>
        <w:t xml:space="preserve">he fact remains that the law was regarded as having been settled by </w:t>
      </w:r>
      <w:r w:rsidRPr="00E77AD2">
        <w:rPr>
          <w:rFonts w:ascii="Californian FB" w:hAnsi="Californian FB"/>
          <w:i/>
          <w:iCs/>
        </w:rPr>
        <w:t>Thompson</w:t>
      </w:r>
      <w:r w:rsidRPr="00E77AD2">
        <w:rPr>
          <w:rFonts w:ascii="Californian FB" w:hAnsi="Californian FB"/>
        </w:rPr>
        <w:t xml:space="preserve"> and the effects of reversing that decision now are incalculable</w:t>
      </w:r>
      <w:r w:rsidR="0009088B">
        <w:rPr>
          <w:rFonts w:ascii="Californian FB" w:hAnsi="Californian FB"/>
        </w:rPr>
        <w:t>…</w:t>
      </w:r>
      <w:r w:rsidRPr="00E77AD2">
        <w:rPr>
          <w:rFonts w:ascii="Californian FB" w:hAnsi="Californian FB"/>
        </w:rPr>
        <w:t xml:space="preserve"> it has been assumed to be right and has been acted upon in many tens of thousands of cases. The area of greatest concern is the effect that a retrospective reversal would have on social landlords who for so long have assumed that those who had failed to comply with the conditions in a suspended possession order were no longer tenants with a right to enforce the implementation of repairing </w:t>
      </w:r>
      <w:proofErr w:type="gramStart"/>
      <w:r w:rsidRPr="00E77AD2">
        <w:rPr>
          <w:rFonts w:ascii="Californian FB" w:hAnsi="Californian FB"/>
        </w:rPr>
        <w:t>covenants’</w:t>
      </w:r>
      <w:proofErr w:type="gramEnd"/>
      <w:r>
        <w:rPr>
          <w:rFonts w:ascii="Californian FB" w:hAnsi="Californian FB"/>
        </w:rPr>
        <w:t>.</w:t>
      </w:r>
      <w:r w:rsidR="00CE24D5">
        <w:rPr>
          <w:rStyle w:val="FootnoteReference"/>
          <w:rFonts w:ascii="Californian FB" w:hAnsi="Californian FB"/>
        </w:rPr>
        <w:footnoteReference w:id="51"/>
      </w:r>
    </w:p>
    <w:p w14:paraId="0AA8EB63" w14:textId="0A093ABF" w:rsidR="00BD26C1" w:rsidRDefault="000034EF" w:rsidP="00DC45C7">
      <w:pPr>
        <w:jc w:val="both"/>
        <w:rPr>
          <w:rFonts w:ascii="Californian FB" w:hAnsi="Californian FB"/>
        </w:rPr>
      </w:pPr>
      <w:r>
        <w:rPr>
          <w:rFonts w:ascii="Californian FB" w:hAnsi="Californian FB"/>
        </w:rPr>
        <w:t>T</w:t>
      </w:r>
      <w:r w:rsidR="00DC45C7" w:rsidRPr="00E77AD2">
        <w:rPr>
          <w:rFonts w:ascii="Californian FB" w:hAnsi="Californian FB"/>
        </w:rPr>
        <w:t xml:space="preserve">he </w:t>
      </w:r>
      <w:r w:rsidR="00603A0F">
        <w:rPr>
          <w:rFonts w:ascii="Californian FB" w:hAnsi="Californian FB"/>
        </w:rPr>
        <w:t>C</w:t>
      </w:r>
      <w:r w:rsidR="00DC45C7" w:rsidRPr="00E77AD2">
        <w:rPr>
          <w:rFonts w:ascii="Californian FB" w:hAnsi="Californian FB"/>
        </w:rPr>
        <w:t xml:space="preserve">ourt </w:t>
      </w:r>
      <w:r w:rsidR="0009088B">
        <w:rPr>
          <w:rFonts w:ascii="Californian FB" w:hAnsi="Californian FB"/>
        </w:rPr>
        <w:t>used</w:t>
      </w:r>
      <w:r w:rsidR="00DC45C7" w:rsidRPr="00E77AD2">
        <w:rPr>
          <w:rFonts w:ascii="Californian FB" w:hAnsi="Californian FB"/>
        </w:rPr>
        <w:t xml:space="preserve"> creative techniques to allow a remedy for </w:t>
      </w:r>
      <w:r w:rsidR="0009088B">
        <w:rPr>
          <w:rFonts w:ascii="Californian FB" w:hAnsi="Californian FB"/>
        </w:rPr>
        <w:t>this claimant.</w:t>
      </w:r>
      <w:r w:rsidR="00DC45C7" w:rsidRPr="00E77AD2">
        <w:rPr>
          <w:rFonts w:ascii="Californian FB" w:hAnsi="Californian FB"/>
        </w:rPr>
        <w:t xml:space="preserve"> The same can be said for </w:t>
      </w:r>
      <w:r w:rsidR="00DC45C7" w:rsidRPr="00E77AD2">
        <w:rPr>
          <w:rFonts w:ascii="Californian FB" w:hAnsi="Californian FB"/>
          <w:i/>
          <w:iCs/>
        </w:rPr>
        <w:t xml:space="preserve">Berrisford v Mexfield Housing Co-operative </w:t>
      </w:r>
      <w:r w:rsidR="00DC45C7" w:rsidRPr="10E55573">
        <w:rPr>
          <w:rFonts w:ascii="Californian FB" w:hAnsi="Californian FB"/>
          <w:i/>
          <w:iCs/>
        </w:rPr>
        <w:t>L</w:t>
      </w:r>
      <w:r w:rsidR="638DA68B" w:rsidRPr="10E55573">
        <w:rPr>
          <w:rFonts w:ascii="Californian FB" w:hAnsi="Californian FB"/>
          <w:i/>
          <w:iCs/>
        </w:rPr>
        <w:t>td</w:t>
      </w:r>
      <w:bookmarkStart w:id="10" w:name="_Ref173321280"/>
      <w:r w:rsidR="001A51BD">
        <w:rPr>
          <w:rFonts w:ascii="Californian FB" w:hAnsi="Californian FB"/>
          <w:i/>
          <w:iCs/>
        </w:rPr>
        <w:t>,</w:t>
      </w:r>
      <w:r w:rsidR="00DC45C7" w:rsidRPr="00E77AD2">
        <w:rPr>
          <w:rStyle w:val="FootnoteReference"/>
          <w:rFonts w:ascii="Californian FB" w:hAnsi="Californian FB"/>
        </w:rPr>
        <w:footnoteReference w:id="52"/>
      </w:r>
      <w:bookmarkEnd w:id="10"/>
      <w:r w:rsidR="00DC45C7" w:rsidRPr="00E77AD2">
        <w:rPr>
          <w:rFonts w:ascii="Californian FB" w:hAnsi="Californian FB"/>
        </w:rPr>
        <w:t xml:space="preserve"> where the </w:t>
      </w:r>
      <w:r w:rsidR="00603A0F">
        <w:rPr>
          <w:rFonts w:ascii="Californian FB" w:hAnsi="Californian FB"/>
        </w:rPr>
        <w:t>Court</w:t>
      </w:r>
      <w:r w:rsidR="00DC45C7" w:rsidRPr="00E77AD2">
        <w:rPr>
          <w:rFonts w:ascii="Californian FB" w:hAnsi="Californian FB"/>
        </w:rPr>
        <w:t xml:space="preserve"> critiqued </w:t>
      </w:r>
      <w:r w:rsidR="00DC45C7" w:rsidRPr="00E77AD2" w:rsidDel="0009088B">
        <w:rPr>
          <w:rFonts w:ascii="Californian FB" w:hAnsi="Californian FB"/>
        </w:rPr>
        <w:t xml:space="preserve">the </w:t>
      </w:r>
      <w:r>
        <w:rPr>
          <w:rFonts w:ascii="Californian FB" w:hAnsi="Californian FB"/>
        </w:rPr>
        <w:t>r</w:t>
      </w:r>
      <w:r w:rsidRPr="000034EF">
        <w:rPr>
          <w:rFonts w:ascii="Californian FB" w:hAnsi="Californian FB"/>
        </w:rPr>
        <w:t xml:space="preserve">equirement </w:t>
      </w:r>
      <w:r w:rsidR="000D7E6D">
        <w:rPr>
          <w:rFonts w:ascii="Californian FB" w:hAnsi="Californian FB"/>
        </w:rPr>
        <w:t>that</w:t>
      </w:r>
      <w:r w:rsidR="000D7E6D" w:rsidRPr="000034EF">
        <w:rPr>
          <w:rFonts w:ascii="Californian FB" w:hAnsi="Californian FB"/>
        </w:rPr>
        <w:t xml:space="preserve"> </w:t>
      </w:r>
      <w:r w:rsidRPr="000034EF">
        <w:rPr>
          <w:rFonts w:ascii="Californian FB" w:hAnsi="Californian FB"/>
        </w:rPr>
        <w:t>leases</w:t>
      </w:r>
      <w:r w:rsidRPr="000034EF" w:rsidDel="000D7E6D">
        <w:rPr>
          <w:rFonts w:ascii="Californian FB" w:hAnsi="Californian FB"/>
        </w:rPr>
        <w:t xml:space="preserve"> </w:t>
      </w:r>
      <w:r w:rsidRPr="000034EF">
        <w:rPr>
          <w:rFonts w:ascii="Californian FB" w:hAnsi="Californian FB"/>
        </w:rPr>
        <w:t xml:space="preserve">have a certain </w:t>
      </w:r>
      <w:r w:rsidR="00031F0A" w:rsidRPr="000034EF">
        <w:rPr>
          <w:rFonts w:ascii="Californian FB" w:hAnsi="Californian FB"/>
        </w:rPr>
        <w:t>term</w:t>
      </w:r>
      <w:r w:rsidR="00031F0A" w:rsidRPr="00E77AD2">
        <w:rPr>
          <w:rFonts w:ascii="Californian FB" w:hAnsi="Californian FB"/>
        </w:rPr>
        <w:t xml:space="preserve"> but</w:t>
      </w:r>
      <w:r w:rsidR="00DC45C7" w:rsidRPr="00E77AD2">
        <w:rPr>
          <w:rFonts w:ascii="Californian FB" w:hAnsi="Californian FB"/>
        </w:rPr>
        <w:t xml:space="preserve"> felt bound by </w:t>
      </w:r>
      <w:r w:rsidR="000D7E6D">
        <w:rPr>
          <w:rFonts w:ascii="Californian FB" w:hAnsi="Californian FB"/>
        </w:rPr>
        <w:t>its predecessor’s</w:t>
      </w:r>
      <w:r w:rsidR="000D7E6D" w:rsidRPr="00E77AD2">
        <w:rPr>
          <w:rFonts w:ascii="Californian FB" w:hAnsi="Californian FB"/>
        </w:rPr>
        <w:t xml:space="preserve"> </w:t>
      </w:r>
      <w:r w:rsidR="00DC45C7" w:rsidRPr="00E77AD2">
        <w:rPr>
          <w:rFonts w:ascii="Californian FB" w:hAnsi="Californian FB"/>
        </w:rPr>
        <w:t xml:space="preserve">decision in </w:t>
      </w:r>
      <w:r w:rsidR="00DC45C7" w:rsidRPr="00E77AD2">
        <w:rPr>
          <w:rFonts w:ascii="Californian FB" w:hAnsi="Californian FB"/>
          <w:i/>
          <w:iCs/>
        </w:rPr>
        <w:t xml:space="preserve">Prudential </w:t>
      </w:r>
      <w:r w:rsidR="00A55B7D" w:rsidRPr="0A5F1DBA">
        <w:rPr>
          <w:rFonts w:ascii="Californian FB" w:hAnsi="Californian FB"/>
          <w:i/>
          <w:iCs/>
        </w:rPr>
        <w:t>Assurance Co Ltd v London Residuary Body</w:t>
      </w:r>
      <w:r w:rsidR="000D7E6D">
        <w:rPr>
          <w:rFonts w:ascii="Californian FB" w:hAnsi="Californian FB"/>
        </w:rPr>
        <w:t>,</w:t>
      </w:r>
      <w:r w:rsidR="0020788A" w:rsidRPr="0006429B">
        <w:rPr>
          <w:rStyle w:val="FootnoteReference"/>
          <w:rFonts w:ascii="Californian FB" w:hAnsi="Californian FB"/>
          <w:b/>
          <w:bCs/>
        </w:rPr>
        <w:footnoteReference w:id="53"/>
      </w:r>
      <w:r w:rsidR="0020788A" w:rsidRPr="0006429B">
        <w:rPr>
          <w:rFonts w:ascii="Californian FB" w:hAnsi="Californian FB"/>
        </w:rPr>
        <w:t xml:space="preserve"> </w:t>
      </w:r>
      <w:r w:rsidR="00EA60B7">
        <w:rPr>
          <w:rFonts w:ascii="Californian FB" w:hAnsi="Californian FB"/>
        </w:rPr>
        <w:t>which had affirmed</w:t>
      </w:r>
      <w:r w:rsidR="00DC45C7" w:rsidRPr="00E77AD2">
        <w:rPr>
          <w:rFonts w:ascii="Californian FB" w:hAnsi="Californian FB"/>
        </w:rPr>
        <w:t xml:space="preserve"> </w:t>
      </w:r>
      <w:r w:rsidR="00DC45C7" w:rsidRPr="000034EF">
        <w:rPr>
          <w:rFonts w:ascii="Californian FB" w:hAnsi="Californian FB"/>
        </w:rPr>
        <w:t>the relevance of</w:t>
      </w:r>
      <w:r w:rsidR="00DC45C7" w:rsidRPr="00E77AD2">
        <w:rPr>
          <w:rFonts w:ascii="Californian FB" w:hAnsi="Californian FB"/>
        </w:rPr>
        <w:t xml:space="preserve"> the test. </w:t>
      </w:r>
      <w:r w:rsidR="005840BE">
        <w:rPr>
          <w:rFonts w:ascii="Californian FB" w:hAnsi="Californian FB"/>
        </w:rPr>
        <w:t>A</w:t>
      </w:r>
      <w:r w:rsidR="00DC45C7" w:rsidRPr="00E77AD2">
        <w:rPr>
          <w:rFonts w:ascii="Californian FB" w:hAnsi="Californian FB"/>
        </w:rPr>
        <w:t>gain</w:t>
      </w:r>
      <w:r w:rsidR="00035925">
        <w:rPr>
          <w:rFonts w:ascii="Californian FB" w:hAnsi="Californian FB"/>
        </w:rPr>
        <w:t>,</w:t>
      </w:r>
      <w:r w:rsidR="00DC45C7" w:rsidRPr="00E77AD2">
        <w:rPr>
          <w:rFonts w:ascii="Californian FB" w:hAnsi="Californian FB"/>
        </w:rPr>
        <w:t xml:space="preserve"> </w:t>
      </w:r>
      <w:r w:rsidR="004757D0">
        <w:rPr>
          <w:rFonts w:ascii="Californian FB" w:hAnsi="Californian FB"/>
        </w:rPr>
        <w:t>it</w:t>
      </w:r>
      <w:r w:rsidR="00DC45C7" w:rsidRPr="00E77AD2">
        <w:rPr>
          <w:rFonts w:ascii="Californian FB" w:hAnsi="Californian FB"/>
        </w:rPr>
        <w:t xml:space="preserve"> noted the impact that any change would have on hundreds of tenancies.</w:t>
      </w:r>
      <w:r w:rsidR="000F1B83">
        <w:rPr>
          <w:rStyle w:val="FootnoteReference"/>
          <w:rFonts w:ascii="Californian FB" w:hAnsi="Californian FB"/>
        </w:rPr>
        <w:footnoteReference w:id="54"/>
      </w:r>
      <w:r w:rsidR="00DC45C7" w:rsidRPr="00E77AD2">
        <w:rPr>
          <w:rFonts w:ascii="Californian FB" w:hAnsi="Californian FB"/>
        </w:rPr>
        <w:t xml:space="preserve"> But as above, a creative solution was found for the specific ‘tenant’</w:t>
      </w:r>
      <w:r w:rsidR="00F55867">
        <w:rPr>
          <w:rFonts w:ascii="Californian FB" w:hAnsi="Californian FB"/>
        </w:rPr>
        <w:t xml:space="preserve"> by </w:t>
      </w:r>
      <w:r w:rsidR="001D43F2">
        <w:rPr>
          <w:rFonts w:ascii="Californian FB" w:hAnsi="Californian FB"/>
        </w:rPr>
        <w:t xml:space="preserve">finding that </w:t>
      </w:r>
      <w:r w:rsidR="001D43F2" w:rsidRPr="00BA6F46">
        <w:rPr>
          <w:rFonts w:ascii="Californian FB" w:hAnsi="Californian FB"/>
        </w:rPr>
        <w:t>that section 149(6) L</w:t>
      </w:r>
      <w:r w:rsidR="001D43F2">
        <w:rPr>
          <w:rFonts w:ascii="Californian FB" w:hAnsi="Californian FB"/>
        </w:rPr>
        <w:t xml:space="preserve">aw of </w:t>
      </w:r>
      <w:r w:rsidR="001D43F2" w:rsidRPr="00BA6F46">
        <w:rPr>
          <w:rFonts w:ascii="Californian FB" w:hAnsi="Californian FB"/>
        </w:rPr>
        <w:t>P</w:t>
      </w:r>
      <w:r w:rsidR="001D43F2">
        <w:rPr>
          <w:rFonts w:ascii="Californian FB" w:hAnsi="Californian FB"/>
        </w:rPr>
        <w:t xml:space="preserve">roperty </w:t>
      </w:r>
      <w:r w:rsidR="001D43F2" w:rsidRPr="00BA6F46">
        <w:rPr>
          <w:rFonts w:ascii="Californian FB" w:hAnsi="Californian FB"/>
        </w:rPr>
        <w:t>A</w:t>
      </w:r>
      <w:r w:rsidR="001D43F2">
        <w:rPr>
          <w:rFonts w:ascii="Californian FB" w:hAnsi="Californian FB"/>
        </w:rPr>
        <w:t>ct</w:t>
      </w:r>
      <w:r w:rsidR="005840BE">
        <w:rPr>
          <w:rFonts w:ascii="Californian FB" w:hAnsi="Californian FB"/>
        </w:rPr>
        <w:t xml:space="preserve"> 1925</w:t>
      </w:r>
      <w:r w:rsidR="001D43F2" w:rsidRPr="00BA6F46">
        <w:rPr>
          <w:rFonts w:ascii="Californian FB" w:hAnsi="Californian FB"/>
        </w:rPr>
        <w:t xml:space="preserve"> turned </w:t>
      </w:r>
      <w:r w:rsidR="001D43F2">
        <w:rPr>
          <w:rFonts w:ascii="Californian FB" w:hAnsi="Californian FB"/>
        </w:rPr>
        <w:t xml:space="preserve">a lease for an </w:t>
      </w:r>
      <w:r w:rsidR="001D43F2" w:rsidRPr="00BA6F46">
        <w:rPr>
          <w:rFonts w:ascii="Californian FB" w:hAnsi="Californian FB"/>
        </w:rPr>
        <w:t>uncertain term into a lease for 90 years</w:t>
      </w:r>
      <w:r w:rsidR="001D43F2">
        <w:rPr>
          <w:rFonts w:ascii="Californian FB" w:hAnsi="Californian FB"/>
        </w:rPr>
        <w:t>, therefore not breaching the rule it felt bound to uphold</w:t>
      </w:r>
      <w:r w:rsidR="00DC45C7" w:rsidRPr="00E77AD2">
        <w:rPr>
          <w:rFonts w:ascii="Californian FB" w:hAnsi="Californian FB"/>
        </w:rPr>
        <w:t xml:space="preserve">. </w:t>
      </w:r>
    </w:p>
    <w:p w14:paraId="3D6CEE16" w14:textId="0F58EF38" w:rsidR="00DC45C7" w:rsidRPr="00E77AD2" w:rsidRDefault="0020788A" w:rsidP="00DC45C7">
      <w:pPr>
        <w:jc w:val="both"/>
        <w:rPr>
          <w:rFonts w:ascii="Californian FB" w:hAnsi="Californian FB"/>
        </w:rPr>
      </w:pPr>
      <w:r>
        <w:rPr>
          <w:rFonts w:ascii="Californian FB" w:hAnsi="Californian FB"/>
        </w:rPr>
        <w:lastRenderedPageBreak/>
        <w:t xml:space="preserve">Both cases </w:t>
      </w:r>
      <w:r w:rsidR="007E351D">
        <w:rPr>
          <w:rFonts w:ascii="Californian FB" w:hAnsi="Californian FB"/>
        </w:rPr>
        <w:t>suggest that the Court is reluctant</w:t>
      </w:r>
      <w:r>
        <w:rPr>
          <w:rFonts w:ascii="Californian FB" w:hAnsi="Californian FB"/>
        </w:rPr>
        <w:t xml:space="preserve"> to develop the law when </w:t>
      </w:r>
      <w:r w:rsidR="1C306DC6" w:rsidRPr="10E55573">
        <w:rPr>
          <w:rFonts w:ascii="Californian FB" w:hAnsi="Californian FB"/>
        </w:rPr>
        <w:t>it anticipates</w:t>
      </w:r>
      <w:r>
        <w:rPr>
          <w:rFonts w:ascii="Californian FB" w:hAnsi="Californian FB"/>
        </w:rPr>
        <w:t xml:space="preserve"> a potential negative impact on landlords and long-standing tenancies. </w:t>
      </w:r>
      <w:r w:rsidR="005840BE">
        <w:rPr>
          <w:rFonts w:ascii="Californian FB" w:hAnsi="Californian FB"/>
        </w:rPr>
        <w:t xml:space="preserve">One interesting point is </w:t>
      </w:r>
      <w:r w:rsidR="000C7CAD">
        <w:rPr>
          <w:rFonts w:ascii="Californian FB" w:hAnsi="Californian FB"/>
        </w:rPr>
        <w:t xml:space="preserve">whether the fact that both </w:t>
      </w:r>
      <w:r w:rsidR="00035925">
        <w:rPr>
          <w:rFonts w:ascii="Californian FB" w:hAnsi="Californian FB"/>
        </w:rPr>
        <w:t xml:space="preserve">examples relate to leases is </w:t>
      </w:r>
      <w:r w:rsidR="00BD26C1">
        <w:rPr>
          <w:rFonts w:ascii="Californian FB" w:hAnsi="Californian FB"/>
        </w:rPr>
        <w:t xml:space="preserve">a </w:t>
      </w:r>
      <w:r w:rsidR="00E21DCD">
        <w:rPr>
          <w:rFonts w:ascii="Californian FB" w:hAnsi="Californian FB"/>
        </w:rPr>
        <w:t>coincidence</w:t>
      </w:r>
      <w:r w:rsidR="4D19B55E" w:rsidRPr="10E55573">
        <w:rPr>
          <w:rFonts w:ascii="Californian FB" w:hAnsi="Californian FB"/>
        </w:rPr>
        <w:t>,</w:t>
      </w:r>
      <w:r w:rsidR="00E21DCD">
        <w:rPr>
          <w:rFonts w:ascii="Californian FB" w:hAnsi="Californian FB"/>
        </w:rPr>
        <w:t xml:space="preserve"> or </w:t>
      </w:r>
      <w:r w:rsidR="000D561B">
        <w:rPr>
          <w:rFonts w:ascii="Californian FB" w:hAnsi="Californian FB"/>
        </w:rPr>
        <w:t xml:space="preserve">rather </w:t>
      </w:r>
      <w:r w:rsidR="00E21DCD">
        <w:rPr>
          <w:rFonts w:ascii="Californian FB" w:hAnsi="Californian FB"/>
        </w:rPr>
        <w:t xml:space="preserve">represents a trend where the Court is reluctant to </w:t>
      </w:r>
      <w:r w:rsidR="0025736B">
        <w:rPr>
          <w:rFonts w:ascii="Californian FB" w:hAnsi="Californian FB"/>
        </w:rPr>
        <w:t>undermine the status quo</w:t>
      </w:r>
      <w:r w:rsidR="79204F91" w:rsidRPr="10E55573">
        <w:rPr>
          <w:rFonts w:ascii="Californian FB" w:hAnsi="Californian FB"/>
        </w:rPr>
        <w:t xml:space="preserve"> in this area</w:t>
      </w:r>
      <w:r w:rsidR="0025736B" w:rsidRPr="10E55573">
        <w:rPr>
          <w:rFonts w:ascii="Californian FB" w:hAnsi="Californian FB"/>
        </w:rPr>
        <w:t>.</w:t>
      </w:r>
      <w:r w:rsidR="0025736B">
        <w:rPr>
          <w:rFonts w:ascii="Californian FB" w:hAnsi="Californian FB"/>
        </w:rPr>
        <w:t xml:space="preserve"> </w:t>
      </w:r>
      <w:r w:rsidR="000D561B">
        <w:rPr>
          <w:rFonts w:ascii="Californian FB" w:hAnsi="Californian FB"/>
        </w:rPr>
        <w:t>The latter</w:t>
      </w:r>
      <w:r w:rsidR="002C7E25">
        <w:rPr>
          <w:rFonts w:ascii="Californian FB" w:hAnsi="Californian FB"/>
        </w:rPr>
        <w:t>, we posit, is likely true</w:t>
      </w:r>
      <w:r w:rsidR="0025736B">
        <w:rPr>
          <w:rFonts w:ascii="Californian FB" w:hAnsi="Californian FB"/>
        </w:rPr>
        <w:t xml:space="preserve">. </w:t>
      </w:r>
      <w:r w:rsidR="005840BE">
        <w:rPr>
          <w:rFonts w:ascii="Californian FB" w:hAnsi="Californian FB"/>
        </w:rPr>
        <w:t>Another</w:t>
      </w:r>
      <w:r w:rsidR="0025736B">
        <w:rPr>
          <w:rFonts w:ascii="Californian FB" w:hAnsi="Californian FB"/>
        </w:rPr>
        <w:t xml:space="preserve"> is whether the fact that the </w:t>
      </w:r>
      <w:r w:rsidR="00BD26C1" w:rsidRPr="10E55573">
        <w:rPr>
          <w:rFonts w:ascii="Californian FB" w:hAnsi="Californian FB"/>
        </w:rPr>
        <w:t>C</w:t>
      </w:r>
      <w:r w:rsidR="0025736B" w:rsidRPr="10E55573">
        <w:rPr>
          <w:rFonts w:ascii="Californian FB" w:hAnsi="Californian FB"/>
        </w:rPr>
        <w:t>our</w:t>
      </w:r>
      <w:r w:rsidR="76425974" w:rsidRPr="10E55573">
        <w:rPr>
          <w:rFonts w:ascii="Californian FB" w:hAnsi="Californian FB"/>
        </w:rPr>
        <w:t xml:space="preserve">t </w:t>
      </w:r>
      <w:r w:rsidR="00FC6C96">
        <w:rPr>
          <w:rFonts w:ascii="Californian FB" w:hAnsi="Californian FB"/>
        </w:rPr>
        <w:t>found</w:t>
      </w:r>
      <w:r w:rsidR="0025736B">
        <w:rPr>
          <w:rFonts w:ascii="Californian FB" w:hAnsi="Californian FB"/>
        </w:rPr>
        <w:t xml:space="preserve"> </w:t>
      </w:r>
      <w:r w:rsidR="007B3F6F">
        <w:rPr>
          <w:rFonts w:ascii="Californian FB" w:hAnsi="Californian FB"/>
        </w:rPr>
        <w:t>different solutions</w:t>
      </w:r>
      <w:r w:rsidR="0025736B">
        <w:rPr>
          <w:rFonts w:ascii="Californian FB" w:hAnsi="Californian FB"/>
        </w:rPr>
        <w:t xml:space="preserve"> for the tenants also played a part in the Court’s reluctance to overrule previous authority. </w:t>
      </w:r>
      <w:r w:rsidR="008551B7">
        <w:rPr>
          <w:rFonts w:ascii="Californian FB" w:hAnsi="Californian FB"/>
        </w:rPr>
        <w:t xml:space="preserve">If there was no way around </w:t>
      </w:r>
      <w:r w:rsidR="00F95F25">
        <w:rPr>
          <w:rFonts w:ascii="Californian FB" w:hAnsi="Californian FB"/>
        </w:rPr>
        <w:t>in these cases</w:t>
      </w:r>
      <w:r w:rsidR="00FC6C96">
        <w:rPr>
          <w:rFonts w:ascii="Californian FB" w:hAnsi="Californian FB"/>
        </w:rPr>
        <w:t xml:space="preserve"> </w:t>
      </w:r>
      <w:r w:rsidR="00F95F25">
        <w:rPr>
          <w:rFonts w:ascii="Californian FB" w:hAnsi="Californian FB"/>
        </w:rPr>
        <w:t xml:space="preserve">other than </w:t>
      </w:r>
      <w:r w:rsidR="00497CB8">
        <w:rPr>
          <w:rFonts w:ascii="Californian FB" w:hAnsi="Californian FB"/>
        </w:rPr>
        <w:t xml:space="preserve">by overruling previous authority, </w:t>
      </w:r>
      <w:r w:rsidR="001A261F">
        <w:rPr>
          <w:rFonts w:ascii="Californian FB" w:hAnsi="Californian FB"/>
        </w:rPr>
        <w:t>the result might have been different. This</w:t>
      </w:r>
      <w:r w:rsidR="001A261F" w:rsidDel="00C72495">
        <w:rPr>
          <w:rFonts w:ascii="Californian FB" w:hAnsi="Californian FB"/>
        </w:rPr>
        <w:t xml:space="preserve"> </w:t>
      </w:r>
      <w:r w:rsidR="001A261F">
        <w:rPr>
          <w:rFonts w:ascii="Californian FB" w:hAnsi="Californian FB"/>
        </w:rPr>
        <w:t>suggests that th</w:t>
      </w:r>
      <w:r w:rsidR="004A408E">
        <w:rPr>
          <w:rFonts w:ascii="Californian FB" w:hAnsi="Californian FB"/>
        </w:rPr>
        <w:t>e Court, despite having the ability to overrule cases, use</w:t>
      </w:r>
      <w:r w:rsidR="00566763">
        <w:rPr>
          <w:rFonts w:ascii="Californian FB" w:hAnsi="Californian FB"/>
        </w:rPr>
        <w:t>s</w:t>
      </w:r>
      <w:r w:rsidR="004A408E">
        <w:rPr>
          <w:rFonts w:ascii="Californian FB" w:hAnsi="Californian FB"/>
        </w:rPr>
        <w:t xml:space="preserve"> this power sparingly if alternative solutions exist.</w:t>
      </w:r>
      <w:r w:rsidR="00AE0469">
        <w:rPr>
          <w:rFonts w:ascii="Californian FB" w:hAnsi="Californian FB"/>
        </w:rPr>
        <w:t xml:space="preserve"> The case law also suggests that</w:t>
      </w:r>
      <w:r w:rsidR="00C72495">
        <w:rPr>
          <w:rFonts w:ascii="Californian FB" w:hAnsi="Californian FB"/>
        </w:rPr>
        <w:t>,</w:t>
      </w:r>
      <w:r w:rsidR="00AE0469">
        <w:rPr>
          <w:rFonts w:ascii="Californian FB" w:hAnsi="Californian FB"/>
        </w:rPr>
        <w:t xml:space="preserve"> when the Court </w:t>
      </w:r>
      <w:r w:rsidR="00AE0469">
        <w:rPr>
          <w:rFonts w:ascii="Californian FB" w:hAnsi="Californian FB"/>
          <w:i/>
          <w:iCs/>
        </w:rPr>
        <w:t>is</w:t>
      </w:r>
      <w:r w:rsidR="00AE0469">
        <w:rPr>
          <w:rFonts w:ascii="Californian FB" w:hAnsi="Californian FB"/>
        </w:rPr>
        <w:t xml:space="preserve"> willing to overrule</w:t>
      </w:r>
      <w:r w:rsidR="00111E20">
        <w:rPr>
          <w:rFonts w:ascii="Californian FB" w:hAnsi="Californian FB"/>
        </w:rPr>
        <w:t xml:space="preserve"> previous authority</w:t>
      </w:r>
      <w:r w:rsidR="00C72495">
        <w:rPr>
          <w:rFonts w:ascii="Californian FB" w:hAnsi="Californian FB"/>
        </w:rPr>
        <w:t>,</w:t>
      </w:r>
      <w:r w:rsidR="00E70974">
        <w:rPr>
          <w:rFonts w:ascii="Californian FB" w:hAnsi="Californian FB"/>
        </w:rPr>
        <w:t xml:space="preserve"> it generally coalesces with</w:t>
      </w:r>
      <w:r w:rsidR="00315C72">
        <w:rPr>
          <w:rFonts w:ascii="Californian FB" w:hAnsi="Californian FB"/>
        </w:rPr>
        <w:t xml:space="preserve"> policy trends discussed further below. </w:t>
      </w:r>
      <w:r w:rsidR="004A408E">
        <w:rPr>
          <w:rFonts w:ascii="Californian FB" w:hAnsi="Californian FB"/>
        </w:rPr>
        <w:t>This</w:t>
      </w:r>
      <w:r w:rsidR="00343410">
        <w:rPr>
          <w:rFonts w:ascii="Californian FB" w:hAnsi="Californian FB"/>
        </w:rPr>
        <w:t>,</w:t>
      </w:r>
      <w:r w:rsidR="004A408E">
        <w:rPr>
          <w:rFonts w:ascii="Californian FB" w:hAnsi="Californian FB"/>
        </w:rPr>
        <w:t xml:space="preserve"> </w:t>
      </w:r>
      <w:r w:rsidR="00343410">
        <w:rPr>
          <w:rFonts w:ascii="Californian FB" w:hAnsi="Californian FB"/>
        </w:rPr>
        <w:t xml:space="preserve">in </w:t>
      </w:r>
      <w:r w:rsidR="004A408E">
        <w:rPr>
          <w:rFonts w:ascii="Californian FB" w:hAnsi="Californian FB"/>
        </w:rPr>
        <w:t>turn</w:t>
      </w:r>
      <w:r w:rsidR="00343410">
        <w:rPr>
          <w:rFonts w:ascii="Californian FB" w:hAnsi="Californian FB"/>
        </w:rPr>
        <w:t>,</w:t>
      </w:r>
      <w:r w:rsidR="004A408E">
        <w:rPr>
          <w:rFonts w:ascii="Californian FB" w:hAnsi="Californian FB"/>
        </w:rPr>
        <w:t xml:space="preserve"> </w:t>
      </w:r>
      <w:r w:rsidR="007E1A7A">
        <w:rPr>
          <w:rFonts w:ascii="Californian FB" w:hAnsi="Californian FB"/>
        </w:rPr>
        <w:t xml:space="preserve">says something about how </w:t>
      </w:r>
      <w:r w:rsidR="40E7CE58" w:rsidRPr="10E55573">
        <w:rPr>
          <w:rFonts w:ascii="Californian FB" w:hAnsi="Californian FB"/>
        </w:rPr>
        <w:t xml:space="preserve">it sees its </w:t>
      </w:r>
      <w:r w:rsidR="007E1A7A" w:rsidRPr="10E55573">
        <w:rPr>
          <w:rFonts w:ascii="Californian FB" w:hAnsi="Californian FB"/>
        </w:rPr>
        <w:t>role</w:t>
      </w:r>
      <w:r w:rsidR="00315C72">
        <w:rPr>
          <w:rFonts w:ascii="Californian FB" w:hAnsi="Californian FB"/>
        </w:rPr>
        <w:t xml:space="preserve"> and the factors influencing </w:t>
      </w:r>
      <w:r w:rsidR="0054486B">
        <w:rPr>
          <w:rFonts w:ascii="Californian FB" w:hAnsi="Californian FB"/>
        </w:rPr>
        <w:t>that perception</w:t>
      </w:r>
      <w:r w:rsidR="007E1A7A">
        <w:rPr>
          <w:rFonts w:ascii="Californian FB" w:hAnsi="Californian FB"/>
        </w:rPr>
        <w:t xml:space="preserve">. </w:t>
      </w:r>
    </w:p>
    <w:p w14:paraId="1872B4EA" w14:textId="77777777" w:rsidR="00DC45C7" w:rsidRPr="004D4D20" w:rsidRDefault="00DC45C7" w:rsidP="00DC45C7">
      <w:pPr>
        <w:pStyle w:val="Heading3"/>
      </w:pPr>
      <w:r w:rsidRPr="004D4D20">
        <w:t>The Relevance of the Intentions of the Parties (and Interpreting Them)</w:t>
      </w:r>
    </w:p>
    <w:p w14:paraId="18294252" w14:textId="70341201" w:rsidR="0033699C" w:rsidRPr="00DA20D2" w:rsidRDefault="0033699C" w:rsidP="0033699C">
      <w:pPr>
        <w:jc w:val="both"/>
        <w:rPr>
          <w:rFonts w:ascii="Californian FB" w:hAnsi="Californian FB"/>
          <w:strike/>
        </w:rPr>
      </w:pPr>
      <w:r w:rsidRPr="00EF2F7B">
        <w:rPr>
          <w:rFonts w:ascii="Californian FB" w:hAnsi="Californian FB"/>
        </w:rPr>
        <w:t xml:space="preserve">One theme that arose was the importance of interpreting the intention of the parties based on the (written) documentation involved in the transaction, be that a lease, a trust deed, or some other contract. </w:t>
      </w:r>
      <w:r>
        <w:rPr>
          <w:rFonts w:ascii="Californian FB" w:hAnsi="Californian FB"/>
        </w:rPr>
        <w:t xml:space="preserve">A trend that emerges within these cases is the need for the interpretation of the intention to make business or commercial sense. </w:t>
      </w:r>
    </w:p>
    <w:p w14:paraId="01E201AF" w14:textId="134859E2" w:rsidR="0033699C" w:rsidRPr="00EF2F7B" w:rsidRDefault="0054486B" w:rsidP="0033699C">
      <w:pPr>
        <w:jc w:val="both"/>
        <w:rPr>
          <w:rFonts w:ascii="Californian FB" w:hAnsi="Californian FB"/>
        </w:rPr>
      </w:pPr>
      <w:r w:rsidRPr="0054486B">
        <w:rPr>
          <w:rFonts w:ascii="Californian FB" w:hAnsi="Californian FB"/>
        </w:rPr>
        <w:t>In</w:t>
      </w:r>
      <w:r w:rsidR="0033699C" w:rsidRPr="0A5F1DBA">
        <w:rPr>
          <w:rFonts w:ascii="Californian FB" w:hAnsi="Californian FB"/>
          <w:i/>
          <w:iCs/>
        </w:rPr>
        <w:t xml:space="preserve"> In Re Sigma Finance Corporatio</w:t>
      </w:r>
      <w:r w:rsidR="00CE4B8B">
        <w:rPr>
          <w:rFonts w:ascii="Californian FB" w:hAnsi="Californian FB"/>
          <w:i/>
          <w:iCs/>
        </w:rPr>
        <w:t>n,</w:t>
      </w:r>
      <w:r w:rsidR="0033699C">
        <w:rPr>
          <w:rStyle w:val="FootnoteReference"/>
          <w:rFonts w:ascii="Californian FB" w:hAnsi="Californian FB"/>
        </w:rPr>
        <w:footnoteReference w:id="55"/>
      </w:r>
      <w:r w:rsidR="0033699C" w:rsidRPr="0A5F1DBA">
        <w:rPr>
          <w:rFonts w:ascii="Californian FB" w:hAnsi="Californian FB"/>
          <w:i/>
          <w:iCs/>
        </w:rPr>
        <w:t xml:space="preserve"> </w:t>
      </w:r>
      <w:r w:rsidR="0033699C">
        <w:rPr>
          <w:rFonts w:ascii="Californian FB" w:hAnsi="Californian FB"/>
        </w:rPr>
        <w:t xml:space="preserve"> the Court made clear that the interpretation of the documentation, in this case the </w:t>
      </w:r>
      <w:r w:rsidR="0033699C" w:rsidRPr="00EF2F7B">
        <w:rPr>
          <w:rFonts w:ascii="Californian FB" w:hAnsi="Californian FB"/>
        </w:rPr>
        <w:t>security trust deed</w:t>
      </w:r>
      <w:r w:rsidR="0033699C">
        <w:rPr>
          <w:rFonts w:ascii="Californian FB" w:hAnsi="Californian FB"/>
        </w:rPr>
        <w:t xml:space="preserve">, </w:t>
      </w:r>
      <w:r w:rsidR="0033699C" w:rsidRPr="00EF2F7B">
        <w:rPr>
          <w:rFonts w:ascii="Californian FB" w:hAnsi="Californian FB"/>
        </w:rPr>
        <w:t xml:space="preserve">should be an iterative process which involved </w:t>
      </w:r>
      <w:r w:rsidR="00CD2F73">
        <w:rPr>
          <w:rFonts w:ascii="Californian FB" w:hAnsi="Californian FB"/>
        </w:rPr>
        <w:t>‘</w:t>
      </w:r>
      <w:r w:rsidR="0033699C" w:rsidRPr="00EF2F7B">
        <w:rPr>
          <w:rFonts w:ascii="Californian FB" w:hAnsi="Californian FB"/>
        </w:rPr>
        <w:t>checking each of the rival meanings against other provisions of the document and investigating its commercial consequences</w:t>
      </w:r>
      <w:r w:rsidR="0033699C">
        <w:rPr>
          <w:rFonts w:ascii="Californian FB" w:hAnsi="Californian FB"/>
        </w:rPr>
        <w:t>.</w:t>
      </w:r>
      <w:r w:rsidR="00CD2F73">
        <w:rPr>
          <w:rFonts w:ascii="Californian FB" w:hAnsi="Californian FB"/>
        </w:rPr>
        <w:t>’</w:t>
      </w:r>
      <w:r w:rsidR="0033699C">
        <w:rPr>
          <w:rStyle w:val="FootnoteReference"/>
          <w:rFonts w:ascii="Californian FB" w:hAnsi="Californian FB"/>
        </w:rPr>
        <w:footnoteReference w:id="56"/>
      </w:r>
      <w:r w:rsidR="0033699C">
        <w:rPr>
          <w:rFonts w:ascii="Californian FB" w:hAnsi="Californian FB"/>
        </w:rPr>
        <w:t xml:space="preserve"> Because of this </w:t>
      </w:r>
      <w:r w:rsidR="00692291">
        <w:rPr>
          <w:rFonts w:ascii="Californian FB" w:hAnsi="Californian FB"/>
        </w:rPr>
        <w:t>a</w:t>
      </w:r>
      <w:r w:rsidR="0033699C">
        <w:rPr>
          <w:rFonts w:ascii="Californian FB" w:hAnsi="Californian FB"/>
        </w:rPr>
        <w:t xml:space="preserve"> court cannot (and should not)</w:t>
      </w:r>
      <w:r w:rsidR="0033699C" w:rsidRPr="004D33AF">
        <w:rPr>
          <w:rFonts w:ascii="Californian FB" w:hAnsi="Californian FB"/>
        </w:rPr>
        <w:t xml:space="preserve"> </w:t>
      </w:r>
      <w:r w:rsidR="0033699C" w:rsidRPr="00EF2F7B">
        <w:rPr>
          <w:rFonts w:ascii="Californian FB" w:hAnsi="Californian FB"/>
        </w:rPr>
        <w:t>give too much weight to the natural meaning of the words in some clauses in isolation</w:t>
      </w:r>
      <w:r w:rsidR="0033699C">
        <w:rPr>
          <w:rFonts w:ascii="Californian FB" w:hAnsi="Californian FB"/>
        </w:rPr>
        <w:t xml:space="preserve">, as </w:t>
      </w:r>
      <w:r w:rsidR="0033699C" w:rsidRPr="00EF2F7B">
        <w:rPr>
          <w:rFonts w:ascii="Californian FB" w:hAnsi="Californian FB"/>
        </w:rPr>
        <w:t>even the most skilled draftsmen ma</w:t>
      </w:r>
      <w:r w:rsidR="7ECDC107" w:rsidRPr="00EF2F7B">
        <w:rPr>
          <w:rFonts w:ascii="Californian FB" w:hAnsi="Californian FB"/>
        </w:rPr>
        <w:t>k</w:t>
      </w:r>
      <w:r w:rsidR="0033699C" w:rsidRPr="00EF2F7B">
        <w:rPr>
          <w:rFonts w:ascii="Californian FB" w:hAnsi="Californian FB"/>
        </w:rPr>
        <w:t>e errors and sometimes fail to see the wood for the trees</w:t>
      </w:r>
      <w:r w:rsidR="0033699C">
        <w:rPr>
          <w:rFonts w:ascii="Californian FB" w:hAnsi="Californian FB"/>
        </w:rPr>
        <w:t>.</w:t>
      </w:r>
      <w:r w:rsidR="0033699C">
        <w:rPr>
          <w:rStyle w:val="FootnoteReference"/>
          <w:rFonts w:ascii="Californian FB" w:hAnsi="Californian FB"/>
        </w:rPr>
        <w:footnoteReference w:id="57"/>
      </w:r>
      <w:r w:rsidR="0033699C">
        <w:rPr>
          <w:rFonts w:ascii="Californian FB" w:hAnsi="Californian FB"/>
        </w:rPr>
        <w:t xml:space="preserve"> The importance </w:t>
      </w:r>
      <w:r w:rsidR="00965EEB">
        <w:rPr>
          <w:rFonts w:ascii="Californian FB" w:hAnsi="Californian FB"/>
        </w:rPr>
        <w:t>of</w:t>
      </w:r>
      <w:r w:rsidR="0033699C">
        <w:rPr>
          <w:rFonts w:ascii="Californian FB" w:hAnsi="Californian FB"/>
        </w:rPr>
        <w:t xml:space="preserve"> </w:t>
      </w:r>
      <w:r w:rsidR="00C06A31">
        <w:rPr>
          <w:rFonts w:ascii="Californian FB" w:hAnsi="Californian FB"/>
        </w:rPr>
        <w:t>commercially-sensible interpretations</w:t>
      </w:r>
      <w:r w:rsidR="0033699C">
        <w:rPr>
          <w:rFonts w:ascii="Californian FB" w:hAnsi="Californian FB"/>
        </w:rPr>
        <w:t xml:space="preserve"> also </w:t>
      </w:r>
      <w:r w:rsidR="00C06A31">
        <w:rPr>
          <w:rFonts w:ascii="Californian FB" w:hAnsi="Californian FB"/>
        </w:rPr>
        <w:t>emerged</w:t>
      </w:r>
      <w:r w:rsidR="0033699C">
        <w:rPr>
          <w:rFonts w:ascii="Californian FB" w:hAnsi="Californian FB"/>
        </w:rPr>
        <w:t xml:space="preserve"> in</w:t>
      </w:r>
      <w:r w:rsidR="0033699C" w:rsidDel="00C06A31">
        <w:rPr>
          <w:rFonts w:ascii="Californian FB" w:hAnsi="Californian FB"/>
        </w:rPr>
        <w:t xml:space="preserve"> </w:t>
      </w:r>
      <w:r w:rsidR="0033699C" w:rsidRPr="0A5F1DBA">
        <w:rPr>
          <w:rFonts w:ascii="Californian FB" w:hAnsi="Californian FB"/>
          <w:i/>
          <w:iCs/>
        </w:rPr>
        <w:t>Multi-Link Leisure Developments Limited v North Lanarkshire Council (Scotland)</w:t>
      </w:r>
      <w:r w:rsidR="0033699C">
        <w:rPr>
          <w:rFonts w:ascii="Californian FB" w:hAnsi="Californian FB"/>
        </w:rPr>
        <w:t>.</w:t>
      </w:r>
      <w:r w:rsidR="0033699C">
        <w:rPr>
          <w:rStyle w:val="FootnoteReference"/>
          <w:rFonts w:ascii="Californian FB" w:hAnsi="Californian FB"/>
        </w:rPr>
        <w:footnoteReference w:id="58"/>
      </w:r>
      <w:r w:rsidR="0033699C">
        <w:rPr>
          <w:rFonts w:ascii="Californian FB" w:hAnsi="Californian FB"/>
        </w:rPr>
        <w:t xml:space="preserve"> </w:t>
      </w:r>
      <w:r w:rsidR="006A206D">
        <w:rPr>
          <w:rFonts w:ascii="Californian FB" w:hAnsi="Californian FB"/>
        </w:rPr>
        <w:t xml:space="preserve">This concerned </w:t>
      </w:r>
      <w:r w:rsidR="0033699C">
        <w:rPr>
          <w:rFonts w:ascii="Californian FB" w:hAnsi="Californian FB"/>
        </w:rPr>
        <w:t>an option to purchase</w:t>
      </w:r>
      <w:r w:rsidR="0033699C" w:rsidDel="00772D2B">
        <w:rPr>
          <w:rFonts w:ascii="Californian FB" w:hAnsi="Californian FB"/>
        </w:rPr>
        <w:t xml:space="preserve"> </w:t>
      </w:r>
      <w:r w:rsidR="0033699C">
        <w:rPr>
          <w:rFonts w:ascii="Californian FB" w:hAnsi="Californian FB"/>
        </w:rPr>
        <w:t xml:space="preserve">and </w:t>
      </w:r>
      <w:r w:rsidR="0033699C" w:rsidRPr="00EF2F7B">
        <w:rPr>
          <w:rFonts w:ascii="Californian FB" w:hAnsi="Californian FB"/>
        </w:rPr>
        <w:t xml:space="preserve">whether </w:t>
      </w:r>
      <w:r w:rsidR="0033699C">
        <w:rPr>
          <w:rFonts w:ascii="Californian FB" w:hAnsi="Californian FB"/>
        </w:rPr>
        <w:t>‘</w:t>
      </w:r>
      <w:r w:rsidR="0033699C" w:rsidRPr="00EF2F7B">
        <w:rPr>
          <w:rFonts w:ascii="Californian FB" w:hAnsi="Californian FB"/>
        </w:rPr>
        <w:t>full market value</w:t>
      </w:r>
      <w:r w:rsidR="0033699C">
        <w:rPr>
          <w:rFonts w:ascii="Californian FB" w:hAnsi="Californian FB"/>
        </w:rPr>
        <w:t>’</w:t>
      </w:r>
      <w:r w:rsidR="0033699C" w:rsidRPr="00EF2F7B">
        <w:rPr>
          <w:rFonts w:ascii="Californian FB" w:hAnsi="Californian FB"/>
        </w:rPr>
        <w:t xml:space="preserve"> needed to be </w:t>
      </w:r>
      <w:r w:rsidR="0033699C">
        <w:rPr>
          <w:rFonts w:ascii="Californian FB" w:hAnsi="Californian FB"/>
        </w:rPr>
        <w:t>based</w:t>
      </w:r>
      <w:r w:rsidR="0033699C" w:rsidRPr="00EF2F7B">
        <w:rPr>
          <w:rFonts w:ascii="Californian FB" w:hAnsi="Californian FB"/>
        </w:rPr>
        <w:t xml:space="preserve"> only </w:t>
      </w:r>
      <w:r w:rsidR="0033699C">
        <w:rPr>
          <w:rFonts w:ascii="Californian FB" w:hAnsi="Californian FB"/>
        </w:rPr>
        <w:t>on use</w:t>
      </w:r>
      <w:r w:rsidR="00FC34FF">
        <w:rPr>
          <w:rFonts w:ascii="Californian FB" w:hAnsi="Californian FB"/>
        </w:rPr>
        <w:t xml:space="preserve"> of land</w:t>
      </w:r>
      <w:r w:rsidR="0033699C" w:rsidRPr="00EF2F7B">
        <w:rPr>
          <w:rFonts w:ascii="Californian FB" w:hAnsi="Californian FB"/>
        </w:rPr>
        <w:t xml:space="preserve"> as agricultural land, or whether the likelihood </w:t>
      </w:r>
      <w:r w:rsidR="00772D2B">
        <w:rPr>
          <w:rFonts w:ascii="Californian FB" w:hAnsi="Californian FB"/>
        </w:rPr>
        <w:t>of obtaining</w:t>
      </w:r>
      <w:r w:rsidR="0033699C" w:rsidRPr="00EF2F7B" w:rsidDel="00772D2B">
        <w:rPr>
          <w:rFonts w:ascii="Californian FB" w:hAnsi="Californian FB"/>
        </w:rPr>
        <w:t xml:space="preserve"> </w:t>
      </w:r>
      <w:r w:rsidR="0033699C" w:rsidRPr="00EF2F7B">
        <w:rPr>
          <w:rFonts w:ascii="Californian FB" w:hAnsi="Californian FB"/>
        </w:rPr>
        <w:t xml:space="preserve">planning permission could be </w:t>
      </w:r>
      <w:r w:rsidR="00772D2B">
        <w:rPr>
          <w:rFonts w:ascii="Californian FB" w:hAnsi="Californian FB"/>
        </w:rPr>
        <w:t>factored in</w:t>
      </w:r>
      <w:r w:rsidR="0033699C" w:rsidRPr="00EF2F7B">
        <w:rPr>
          <w:rFonts w:ascii="Californian FB" w:hAnsi="Californian FB"/>
        </w:rPr>
        <w:t>.</w:t>
      </w:r>
      <w:r w:rsidR="0033699C" w:rsidRPr="007F34E8">
        <w:rPr>
          <w:rFonts w:ascii="Californian FB" w:hAnsi="Californian FB"/>
        </w:rPr>
        <w:t xml:space="preserve"> </w:t>
      </w:r>
      <w:r w:rsidR="0033699C" w:rsidRPr="00EF2F7B">
        <w:rPr>
          <w:rFonts w:ascii="Californian FB" w:hAnsi="Californian FB"/>
        </w:rPr>
        <w:t xml:space="preserve">The </w:t>
      </w:r>
      <w:r w:rsidR="0033699C">
        <w:rPr>
          <w:rFonts w:ascii="Californian FB" w:hAnsi="Californian FB"/>
        </w:rPr>
        <w:t>Court</w:t>
      </w:r>
      <w:r w:rsidR="0033699C" w:rsidRPr="00EF2F7B">
        <w:rPr>
          <w:rFonts w:ascii="Californian FB" w:hAnsi="Californian FB"/>
        </w:rPr>
        <w:t xml:space="preserve"> favoured the latter approach and</w:t>
      </w:r>
      <w:r w:rsidR="00772D2B">
        <w:rPr>
          <w:rFonts w:ascii="Californian FB" w:hAnsi="Californian FB"/>
        </w:rPr>
        <w:t>,</w:t>
      </w:r>
      <w:r w:rsidR="0033699C" w:rsidRPr="00EF2F7B">
        <w:rPr>
          <w:rFonts w:ascii="Californian FB" w:hAnsi="Californian FB"/>
        </w:rPr>
        <w:t xml:space="preserve"> in doing so</w:t>
      </w:r>
      <w:r w:rsidR="00772D2B">
        <w:rPr>
          <w:rFonts w:ascii="Californian FB" w:hAnsi="Californian FB"/>
        </w:rPr>
        <w:t>,</w:t>
      </w:r>
      <w:r w:rsidR="0033699C" w:rsidRPr="00EF2F7B">
        <w:rPr>
          <w:rFonts w:ascii="Californian FB" w:hAnsi="Californian FB"/>
        </w:rPr>
        <w:t xml:space="preserve"> emphasised </w:t>
      </w:r>
      <w:r w:rsidR="00880634">
        <w:rPr>
          <w:rFonts w:ascii="Californian FB" w:hAnsi="Californian FB"/>
        </w:rPr>
        <w:t>giving</w:t>
      </w:r>
      <w:r w:rsidR="0033699C" w:rsidRPr="00EF2F7B">
        <w:rPr>
          <w:rFonts w:ascii="Californian FB" w:hAnsi="Californian FB"/>
        </w:rPr>
        <w:t xml:space="preserve"> an interpretation that made commercial sense,</w:t>
      </w:r>
      <w:r w:rsidR="0033699C">
        <w:rPr>
          <w:rStyle w:val="FootnoteReference"/>
          <w:rFonts w:ascii="Californian FB" w:hAnsi="Californian FB"/>
        </w:rPr>
        <w:footnoteReference w:id="59"/>
      </w:r>
      <w:r w:rsidR="0033699C" w:rsidRPr="00EF2F7B">
        <w:rPr>
          <w:rFonts w:ascii="Californian FB" w:hAnsi="Californian FB"/>
        </w:rPr>
        <w:t xml:space="preserve"> </w:t>
      </w:r>
      <w:r w:rsidR="00810BA4">
        <w:rPr>
          <w:rFonts w:ascii="Californian FB" w:hAnsi="Californian FB"/>
        </w:rPr>
        <w:t>finding</w:t>
      </w:r>
      <w:r w:rsidR="0033699C" w:rsidRPr="00EF2F7B">
        <w:rPr>
          <w:rFonts w:ascii="Californian FB" w:hAnsi="Californian FB"/>
        </w:rPr>
        <w:t xml:space="preserve"> </w:t>
      </w:r>
      <w:r w:rsidR="0033699C">
        <w:rPr>
          <w:rFonts w:ascii="Californian FB" w:hAnsi="Californian FB"/>
        </w:rPr>
        <w:t xml:space="preserve">an agreement that was based on </w:t>
      </w:r>
      <w:r w:rsidR="0033699C" w:rsidRPr="00EF2F7B">
        <w:rPr>
          <w:rFonts w:ascii="Californian FB" w:hAnsi="Californian FB"/>
        </w:rPr>
        <w:t xml:space="preserve">what </w:t>
      </w:r>
      <w:r w:rsidR="0033699C">
        <w:rPr>
          <w:rFonts w:ascii="Californian FB" w:hAnsi="Californian FB"/>
        </w:rPr>
        <w:t>‘</w:t>
      </w:r>
      <w:r w:rsidR="0033699C" w:rsidRPr="00EF2F7B">
        <w:rPr>
          <w:rFonts w:ascii="Californian FB" w:hAnsi="Californian FB"/>
        </w:rPr>
        <w:t>reasonable commercial men would have agreed to when the lease was entered into, if they had applied their minds to the benefits that would accrue to the tenants if they were to exercise the option to purchase.’</w:t>
      </w:r>
      <w:r w:rsidR="0033699C">
        <w:rPr>
          <w:rStyle w:val="FootnoteReference"/>
          <w:rFonts w:ascii="Californian FB" w:hAnsi="Californian FB"/>
        </w:rPr>
        <w:footnoteReference w:id="60"/>
      </w:r>
      <w:r w:rsidR="0033699C">
        <w:rPr>
          <w:rFonts w:ascii="Californian FB" w:hAnsi="Californian FB"/>
        </w:rPr>
        <w:t xml:space="preserve"> The same trend is identified in </w:t>
      </w:r>
      <w:r w:rsidR="0033699C" w:rsidRPr="0A5F1DBA">
        <w:rPr>
          <w:rFonts w:ascii="Californian FB" w:hAnsi="Californian FB"/>
          <w:i/>
          <w:iCs/>
        </w:rPr>
        <w:t>Aberdeen City Council v Stewart Milne Group Limited</w:t>
      </w:r>
      <w:r w:rsidR="0033699C" w:rsidRPr="00EF2F7B">
        <w:rPr>
          <w:rFonts w:ascii="Californian FB" w:hAnsi="Californian FB"/>
        </w:rPr>
        <w:t xml:space="preserve"> </w:t>
      </w:r>
      <w:r w:rsidR="0033699C" w:rsidRPr="0015717F">
        <w:rPr>
          <w:rFonts w:ascii="Californian FB" w:hAnsi="Californian FB"/>
          <w:i/>
          <w:iCs/>
        </w:rPr>
        <w:t>(Scotland)</w:t>
      </w:r>
      <w:r w:rsidR="00CE4418">
        <w:rPr>
          <w:rFonts w:ascii="Californian FB" w:hAnsi="Californian FB"/>
        </w:rPr>
        <w:t>,</w:t>
      </w:r>
      <w:r w:rsidR="0033699C" w:rsidRPr="007E7FAD">
        <w:rPr>
          <w:rStyle w:val="FootnoteReference"/>
          <w:rFonts w:ascii="Californian FB" w:hAnsi="Californian FB"/>
        </w:rPr>
        <w:footnoteReference w:id="61"/>
      </w:r>
      <w:r w:rsidR="0033699C">
        <w:rPr>
          <w:rFonts w:ascii="Californian FB" w:hAnsi="Californian FB"/>
        </w:rPr>
        <w:t xml:space="preserve"> in relation to the </w:t>
      </w:r>
      <w:r w:rsidR="0033699C" w:rsidRPr="00EF2F7B">
        <w:rPr>
          <w:rFonts w:ascii="Californian FB" w:hAnsi="Californian FB"/>
        </w:rPr>
        <w:t>interpretation of an uplift provision</w:t>
      </w:r>
      <w:r w:rsidR="00770639">
        <w:rPr>
          <w:rFonts w:ascii="Californian FB" w:hAnsi="Californian FB"/>
        </w:rPr>
        <w:t xml:space="preserve">. </w:t>
      </w:r>
      <w:r w:rsidR="00CE4418">
        <w:rPr>
          <w:rFonts w:ascii="Californian FB" w:hAnsi="Californian FB"/>
        </w:rPr>
        <w:t>A</w:t>
      </w:r>
      <w:r w:rsidR="0033699C" w:rsidRPr="00EF2F7B">
        <w:rPr>
          <w:rFonts w:ascii="Californian FB" w:hAnsi="Californian FB"/>
        </w:rPr>
        <w:t xml:space="preserve"> </w:t>
      </w:r>
      <w:r w:rsidR="00810BA4">
        <w:rPr>
          <w:rFonts w:ascii="Californian FB" w:hAnsi="Californian FB"/>
        </w:rPr>
        <w:t>‘</w:t>
      </w:r>
      <w:r w:rsidR="0033699C" w:rsidRPr="00EF2F7B">
        <w:rPr>
          <w:rFonts w:ascii="Californian FB" w:hAnsi="Californian FB"/>
        </w:rPr>
        <w:t>commercially minded interpretation</w:t>
      </w:r>
      <w:r w:rsidR="00810BA4">
        <w:rPr>
          <w:rFonts w:ascii="Californian FB" w:hAnsi="Californian FB"/>
        </w:rPr>
        <w:t>’</w:t>
      </w:r>
      <w:r w:rsidR="0033699C" w:rsidRPr="00EF2F7B">
        <w:rPr>
          <w:rFonts w:ascii="Californian FB" w:hAnsi="Californian FB"/>
        </w:rPr>
        <w:t xml:space="preserve"> required the implication of a second term</w:t>
      </w:r>
      <w:r w:rsidR="00810BA4">
        <w:rPr>
          <w:rFonts w:ascii="Californian FB" w:hAnsi="Californian FB"/>
        </w:rPr>
        <w:t xml:space="preserve"> into the agreement</w:t>
      </w:r>
      <w:r w:rsidR="009D60AE">
        <w:rPr>
          <w:rFonts w:ascii="Californian FB" w:hAnsi="Californian FB"/>
        </w:rPr>
        <w:t xml:space="preserve">, </w:t>
      </w:r>
      <w:r w:rsidR="00005EDF">
        <w:rPr>
          <w:rFonts w:ascii="Californian FB" w:hAnsi="Californian FB"/>
        </w:rPr>
        <w:t>stating</w:t>
      </w:r>
      <w:r w:rsidR="0033699C" w:rsidRPr="00EF2F7B">
        <w:rPr>
          <w:rFonts w:ascii="Californian FB" w:hAnsi="Californian FB"/>
        </w:rPr>
        <w:t xml:space="preserve"> </w:t>
      </w:r>
      <w:r w:rsidR="00810BA4">
        <w:rPr>
          <w:rFonts w:ascii="Californian FB" w:hAnsi="Californian FB"/>
        </w:rPr>
        <w:t>t</w:t>
      </w:r>
      <w:r w:rsidR="0033699C" w:rsidRPr="00EF2F7B">
        <w:rPr>
          <w:rFonts w:ascii="Californian FB" w:hAnsi="Californian FB"/>
        </w:rPr>
        <w:t>hat</w:t>
      </w:r>
      <w:r w:rsidR="009D60AE">
        <w:rPr>
          <w:rFonts w:ascii="Californian FB" w:hAnsi="Californian FB"/>
        </w:rPr>
        <w:t>,</w:t>
      </w:r>
      <w:r w:rsidR="0033699C" w:rsidRPr="00EF2F7B">
        <w:rPr>
          <w:rFonts w:ascii="Californian FB" w:hAnsi="Californian FB"/>
        </w:rPr>
        <w:t xml:space="preserve"> </w:t>
      </w:r>
      <w:r w:rsidR="00574BC3">
        <w:rPr>
          <w:rFonts w:ascii="Californian FB" w:hAnsi="Californian FB"/>
        </w:rPr>
        <w:t xml:space="preserve">if </w:t>
      </w:r>
      <w:r w:rsidR="0033699C">
        <w:rPr>
          <w:rFonts w:ascii="Californian FB" w:hAnsi="Californian FB"/>
        </w:rPr>
        <w:t xml:space="preserve">the </w:t>
      </w:r>
      <w:r w:rsidR="0033699C" w:rsidRPr="00EF2F7B">
        <w:rPr>
          <w:rFonts w:ascii="Californian FB" w:hAnsi="Californian FB"/>
        </w:rPr>
        <w:t>sale which triggered the uplift was not at arm's length in the open market, an open market figure should be used instead.</w:t>
      </w:r>
      <w:r w:rsidR="0033699C">
        <w:rPr>
          <w:rStyle w:val="FootnoteReference"/>
          <w:rFonts w:ascii="Californian FB" w:hAnsi="Californian FB"/>
        </w:rPr>
        <w:footnoteReference w:id="62"/>
      </w:r>
      <w:r w:rsidR="0033699C">
        <w:rPr>
          <w:rFonts w:ascii="Californian FB" w:hAnsi="Californian FB"/>
        </w:rPr>
        <w:t xml:space="preserve"> </w:t>
      </w:r>
      <w:r w:rsidR="0033699C" w:rsidRPr="00EF2F7B">
        <w:rPr>
          <w:rFonts w:ascii="Californian FB" w:hAnsi="Californian FB"/>
        </w:rPr>
        <w:t>Similar reasoning was applied</w:t>
      </w:r>
      <w:r w:rsidR="0033699C">
        <w:rPr>
          <w:rFonts w:ascii="Californian FB" w:hAnsi="Californian FB"/>
        </w:rPr>
        <w:t xml:space="preserve"> </w:t>
      </w:r>
      <w:r w:rsidR="0033699C" w:rsidRPr="00EF2F7B">
        <w:rPr>
          <w:rFonts w:ascii="Californian FB" w:hAnsi="Californian FB"/>
        </w:rPr>
        <w:t xml:space="preserve">in </w:t>
      </w:r>
      <w:r w:rsidR="0033699C" w:rsidRPr="0A5F1DBA">
        <w:rPr>
          <w:rFonts w:ascii="Californian FB" w:hAnsi="Californian FB"/>
          <w:i/>
          <w:iCs/>
        </w:rPr>
        <w:t>Duval v 11-13 Randolph Crescent Ltd</w:t>
      </w:r>
      <w:r w:rsidR="009D60AE">
        <w:rPr>
          <w:rFonts w:ascii="Californian FB" w:hAnsi="Californian FB"/>
        </w:rPr>
        <w:t>,</w:t>
      </w:r>
      <w:r w:rsidR="0033699C" w:rsidRPr="009D60AE">
        <w:rPr>
          <w:rStyle w:val="FootnoteReference"/>
          <w:rFonts w:ascii="Californian FB" w:hAnsi="Californian FB"/>
        </w:rPr>
        <w:footnoteReference w:id="63"/>
      </w:r>
      <w:r w:rsidR="0033699C" w:rsidRPr="009D60AE">
        <w:rPr>
          <w:rFonts w:ascii="Californian FB" w:hAnsi="Californian FB"/>
        </w:rPr>
        <w:t xml:space="preserve"> </w:t>
      </w:r>
      <w:r w:rsidR="0033699C" w:rsidRPr="00EF2F7B">
        <w:rPr>
          <w:rFonts w:ascii="Californian FB" w:hAnsi="Californian FB"/>
        </w:rPr>
        <w:t xml:space="preserve">where the Court avoided an interpretation of clauses in a lease that would be </w:t>
      </w:r>
      <w:r w:rsidR="008E3D14">
        <w:rPr>
          <w:rFonts w:ascii="Californian FB" w:hAnsi="Californian FB"/>
        </w:rPr>
        <w:t>‘</w:t>
      </w:r>
      <w:r w:rsidR="0033699C" w:rsidRPr="00EF2F7B">
        <w:rPr>
          <w:rFonts w:ascii="Californian FB" w:hAnsi="Californian FB"/>
        </w:rPr>
        <w:t>uncommercial and incoherent</w:t>
      </w:r>
      <w:r w:rsidR="5708C895" w:rsidRPr="00EF2F7B">
        <w:rPr>
          <w:rFonts w:ascii="Californian FB" w:hAnsi="Californian FB"/>
        </w:rPr>
        <w:t>‘</w:t>
      </w:r>
      <w:r w:rsidR="0033699C" w:rsidRPr="00EF2F7B">
        <w:rPr>
          <w:rFonts w:ascii="Californian FB" w:hAnsi="Californian FB"/>
        </w:rPr>
        <w:t xml:space="preserve"> by starting with the idea that the terms should be construed in a way that </w:t>
      </w:r>
      <w:r w:rsidR="0043509F">
        <w:rPr>
          <w:rFonts w:ascii="Californian FB" w:hAnsi="Californian FB"/>
        </w:rPr>
        <w:t xml:space="preserve">a </w:t>
      </w:r>
      <w:r w:rsidR="0033699C" w:rsidRPr="00EF2F7B">
        <w:rPr>
          <w:rFonts w:ascii="Californian FB" w:hAnsi="Californian FB"/>
        </w:rPr>
        <w:t>reasonable person</w:t>
      </w:r>
      <w:r w:rsidR="00BD41F1">
        <w:rPr>
          <w:rFonts w:ascii="Californian FB" w:hAnsi="Californian FB"/>
        </w:rPr>
        <w:t xml:space="preserve"> – </w:t>
      </w:r>
      <w:r w:rsidR="0033699C" w:rsidRPr="00EF2F7B">
        <w:rPr>
          <w:rFonts w:ascii="Californian FB" w:hAnsi="Californian FB"/>
        </w:rPr>
        <w:t xml:space="preserve">having all the background knowledge which would reasonably have been available to the parties to each lease </w:t>
      </w:r>
      <w:r w:rsidR="00BD41F1">
        <w:rPr>
          <w:rFonts w:ascii="Californian FB" w:hAnsi="Californian FB"/>
        </w:rPr>
        <w:t>–</w:t>
      </w:r>
      <w:r w:rsidR="0033699C" w:rsidRPr="00EF2F7B">
        <w:rPr>
          <w:rFonts w:ascii="Californian FB" w:hAnsi="Californian FB"/>
        </w:rPr>
        <w:t xml:space="preserve"> would have </w:t>
      </w:r>
      <w:r w:rsidR="00BD41F1">
        <w:rPr>
          <w:rFonts w:ascii="Californian FB" w:hAnsi="Californian FB"/>
        </w:rPr>
        <w:t>interpreted it</w:t>
      </w:r>
      <w:r w:rsidR="0033699C" w:rsidRPr="00EF2F7B">
        <w:rPr>
          <w:rFonts w:ascii="Californian FB" w:hAnsi="Californian FB"/>
        </w:rPr>
        <w:t>.</w:t>
      </w:r>
      <w:r w:rsidR="0033699C">
        <w:rPr>
          <w:rStyle w:val="FootnoteReference"/>
          <w:rFonts w:ascii="Californian FB" w:hAnsi="Californian FB"/>
        </w:rPr>
        <w:footnoteReference w:id="64"/>
      </w:r>
      <w:r w:rsidR="0033699C" w:rsidRPr="00EF2F7B">
        <w:rPr>
          <w:rFonts w:ascii="Californian FB" w:hAnsi="Californian FB"/>
        </w:rPr>
        <w:t xml:space="preserve"> </w:t>
      </w:r>
    </w:p>
    <w:p w14:paraId="09EB8F48" w14:textId="4C70CD35" w:rsidR="10E55573" w:rsidRDefault="006F4ACA" w:rsidP="10E55573">
      <w:pPr>
        <w:jc w:val="both"/>
        <w:rPr>
          <w:rFonts w:ascii="Californian FB" w:eastAsia="Californian FB" w:hAnsi="Californian FB" w:cs="Californian FB"/>
          <w:color w:val="000000" w:themeColor="text1"/>
        </w:rPr>
      </w:pPr>
      <w:r w:rsidRPr="00EF2F7B">
        <w:rPr>
          <w:rFonts w:ascii="Californian FB" w:eastAsia="Californian FB" w:hAnsi="Californian FB" w:cs="Californian FB"/>
          <w:color w:val="000000" w:themeColor="text1"/>
        </w:rPr>
        <w:t xml:space="preserve">The thread holding these cases together is interpreting the agreements in line with business common sense, and a consistent approach can be said to arise in these different contexts. </w:t>
      </w:r>
      <w:r>
        <w:rPr>
          <w:rFonts w:ascii="Californian FB" w:hAnsi="Californian FB"/>
        </w:rPr>
        <w:t xml:space="preserve">In coming to the final </w:t>
      </w:r>
      <w:r>
        <w:rPr>
          <w:rFonts w:ascii="Californian FB" w:hAnsi="Californian FB"/>
        </w:rPr>
        <w:lastRenderedPageBreak/>
        <w:t>decision, weight was often placed on what the parties must have intended based on the wording of these documents as interpreted or construed in a way that a reasonable party with the same background knowledge would have done.</w:t>
      </w:r>
      <w:r w:rsidR="001A1E4F">
        <w:rPr>
          <w:rFonts w:ascii="Californian FB" w:eastAsia="Californian FB" w:hAnsi="Californian FB" w:cs="Californian FB"/>
          <w:color w:val="000000" w:themeColor="text1"/>
        </w:rPr>
        <w:t xml:space="preserve"> </w:t>
      </w:r>
      <w:r w:rsidR="00002F7C">
        <w:rPr>
          <w:rFonts w:ascii="Californian FB" w:eastAsia="Californian FB" w:hAnsi="Californian FB" w:cs="Californian FB"/>
          <w:color w:val="000000" w:themeColor="text1"/>
        </w:rPr>
        <w:t xml:space="preserve">There is some commonality here with the cases discussed in the ‘Power of the Court’ theme, where it was seen as important that the law made business sense </w:t>
      </w:r>
      <w:r w:rsidR="00187F09">
        <w:rPr>
          <w:rFonts w:ascii="Californian FB" w:eastAsia="Californian FB" w:hAnsi="Californian FB" w:cs="Californian FB"/>
          <w:color w:val="000000" w:themeColor="text1"/>
        </w:rPr>
        <w:t xml:space="preserve">and was as the public would expect it </w:t>
      </w:r>
      <w:r w:rsidR="00246887">
        <w:rPr>
          <w:rFonts w:ascii="Californian FB" w:eastAsia="Californian FB" w:hAnsi="Californian FB" w:cs="Californian FB"/>
          <w:color w:val="000000" w:themeColor="text1"/>
        </w:rPr>
        <w:t xml:space="preserve">to be. </w:t>
      </w:r>
    </w:p>
    <w:p w14:paraId="3534E402" w14:textId="59B39DE2" w:rsidR="00DC45C7" w:rsidRDefault="00DC45C7" w:rsidP="00DC45C7">
      <w:pPr>
        <w:pStyle w:val="Heading2"/>
      </w:pPr>
      <w:r w:rsidRPr="00021D18">
        <w:t xml:space="preserve">‘Policy or the </w:t>
      </w:r>
      <w:r>
        <w:t>I</w:t>
      </w:r>
      <w:r w:rsidRPr="00021D18">
        <w:t xml:space="preserve">nfluence of </w:t>
      </w:r>
      <w:r>
        <w:t>O</w:t>
      </w:r>
      <w:r w:rsidRPr="00021D18">
        <w:t xml:space="preserve">ther </w:t>
      </w:r>
      <w:r>
        <w:t>R</w:t>
      </w:r>
      <w:r w:rsidRPr="00021D18">
        <w:t xml:space="preserve">easoning’ </w:t>
      </w:r>
      <w:r>
        <w:t>T</w:t>
      </w:r>
      <w:r w:rsidRPr="00021D18">
        <w:t>hemes</w:t>
      </w:r>
    </w:p>
    <w:p w14:paraId="4CC1BDBD" w14:textId="528A0D17" w:rsidR="008E4BC4" w:rsidRPr="00DC45C7" w:rsidRDefault="008E4BC4" w:rsidP="008E4BC4">
      <w:pPr>
        <w:pStyle w:val="ListParagraph"/>
        <w:numPr>
          <w:ilvl w:val="0"/>
          <w:numId w:val="8"/>
        </w:numPr>
        <w:rPr>
          <w:rFonts w:ascii="Californian FB" w:eastAsiaTheme="majorEastAsia" w:hAnsi="Californian FB" w:cstheme="majorBidi"/>
          <w:i/>
          <w:iCs/>
          <w:sz w:val="24"/>
          <w:szCs w:val="24"/>
        </w:rPr>
      </w:pPr>
      <w:r w:rsidRPr="2CFACACD">
        <w:rPr>
          <w:rFonts w:ascii="Californian FB" w:eastAsiaTheme="majorEastAsia" w:hAnsi="Californian FB" w:cstheme="majorBidi"/>
          <w:i/>
          <w:iCs/>
          <w:sz w:val="24"/>
          <w:szCs w:val="24"/>
        </w:rPr>
        <w:t>Human Rights and Civil Liberties Influence</w:t>
      </w:r>
    </w:p>
    <w:p w14:paraId="3F98CF5B" w14:textId="64115F72" w:rsidR="008E4BC4" w:rsidRPr="00C0403C" w:rsidRDefault="00F051EC" w:rsidP="002C643F">
      <w:pPr>
        <w:pStyle w:val="ListParagraph"/>
        <w:ind w:left="0"/>
        <w:jc w:val="both"/>
        <w:rPr>
          <w:rFonts w:ascii="Californian FB" w:eastAsiaTheme="majorEastAsia" w:hAnsi="Californian FB" w:cstheme="majorBidi"/>
        </w:rPr>
      </w:pPr>
      <w:r w:rsidRPr="00C0403C">
        <w:rPr>
          <w:rFonts w:ascii="Californian FB" w:eastAsiaTheme="majorEastAsia" w:hAnsi="Californian FB" w:cstheme="majorBidi"/>
        </w:rPr>
        <w:t xml:space="preserve">In the first of our themes exploring the influence of wider </w:t>
      </w:r>
      <w:r w:rsidR="0080256D" w:rsidRPr="00C0403C">
        <w:rPr>
          <w:rFonts w:ascii="Californian FB" w:eastAsiaTheme="majorEastAsia" w:hAnsi="Californian FB" w:cstheme="majorBidi"/>
        </w:rPr>
        <w:t>desirable (or not) policy goals</w:t>
      </w:r>
      <w:r w:rsidR="001342C7" w:rsidRPr="00C0403C">
        <w:rPr>
          <w:rFonts w:ascii="Californian FB" w:eastAsiaTheme="majorEastAsia" w:hAnsi="Californian FB" w:cstheme="majorBidi"/>
        </w:rPr>
        <w:t xml:space="preserve"> on ‘property’, we </w:t>
      </w:r>
      <w:r w:rsidR="00521278" w:rsidRPr="00C0403C">
        <w:rPr>
          <w:rFonts w:ascii="Californian FB" w:eastAsiaTheme="majorEastAsia" w:hAnsi="Californian FB" w:cstheme="majorBidi"/>
        </w:rPr>
        <w:t>zone in on</w:t>
      </w:r>
      <w:r w:rsidR="001342C7" w:rsidRPr="00C0403C">
        <w:rPr>
          <w:rFonts w:ascii="Californian FB" w:eastAsiaTheme="majorEastAsia" w:hAnsi="Californian FB" w:cstheme="majorBidi"/>
        </w:rPr>
        <w:t xml:space="preserve"> human rights. </w:t>
      </w:r>
      <w:r w:rsidR="00BA0FCC">
        <w:rPr>
          <w:rFonts w:ascii="Californian FB" w:eastAsiaTheme="majorEastAsia" w:hAnsi="Californian FB" w:cstheme="majorBidi"/>
        </w:rPr>
        <w:t xml:space="preserve">The Human Rights Act (HRA) 1998 </w:t>
      </w:r>
      <w:r w:rsidR="00253316">
        <w:rPr>
          <w:rFonts w:ascii="Californian FB" w:eastAsiaTheme="majorEastAsia" w:hAnsi="Californian FB" w:cstheme="majorBidi"/>
        </w:rPr>
        <w:t>overlapped with the latter years of the House of Lords, while during the Supreme Court’s existence w</w:t>
      </w:r>
      <w:r w:rsidR="002C643F">
        <w:rPr>
          <w:rFonts w:ascii="Californian FB" w:eastAsiaTheme="majorEastAsia" w:hAnsi="Californian FB" w:cstheme="majorBidi"/>
        </w:rPr>
        <w:t xml:space="preserve">e have seen a political atmosphere tending towards increasing isolation </w:t>
      </w:r>
      <w:r w:rsidR="002C643F" w:rsidRPr="00D42EB9">
        <w:rPr>
          <w:rFonts w:ascii="Californian FB" w:eastAsiaTheme="majorEastAsia" w:hAnsi="Californian FB" w:cstheme="majorBidi"/>
        </w:rPr>
        <w:t>from the influence of laws perceived as emanating from the European continent.</w:t>
      </w:r>
      <w:r w:rsidR="002C643F">
        <w:rPr>
          <w:rFonts w:ascii="Californian FB" w:eastAsiaTheme="majorEastAsia" w:hAnsi="Californian FB" w:cstheme="majorBidi"/>
        </w:rPr>
        <w:t xml:space="preserve"> </w:t>
      </w:r>
      <w:r w:rsidR="001C1A2F">
        <w:rPr>
          <w:rFonts w:ascii="Californian FB" w:eastAsiaTheme="majorEastAsia" w:hAnsi="Californian FB" w:cstheme="majorBidi"/>
        </w:rPr>
        <w:t>In</w:t>
      </w:r>
      <w:r w:rsidR="007F7917">
        <w:rPr>
          <w:rFonts w:ascii="Californian FB" w:eastAsiaTheme="majorEastAsia" w:hAnsi="Californian FB" w:cstheme="majorBidi"/>
        </w:rPr>
        <w:t xml:space="preserve"> this time</w:t>
      </w:r>
      <w:r w:rsidR="001C1A2F">
        <w:rPr>
          <w:rFonts w:ascii="Californian FB" w:eastAsiaTheme="majorEastAsia" w:hAnsi="Californian FB" w:cstheme="majorBidi"/>
        </w:rPr>
        <w:t>, the Court</w:t>
      </w:r>
      <w:r w:rsidR="00CF487C">
        <w:rPr>
          <w:rFonts w:ascii="Californian FB" w:eastAsiaTheme="majorEastAsia" w:hAnsi="Californian FB" w:cstheme="majorBidi"/>
        </w:rPr>
        <w:t xml:space="preserve"> has developed interesting </w:t>
      </w:r>
      <w:r w:rsidR="00B5643C">
        <w:rPr>
          <w:rFonts w:ascii="Californian FB" w:eastAsiaTheme="majorEastAsia" w:hAnsi="Californian FB" w:cstheme="majorBidi"/>
        </w:rPr>
        <w:t>tre</w:t>
      </w:r>
      <w:r w:rsidR="009F58B2">
        <w:rPr>
          <w:rFonts w:ascii="Californian FB" w:eastAsiaTheme="majorEastAsia" w:hAnsi="Californian FB" w:cstheme="majorBidi"/>
        </w:rPr>
        <w:t xml:space="preserve">nds </w:t>
      </w:r>
      <w:r w:rsidR="00CF487C">
        <w:rPr>
          <w:rFonts w:ascii="Californian FB" w:eastAsiaTheme="majorEastAsia" w:hAnsi="Californian FB" w:cstheme="majorBidi"/>
        </w:rPr>
        <w:t xml:space="preserve">around </w:t>
      </w:r>
      <w:r w:rsidR="00E95990">
        <w:rPr>
          <w:rFonts w:ascii="Californian FB" w:eastAsiaTheme="majorEastAsia" w:hAnsi="Californian FB" w:cstheme="majorBidi"/>
        </w:rPr>
        <w:t>the property-related ECHR right</w:t>
      </w:r>
      <w:r w:rsidR="00435AA0">
        <w:rPr>
          <w:rFonts w:ascii="Californian FB" w:eastAsiaTheme="majorEastAsia" w:hAnsi="Californian FB" w:cstheme="majorBidi"/>
        </w:rPr>
        <w:t xml:space="preserve">s. The cases </w:t>
      </w:r>
      <w:r w:rsidR="002824B2">
        <w:rPr>
          <w:rFonts w:ascii="Californian FB" w:eastAsiaTheme="majorEastAsia" w:hAnsi="Californian FB" w:cstheme="majorBidi"/>
        </w:rPr>
        <w:t>sh</w:t>
      </w:r>
      <w:r w:rsidR="00FE5C36">
        <w:rPr>
          <w:rFonts w:ascii="Californian FB" w:eastAsiaTheme="majorEastAsia" w:hAnsi="Californian FB" w:cstheme="majorBidi"/>
        </w:rPr>
        <w:t xml:space="preserve">ow some willingness to use human rights to protect the less-propertied, especially when </w:t>
      </w:r>
      <w:r w:rsidR="004E64D2">
        <w:rPr>
          <w:rFonts w:ascii="Californian FB" w:eastAsiaTheme="majorEastAsia" w:hAnsi="Californian FB" w:cstheme="majorBidi"/>
        </w:rPr>
        <w:t>combined with anti-discrimination rights</w:t>
      </w:r>
      <w:r w:rsidR="00B16385">
        <w:rPr>
          <w:rFonts w:ascii="Californian FB" w:eastAsiaTheme="majorEastAsia" w:hAnsi="Californian FB" w:cstheme="majorBidi"/>
        </w:rPr>
        <w:t xml:space="preserve">. </w:t>
      </w:r>
      <w:r w:rsidR="002B3CEC">
        <w:rPr>
          <w:rFonts w:ascii="Californian FB" w:eastAsiaTheme="majorEastAsia" w:hAnsi="Californian FB" w:cstheme="majorBidi"/>
        </w:rPr>
        <w:t xml:space="preserve">Overall, </w:t>
      </w:r>
      <w:r w:rsidR="00BC03C3">
        <w:rPr>
          <w:rFonts w:ascii="Californian FB" w:eastAsiaTheme="majorEastAsia" w:hAnsi="Californian FB" w:cstheme="majorBidi"/>
        </w:rPr>
        <w:t xml:space="preserve">the Court has not gone as far as it might </w:t>
      </w:r>
      <w:r w:rsidR="001C4A5A">
        <w:rPr>
          <w:rFonts w:ascii="Californian FB" w:eastAsiaTheme="majorEastAsia" w:hAnsi="Californian FB" w:cstheme="majorBidi"/>
        </w:rPr>
        <w:t xml:space="preserve">have in </w:t>
      </w:r>
      <w:r w:rsidR="00A11CC1">
        <w:rPr>
          <w:rFonts w:ascii="Californian FB" w:eastAsiaTheme="majorEastAsia" w:hAnsi="Californian FB" w:cstheme="majorBidi"/>
        </w:rPr>
        <w:t xml:space="preserve">developing its </w:t>
      </w:r>
      <w:r w:rsidR="009D023E">
        <w:rPr>
          <w:rFonts w:ascii="Californian FB" w:eastAsiaTheme="majorEastAsia" w:hAnsi="Californian FB" w:cstheme="majorBidi"/>
        </w:rPr>
        <w:t>Convention-based</w:t>
      </w:r>
      <w:r w:rsidR="00A11CC1">
        <w:rPr>
          <w:rFonts w:ascii="Californian FB" w:eastAsiaTheme="majorEastAsia" w:hAnsi="Californian FB" w:cstheme="majorBidi"/>
        </w:rPr>
        <w:t xml:space="preserve"> jurisprudence, and this may (at least, on occasion) be explained by a view that domestic law does, or can potentially, do enough to protect the rights sought. </w:t>
      </w:r>
    </w:p>
    <w:p w14:paraId="5EF26A63" w14:textId="77777777" w:rsidR="008A7F81" w:rsidRPr="005B6D4B" w:rsidRDefault="008A7F81" w:rsidP="002C643F">
      <w:pPr>
        <w:pStyle w:val="ListParagraph"/>
        <w:ind w:left="0"/>
        <w:jc w:val="both"/>
        <w:rPr>
          <w:rFonts w:ascii="Californian FB" w:eastAsiaTheme="majorEastAsia" w:hAnsi="Californian FB" w:cstheme="majorBidi"/>
          <w:sz w:val="24"/>
          <w:szCs w:val="24"/>
        </w:rPr>
      </w:pPr>
    </w:p>
    <w:p w14:paraId="6457ABC6" w14:textId="77777777" w:rsidR="008E4BC4" w:rsidRPr="007C4F47" w:rsidRDefault="008E4BC4" w:rsidP="000F29E4">
      <w:pPr>
        <w:pStyle w:val="ListParagraph"/>
        <w:numPr>
          <w:ilvl w:val="0"/>
          <w:numId w:val="1"/>
        </w:numPr>
        <w:spacing w:after="0"/>
        <w:rPr>
          <w:rFonts w:ascii="Californian FB" w:eastAsiaTheme="majorEastAsia" w:hAnsi="Californian FB" w:cstheme="majorBidi"/>
        </w:rPr>
      </w:pPr>
      <w:r w:rsidRPr="007C4F47">
        <w:rPr>
          <w:rFonts w:ascii="Californian FB" w:eastAsiaTheme="majorEastAsia" w:hAnsi="Californian FB" w:cstheme="majorBidi"/>
        </w:rPr>
        <w:t xml:space="preserve">Article 1 of the First Protocol </w:t>
      </w:r>
    </w:p>
    <w:p w14:paraId="1EAC9AE9" w14:textId="1EEE4431" w:rsidR="00D13506" w:rsidRPr="0056174E" w:rsidRDefault="008E4BC4" w:rsidP="0056174E">
      <w:pPr>
        <w:spacing w:line="279" w:lineRule="auto"/>
        <w:jc w:val="both"/>
        <w:rPr>
          <w:rFonts w:ascii="Californian FB" w:eastAsia="Californian FB" w:hAnsi="Californian FB" w:cs="Californian FB"/>
          <w:color w:val="000000" w:themeColor="text1"/>
          <w:lang w:val="en-US"/>
        </w:rPr>
      </w:pPr>
      <w:r w:rsidRPr="42D18D7A">
        <w:rPr>
          <w:rFonts w:ascii="Californian FB" w:eastAsia="Californian FB" w:hAnsi="Californian FB" w:cs="Californian FB"/>
          <w:color w:val="000000" w:themeColor="text1"/>
          <w:lang w:val="en-US"/>
        </w:rPr>
        <w:t xml:space="preserve">Article 1 of the First Protocol (A1P1) protects every natural and legal person’s entitlement ‘to the peaceful enjoyment of his possessions’, restricting deprivation of them except in the public interest and as provided for by law, and </w:t>
      </w:r>
      <w:r w:rsidRPr="00ED3B23">
        <w:rPr>
          <w:rFonts w:ascii="Californian FB" w:eastAsia="Californian FB" w:hAnsi="Californian FB" w:cs="Californian FB"/>
          <w:color w:val="000000" w:themeColor="text1"/>
          <w:lang w:val="en-US"/>
        </w:rPr>
        <w:t>allowing</w:t>
      </w:r>
      <w:r w:rsidRPr="42D18D7A">
        <w:rPr>
          <w:rFonts w:ascii="Californian FB" w:eastAsia="Californian FB" w:hAnsi="Californian FB" w:cs="Californian FB"/>
          <w:color w:val="000000" w:themeColor="text1"/>
          <w:lang w:val="en-US"/>
        </w:rPr>
        <w:t xml:space="preserve"> a state to</w:t>
      </w:r>
      <w:r w:rsidR="00DD3DF5">
        <w:rPr>
          <w:rFonts w:ascii="Californian FB" w:eastAsia="Californian FB" w:hAnsi="Californian FB" w:cs="Californian FB"/>
          <w:color w:val="000000" w:themeColor="text1"/>
          <w:lang w:val="en-US"/>
        </w:rPr>
        <w:t xml:space="preserve"> enforce laws which control the use of property </w:t>
      </w:r>
      <w:r w:rsidR="00A74710">
        <w:rPr>
          <w:rFonts w:ascii="Californian FB" w:eastAsia="Californian FB" w:hAnsi="Californian FB" w:cs="Californian FB"/>
          <w:color w:val="000000" w:themeColor="text1"/>
          <w:lang w:val="en-US"/>
        </w:rPr>
        <w:t>in the general interest.</w:t>
      </w:r>
      <w:r w:rsidRPr="42D18D7A">
        <w:rPr>
          <w:rFonts w:ascii="Californian FB" w:eastAsia="Californian FB" w:hAnsi="Californian FB" w:cs="Californian FB"/>
          <w:color w:val="000000" w:themeColor="text1"/>
          <w:lang w:val="en-US"/>
        </w:rPr>
        <w:t xml:space="preserve"> It has been relied on in many contexts, with the ‘possessions’ in question ranging from a house (and entry into it)</w:t>
      </w:r>
      <w:r w:rsidR="006B5ABC">
        <w:rPr>
          <w:rFonts w:ascii="Californian FB" w:eastAsia="Californian FB" w:hAnsi="Californian FB" w:cs="Californian FB"/>
          <w:color w:val="000000" w:themeColor="text1"/>
          <w:lang w:val="en-US"/>
        </w:rPr>
        <w:t>,</w:t>
      </w:r>
      <w:r w:rsidRPr="42D18D7A">
        <w:rPr>
          <w:rFonts w:ascii="Californian FB" w:eastAsia="Californian FB" w:hAnsi="Californian FB" w:cs="Californian FB"/>
          <w:color w:val="000000" w:themeColor="text1"/>
          <w:lang w:val="en-US"/>
        </w:rPr>
        <w:t xml:space="preserve"> to money received as state benefits</w:t>
      </w:r>
      <w:r w:rsidR="006B5ABC">
        <w:rPr>
          <w:rFonts w:ascii="Californian FB" w:eastAsia="Californian FB" w:hAnsi="Californian FB" w:cs="Californian FB"/>
          <w:color w:val="000000" w:themeColor="text1"/>
          <w:lang w:val="en-US"/>
        </w:rPr>
        <w:t>,</w:t>
      </w:r>
      <w:r w:rsidRPr="42D18D7A">
        <w:rPr>
          <w:rFonts w:ascii="Californian FB" w:eastAsia="Californian FB" w:hAnsi="Californian FB" w:cs="Californian FB"/>
          <w:color w:val="000000" w:themeColor="text1"/>
          <w:lang w:val="en-US"/>
        </w:rPr>
        <w:t xml:space="preserve"> to fish</w:t>
      </w:r>
      <w:r>
        <w:rPr>
          <w:rFonts w:ascii="Californian FB" w:eastAsia="Californian FB" w:hAnsi="Californian FB" w:cs="Californian FB"/>
          <w:color w:val="000000" w:themeColor="text1"/>
          <w:lang w:val="en-US"/>
        </w:rPr>
        <w:t>!</w:t>
      </w:r>
      <w:bookmarkStart w:id="11" w:name="_Ref173321590"/>
      <w:r>
        <w:rPr>
          <w:rStyle w:val="FootnoteReference"/>
          <w:rFonts w:ascii="Californian FB" w:eastAsia="Californian FB" w:hAnsi="Californian FB" w:cs="Californian FB"/>
          <w:color w:val="000000" w:themeColor="text1"/>
          <w:lang w:val="en-US"/>
        </w:rPr>
        <w:footnoteReference w:id="65"/>
      </w:r>
      <w:bookmarkEnd w:id="11"/>
      <w:r w:rsidRPr="42D18D7A">
        <w:rPr>
          <w:rFonts w:ascii="Californian FB" w:eastAsia="Californian FB" w:hAnsi="Californian FB" w:cs="Californian FB"/>
          <w:color w:val="000000" w:themeColor="text1"/>
          <w:lang w:val="en-US"/>
        </w:rPr>
        <w:t xml:space="preserve"> </w:t>
      </w:r>
      <w:r w:rsidR="00B036BE">
        <w:rPr>
          <w:rFonts w:ascii="Californian FB" w:eastAsia="Californian FB" w:hAnsi="Californian FB" w:cs="Californian FB"/>
          <w:color w:val="000000" w:themeColor="text1"/>
          <w:lang w:val="en-US"/>
        </w:rPr>
        <w:t>We</w:t>
      </w:r>
      <w:r w:rsidR="00A71A17">
        <w:rPr>
          <w:rFonts w:ascii="Californian FB" w:eastAsia="Californian FB" w:hAnsi="Californian FB" w:cs="Californian FB"/>
          <w:color w:val="000000" w:themeColor="text1"/>
          <w:lang w:val="en-US"/>
        </w:rPr>
        <w:t xml:space="preserve"> </w:t>
      </w:r>
      <w:r w:rsidR="0056174E">
        <w:rPr>
          <w:rFonts w:ascii="Californian FB" w:eastAsia="Californian FB" w:hAnsi="Californian FB" w:cs="Californian FB"/>
          <w:color w:val="000000" w:themeColor="text1"/>
          <w:lang w:val="en-US"/>
        </w:rPr>
        <w:t>will see that A1P1</w:t>
      </w:r>
      <w:r w:rsidR="00AE503C" w:rsidRPr="0056174E">
        <w:rPr>
          <w:rFonts w:ascii="Californian FB" w:eastAsia="Californian FB" w:hAnsi="Californian FB" w:cs="Californian FB"/>
          <w:color w:val="000000" w:themeColor="text1"/>
          <w:lang w:val="en-US"/>
        </w:rPr>
        <w:t xml:space="preserve"> ca</w:t>
      </w:r>
      <w:r w:rsidR="0040337F" w:rsidRPr="0056174E">
        <w:rPr>
          <w:rFonts w:ascii="Californian FB" w:eastAsia="Californian FB" w:hAnsi="Californian FB" w:cs="Californian FB"/>
          <w:color w:val="000000" w:themeColor="text1"/>
          <w:lang w:val="en-US"/>
        </w:rPr>
        <w:t xml:space="preserve">n in theory </w:t>
      </w:r>
      <w:proofErr w:type="spellStart"/>
      <w:r w:rsidR="0040337F" w:rsidRPr="0056174E">
        <w:rPr>
          <w:rFonts w:ascii="Californian FB" w:eastAsia="Californian FB" w:hAnsi="Californian FB" w:cs="Californian FB"/>
          <w:color w:val="000000" w:themeColor="text1"/>
          <w:lang w:val="en-US"/>
        </w:rPr>
        <w:t>favour</w:t>
      </w:r>
      <w:proofErr w:type="spellEnd"/>
      <w:r w:rsidR="0040337F" w:rsidRPr="0056174E">
        <w:rPr>
          <w:rFonts w:ascii="Californian FB" w:eastAsia="Californian FB" w:hAnsi="Californian FB" w:cs="Californian FB"/>
          <w:color w:val="000000" w:themeColor="text1"/>
          <w:lang w:val="en-US"/>
        </w:rPr>
        <w:t xml:space="preserve"> the </w:t>
      </w:r>
      <w:proofErr w:type="gramStart"/>
      <w:r w:rsidR="0040337F" w:rsidRPr="0056174E">
        <w:rPr>
          <w:rFonts w:ascii="Californian FB" w:eastAsia="Californian FB" w:hAnsi="Californian FB" w:cs="Californian FB"/>
          <w:color w:val="000000" w:themeColor="text1"/>
          <w:lang w:val="en-US"/>
        </w:rPr>
        <w:t>more-propertied</w:t>
      </w:r>
      <w:proofErr w:type="gramEnd"/>
      <w:r w:rsidR="0040337F" w:rsidRPr="0056174E">
        <w:rPr>
          <w:rFonts w:ascii="Californian FB" w:eastAsia="Californian FB" w:hAnsi="Californian FB" w:cs="Californian FB"/>
          <w:color w:val="000000" w:themeColor="text1"/>
          <w:lang w:val="en-US"/>
        </w:rPr>
        <w:t xml:space="preserve"> such as landlords, but interestingly </w:t>
      </w:r>
      <w:r w:rsidR="0056174E">
        <w:rPr>
          <w:rFonts w:ascii="Californian FB" w:eastAsia="Californian FB" w:hAnsi="Californian FB" w:cs="Californian FB"/>
          <w:color w:val="000000" w:themeColor="text1"/>
          <w:lang w:val="en-US"/>
        </w:rPr>
        <w:t>this is not consistently the case.</w:t>
      </w:r>
      <w:r w:rsidR="0040337F" w:rsidRPr="0056174E">
        <w:rPr>
          <w:rFonts w:ascii="Californian FB" w:eastAsia="Californian FB" w:hAnsi="Californian FB" w:cs="Californian FB"/>
          <w:color w:val="000000" w:themeColor="text1"/>
          <w:lang w:val="en-US"/>
        </w:rPr>
        <w:t xml:space="preserve"> </w:t>
      </w:r>
    </w:p>
    <w:p w14:paraId="3313B26B" w14:textId="404CA876" w:rsidR="00067E9F" w:rsidRPr="004812B0" w:rsidRDefault="008E4BC4" w:rsidP="00067E9F">
      <w:pPr>
        <w:spacing w:line="279" w:lineRule="auto"/>
        <w:jc w:val="both"/>
        <w:rPr>
          <w:rFonts w:ascii="Californian FB" w:eastAsia="Californian FB" w:hAnsi="Californian FB" w:cs="Californian FB"/>
          <w:color w:val="000000" w:themeColor="text1"/>
          <w:lang w:val="en-US"/>
        </w:rPr>
      </w:pPr>
      <w:r>
        <w:rPr>
          <w:rFonts w:ascii="Californian FB" w:eastAsia="Californian FB" w:hAnsi="Californian FB" w:cs="Californian FB"/>
          <w:color w:val="000000" w:themeColor="text1"/>
          <w:lang w:val="en-US"/>
        </w:rPr>
        <w:t>A1P1</w:t>
      </w:r>
      <w:r>
        <w:rPr>
          <w:rStyle w:val="FootnoteReference"/>
          <w:rFonts w:ascii="Californian FB" w:eastAsia="Californian FB" w:hAnsi="Californian FB" w:cs="Californian FB"/>
          <w:color w:val="000000" w:themeColor="text1"/>
          <w:lang w:val="en-US"/>
        </w:rPr>
        <w:footnoteReference w:id="66"/>
      </w:r>
      <w:r>
        <w:rPr>
          <w:rFonts w:ascii="Californian FB" w:eastAsia="Californian FB" w:hAnsi="Californian FB" w:cs="Californian FB"/>
          <w:color w:val="000000" w:themeColor="text1"/>
          <w:lang w:val="en-US"/>
        </w:rPr>
        <w:t xml:space="preserve"> draw</w:t>
      </w:r>
      <w:r w:rsidR="00C3018D">
        <w:rPr>
          <w:rFonts w:ascii="Californian FB" w:eastAsia="Californian FB" w:hAnsi="Californian FB" w:cs="Californian FB"/>
          <w:color w:val="000000" w:themeColor="text1"/>
          <w:lang w:val="en-US"/>
        </w:rPr>
        <w:t>s</w:t>
      </w:r>
      <w:r>
        <w:rPr>
          <w:rFonts w:ascii="Californian FB" w:eastAsia="Californian FB" w:hAnsi="Californian FB" w:cs="Californian FB"/>
          <w:color w:val="000000" w:themeColor="text1"/>
          <w:lang w:val="en-US"/>
        </w:rPr>
        <w:t xml:space="preserve"> </w:t>
      </w:r>
      <w:r w:rsidR="00930E87">
        <w:rPr>
          <w:rFonts w:ascii="Californian FB" w:eastAsia="Californian FB" w:hAnsi="Californian FB" w:cs="Californian FB"/>
          <w:color w:val="000000" w:themeColor="text1"/>
          <w:lang w:val="en-US"/>
        </w:rPr>
        <w:t>a</w:t>
      </w:r>
      <w:r w:rsidR="003E4F03">
        <w:rPr>
          <w:rFonts w:ascii="Californian FB" w:eastAsia="Californian FB" w:hAnsi="Californian FB" w:cs="Californian FB"/>
          <w:color w:val="000000" w:themeColor="text1"/>
          <w:lang w:val="en-US"/>
        </w:rPr>
        <w:t xml:space="preserve"> ‘material’</w:t>
      </w:r>
      <w:r w:rsidR="00400359">
        <w:rPr>
          <w:rStyle w:val="FootnoteReference"/>
          <w:rFonts w:ascii="Californian FB" w:eastAsia="Californian FB" w:hAnsi="Californian FB" w:cs="Californian FB"/>
          <w:color w:val="000000" w:themeColor="text1"/>
          <w:lang w:val="en-US"/>
        </w:rPr>
        <w:footnoteReference w:id="67"/>
      </w:r>
      <w:r w:rsidR="00F5578A">
        <w:rPr>
          <w:rFonts w:ascii="Californian FB" w:eastAsia="Californian FB" w:hAnsi="Californian FB" w:cs="Californian FB"/>
          <w:color w:val="000000" w:themeColor="text1"/>
          <w:lang w:val="en-US"/>
        </w:rPr>
        <w:t xml:space="preserve"> </w:t>
      </w:r>
      <w:r>
        <w:rPr>
          <w:rFonts w:ascii="Californian FB" w:eastAsia="Californian FB" w:hAnsi="Californian FB" w:cs="Californian FB"/>
          <w:color w:val="000000" w:themeColor="text1"/>
          <w:lang w:val="en-US"/>
        </w:rPr>
        <w:t>distinction between deprivatio</w:t>
      </w:r>
      <w:r w:rsidR="00B760EF">
        <w:rPr>
          <w:rFonts w:ascii="Californian FB" w:eastAsia="Californian FB" w:hAnsi="Californian FB" w:cs="Californian FB"/>
          <w:color w:val="000000" w:themeColor="text1"/>
          <w:lang w:val="en-US"/>
        </w:rPr>
        <w:t xml:space="preserve">n, </w:t>
      </w:r>
      <w:r>
        <w:rPr>
          <w:rFonts w:ascii="Californian FB" w:eastAsia="Californian FB" w:hAnsi="Californian FB" w:cs="Californian FB"/>
          <w:color w:val="000000" w:themeColor="text1"/>
          <w:lang w:val="en-US"/>
        </w:rPr>
        <w:t xml:space="preserve">which is only permitted on the occurrence of certain conditions and </w:t>
      </w:r>
      <w:r w:rsidR="00B83960">
        <w:rPr>
          <w:rFonts w:ascii="Californian FB" w:eastAsia="Californian FB" w:hAnsi="Californian FB" w:cs="Californian FB"/>
          <w:color w:val="000000" w:themeColor="text1"/>
          <w:lang w:val="en-US"/>
        </w:rPr>
        <w:t>which requires compensation</w:t>
      </w:r>
      <w:r w:rsidR="00CF2F0E">
        <w:rPr>
          <w:rFonts w:ascii="Californian FB" w:eastAsia="Californian FB" w:hAnsi="Californian FB" w:cs="Californian FB"/>
          <w:color w:val="000000" w:themeColor="text1"/>
          <w:lang w:val="en-US"/>
        </w:rPr>
        <w:t>,</w:t>
      </w:r>
      <w:r w:rsidR="00B83960">
        <w:rPr>
          <w:rFonts w:ascii="Californian FB" w:eastAsia="Californian FB" w:hAnsi="Californian FB" w:cs="Californian FB"/>
          <w:color w:val="000000" w:themeColor="text1"/>
          <w:lang w:val="en-US"/>
        </w:rPr>
        <w:t xml:space="preserve"> </w:t>
      </w:r>
      <w:r>
        <w:rPr>
          <w:rFonts w:ascii="Californian FB" w:eastAsia="Californian FB" w:hAnsi="Californian FB" w:cs="Californian FB"/>
          <w:color w:val="000000" w:themeColor="text1"/>
          <w:lang w:val="en-US"/>
        </w:rPr>
        <w:t>and control of use, which is generally something the state is entitled to do in meeting its public interest duties</w:t>
      </w:r>
      <w:r w:rsidR="00B83960">
        <w:rPr>
          <w:rFonts w:ascii="Californian FB" w:eastAsia="Californian FB" w:hAnsi="Californian FB" w:cs="Californian FB"/>
          <w:color w:val="000000" w:themeColor="text1"/>
          <w:lang w:val="en-US"/>
        </w:rPr>
        <w:t xml:space="preserve"> </w:t>
      </w:r>
      <w:r w:rsidR="00B760EF">
        <w:rPr>
          <w:rFonts w:ascii="Californian FB" w:eastAsia="Californian FB" w:hAnsi="Californian FB" w:cs="Californian FB"/>
          <w:color w:val="000000" w:themeColor="text1"/>
          <w:lang w:val="en-US"/>
        </w:rPr>
        <w:t xml:space="preserve">and </w:t>
      </w:r>
      <w:r w:rsidR="00B83960">
        <w:rPr>
          <w:rFonts w:ascii="Californian FB" w:eastAsia="Californian FB" w:hAnsi="Californian FB" w:cs="Californian FB"/>
          <w:color w:val="000000" w:themeColor="text1"/>
          <w:lang w:val="en-US"/>
        </w:rPr>
        <w:t xml:space="preserve">which </w:t>
      </w:r>
      <w:r>
        <w:rPr>
          <w:rFonts w:ascii="Californian FB" w:eastAsia="Californian FB" w:hAnsi="Californian FB" w:cs="Californian FB"/>
          <w:color w:val="000000" w:themeColor="text1"/>
          <w:lang w:val="en-US"/>
        </w:rPr>
        <w:t xml:space="preserve">does not </w:t>
      </w:r>
      <w:r w:rsidR="005F3EF2">
        <w:rPr>
          <w:rFonts w:ascii="Californian FB" w:eastAsia="Californian FB" w:hAnsi="Californian FB" w:cs="Californian FB"/>
          <w:color w:val="000000" w:themeColor="text1"/>
          <w:lang w:val="en-US"/>
        </w:rPr>
        <w:t>usually</w:t>
      </w:r>
      <w:r>
        <w:rPr>
          <w:rFonts w:ascii="Californian FB" w:eastAsia="Californian FB" w:hAnsi="Californian FB" w:cs="Californian FB"/>
          <w:color w:val="000000" w:themeColor="text1"/>
          <w:lang w:val="en-US"/>
        </w:rPr>
        <w:t xml:space="preserve"> require compensation</w:t>
      </w:r>
      <w:r w:rsidR="00B83960">
        <w:rPr>
          <w:rFonts w:ascii="Californian FB" w:eastAsia="Californian FB" w:hAnsi="Californian FB" w:cs="Californian FB"/>
          <w:color w:val="000000" w:themeColor="text1"/>
          <w:lang w:val="en-US"/>
        </w:rPr>
        <w:t>.</w:t>
      </w:r>
      <w:r>
        <w:rPr>
          <w:rStyle w:val="FootnoteReference"/>
          <w:rFonts w:ascii="Californian FB" w:eastAsia="Californian FB" w:hAnsi="Californian FB" w:cs="Californian FB"/>
          <w:color w:val="000000" w:themeColor="text1"/>
          <w:lang w:val="en-US"/>
        </w:rPr>
        <w:footnoteReference w:id="68"/>
      </w:r>
      <w:r>
        <w:rPr>
          <w:rFonts w:ascii="Californian FB" w:eastAsia="Californian FB" w:hAnsi="Californian FB" w:cs="Californian FB"/>
          <w:color w:val="000000" w:themeColor="text1"/>
          <w:lang w:val="en-US"/>
        </w:rPr>
        <w:t xml:space="preserve"> </w:t>
      </w:r>
      <w:r w:rsidR="00220C09" w:rsidRPr="2CFACACD">
        <w:rPr>
          <w:rFonts w:ascii="Californian FB" w:eastAsia="Californian FB" w:hAnsi="Californian FB" w:cs="Californian FB"/>
          <w:i/>
          <w:iCs/>
          <w:color w:val="000000" w:themeColor="text1"/>
          <w:lang w:val="en-US"/>
        </w:rPr>
        <w:t>R (Mott) v Environmental Agency</w:t>
      </w:r>
      <w:r w:rsidR="00D64256">
        <w:rPr>
          <w:rStyle w:val="FootnoteReference"/>
          <w:rFonts w:ascii="Californian FB" w:eastAsia="Californian FB" w:hAnsi="Californian FB" w:cs="Californian FB"/>
          <w:i/>
          <w:iCs/>
          <w:color w:val="000000" w:themeColor="text1"/>
          <w:lang w:val="en-US"/>
        </w:rPr>
        <w:footnoteReference w:id="69"/>
      </w:r>
      <w:r w:rsidR="00220C09" w:rsidRPr="11722F7C">
        <w:rPr>
          <w:rFonts w:ascii="Californian FB" w:eastAsia="Californian FB" w:hAnsi="Californian FB" w:cs="Californian FB"/>
          <w:color w:val="000000" w:themeColor="text1"/>
          <w:vertAlign w:val="superscript"/>
          <w:lang w:val="en-US"/>
        </w:rPr>
        <w:t xml:space="preserve"> </w:t>
      </w:r>
      <w:r w:rsidR="00067E9F" w:rsidRPr="11722F7C">
        <w:rPr>
          <w:rFonts w:ascii="Californian FB" w:eastAsia="Californian FB" w:hAnsi="Californian FB" w:cs="Californian FB"/>
          <w:color w:val="000000" w:themeColor="text1"/>
        </w:rPr>
        <w:t>involved</w:t>
      </w:r>
      <w:r w:rsidR="00067E9F">
        <w:rPr>
          <w:rFonts w:ascii="Californian FB" w:eastAsia="Californian FB" w:hAnsi="Californian FB" w:cs="Californian FB"/>
          <w:color w:val="000000" w:themeColor="text1"/>
        </w:rPr>
        <w:t xml:space="preserve"> </w:t>
      </w:r>
      <w:r w:rsidR="00067E9F" w:rsidRPr="2CFACACD">
        <w:rPr>
          <w:rFonts w:ascii="Californian FB" w:eastAsia="Californian FB" w:hAnsi="Californian FB" w:cs="Californian FB"/>
          <w:color w:val="000000" w:themeColor="text1"/>
        </w:rPr>
        <w:t xml:space="preserve">judicial review of </w:t>
      </w:r>
      <w:r w:rsidR="00067E9F" w:rsidRPr="11722F7C">
        <w:rPr>
          <w:rFonts w:ascii="Californian FB" w:eastAsia="Californian FB" w:hAnsi="Californian FB" w:cs="Californian FB"/>
          <w:color w:val="000000" w:themeColor="text1"/>
        </w:rPr>
        <w:t>the Environmental Agency’s</w:t>
      </w:r>
      <w:r w:rsidR="00067E9F" w:rsidRPr="2CFACACD">
        <w:rPr>
          <w:rFonts w:ascii="Californian FB" w:eastAsia="Californian FB" w:hAnsi="Californian FB" w:cs="Californian FB"/>
          <w:color w:val="000000" w:themeColor="text1"/>
        </w:rPr>
        <w:t xml:space="preserve"> decision to restrict the number of fish </w:t>
      </w:r>
      <w:r w:rsidR="00067E9F" w:rsidRPr="11722F7C">
        <w:rPr>
          <w:rFonts w:ascii="Californian FB" w:eastAsia="Californian FB" w:hAnsi="Californian FB" w:cs="Californian FB"/>
          <w:color w:val="000000" w:themeColor="text1"/>
        </w:rPr>
        <w:t>the</w:t>
      </w:r>
      <w:r w:rsidR="00067E9F" w:rsidRPr="2CFACACD">
        <w:rPr>
          <w:rFonts w:ascii="Californian FB" w:eastAsia="Californian FB" w:hAnsi="Californian FB" w:cs="Californian FB"/>
          <w:color w:val="000000" w:themeColor="text1"/>
        </w:rPr>
        <w:t xml:space="preserve"> claimant could catch from a fishery in which he held a leasehold interest.</w:t>
      </w:r>
      <w:r w:rsidR="00067E9F">
        <w:rPr>
          <w:rFonts w:ascii="Californian FB" w:eastAsia="Californian FB" w:hAnsi="Californian FB" w:cs="Californian FB"/>
          <w:color w:val="000000" w:themeColor="text1"/>
        </w:rPr>
        <w:t xml:space="preserve"> Lord </w:t>
      </w:r>
      <w:proofErr w:type="spellStart"/>
      <w:r w:rsidR="00067E9F">
        <w:rPr>
          <w:rFonts w:ascii="Californian FB" w:eastAsia="Californian FB" w:hAnsi="Californian FB" w:cs="Californian FB"/>
          <w:color w:val="000000" w:themeColor="text1"/>
        </w:rPr>
        <w:t>Carnwath</w:t>
      </w:r>
      <w:proofErr w:type="spellEnd"/>
      <w:r w:rsidR="00067E9F">
        <w:rPr>
          <w:rFonts w:ascii="Californian FB" w:eastAsia="Californian FB" w:hAnsi="Californian FB" w:cs="Californian FB"/>
          <w:color w:val="000000" w:themeColor="text1"/>
        </w:rPr>
        <w:t xml:space="preserve"> considered </w:t>
      </w:r>
      <w:r w:rsidR="00067E9F">
        <w:rPr>
          <w:rFonts w:ascii="Californian FB" w:eastAsia="Californian FB" w:hAnsi="Californian FB" w:cs="Californian FB"/>
          <w:color w:val="000000" w:themeColor="text1"/>
          <w:lang w:val="en-US"/>
        </w:rPr>
        <w:t>that the state’s actions would not be classified as deprivation or expropriation</w:t>
      </w:r>
      <w:r w:rsidR="00067E9F" w:rsidRPr="2CFACACD">
        <w:rPr>
          <w:rFonts w:ascii="Californian FB" w:eastAsia="Californian FB" w:hAnsi="Californian FB" w:cs="Californian FB"/>
          <w:color w:val="000000" w:themeColor="text1"/>
          <w:lang w:val="en-US"/>
        </w:rPr>
        <w:t xml:space="preserve"> </w:t>
      </w:r>
      <w:r w:rsidR="00067E9F" w:rsidRPr="2CFACACD">
        <w:rPr>
          <w:rFonts w:ascii="Californian FB" w:eastAsia="Californian FB" w:hAnsi="Californian FB" w:cs="Californian FB"/>
          <w:color w:val="000000" w:themeColor="text1"/>
        </w:rPr>
        <w:t>‘merely because of the extreme effects on particular individuals or their businesses’</w:t>
      </w:r>
      <w:r w:rsidR="00067E9F" w:rsidRPr="007F3E48">
        <w:rPr>
          <w:rFonts w:ascii="Californian FB" w:eastAsia="Californian FB" w:hAnsi="Californian FB" w:cs="Californian FB"/>
          <w:color w:val="000000" w:themeColor="text1"/>
        </w:rPr>
        <w:t>.</w:t>
      </w:r>
      <w:r w:rsidR="00BA7472" w:rsidRPr="007F3E48">
        <w:rPr>
          <w:rStyle w:val="FootnoteReference"/>
          <w:rFonts w:ascii="Californian FB" w:eastAsia="Californian FB" w:hAnsi="Californian FB" w:cs="Californian FB"/>
          <w:color w:val="000000" w:themeColor="text1"/>
        </w:rPr>
        <w:footnoteReference w:id="70"/>
      </w:r>
      <w:r w:rsidR="00067E9F" w:rsidRPr="007F3E48">
        <w:rPr>
          <w:rFonts w:ascii="Californian FB" w:eastAsia="Californian FB" w:hAnsi="Californian FB" w:cs="Californian FB"/>
          <w:color w:val="000000" w:themeColor="text1"/>
        </w:rPr>
        <w:t xml:space="preserve"> As such</w:t>
      </w:r>
      <w:r w:rsidR="00067E9F">
        <w:rPr>
          <w:rFonts w:ascii="Californian FB" w:eastAsia="Californian FB" w:hAnsi="Californian FB" w:cs="Californian FB"/>
          <w:color w:val="000000" w:themeColor="text1"/>
        </w:rPr>
        <w:t>, he treated what had occurred in this case as ‘control’, but the Court still found that</w:t>
      </w:r>
      <w:r w:rsidR="00067E9F">
        <w:rPr>
          <w:rFonts w:ascii="Californian FB" w:eastAsia="Californian FB" w:hAnsi="Californian FB" w:cs="Californian FB"/>
          <w:i/>
          <w:iCs/>
          <w:color w:val="000000" w:themeColor="text1"/>
        </w:rPr>
        <w:t xml:space="preserve"> </w:t>
      </w:r>
      <w:r w:rsidR="00067E9F" w:rsidRPr="11722F7C">
        <w:rPr>
          <w:rFonts w:ascii="Californian FB" w:eastAsia="Californian FB" w:hAnsi="Californian FB" w:cs="Californian FB"/>
          <w:color w:val="000000" w:themeColor="text1"/>
        </w:rPr>
        <w:t>the claimant’s rights had been infringed</w:t>
      </w:r>
      <w:r w:rsidR="00067E9F">
        <w:rPr>
          <w:rFonts w:ascii="Californian FB" w:eastAsia="Californian FB" w:hAnsi="Californian FB" w:cs="Californian FB"/>
          <w:color w:val="000000" w:themeColor="text1"/>
        </w:rPr>
        <w:t xml:space="preserve">, and </w:t>
      </w:r>
      <w:r w:rsidR="001B7011">
        <w:rPr>
          <w:rFonts w:ascii="Californian FB" w:eastAsia="Californian FB" w:hAnsi="Californian FB" w:cs="Californian FB"/>
          <w:color w:val="000000" w:themeColor="text1"/>
        </w:rPr>
        <w:t xml:space="preserve">awarded </w:t>
      </w:r>
      <w:r w:rsidR="00067E9F" w:rsidRPr="2CFACACD">
        <w:rPr>
          <w:rFonts w:ascii="Californian FB" w:eastAsia="Californian FB" w:hAnsi="Californian FB" w:cs="Californian FB"/>
          <w:color w:val="000000" w:themeColor="text1"/>
        </w:rPr>
        <w:t>compensatio</w:t>
      </w:r>
      <w:r w:rsidR="00CC2075">
        <w:rPr>
          <w:rFonts w:ascii="Californian FB" w:eastAsia="Californian FB" w:hAnsi="Californian FB" w:cs="Californian FB"/>
          <w:color w:val="000000" w:themeColor="text1"/>
        </w:rPr>
        <w:t xml:space="preserve">n – </w:t>
      </w:r>
      <w:r w:rsidR="00734660">
        <w:rPr>
          <w:rFonts w:ascii="Californian FB" w:eastAsia="Californian FB" w:hAnsi="Californian FB" w:cs="Californian FB"/>
          <w:color w:val="000000" w:themeColor="text1"/>
        </w:rPr>
        <w:t xml:space="preserve">even though </w:t>
      </w:r>
      <w:r w:rsidR="00734660" w:rsidRPr="2CFACACD">
        <w:rPr>
          <w:rFonts w:ascii="Californian FB" w:eastAsia="Californian FB" w:hAnsi="Californian FB" w:cs="Californian FB"/>
          <w:color w:val="000000" w:themeColor="text1"/>
        </w:rPr>
        <w:t>A1P1 gives no general expectation of</w:t>
      </w:r>
      <w:r w:rsidR="00895B82">
        <w:rPr>
          <w:rFonts w:ascii="Californian FB" w:eastAsia="Californian FB" w:hAnsi="Californian FB" w:cs="Californian FB"/>
          <w:color w:val="000000" w:themeColor="text1"/>
        </w:rPr>
        <w:t xml:space="preserve"> compensation here</w:t>
      </w:r>
      <w:r w:rsidR="00CC2075">
        <w:rPr>
          <w:rFonts w:ascii="Californian FB" w:eastAsia="Californian FB" w:hAnsi="Californian FB" w:cs="Californian FB"/>
          <w:color w:val="000000" w:themeColor="text1"/>
        </w:rPr>
        <w:t xml:space="preserve"> –</w:t>
      </w:r>
      <w:r w:rsidR="00895B82">
        <w:rPr>
          <w:rFonts w:ascii="Californian FB" w:eastAsia="Californian FB" w:hAnsi="Californian FB" w:cs="Californian FB"/>
          <w:color w:val="000000" w:themeColor="text1"/>
        </w:rPr>
        <w:t xml:space="preserve"> because of the extreme</w:t>
      </w:r>
      <w:r w:rsidR="00067E9F" w:rsidRPr="2CFACACD">
        <w:rPr>
          <w:rFonts w:ascii="Californian FB" w:eastAsia="Californian FB" w:hAnsi="Californian FB" w:cs="Californian FB"/>
          <w:color w:val="000000" w:themeColor="text1"/>
        </w:rPr>
        <w:t xml:space="preserve"> impact on the applicant’s </w:t>
      </w:r>
      <w:r w:rsidR="00067E9F" w:rsidRPr="00A70769">
        <w:rPr>
          <w:rFonts w:ascii="Californian FB" w:eastAsia="Californian FB" w:hAnsi="Californian FB" w:cs="Californian FB"/>
          <w:color w:val="000000" w:themeColor="text1"/>
        </w:rPr>
        <w:lastRenderedPageBreak/>
        <w:t>livelihood</w:t>
      </w:r>
      <w:r w:rsidR="005B5156" w:rsidRPr="00A70769">
        <w:rPr>
          <w:rFonts w:ascii="Californian FB" w:eastAsia="Californian FB" w:hAnsi="Californian FB" w:cs="Californian FB"/>
          <w:color w:val="000000" w:themeColor="text1"/>
        </w:rPr>
        <w:t>.</w:t>
      </w:r>
      <w:r w:rsidR="00BA7472" w:rsidRPr="00A70769">
        <w:rPr>
          <w:rStyle w:val="FootnoteReference"/>
          <w:rFonts w:ascii="Californian FB" w:eastAsia="Californian FB" w:hAnsi="Californian FB" w:cs="Californian FB"/>
          <w:color w:val="000000" w:themeColor="text1"/>
        </w:rPr>
        <w:footnoteReference w:id="71"/>
      </w:r>
      <w:r w:rsidR="00067E9F" w:rsidRPr="00A70769">
        <w:rPr>
          <w:rFonts w:ascii="Californian FB" w:eastAsia="Californian FB" w:hAnsi="Californian FB" w:cs="Californian FB"/>
          <w:color w:val="000000" w:themeColor="text1"/>
          <w:vertAlign w:val="superscript"/>
        </w:rPr>
        <w:t xml:space="preserve"> </w:t>
      </w:r>
      <w:r w:rsidR="00067E9F" w:rsidRPr="00A70769">
        <w:rPr>
          <w:rFonts w:ascii="Californian FB" w:eastAsia="Californian FB" w:hAnsi="Californian FB" w:cs="Californian FB"/>
        </w:rPr>
        <w:t>Thus, here</w:t>
      </w:r>
      <w:r w:rsidR="00067E9F" w:rsidRPr="11722F7C">
        <w:rPr>
          <w:rFonts w:ascii="Californian FB" w:eastAsia="Californian FB" w:hAnsi="Californian FB" w:cs="Californian FB"/>
        </w:rPr>
        <w:t>, the invocation of Convention rights was successful</w:t>
      </w:r>
      <w:r w:rsidR="00067E9F">
        <w:rPr>
          <w:rFonts w:ascii="Californian FB" w:eastAsia="Californian FB" w:hAnsi="Californian FB" w:cs="Californian FB"/>
        </w:rPr>
        <w:t xml:space="preserve"> and helped</w:t>
      </w:r>
      <w:r w:rsidR="00067E9F" w:rsidRPr="11722F7C">
        <w:rPr>
          <w:rFonts w:ascii="Californian FB" w:eastAsia="Californian FB" w:hAnsi="Californian FB" w:cs="Californian FB"/>
        </w:rPr>
        <w:t xml:space="preserve"> safeguard the property of the ‘man on the street’.</w:t>
      </w:r>
      <w:r w:rsidR="00067E9F">
        <w:rPr>
          <w:rFonts w:ascii="Californian FB" w:eastAsia="Californian FB" w:hAnsi="Californian FB" w:cs="Californian FB"/>
        </w:rPr>
        <w:t xml:space="preserve"> </w:t>
      </w:r>
    </w:p>
    <w:p w14:paraId="46A115F9" w14:textId="52046B80" w:rsidR="00067E9F" w:rsidRDefault="00180DC5" w:rsidP="00067E9F">
      <w:pPr>
        <w:spacing w:line="279" w:lineRule="auto"/>
        <w:jc w:val="both"/>
        <w:rPr>
          <w:rFonts w:ascii="Californian FB" w:eastAsia="Californian FB" w:hAnsi="Californian FB" w:cs="Californian FB"/>
          <w:color w:val="000000" w:themeColor="text1"/>
          <w:lang w:val="en-US"/>
        </w:rPr>
      </w:pPr>
      <w:r>
        <w:rPr>
          <w:rFonts w:ascii="Californian FB" w:eastAsia="Californian FB" w:hAnsi="Californian FB" w:cs="Californian FB"/>
          <w:color w:val="000000" w:themeColor="text1"/>
          <w:lang w:val="en-US"/>
        </w:rPr>
        <w:t>Meanwhile,</w:t>
      </w:r>
      <w:r w:rsidR="00067E9F">
        <w:rPr>
          <w:rFonts w:ascii="Californian FB" w:eastAsia="Californian FB" w:hAnsi="Californian FB" w:cs="Californian FB"/>
          <w:color w:val="000000" w:themeColor="text1"/>
          <w:lang w:val="en-US"/>
        </w:rPr>
        <w:t xml:space="preserve"> in</w:t>
      </w:r>
      <w:r>
        <w:rPr>
          <w:rFonts w:ascii="Californian FB" w:eastAsia="Californian FB" w:hAnsi="Californian FB" w:cs="Californian FB"/>
          <w:color w:val="000000" w:themeColor="text1"/>
          <w:lang w:val="en-US"/>
        </w:rPr>
        <w:t xml:space="preserve"> </w:t>
      </w:r>
      <w:r w:rsidR="00067E9F" w:rsidRPr="2CFACACD">
        <w:rPr>
          <w:rFonts w:ascii="Californian FB" w:eastAsia="Californian FB" w:hAnsi="Californian FB" w:cs="Californian FB"/>
          <w:i/>
          <w:iCs/>
          <w:color w:val="000000" w:themeColor="text1"/>
          <w:lang w:val="en-US"/>
        </w:rPr>
        <w:t>Cusack v London Borough of Harrow,</w:t>
      </w:r>
      <w:r w:rsidR="00BA7472">
        <w:rPr>
          <w:rStyle w:val="FootnoteReference"/>
          <w:rFonts w:ascii="Californian FB" w:eastAsia="Californian FB" w:hAnsi="Californian FB" w:cs="Californian FB"/>
          <w:i/>
          <w:iCs/>
          <w:color w:val="000000" w:themeColor="text1"/>
          <w:lang w:val="en-US"/>
        </w:rPr>
        <w:footnoteReference w:id="72"/>
      </w:r>
      <w:r w:rsidR="00067E9F" w:rsidRPr="2CFACACD">
        <w:rPr>
          <w:rFonts w:ascii="Californian FB" w:eastAsia="Californian FB" w:hAnsi="Californian FB" w:cs="Californian FB"/>
          <w:color w:val="000000" w:themeColor="text1"/>
          <w:lang w:val="en-US"/>
        </w:rPr>
        <w:t xml:space="preserve"> </w:t>
      </w:r>
      <w:r w:rsidR="003B2926">
        <w:rPr>
          <w:rFonts w:ascii="Californian FB" w:eastAsia="Californian FB" w:hAnsi="Californian FB" w:cs="Californian FB"/>
          <w:color w:val="000000" w:themeColor="text1"/>
          <w:lang w:val="en-US"/>
        </w:rPr>
        <w:t xml:space="preserve">a case relating to the </w:t>
      </w:r>
      <w:r w:rsidR="00067E9F" w:rsidRPr="2CFACACD">
        <w:rPr>
          <w:rFonts w:ascii="Californian FB" w:eastAsia="Californian FB" w:hAnsi="Californian FB" w:cs="Californian FB"/>
          <w:color w:val="000000" w:themeColor="text1"/>
          <w:lang w:val="en-US"/>
        </w:rPr>
        <w:t>erect</w:t>
      </w:r>
      <w:r w:rsidR="003B2926">
        <w:rPr>
          <w:rFonts w:ascii="Californian FB" w:eastAsia="Californian FB" w:hAnsi="Californian FB" w:cs="Californian FB"/>
          <w:color w:val="000000" w:themeColor="text1"/>
          <w:lang w:val="en-US"/>
        </w:rPr>
        <w:t>ion</w:t>
      </w:r>
      <w:r w:rsidR="00067E9F" w:rsidRPr="2CFACACD">
        <w:rPr>
          <w:rFonts w:ascii="Californian FB" w:eastAsia="Californian FB" w:hAnsi="Californian FB" w:cs="Californian FB"/>
          <w:color w:val="000000" w:themeColor="text1"/>
          <w:lang w:val="en-US"/>
        </w:rPr>
        <w:t xml:space="preserve"> </w:t>
      </w:r>
      <w:r w:rsidR="005623FF">
        <w:rPr>
          <w:rFonts w:ascii="Californian FB" w:eastAsia="Californian FB" w:hAnsi="Californian FB" w:cs="Californian FB"/>
          <w:color w:val="000000" w:themeColor="text1"/>
          <w:lang w:val="en-US"/>
        </w:rPr>
        <w:t xml:space="preserve">of </w:t>
      </w:r>
      <w:r w:rsidR="00067E9F" w:rsidRPr="2CFACACD">
        <w:rPr>
          <w:rFonts w:ascii="Californian FB" w:eastAsia="Californian FB" w:hAnsi="Californian FB" w:cs="Californian FB"/>
          <w:color w:val="000000" w:themeColor="text1"/>
          <w:lang w:val="en-US"/>
        </w:rPr>
        <w:t>bollards that prevented vehicular access onto a footway</w:t>
      </w:r>
      <w:r w:rsidR="003B2926">
        <w:rPr>
          <w:rFonts w:ascii="Californian FB" w:eastAsia="Californian FB" w:hAnsi="Californian FB" w:cs="Californian FB"/>
          <w:color w:val="000000" w:themeColor="text1"/>
          <w:lang w:val="en-US"/>
        </w:rPr>
        <w:t xml:space="preserve"> which the claimant </w:t>
      </w:r>
      <w:r w:rsidR="00BC6899">
        <w:rPr>
          <w:rFonts w:ascii="Californian FB" w:eastAsia="Californian FB" w:hAnsi="Californian FB" w:cs="Californian FB"/>
          <w:color w:val="000000" w:themeColor="text1"/>
          <w:lang w:val="en-US"/>
        </w:rPr>
        <w:t xml:space="preserve">solicitor </w:t>
      </w:r>
      <w:r w:rsidR="003B2926">
        <w:rPr>
          <w:rFonts w:ascii="Californian FB" w:eastAsia="Californian FB" w:hAnsi="Californian FB" w:cs="Californian FB"/>
          <w:color w:val="000000" w:themeColor="text1"/>
          <w:lang w:val="en-US"/>
        </w:rPr>
        <w:t xml:space="preserve">used to access his </w:t>
      </w:r>
      <w:r w:rsidR="00BC6899">
        <w:rPr>
          <w:rFonts w:ascii="Californian FB" w:eastAsia="Californian FB" w:hAnsi="Californian FB" w:cs="Californian FB"/>
          <w:color w:val="000000" w:themeColor="text1"/>
          <w:lang w:val="en-US"/>
        </w:rPr>
        <w:t>office</w:t>
      </w:r>
      <w:r w:rsidR="003B2926">
        <w:rPr>
          <w:rFonts w:ascii="Californian FB" w:eastAsia="Californian FB" w:hAnsi="Californian FB" w:cs="Californian FB"/>
          <w:color w:val="000000" w:themeColor="text1"/>
          <w:lang w:val="en-US"/>
        </w:rPr>
        <w:t>,</w:t>
      </w:r>
      <w:r w:rsidR="00A82FB6">
        <w:rPr>
          <w:rFonts w:ascii="Californian FB" w:eastAsia="Californian FB" w:hAnsi="Californian FB" w:cs="Californian FB"/>
          <w:color w:val="000000" w:themeColor="text1"/>
          <w:lang w:val="en-US"/>
        </w:rPr>
        <w:t xml:space="preserve"> Lord Neuberger </w:t>
      </w:r>
      <w:r w:rsidR="00673410" w:rsidDel="001A2225">
        <w:rPr>
          <w:rFonts w:ascii="Californian FB" w:eastAsia="Californian FB" w:hAnsi="Californian FB" w:cs="Californian FB"/>
          <w:color w:val="000000" w:themeColor="text1"/>
          <w:lang w:val="en-US"/>
        </w:rPr>
        <w:t xml:space="preserve">appears </w:t>
      </w:r>
      <w:r w:rsidR="00271DF8" w:rsidDel="001A2225">
        <w:rPr>
          <w:rFonts w:ascii="Californian FB" w:eastAsia="Californian FB" w:hAnsi="Californian FB" w:cs="Californian FB"/>
          <w:color w:val="000000" w:themeColor="text1"/>
          <w:lang w:val="en-US"/>
        </w:rPr>
        <w:t xml:space="preserve">to </w:t>
      </w:r>
      <w:r w:rsidR="001A2225">
        <w:rPr>
          <w:rFonts w:ascii="Californian FB" w:eastAsia="Californian FB" w:hAnsi="Californian FB" w:cs="Californian FB"/>
          <w:color w:val="000000" w:themeColor="text1"/>
          <w:lang w:val="en-US"/>
        </w:rPr>
        <w:t xml:space="preserve">draw a limit, </w:t>
      </w:r>
      <w:r w:rsidR="0019595A">
        <w:rPr>
          <w:rFonts w:ascii="Californian FB" w:eastAsia="Californian FB" w:hAnsi="Californian FB" w:cs="Californian FB"/>
          <w:color w:val="000000" w:themeColor="text1"/>
          <w:lang w:val="en-US"/>
        </w:rPr>
        <w:t>suggest</w:t>
      </w:r>
      <w:r w:rsidR="001A2225">
        <w:rPr>
          <w:rFonts w:ascii="Californian FB" w:eastAsia="Californian FB" w:hAnsi="Californian FB" w:cs="Californian FB"/>
          <w:color w:val="000000" w:themeColor="text1"/>
          <w:lang w:val="en-US"/>
        </w:rPr>
        <w:t>ing</w:t>
      </w:r>
      <w:r w:rsidR="00067E9F" w:rsidRPr="2CFACACD">
        <w:rPr>
          <w:rFonts w:ascii="Californian FB" w:eastAsia="Californian FB" w:hAnsi="Californian FB" w:cs="Californian FB"/>
          <w:color w:val="000000" w:themeColor="text1"/>
          <w:lang w:val="en-US"/>
        </w:rPr>
        <w:t xml:space="preserve"> there was </w:t>
      </w:r>
      <w:r w:rsidR="00067E9F" w:rsidRPr="42D18D7A">
        <w:rPr>
          <w:rFonts w:ascii="Californian FB" w:eastAsia="Californian FB" w:hAnsi="Californian FB" w:cs="Californian FB"/>
          <w:i/>
          <w:color w:val="000000" w:themeColor="text1"/>
          <w:lang w:val="en-US"/>
        </w:rPr>
        <w:t xml:space="preserve">no </w:t>
      </w:r>
      <w:r w:rsidR="00067E9F" w:rsidRPr="2CFACACD">
        <w:rPr>
          <w:rFonts w:ascii="Californian FB" w:eastAsia="Californian FB" w:hAnsi="Californian FB" w:cs="Californian FB"/>
          <w:color w:val="000000" w:themeColor="text1"/>
          <w:lang w:val="en-US"/>
        </w:rPr>
        <w:t xml:space="preserve">general rule that, ‘where the state seeks to control </w:t>
      </w:r>
      <w:r w:rsidR="00067E9F" w:rsidRPr="0095771C">
        <w:rPr>
          <w:rFonts w:ascii="Californian FB" w:eastAsia="Californian FB" w:hAnsi="Californian FB" w:cs="Californian FB"/>
          <w:color w:val="000000" w:themeColor="text1"/>
          <w:lang w:val="en-US"/>
        </w:rPr>
        <w:t>the use of property, and could do so under different provisions, which have different consequences in terms of compensation, it is obliged to invoke the provision which carries some (or greater) compensation.’</w:t>
      </w:r>
      <w:r w:rsidR="00DB459C" w:rsidRPr="0095771C">
        <w:rPr>
          <w:rStyle w:val="FootnoteReference"/>
          <w:rFonts w:ascii="Californian FB" w:eastAsia="Californian FB" w:hAnsi="Californian FB" w:cs="Californian FB"/>
          <w:color w:val="000000" w:themeColor="text1"/>
          <w:lang w:val="en-US"/>
        </w:rPr>
        <w:footnoteReference w:id="73"/>
      </w:r>
      <w:r w:rsidR="00067E9F" w:rsidRPr="0095771C">
        <w:rPr>
          <w:rFonts w:ascii="Californian FB" w:eastAsia="Californian FB" w:hAnsi="Californian FB" w:cs="Californian FB"/>
          <w:color w:val="000000" w:themeColor="text1"/>
          <w:vertAlign w:val="superscript"/>
          <w:lang w:val="en-US"/>
        </w:rPr>
        <w:t xml:space="preserve"> </w:t>
      </w:r>
      <w:r w:rsidR="00067E9F" w:rsidRPr="0095771C">
        <w:rPr>
          <w:rFonts w:ascii="Californian FB" w:eastAsia="Californian FB" w:hAnsi="Californian FB" w:cs="Californian FB"/>
          <w:color w:val="000000" w:themeColor="text1"/>
          <w:lang w:val="en-US"/>
        </w:rPr>
        <w:t>Thus</w:t>
      </w:r>
      <w:r w:rsidR="00067E9F">
        <w:rPr>
          <w:rFonts w:ascii="Californian FB" w:eastAsia="Californian FB" w:hAnsi="Californian FB" w:cs="Californian FB"/>
          <w:color w:val="000000" w:themeColor="text1"/>
          <w:lang w:val="en-US"/>
        </w:rPr>
        <w:t>, invocations of A1P1 can fail to assist the comparatively propertied, perhaps particularly when mere control is in issue.</w:t>
      </w:r>
    </w:p>
    <w:p w14:paraId="0E125515" w14:textId="1D0BEC2E" w:rsidR="008E4BC4" w:rsidRDefault="003B0208" w:rsidP="008E4BC4">
      <w:pPr>
        <w:spacing w:line="279" w:lineRule="auto"/>
        <w:jc w:val="both"/>
        <w:rPr>
          <w:rFonts w:ascii="Californian FB" w:eastAsia="Californian FB" w:hAnsi="Californian FB" w:cs="Californian FB"/>
          <w:color w:val="000000" w:themeColor="text1"/>
        </w:rPr>
      </w:pPr>
      <w:r>
        <w:rPr>
          <w:rFonts w:ascii="Californian FB" w:eastAsia="Californian FB" w:hAnsi="Californian FB" w:cs="Californian FB"/>
          <w:color w:val="000000" w:themeColor="text1"/>
          <w:lang w:val="en-US"/>
        </w:rPr>
        <w:t xml:space="preserve">Nevertheless, </w:t>
      </w:r>
      <w:r w:rsidR="008E4BC4" w:rsidRPr="42D18D7A">
        <w:rPr>
          <w:rFonts w:ascii="Californian FB" w:eastAsia="Californian FB" w:hAnsi="Californian FB" w:cs="Californian FB"/>
          <w:color w:val="000000" w:themeColor="text1"/>
        </w:rPr>
        <w:t xml:space="preserve">A1P1 is potentially a robust defence for landlords otherwise restricted from ending a tenancy and recovering their property. Indeed, in </w:t>
      </w:r>
      <w:r w:rsidR="008E4BC4" w:rsidRPr="42D18D7A">
        <w:rPr>
          <w:rFonts w:ascii="Californian FB" w:eastAsia="Californian FB" w:hAnsi="Californian FB" w:cs="Californian FB"/>
          <w:i/>
          <w:iCs/>
          <w:color w:val="000000" w:themeColor="text1"/>
        </w:rPr>
        <w:t>McDonald</w:t>
      </w:r>
      <w:r w:rsidR="008E4BC4" w:rsidRPr="42D18D7A">
        <w:rPr>
          <w:rFonts w:ascii="Californian FB" w:eastAsia="Californian FB" w:hAnsi="Californian FB" w:cs="Californian FB"/>
          <w:color w:val="000000" w:themeColor="text1"/>
        </w:rPr>
        <w:t>,</w:t>
      </w:r>
      <w:bookmarkStart w:id="12" w:name="_Ref174709699"/>
      <w:r w:rsidR="008E4BC4">
        <w:rPr>
          <w:rStyle w:val="FootnoteReference"/>
          <w:rFonts w:ascii="Californian FB" w:eastAsia="Californian FB" w:hAnsi="Californian FB" w:cs="Californian FB"/>
          <w:color w:val="000000" w:themeColor="text1"/>
        </w:rPr>
        <w:footnoteReference w:id="74"/>
      </w:r>
      <w:bookmarkEnd w:id="12"/>
      <w:r w:rsidR="008E4BC4" w:rsidRPr="42D18D7A">
        <w:rPr>
          <w:rFonts w:ascii="Californian FB" w:eastAsia="Californian FB" w:hAnsi="Californian FB" w:cs="Californian FB"/>
          <w:color w:val="000000" w:themeColor="text1"/>
        </w:rPr>
        <w:t xml:space="preserve"> as we will see, one problem noted by Lord Neuberger with raising a proportionality argument against eviction by a private landlord would be that the latter could avail of an A1P1 defence. In </w:t>
      </w:r>
      <w:r w:rsidR="008E4BC4" w:rsidRPr="42D18D7A">
        <w:rPr>
          <w:rFonts w:ascii="Californian FB" w:eastAsia="Californian FB" w:hAnsi="Californian FB" w:cs="Californian FB"/>
          <w:i/>
          <w:iCs/>
          <w:color w:val="000000" w:themeColor="text1"/>
        </w:rPr>
        <w:t>Salvesen v Riddell (Scotland)</w:t>
      </w:r>
      <w:r w:rsidR="008E4BC4" w:rsidRPr="42D18D7A">
        <w:rPr>
          <w:rFonts w:ascii="Californian FB" w:eastAsia="Californian FB" w:hAnsi="Californian FB" w:cs="Californian FB"/>
          <w:color w:val="000000" w:themeColor="text1"/>
        </w:rPr>
        <w:t>,</w:t>
      </w:r>
      <w:bookmarkStart w:id="13" w:name="_Ref174707960"/>
      <w:r w:rsidR="00D31F04">
        <w:rPr>
          <w:rStyle w:val="FootnoteReference"/>
          <w:rFonts w:ascii="Californian FB" w:eastAsia="Californian FB" w:hAnsi="Californian FB" w:cs="Californian FB"/>
          <w:color w:val="000000" w:themeColor="text1"/>
        </w:rPr>
        <w:footnoteReference w:id="75"/>
      </w:r>
      <w:bookmarkEnd w:id="13"/>
      <w:r w:rsidR="008E4BC4" w:rsidRPr="42D18D7A">
        <w:rPr>
          <w:rFonts w:ascii="Californian FB" w:eastAsia="Californian FB" w:hAnsi="Californian FB" w:cs="Californian FB"/>
          <w:color w:val="000000" w:themeColor="text1"/>
        </w:rPr>
        <w:t xml:space="preserve"> the</w:t>
      </w:r>
      <w:r w:rsidR="008E4BC4" w:rsidRPr="42D18D7A">
        <w:rPr>
          <w:rFonts w:ascii="Californian FB" w:eastAsia="Californian FB" w:hAnsi="Californian FB" w:cs="Californian FB"/>
          <w:i/>
          <w:iCs/>
          <w:color w:val="000000" w:themeColor="text1"/>
        </w:rPr>
        <w:t xml:space="preserve"> </w:t>
      </w:r>
      <w:r w:rsidR="008E4BC4" w:rsidRPr="42D18D7A">
        <w:rPr>
          <w:rFonts w:ascii="Californian FB" w:eastAsia="Californian FB" w:hAnsi="Californian FB" w:cs="Californian FB"/>
          <w:color w:val="000000" w:themeColor="text1"/>
        </w:rPr>
        <w:t>Court went so far as to hold a statutory provision incompatible with A1P1 owing to the excessive burden it placed on landlords in controlling the use of their property.</w:t>
      </w:r>
      <w:r w:rsidR="00661269">
        <w:rPr>
          <w:rFonts w:ascii="Californian FB" w:eastAsia="Californian FB" w:hAnsi="Californian FB" w:cs="Californian FB"/>
          <w:color w:val="000000" w:themeColor="text1"/>
        </w:rPr>
        <w:t xml:space="preserve"> The relevant legislation</w:t>
      </w:r>
      <w:r w:rsidR="009F3274">
        <w:rPr>
          <w:rStyle w:val="FootnoteReference"/>
          <w:rFonts w:ascii="Californian FB" w:eastAsia="Californian FB" w:hAnsi="Californian FB" w:cs="Californian FB"/>
          <w:color w:val="000000" w:themeColor="text1"/>
        </w:rPr>
        <w:footnoteReference w:id="76"/>
      </w:r>
      <w:r w:rsidR="007C1082">
        <w:rPr>
          <w:rFonts w:ascii="Californian FB" w:eastAsia="Californian FB" w:hAnsi="Californian FB" w:cs="Californian FB"/>
          <w:color w:val="000000" w:themeColor="text1"/>
        </w:rPr>
        <w:t xml:space="preserve"> had </w:t>
      </w:r>
      <w:r w:rsidR="004D0861">
        <w:rPr>
          <w:rFonts w:ascii="Californian FB" w:eastAsia="Californian FB" w:hAnsi="Californian FB" w:cs="Californian FB"/>
          <w:color w:val="000000" w:themeColor="text1"/>
        </w:rPr>
        <w:t xml:space="preserve">allowed agricultural tenants to apply for retrospective security of tenure, in circumstances which </w:t>
      </w:r>
      <w:r w:rsidR="00E97A75">
        <w:rPr>
          <w:rFonts w:ascii="Californian FB" w:eastAsia="Californian FB" w:hAnsi="Californian FB" w:cs="Californian FB"/>
          <w:color w:val="000000" w:themeColor="text1"/>
        </w:rPr>
        <w:t xml:space="preserve">allowed landlords to circumvent this </w:t>
      </w:r>
      <w:r w:rsidR="001E682E">
        <w:rPr>
          <w:rFonts w:ascii="Californian FB" w:eastAsia="Californian FB" w:hAnsi="Californian FB" w:cs="Californian FB"/>
          <w:color w:val="000000" w:themeColor="text1"/>
        </w:rPr>
        <w:t xml:space="preserve">only </w:t>
      </w:r>
      <w:r w:rsidR="00E97A75">
        <w:rPr>
          <w:rFonts w:ascii="Californian FB" w:eastAsia="Californian FB" w:hAnsi="Californian FB" w:cs="Californian FB"/>
          <w:color w:val="000000" w:themeColor="text1"/>
        </w:rPr>
        <w:t>if they had served notice within a narrow timeframe</w:t>
      </w:r>
      <w:r w:rsidR="009F3274">
        <w:rPr>
          <w:rFonts w:ascii="Californian FB" w:eastAsia="Californian FB" w:hAnsi="Californian FB" w:cs="Californian FB"/>
          <w:color w:val="000000" w:themeColor="text1"/>
        </w:rPr>
        <w:t>.</w:t>
      </w:r>
      <w:r w:rsidR="00FA4C06">
        <w:rPr>
          <w:rFonts w:ascii="Californian FB" w:eastAsia="Californian FB" w:hAnsi="Californian FB" w:cs="Californian FB"/>
          <w:color w:val="000000" w:themeColor="text1"/>
        </w:rPr>
        <w:t xml:space="preserve"> </w:t>
      </w:r>
      <w:r w:rsidR="009F3274" w:rsidRPr="42D18D7A">
        <w:rPr>
          <w:rFonts w:ascii="Californian FB" w:eastAsia="Californian FB" w:hAnsi="Californian FB" w:cs="Californian FB"/>
          <w:color w:val="000000" w:themeColor="text1"/>
        </w:rPr>
        <w:t xml:space="preserve">Lord Hope </w:t>
      </w:r>
      <w:r w:rsidR="002244D5">
        <w:rPr>
          <w:rFonts w:ascii="Californian FB" w:eastAsia="Californian FB" w:hAnsi="Californian FB" w:cs="Californian FB"/>
          <w:color w:val="000000" w:themeColor="text1"/>
        </w:rPr>
        <w:t>held</w:t>
      </w:r>
      <w:r w:rsidR="002244D5" w:rsidRPr="42D18D7A">
        <w:rPr>
          <w:rFonts w:ascii="Californian FB" w:eastAsia="Californian FB" w:hAnsi="Californian FB" w:cs="Californian FB"/>
          <w:color w:val="000000" w:themeColor="text1"/>
        </w:rPr>
        <w:t xml:space="preserve"> </w:t>
      </w:r>
      <w:r w:rsidR="009F3274" w:rsidRPr="42D18D7A">
        <w:rPr>
          <w:rFonts w:ascii="Californian FB" w:eastAsia="Californian FB" w:hAnsi="Californian FB" w:cs="Californian FB"/>
          <w:color w:val="000000" w:themeColor="text1"/>
        </w:rPr>
        <w:t>that the provision was ‘discriminatory in a respect that affects the landlords’ right to the enjoyment of their property’, in a way that seemed to be ‘entirely arbitrary’.</w:t>
      </w:r>
      <w:r w:rsidR="009F3274" w:rsidRPr="42D18D7A">
        <w:rPr>
          <w:rStyle w:val="FootnoteReference"/>
          <w:rFonts w:ascii="Californian FB" w:eastAsia="Californian FB" w:hAnsi="Californian FB" w:cs="Californian FB"/>
          <w:color w:val="000000" w:themeColor="text1"/>
        </w:rPr>
        <w:footnoteReference w:id="77"/>
      </w:r>
      <w:r w:rsidR="009F3274" w:rsidRPr="42D18D7A">
        <w:rPr>
          <w:rFonts w:ascii="Californian FB" w:eastAsia="Californian FB" w:hAnsi="Californian FB" w:cs="Californian FB"/>
          <w:color w:val="000000" w:themeColor="text1"/>
        </w:rPr>
        <w:t xml:space="preserve"> </w:t>
      </w:r>
    </w:p>
    <w:p w14:paraId="2A5C2663" w14:textId="65D91482" w:rsidR="003B0208" w:rsidRDefault="00354270" w:rsidP="008E4BC4">
      <w:pPr>
        <w:spacing w:line="279" w:lineRule="auto"/>
        <w:jc w:val="both"/>
        <w:rPr>
          <w:rFonts w:ascii="Californian FB" w:eastAsia="Californian FB" w:hAnsi="Californian FB" w:cs="Californian FB"/>
          <w:color w:val="000000" w:themeColor="text1"/>
          <w:lang w:val="en-US"/>
        </w:rPr>
      </w:pPr>
      <w:r>
        <w:rPr>
          <w:rFonts w:ascii="Californian FB" w:eastAsia="Californian FB" w:hAnsi="Californian FB" w:cs="Californian FB"/>
          <w:color w:val="000000" w:themeColor="text1"/>
          <w:lang w:val="en-US"/>
        </w:rPr>
        <w:t>As much as A1P1 might help</w:t>
      </w:r>
      <w:r w:rsidR="00345D2E">
        <w:rPr>
          <w:rFonts w:ascii="Californian FB" w:eastAsia="Californian FB" w:hAnsi="Californian FB" w:cs="Californian FB"/>
          <w:color w:val="000000" w:themeColor="text1"/>
          <w:lang w:val="en-US"/>
        </w:rPr>
        <w:t xml:space="preserve"> </w:t>
      </w:r>
      <w:r w:rsidR="00FD34D8">
        <w:rPr>
          <w:rFonts w:ascii="Californian FB" w:eastAsia="Californian FB" w:hAnsi="Californian FB" w:cs="Californian FB"/>
          <w:color w:val="000000" w:themeColor="text1"/>
          <w:lang w:val="en-US"/>
        </w:rPr>
        <w:t xml:space="preserve">landlords, the right of a social tenant </w:t>
      </w:r>
      <w:r w:rsidR="00734118">
        <w:rPr>
          <w:rFonts w:ascii="Californian FB" w:eastAsia="Californian FB" w:hAnsi="Californian FB" w:cs="Californian FB"/>
          <w:color w:val="000000" w:themeColor="text1"/>
          <w:lang w:val="en-US"/>
        </w:rPr>
        <w:t>can equally be a ‘possession’</w:t>
      </w:r>
      <w:r w:rsidR="009754F1">
        <w:rPr>
          <w:rFonts w:ascii="Californian FB" w:eastAsia="Californian FB" w:hAnsi="Californian FB" w:cs="Californian FB"/>
          <w:color w:val="000000" w:themeColor="text1"/>
          <w:lang w:val="en-US"/>
        </w:rPr>
        <w:t xml:space="preserve"> and so </w:t>
      </w:r>
      <w:r w:rsidR="00E83320">
        <w:rPr>
          <w:rFonts w:ascii="Californian FB" w:eastAsia="Californian FB" w:hAnsi="Californian FB" w:cs="Californian FB"/>
          <w:color w:val="000000" w:themeColor="text1"/>
          <w:lang w:val="en-US"/>
        </w:rPr>
        <w:t xml:space="preserve">the protection offered is not one-sided. </w:t>
      </w:r>
      <w:r w:rsidR="00E72D15">
        <w:rPr>
          <w:rFonts w:ascii="Californian FB" w:eastAsia="Californian FB" w:hAnsi="Californian FB" w:cs="Californian FB"/>
          <w:color w:val="000000" w:themeColor="text1"/>
          <w:lang w:val="en-US"/>
        </w:rPr>
        <w:t>In</w:t>
      </w:r>
      <w:r w:rsidR="003B0208" w:rsidRPr="4B228B65">
        <w:rPr>
          <w:rFonts w:ascii="Californian FB" w:eastAsia="Californian FB" w:hAnsi="Californian FB" w:cs="Californian FB"/>
          <w:color w:val="000000" w:themeColor="text1"/>
          <w:lang w:val="en-US"/>
        </w:rPr>
        <w:t xml:space="preserve"> </w:t>
      </w:r>
      <w:r w:rsidR="003B0208" w:rsidRPr="42D18D7A">
        <w:rPr>
          <w:rFonts w:ascii="Californian FB" w:eastAsia="Californian FB" w:hAnsi="Californian FB" w:cs="Californian FB"/>
          <w:i/>
          <w:iCs/>
          <w:color w:val="000000" w:themeColor="text1"/>
          <w:lang w:val="en-US"/>
        </w:rPr>
        <w:t>Sims v Dacorum Borough Council</w:t>
      </w:r>
      <w:r w:rsidR="003B0208" w:rsidRPr="42D18D7A">
        <w:rPr>
          <w:rFonts w:ascii="Californian FB" w:eastAsia="Californian FB" w:hAnsi="Californian FB" w:cs="Californian FB"/>
          <w:color w:val="000000" w:themeColor="text1"/>
          <w:lang w:val="en-US"/>
        </w:rPr>
        <w:t>,</w:t>
      </w:r>
      <w:bookmarkStart w:id="14" w:name="_Ref174708231"/>
      <w:r w:rsidR="003B0208" w:rsidRPr="42D18D7A">
        <w:rPr>
          <w:rStyle w:val="FootnoteReference"/>
          <w:rFonts w:ascii="Californian FB" w:eastAsia="Californian FB" w:hAnsi="Californian FB" w:cs="Californian FB"/>
          <w:color w:val="000000" w:themeColor="text1"/>
          <w:lang w:val="en-US"/>
        </w:rPr>
        <w:footnoteReference w:id="78"/>
      </w:r>
      <w:bookmarkEnd w:id="14"/>
      <w:r w:rsidR="0097530F">
        <w:rPr>
          <w:rFonts w:ascii="Californian FB" w:eastAsia="Californian FB" w:hAnsi="Californian FB" w:cs="Californian FB"/>
          <w:color w:val="000000" w:themeColor="text1"/>
          <w:lang w:val="en-US"/>
        </w:rPr>
        <w:t xml:space="preserve"> </w:t>
      </w:r>
      <w:r w:rsidR="003B0208" w:rsidRPr="42D18D7A">
        <w:rPr>
          <w:rFonts w:ascii="Californian FB" w:eastAsia="Californian FB" w:hAnsi="Californian FB" w:cs="Californian FB"/>
          <w:color w:val="000000" w:themeColor="text1"/>
          <w:lang w:val="en-US"/>
        </w:rPr>
        <w:t xml:space="preserve">the issue was whether the decision of the House of Lords in </w:t>
      </w:r>
      <w:r w:rsidR="003B0208" w:rsidRPr="42D18D7A">
        <w:rPr>
          <w:rFonts w:ascii="Californian FB" w:eastAsia="Californian FB" w:hAnsi="Californian FB" w:cs="Californian FB"/>
          <w:i/>
          <w:iCs/>
          <w:color w:val="000000" w:themeColor="text1"/>
          <w:lang w:val="en-US"/>
        </w:rPr>
        <w:t>Hammersmith &amp; Fulham Borough Council v Monk</w:t>
      </w:r>
      <w:r w:rsidR="003B0208" w:rsidRPr="42D18D7A">
        <w:rPr>
          <w:rStyle w:val="FootnoteReference"/>
          <w:rFonts w:ascii="Californian FB" w:eastAsia="Californian FB" w:hAnsi="Californian FB" w:cs="Californian FB"/>
          <w:color w:val="000000" w:themeColor="text1"/>
          <w:lang w:val="en-US"/>
        </w:rPr>
        <w:footnoteReference w:id="79"/>
      </w:r>
      <w:r w:rsidR="003B0208" w:rsidRPr="42D18D7A">
        <w:rPr>
          <w:rFonts w:ascii="Californian FB" w:eastAsia="Californian FB" w:hAnsi="Californian FB" w:cs="Californian FB"/>
          <w:color w:val="000000" w:themeColor="text1"/>
          <w:lang w:val="en-US"/>
        </w:rPr>
        <w:t xml:space="preserve"> (that service of notice to quit by one joint tenant will end the tenancy) had survived the </w:t>
      </w:r>
      <w:r w:rsidR="003964C0">
        <w:rPr>
          <w:rFonts w:ascii="Californian FB" w:eastAsia="Californian FB" w:hAnsi="Californian FB" w:cs="Californian FB"/>
          <w:color w:val="000000" w:themeColor="text1"/>
          <w:lang w:val="en-US"/>
        </w:rPr>
        <w:t>HRA</w:t>
      </w:r>
      <w:r w:rsidR="003B0208" w:rsidRPr="42D18D7A">
        <w:rPr>
          <w:rFonts w:ascii="Californian FB" w:eastAsia="Californian FB" w:hAnsi="Californian FB" w:cs="Californian FB"/>
          <w:color w:val="000000" w:themeColor="text1"/>
          <w:lang w:val="en-US"/>
        </w:rPr>
        <w:t xml:space="preserve">. The appellant relied on A1P1, as well as Article </w:t>
      </w:r>
      <w:r w:rsidR="00356F56">
        <w:rPr>
          <w:rFonts w:ascii="Californian FB" w:eastAsia="Californian FB" w:hAnsi="Californian FB" w:cs="Californian FB"/>
          <w:color w:val="000000" w:themeColor="text1"/>
          <w:lang w:val="en-US"/>
        </w:rPr>
        <w:t>8 (A8)</w:t>
      </w:r>
      <w:r w:rsidR="003B0208" w:rsidRPr="42D18D7A">
        <w:rPr>
          <w:rFonts w:ascii="Californian FB" w:eastAsia="Californian FB" w:hAnsi="Californian FB" w:cs="Californian FB"/>
          <w:color w:val="000000" w:themeColor="text1"/>
          <w:lang w:val="en-US"/>
        </w:rPr>
        <w:t>, to argue that the joint tenancy persisted</w:t>
      </w:r>
      <w:r w:rsidR="00995EF4">
        <w:rPr>
          <w:rFonts w:ascii="Californian FB" w:eastAsia="Californian FB" w:hAnsi="Californian FB" w:cs="Californian FB"/>
          <w:color w:val="000000" w:themeColor="text1"/>
          <w:lang w:val="en-US"/>
        </w:rPr>
        <w:t xml:space="preserve"> even after his wife served notice to quit (</w:t>
      </w:r>
      <w:proofErr w:type="gramStart"/>
      <w:r w:rsidR="00995EF4">
        <w:rPr>
          <w:rFonts w:ascii="Californian FB" w:eastAsia="Californian FB" w:hAnsi="Californian FB" w:cs="Californian FB"/>
          <w:color w:val="000000" w:themeColor="text1"/>
          <w:lang w:val="en-US"/>
        </w:rPr>
        <w:t>in light of</w:t>
      </w:r>
      <w:proofErr w:type="gramEnd"/>
      <w:r w:rsidR="00995EF4">
        <w:rPr>
          <w:rFonts w:ascii="Californian FB" w:eastAsia="Californian FB" w:hAnsi="Californian FB" w:cs="Californian FB"/>
          <w:color w:val="000000" w:themeColor="text1"/>
          <w:lang w:val="en-US"/>
        </w:rPr>
        <w:t xml:space="preserve"> domestic violence claims against </w:t>
      </w:r>
      <w:r w:rsidR="00BF2CF5">
        <w:rPr>
          <w:rFonts w:ascii="Californian FB" w:eastAsia="Californian FB" w:hAnsi="Californian FB" w:cs="Californian FB"/>
          <w:color w:val="000000" w:themeColor="text1"/>
          <w:lang w:val="en-US"/>
        </w:rPr>
        <w:t>him</w:t>
      </w:r>
      <w:r w:rsidR="00995EF4">
        <w:rPr>
          <w:rFonts w:ascii="Californian FB" w:eastAsia="Californian FB" w:hAnsi="Californian FB" w:cs="Californian FB"/>
          <w:color w:val="000000" w:themeColor="text1"/>
          <w:lang w:val="en-US"/>
        </w:rPr>
        <w:t>)</w:t>
      </w:r>
      <w:r w:rsidR="003B0208" w:rsidRPr="42D18D7A">
        <w:rPr>
          <w:rFonts w:ascii="Californian FB" w:eastAsia="Californian FB" w:hAnsi="Californian FB" w:cs="Californian FB"/>
          <w:color w:val="000000" w:themeColor="text1"/>
          <w:lang w:val="en-US"/>
        </w:rPr>
        <w:t xml:space="preserve">. However, Lord Neuberger dismissed the A1P1 argument on the basis that the appellant </w:t>
      </w:r>
      <w:r w:rsidR="003B0208">
        <w:rPr>
          <w:rFonts w:ascii="Californian FB" w:eastAsia="Californian FB" w:hAnsi="Californian FB" w:cs="Californian FB"/>
          <w:color w:val="000000" w:themeColor="text1"/>
          <w:lang w:val="en-US"/>
        </w:rPr>
        <w:t>‘</w:t>
      </w:r>
      <w:r w:rsidR="003B0208" w:rsidRPr="42D18D7A">
        <w:rPr>
          <w:rFonts w:ascii="Californian FB" w:eastAsia="Californian FB" w:hAnsi="Californian FB" w:cs="Californian FB"/>
          <w:color w:val="000000" w:themeColor="text1"/>
          <w:lang w:val="en-US"/>
        </w:rPr>
        <w:t>was deprived of his property in circumstances, and in a way, which was specifically provided for in the agreement which created it’:</w:t>
      </w:r>
      <w:r w:rsidR="003B0208" w:rsidRPr="42D18D7A">
        <w:rPr>
          <w:rStyle w:val="FootnoteReference"/>
          <w:rFonts w:ascii="Californian FB" w:eastAsia="Californian FB" w:hAnsi="Californian FB" w:cs="Californian FB"/>
          <w:color w:val="000000" w:themeColor="text1"/>
          <w:lang w:val="en-US"/>
        </w:rPr>
        <w:footnoteReference w:id="80"/>
      </w:r>
      <w:r w:rsidR="003B0208" w:rsidRPr="42D18D7A">
        <w:rPr>
          <w:rFonts w:ascii="Californian FB" w:eastAsia="Californian FB" w:hAnsi="Californian FB" w:cs="Californian FB"/>
          <w:color w:val="000000" w:themeColor="text1"/>
          <w:lang w:val="en-US"/>
        </w:rPr>
        <w:t xml:space="preserve"> indeed, as counsel had argued, as a </w:t>
      </w:r>
      <w:r w:rsidR="003B0208">
        <w:rPr>
          <w:rFonts w:ascii="Californian FB" w:eastAsia="Californian FB" w:hAnsi="Californian FB" w:cs="Californian FB"/>
          <w:color w:val="000000" w:themeColor="text1"/>
          <w:lang w:val="en-US"/>
        </w:rPr>
        <w:t>‘</w:t>
      </w:r>
      <w:r w:rsidR="003B0208" w:rsidRPr="42D18D7A">
        <w:rPr>
          <w:rFonts w:ascii="Californian FB" w:eastAsia="Californian FB" w:hAnsi="Californian FB" w:cs="Californian FB"/>
          <w:color w:val="000000" w:themeColor="text1"/>
          <w:lang w:val="en-US"/>
        </w:rPr>
        <w:t>result of a bargain that he himself made.’</w:t>
      </w:r>
      <w:r w:rsidR="003B0208" w:rsidRPr="42D18D7A">
        <w:rPr>
          <w:rStyle w:val="FootnoteReference"/>
          <w:rFonts w:ascii="Californian FB" w:eastAsia="Californian FB" w:hAnsi="Californian FB" w:cs="Californian FB"/>
          <w:color w:val="000000" w:themeColor="text1"/>
          <w:lang w:val="en-US"/>
        </w:rPr>
        <w:footnoteReference w:id="81"/>
      </w:r>
      <w:r w:rsidR="003B0208" w:rsidRPr="42D18D7A">
        <w:rPr>
          <w:rFonts w:ascii="Californian FB" w:eastAsia="Californian FB" w:hAnsi="Californian FB" w:cs="Californian FB"/>
          <w:color w:val="000000" w:themeColor="text1"/>
          <w:lang w:val="en-US"/>
        </w:rPr>
        <w:t xml:space="preserve"> </w:t>
      </w:r>
    </w:p>
    <w:p w14:paraId="7E3C4160" w14:textId="37920136" w:rsidR="00C161FF" w:rsidRPr="00C23C62" w:rsidRDefault="00D4198F" w:rsidP="00C23C62">
      <w:pPr>
        <w:spacing w:line="279" w:lineRule="auto"/>
        <w:jc w:val="both"/>
        <w:rPr>
          <w:rFonts w:ascii="Californian FB" w:eastAsia="Californian FB" w:hAnsi="Californian FB" w:cs="Californian FB"/>
        </w:rPr>
      </w:pPr>
      <w:r w:rsidRPr="00C23C62">
        <w:rPr>
          <w:rFonts w:ascii="Californian FB" w:eastAsia="Californian FB" w:hAnsi="Californian FB" w:cs="Californian FB"/>
          <w:color w:val="000000" w:themeColor="text1"/>
        </w:rPr>
        <w:t>Do</w:t>
      </w:r>
      <w:r w:rsidR="00C161FF" w:rsidRPr="00C23C62">
        <w:rPr>
          <w:rFonts w:ascii="Californian FB" w:eastAsia="Californian FB" w:hAnsi="Californian FB" w:cs="Californian FB"/>
          <w:color w:val="000000" w:themeColor="text1"/>
        </w:rPr>
        <w:t xml:space="preserve"> Convention rights</w:t>
      </w:r>
      <w:r w:rsidR="00962EAE">
        <w:rPr>
          <w:rFonts w:ascii="Californian FB" w:eastAsia="Californian FB" w:hAnsi="Californian FB" w:cs="Californian FB"/>
          <w:color w:val="000000" w:themeColor="text1"/>
        </w:rPr>
        <w:t>, then,</w:t>
      </w:r>
      <w:r w:rsidR="00C161FF" w:rsidRPr="00C23C62">
        <w:rPr>
          <w:rFonts w:ascii="Californian FB" w:eastAsia="Californian FB" w:hAnsi="Californian FB" w:cs="Californian FB"/>
          <w:color w:val="000000" w:themeColor="text1"/>
        </w:rPr>
        <w:t xml:space="preserve"> </w:t>
      </w:r>
      <w:r w:rsidRPr="00C23C62">
        <w:rPr>
          <w:rFonts w:ascii="Californian FB" w:eastAsia="Californian FB" w:hAnsi="Californian FB" w:cs="Californian FB"/>
          <w:color w:val="000000" w:themeColor="text1"/>
        </w:rPr>
        <w:t xml:space="preserve">protect the propertied more than they do the </w:t>
      </w:r>
      <w:proofErr w:type="gramStart"/>
      <w:r w:rsidRPr="00C23C62">
        <w:rPr>
          <w:rFonts w:ascii="Californian FB" w:eastAsia="Californian FB" w:hAnsi="Californian FB" w:cs="Californian FB"/>
          <w:color w:val="000000" w:themeColor="text1"/>
        </w:rPr>
        <w:t>less-propertied</w:t>
      </w:r>
      <w:proofErr w:type="gramEnd"/>
      <w:r w:rsidRPr="00C23C62">
        <w:rPr>
          <w:rFonts w:ascii="Californian FB" w:eastAsia="Californian FB" w:hAnsi="Californian FB" w:cs="Californian FB"/>
          <w:color w:val="000000" w:themeColor="text1"/>
        </w:rPr>
        <w:t>?</w:t>
      </w:r>
      <w:r w:rsidR="00C23C62">
        <w:rPr>
          <w:rFonts w:ascii="Californian FB" w:eastAsia="Californian FB" w:hAnsi="Californian FB" w:cs="Californian FB"/>
          <w:color w:val="000000" w:themeColor="text1"/>
        </w:rPr>
        <w:t xml:space="preserve"> </w:t>
      </w:r>
      <w:r w:rsidR="00C161FF" w:rsidRPr="00C23C62">
        <w:rPr>
          <w:rFonts w:ascii="Californian FB" w:eastAsia="Californian FB" w:hAnsi="Californian FB" w:cs="Californian FB"/>
          <w:i/>
          <w:iCs/>
          <w:color w:val="000000" w:themeColor="text1"/>
        </w:rPr>
        <w:t xml:space="preserve">Salvesen </w:t>
      </w:r>
      <w:r w:rsidR="00C161FF" w:rsidRPr="00C23C62">
        <w:rPr>
          <w:rFonts w:ascii="Californian FB" w:eastAsia="Californian FB" w:hAnsi="Californian FB" w:cs="Californian FB"/>
          <w:color w:val="000000" w:themeColor="text1"/>
        </w:rPr>
        <w:t xml:space="preserve">can obviously be distinguished from </w:t>
      </w:r>
      <w:r w:rsidR="00C161FF" w:rsidRPr="00C23C62">
        <w:rPr>
          <w:rFonts w:ascii="Californian FB" w:eastAsia="Californian FB" w:hAnsi="Californian FB" w:cs="Californian FB"/>
          <w:i/>
          <w:iCs/>
          <w:color w:val="000000" w:themeColor="text1"/>
        </w:rPr>
        <w:t>Sims</w:t>
      </w:r>
      <w:r w:rsidR="00C161FF" w:rsidRPr="00C23C62">
        <w:rPr>
          <w:rFonts w:ascii="Californian FB" w:eastAsia="Californian FB" w:hAnsi="Californian FB" w:cs="Californian FB"/>
          <w:color w:val="000000" w:themeColor="text1"/>
        </w:rPr>
        <w:t xml:space="preserve"> on the basis that the former involved a drastic change of position imposed by the legislature in a way that made arbitrary distinctions, while the latter involved a last-ditch argument against the full implications of a contractual agreement.</w:t>
      </w:r>
      <w:r w:rsidR="00C161FF">
        <w:rPr>
          <w:rStyle w:val="FootnoteReference"/>
          <w:rFonts w:ascii="Californian FB" w:eastAsia="Californian FB" w:hAnsi="Californian FB" w:cs="Californian FB"/>
          <w:color w:val="000000" w:themeColor="text1"/>
        </w:rPr>
        <w:footnoteReference w:id="82"/>
      </w:r>
      <w:r w:rsidR="00C161FF" w:rsidRPr="00C23C62">
        <w:rPr>
          <w:rFonts w:ascii="Californian FB" w:eastAsia="Californian FB" w:hAnsi="Californian FB" w:cs="Californian FB"/>
          <w:color w:val="000000" w:themeColor="text1"/>
        </w:rPr>
        <w:t xml:space="preserve"> It is interesting to note, though, that </w:t>
      </w:r>
      <w:r w:rsidR="00F043B2">
        <w:rPr>
          <w:rFonts w:ascii="Californian FB" w:eastAsia="Californian FB" w:hAnsi="Californian FB" w:cs="Californian FB"/>
          <w:color w:val="000000" w:themeColor="text1"/>
        </w:rPr>
        <w:t>there </w:t>
      </w:r>
      <w:r w:rsidR="00C161FF" w:rsidRPr="00C23C62">
        <w:rPr>
          <w:rFonts w:ascii="Californian FB" w:eastAsia="Californian FB" w:hAnsi="Californian FB" w:cs="Californian FB"/>
          <w:color w:val="000000" w:themeColor="text1"/>
        </w:rPr>
        <w:t>was a power imbalance</w:t>
      </w:r>
      <w:r w:rsidR="00C161FF" w:rsidRPr="00C23C62" w:rsidDel="00BF73A9">
        <w:rPr>
          <w:rFonts w:ascii="Californian FB" w:eastAsia="Californian FB" w:hAnsi="Californian FB" w:cs="Californian FB"/>
          <w:color w:val="000000" w:themeColor="text1"/>
        </w:rPr>
        <w:t xml:space="preserve"> </w:t>
      </w:r>
      <w:r w:rsidR="00C161FF" w:rsidRPr="00C23C62">
        <w:rPr>
          <w:rFonts w:ascii="Californian FB" w:eastAsia="Californian FB" w:hAnsi="Californian FB" w:cs="Californian FB"/>
          <w:color w:val="000000" w:themeColor="text1"/>
        </w:rPr>
        <w:t xml:space="preserve">in </w:t>
      </w:r>
      <w:r w:rsidR="00D66FE9" w:rsidRPr="00C23C62">
        <w:rPr>
          <w:rFonts w:ascii="Californian FB" w:eastAsia="Californian FB" w:hAnsi="Californian FB" w:cs="Californian FB"/>
          <w:i/>
          <w:iCs/>
          <w:color w:val="000000" w:themeColor="text1"/>
        </w:rPr>
        <w:t>Sims</w:t>
      </w:r>
      <w:r w:rsidR="00C161FF" w:rsidRPr="00C23C62">
        <w:rPr>
          <w:rFonts w:ascii="Californian FB" w:eastAsia="Californian FB" w:hAnsi="Californian FB" w:cs="Californian FB"/>
          <w:color w:val="000000" w:themeColor="text1"/>
        </w:rPr>
        <w:t xml:space="preserve"> between the more vulnerable appellant (regardless </w:t>
      </w:r>
      <w:r w:rsidR="00C161FF" w:rsidRPr="00C23C62">
        <w:rPr>
          <w:rFonts w:ascii="Californian FB" w:eastAsia="Californian FB" w:hAnsi="Californian FB" w:cs="Californian FB"/>
          <w:color w:val="000000" w:themeColor="text1"/>
        </w:rPr>
        <w:lastRenderedPageBreak/>
        <w:t>of his alleged actions) with his wife on the one hand, and the local authority with power to allocate housing and shelter on the other.</w:t>
      </w:r>
    </w:p>
    <w:p w14:paraId="7056CD35" w14:textId="02045E14" w:rsidR="008E4BC4" w:rsidRDefault="005B2B84" w:rsidP="008E4BC4">
      <w:pPr>
        <w:spacing w:line="279" w:lineRule="auto"/>
        <w:jc w:val="both"/>
        <w:rPr>
          <w:rFonts w:ascii="Californian FB" w:eastAsia="Californian FB" w:hAnsi="Californian FB" w:cs="Californian FB"/>
          <w:color w:val="000000" w:themeColor="text1"/>
          <w:lang w:val="en-US"/>
        </w:rPr>
      </w:pPr>
      <w:r>
        <w:rPr>
          <w:rFonts w:ascii="Californian FB" w:eastAsia="Californian FB" w:hAnsi="Californian FB" w:cs="Californian FB"/>
          <w:color w:val="000000" w:themeColor="text1"/>
          <w:lang w:val="en-US"/>
        </w:rPr>
        <w:t xml:space="preserve">The protection of A1P1 for the </w:t>
      </w:r>
      <w:proofErr w:type="gramStart"/>
      <w:r>
        <w:rPr>
          <w:rFonts w:ascii="Californian FB" w:eastAsia="Californian FB" w:hAnsi="Californian FB" w:cs="Californian FB"/>
          <w:color w:val="000000" w:themeColor="text1"/>
          <w:lang w:val="en-US"/>
        </w:rPr>
        <w:t>less-propertied</w:t>
      </w:r>
      <w:proofErr w:type="gramEnd"/>
      <w:r>
        <w:rPr>
          <w:rFonts w:ascii="Californian FB" w:eastAsia="Californian FB" w:hAnsi="Californian FB" w:cs="Californian FB"/>
          <w:color w:val="000000" w:themeColor="text1"/>
          <w:lang w:val="en-US"/>
        </w:rPr>
        <w:t xml:space="preserve"> </w:t>
      </w:r>
      <w:r w:rsidR="00AF1D12">
        <w:rPr>
          <w:rFonts w:ascii="Californian FB" w:eastAsia="Californian FB" w:hAnsi="Californian FB" w:cs="Californian FB"/>
          <w:color w:val="000000" w:themeColor="text1"/>
          <w:lang w:val="en-US"/>
        </w:rPr>
        <w:t>is occasionally</w:t>
      </w:r>
      <w:r>
        <w:rPr>
          <w:rFonts w:ascii="Californian FB" w:eastAsia="Californian FB" w:hAnsi="Californian FB" w:cs="Californian FB"/>
          <w:color w:val="000000" w:themeColor="text1"/>
          <w:lang w:val="en-US"/>
        </w:rPr>
        <w:t xml:space="preserve"> potent when combined with </w:t>
      </w:r>
      <w:r w:rsidR="00D230AA">
        <w:rPr>
          <w:rFonts w:ascii="Californian FB" w:eastAsia="Californian FB" w:hAnsi="Californian FB" w:cs="Californian FB"/>
          <w:color w:val="000000" w:themeColor="text1"/>
          <w:lang w:val="en-US"/>
        </w:rPr>
        <w:t>A</w:t>
      </w:r>
      <w:r>
        <w:rPr>
          <w:rFonts w:ascii="Californian FB" w:eastAsia="Californian FB" w:hAnsi="Californian FB" w:cs="Californian FB"/>
          <w:color w:val="000000" w:themeColor="text1"/>
          <w:lang w:val="en-US"/>
        </w:rPr>
        <w:t xml:space="preserve">rticle 14 </w:t>
      </w:r>
      <w:r w:rsidR="00D230AA">
        <w:rPr>
          <w:rFonts w:ascii="Californian FB" w:eastAsia="Californian FB" w:hAnsi="Californian FB" w:cs="Californian FB"/>
          <w:color w:val="000000" w:themeColor="text1"/>
          <w:lang w:val="en-US"/>
        </w:rPr>
        <w:t xml:space="preserve">(A14) </w:t>
      </w:r>
      <w:r>
        <w:rPr>
          <w:rFonts w:ascii="Californian FB" w:eastAsia="Californian FB" w:hAnsi="Californian FB" w:cs="Californian FB"/>
          <w:color w:val="000000" w:themeColor="text1"/>
          <w:lang w:val="en-US"/>
        </w:rPr>
        <w:t>prohibiting discrimination. This emerged in a series of cases d</w:t>
      </w:r>
      <w:r w:rsidR="008E4BC4" w:rsidRPr="42D18D7A">
        <w:rPr>
          <w:rFonts w:ascii="Californian FB" w:eastAsia="Californian FB" w:hAnsi="Californian FB" w:cs="Californian FB"/>
          <w:color w:val="000000" w:themeColor="text1"/>
          <w:lang w:val="en-US"/>
        </w:rPr>
        <w:t xml:space="preserve">uring the ‘austerity’ era, in response to Conservative government cuts to state benefits. In </w:t>
      </w:r>
      <w:r w:rsidR="008E4BC4" w:rsidRPr="42D18D7A">
        <w:rPr>
          <w:rFonts w:ascii="Californian FB" w:eastAsia="Californian FB" w:hAnsi="Californian FB" w:cs="Californian FB"/>
          <w:i/>
          <w:iCs/>
          <w:color w:val="000000" w:themeColor="text1"/>
          <w:lang w:val="en-US"/>
        </w:rPr>
        <w:t>R (SG) v Secretary of State for Work and Pensions</w:t>
      </w:r>
      <w:r w:rsidR="008E4BC4" w:rsidRPr="42D18D7A">
        <w:rPr>
          <w:rFonts w:ascii="Californian FB" w:eastAsia="Californian FB" w:hAnsi="Californian FB" w:cs="Californian FB"/>
          <w:color w:val="000000" w:themeColor="text1"/>
          <w:lang w:val="en-US"/>
        </w:rPr>
        <w:t>,</w:t>
      </w:r>
      <w:r w:rsidR="008E4BC4" w:rsidRPr="42D18D7A">
        <w:rPr>
          <w:rStyle w:val="FootnoteReference"/>
          <w:rFonts w:ascii="Californian FB" w:eastAsia="Californian FB" w:hAnsi="Californian FB" w:cs="Californian FB"/>
          <w:color w:val="000000" w:themeColor="text1"/>
          <w:lang w:val="en-US"/>
        </w:rPr>
        <w:footnoteReference w:id="83"/>
      </w:r>
      <w:r w:rsidR="008E4BC4" w:rsidRPr="42D18D7A">
        <w:rPr>
          <w:rFonts w:ascii="Californian FB" w:eastAsia="Californian FB" w:hAnsi="Californian FB" w:cs="Californian FB"/>
          <w:color w:val="000000" w:themeColor="text1"/>
          <w:lang w:val="en-US"/>
        </w:rPr>
        <w:t xml:space="preserve"> the respondent accepted that A1P1 was engaged where Parliament had capped state benefits. The appellants claimed that the cap discriminated against them </w:t>
      </w:r>
      <w:proofErr w:type="gramStart"/>
      <w:r w:rsidR="008E4BC4" w:rsidRPr="42D18D7A">
        <w:rPr>
          <w:rFonts w:ascii="Californian FB" w:eastAsia="Californian FB" w:hAnsi="Californian FB" w:cs="Californian FB"/>
          <w:color w:val="000000" w:themeColor="text1"/>
          <w:lang w:val="en-US"/>
        </w:rPr>
        <w:t>on the basis of</w:t>
      </w:r>
      <w:proofErr w:type="gramEnd"/>
      <w:r w:rsidR="008E4BC4" w:rsidRPr="42D18D7A">
        <w:rPr>
          <w:rFonts w:ascii="Californian FB" w:eastAsia="Californian FB" w:hAnsi="Californian FB" w:cs="Californian FB"/>
          <w:color w:val="000000" w:themeColor="text1"/>
          <w:lang w:val="en-US"/>
        </w:rPr>
        <w:t xml:space="preserve"> gender as it impacted mostly on single-parent households, most of which are headed by single mothers, such that there was an interference contrary to </w:t>
      </w:r>
      <w:r w:rsidR="00D230AA">
        <w:rPr>
          <w:rFonts w:ascii="Californian FB" w:eastAsia="Californian FB" w:hAnsi="Californian FB" w:cs="Californian FB"/>
          <w:color w:val="000000" w:themeColor="text1"/>
          <w:lang w:val="en-US"/>
        </w:rPr>
        <w:t>A</w:t>
      </w:r>
      <w:r w:rsidR="008E4BC4" w:rsidRPr="42D18D7A">
        <w:rPr>
          <w:rFonts w:ascii="Californian FB" w:eastAsia="Californian FB" w:hAnsi="Californian FB" w:cs="Californian FB"/>
          <w:color w:val="000000" w:themeColor="text1"/>
          <w:lang w:val="en-US"/>
        </w:rPr>
        <w:t>14 with their A1P1 rights. Lord Reed had no doubt that the Regulations establishing the cap pursued a legitimate aim</w:t>
      </w:r>
      <w:r w:rsidR="00571139">
        <w:rPr>
          <w:rFonts w:ascii="Californian FB" w:eastAsia="Californian FB" w:hAnsi="Californian FB" w:cs="Californian FB"/>
          <w:color w:val="000000" w:themeColor="text1"/>
          <w:lang w:val="en-US"/>
        </w:rPr>
        <w:t>.</w:t>
      </w:r>
      <w:r w:rsidR="008E4BC4" w:rsidRPr="42D18D7A">
        <w:rPr>
          <w:rStyle w:val="FootnoteReference"/>
          <w:rFonts w:ascii="Californian FB" w:eastAsia="Californian FB" w:hAnsi="Californian FB" w:cs="Californian FB"/>
          <w:color w:val="000000" w:themeColor="text1"/>
          <w:lang w:val="en-US"/>
        </w:rPr>
        <w:footnoteReference w:id="84"/>
      </w:r>
      <w:r w:rsidR="008E4BC4">
        <w:rPr>
          <w:rFonts w:ascii="Californian FB" w:eastAsia="Californian FB" w:hAnsi="Californian FB" w:cs="Californian FB"/>
          <w:color w:val="000000" w:themeColor="text1"/>
          <w:lang w:val="en-US"/>
        </w:rPr>
        <w:t xml:space="preserve"> While it was true</w:t>
      </w:r>
      <w:r w:rsidR="008E4BC4" w:rsidRPr="42D18D7A">
        <w:rPr>
          <w:rFonts w:ascii="Californian FB" w:eastAsia="Californian FB" w:hAnsi="Californian FB" w:cs="Californian FB"/>
          <w:color w:val="000000" w:themeColor="text1"/>
          <w:lang w:val="en-US"/>
        </w:rPr>
        <w:t xml:space="preserve"> that </w:t>
      </w:r>
      <w:r w:rsidR="009A54F7">
        <w:rPr>
          <w:rFonts w:ascii="Californian FB" w:eastAsia="Californian FB" w:hAnsi="Californian FB" w:cs="Californian FB"/>
          <w:color w:val="000000" w:themeColor="text1"/>
          <w:lang w:val="en-US"/>
        </w:rPr>
        <w:t>‘</w:t>
      </w:r>
      <w:r w:rsidR="008E4BC4" w:rsidRPr="42D18D7A">
        <w:rPr>
          <w:rFonts w:ascii="Californian FB" w:eastAsia="Californian FB" w:hAnsi="Californian FB" w:cs="Californian FB"/>
          <w:color w:val="000000" w:themeColor="text1"/>
          <w:lang w:val="en-US"/>
        </w:rPr>
        <w:t>women head most of the households at which those aims are directed’,</w:t>
      </w:r>
      <w:r w:rsidR="008E4BC4" w:rsidRPr="42D18D7A">
        <w:rPr>
          <w:rStyle w:val="FootnoteReference"/>
          <w:rFonts w:ascii="Californian FB" w:eastAsia="Californian FB" w:hAnsi="Californian FB" w:cs="Californian FB"/>
          <w:color w:val="000000" w:themeColor="text1"/>
          <w:lang w:val="en-US"/>
        </w:rPr>
        <w:footnoteReference w:id="85"/>
      </w:r>
      <w:r w:rsidR="008E4BC4">
        <w:rPr>
          <w:rFonts w:ascii="Californian FB" w:eastAsia="Californian FB" w:hAnsi="Californian FB" w:cs="Californian FB"/>
          <w:color w:val="000000" w:themeColor="text1"/>
          <w:lang w:val="en-US"/>
        </w:rPr>
        <w:t xml:space="preserve"> given that</w:t>
      </w:r>
      <w:r w:rsidR="008E4BC4" w:rsidRPr="42D18D7A">
        <w:rPr>
          <w:rFonts w:ascii="Californian FB" w:eastAsia="Californian FB" w:hAnsi="Californian FB" w:cs="Californian FB"/>
          <w:color w:val="000000" w:themeColor="text1"/>
          <w:lang w:val="en-US"/>
        </w:rPr>
        <w:t xml:space="preserve"> no means were suggested of achieving th</w:t>
      </w:r>
      <w:r w:rsidR="008E4BC4">
        <w:rPr>
          <w:rFonts w:ascii="Californian FB" w:eastAsia="Californian FB" w:hAnsi="Californian FB" w:cs="Californian FB"/>
          <w:color w:val="000000" w:themeColor="text1"/>
          <w:lang w:val="en-US"/>
        </w:rPr>
        <w:t>e legitimate aims</w:t>
      </w:r>
      <w:r w:rsidR="008E4BC4" w:rsidRPr="42D18D7A">
        <w:rPr>
          <w:rFonts w:ascii="Californian FB" w:eastAsia="Californian FB" w:hAnsi="Californian FB" w:cs="Californian FB"/>
          <w:color w:val="000000" w:themeColor="text1"/>
          <w:lang w:val="en-US"/>
        </w:rPr>
        <w:t xml:space="preserve"> in a way that impacted equally on women and men, the measure was justified. </w:t>
      </w:r>
      <w:r w:rsidR="004805A5">
        <w:rPr>
          <w:rFonts w:ascii="Californian FB" w:eastAsia="Californian FB" w:hAnsi="Californian FB" w:cs="Californian FB"/>
          <w:color w:val="000000" w:themeColor="text1"/>
          <w:lang w:val="en-US"/>
        </w:rPr>
        <w:t>While the tactic thus failed</w:t>
      </w:r>
      <w:r w:rsidR="00B96657">
        <w:rPr>
          <w:rFonts w:ascii="Californian FB" w:eastAsia="Californian FB" w:hAnsi="Californian FB" w:cs="Californian FB"/>
          <w:color w:val="000000" w:themeColor="text1"/>
          <w:lang w:val="en-US"/>
        </w:rPr>
        <w:t xml:space="preserve"> here</w:t>
      </w:r>
      <w:r w:rsidR="004805A5">
        <w:rPr>
          <w:rFonts w:ascii="Californian FB" w:eastAsia="Californian FB" w:hAnsi="Californian FB" w:cs="Californian FB"/>
          <w:color w:val="000000" w:themeColor="text1"/>
          <w:lang w:val="en-US"/>
        </w:rPr>
        <w:t xml:space="preserve"> (notwithstanding dissents by </w:t>
      </w:r>
      <w:r w:rsidR="0059079E">
        <w:rPr>
          <w:rFonts w:ascii="Californian FB" w:eastAsia="Californian FB" w:hAnsi="Californian FB" w:cs="Californian FB"/>
          <w:color w:val="000000" w:themeColor="text1"/>
          <w:lang w:val="en-US"/>
        </w:rPr>
        <w:t xml:space="preserve">Lady Hale and Lord Kerr), </w:t>
      </w:r>
      <w:r w:rsidR="00B96657">
        <w:rPr>
          <w:rFonts w:ascii="Californian FB" w:eastAsia="Californian FB" w:hAnsi="Californian FB" w:cs="Californian FB"/>
          <w:color w:val="000000" w:themeColor="text1"/>
          <w:lang w:val="en-US"/>
        </w:rPr>
        <w:t xml:space="preserve">the fact that A1P1 was engaged, together with the use of </w:t>
      </w:r>
      <w:r w:rsidR="00D230AA">
        <w:rPr>
          <w:rFonts w:ascii="Californian FB" w:eastAsia="Californian FB" w:hAnsi="Californian FB" w:cs="Californian FB"/>
          <w:color w:val="000000" w:themeColor="text1"/>
          <w:lang w:val="en-US"/>
        </w:rPr>
        <w:t>A</w:t>
      </w:r>
      <w:r w:rsidR="00B96657">
        <w:rPr>
          <w:rFonts w:ascii="Californian FB" w:eastAsia="Californian FB" w:hAnsi="Californian FB" w:cs="Californian FB"/>
          <w:color w:val="000000" w:themeColor="text1"/>
          <w:lang w:val="en-US"/>
        </w:rPr>
        <w:t xml:space="preserve">14 to bolster property-related Convention rights, </w:t>
      </w:r>
      <w:r w:rsidR="00AD0512">
        <w:rPr>
          <w:rFonts w:ascii="Californian FB" w:eastAsia="Californian FB" w:hAnsi="Californian FB" w:cs="Californian FB"/>
          <w:color w:val="000000" w:themeColor="text1"/>
          <w:lang w:val="en-US"/>
        </w:rPr>
        <w:t>marked</w:t>
      </w:r>
      <w:r w:rsidR="00210CBF">
        <w:rPr>
          <w:rFonts w:ascii="Californian FB" w:eastAsia="Californian FB" w:hAnsi="Californian FB" w:cs="Californian FB"/>
          <w:color w:val="000000" w:themeColor="text1"/>
          <w:lang w:val="en-US"/>
        </w:rPr>
        <w:t xml:space="preserve"> a turning-point</w:t>
      </w:r>
      <w:r w:rsidR="00B96657">
        <w:rPr>
          <w:rFonts w:ascii="Californian FB" w:eastAsia="Californian FB" w:hAnsi="Californian FB" w:cs="Californian FB"/>
          <w:color w:val="000000" w:themeColor="text1"/>
          <w:lang w:val="en-US"/>
        </w:rPr>
        <w:t>.</w:t>
      </w:r>
    </w:p>
    <w:p w14:paraId="2EE0B522" w14:textId="05B5D64A" w:rsidR="00B96657" w:rsidRDefault="008E4BC4" w:rsidP="008E4BC4">
      <w:pPr>
        <w:spacing w:line="279" w:lineRule="auto"/>
        <w:jc w:val="both"/>
        <w:rPr>
          <w:rFonts w:ascii="Californian FB" w:eastAsia="Californian FB" w:hAnsi="Californian FB" w:cs="Californian FB"/>
          <w:color w:val="000000" w:themeColor="text1"/>
          <w:lang w:val="en-US"/>
        </w:rPr>
      </w:pPr>
      <w:r w:rsidRPr="42D18D7A">
        <w:rPr>
          <w:rFonts w:ascii="Californian FB" w:eastAsia="Californian FB" w:hAnsi="Californian FB" w:cs="Californian FB"/>
          <w:color w:val="000000" w:themeColor="text1"/>
          <w:lang w:val="en-US"/>
        </w:rPr>
        <w:t xml:space="preserve">In </w:t>
      </w:r>
      <w:r w:rsidRPr="10E55573">
        <w:rPr>
          <w:rFonts w:ascii="Californian FB" w:eastAsia="Californian FB" w:hAnsi="Californian FB" w:cs="Californian FB"/>
          <w:i/>
          <w:iCs/>
          <w:color w:val="000000" w:themeColor="text1"/>
          <w:lang w:val="en-US"/>
        </w:rPr>
        <w:t>R (Carmichael) v Secretary of State for Work and Pensions</w:t>
      </w:r>
      <w:r w:rsidRPr="42D18D7A">
        <w:rPr>
          <w:rFonts w:ascii="Californian FB" w:eastAsia="Californian FB" w:hAnsi="Californian FB" w:cs="Californian FB"/>
          <w:color w:val="000000" w:themeColor="text1"/>
          <w:lang w:val="en-US"/>
        </w:rPr>
        <w:t>,</w:t>
      </w:r>
      <w:r w:rsidRPr="42D18D7A">
        <w:rPr>
          <w:rStyle w:val="FootnoteReference"/>
          <w:rFonts w:ascii="Californian FB" w:eastAsia="Californian FB" w:hAnsi="Californian FB" w:cs="Californian FB"/>
          <w:color w:val="000000" w:themeColor="text1"/>
          <w:lang w:val="en-US"/>
        </w:rPr>
        <w:footnoteReference w:id="86"/>
      </w:r>
      <w:r w:rsidRPr="42D18D7A">
        <w:rPr>
          <w:rFonts w:ascii="Californian FB" w:eastAsia="Californian FB" w:hAnsi="Californian FB" w:cs="Californian FB"/>
          <w:color w:val="000000" w:themeColor="text1"/>
          <w:lang w:val="en-US"/>
        </w:rPr>
        <w:t xml:space="preserve"> the appellants in a series of conjoined appeals relied on both A1P1 and article 8 to seek to invalidate a limit on state benefits where the recipients had spare rooms in their properties (known as the ’bedroom tax’). Most of the appeals concerned the need for extra bedrooms to accommodate the disability of one of the occupants: all but one were dismissed</w:t>
      </w:r>
      <w:r w:rsidR="00FE76F4">
        <w:rPr>
          <w:rFonts w:ascii="Californian FB" w:eastAsia="Californian FB" w:hAnsi="Californian FB" w:cs="Californian FB"/>
          <w:color w:val="000000" w:themeColor="text1"/>
          <w:lang w:val="en-US"/>
        </w:rPr>
        <w:t>.</w:t>
      </w:r>
      <w:r w:rsidRPr="42D18D7A">
        <w:rPr>
          <w:rFonts w:ascii="Californian FB" w:eastAsia="Californian FB" w:hAnsi="Californian FB" w:cs="Californian FB"/>
          <w:color w:val="000000" w:themeColor="text1"/>
          <w:lang w:val="en-US"/>
        </w:rPr>
        <w:t xml:space="preserve"> Two of the claimants, though, succeeded on the basis that the measures were discriminatory in relation to their </w:t>
      </w:r>
      <w:r w:rsidR="00356F56">
        <w:rPr>
          <w:rFonts w:ascii="Californian FB" w:eastAsia="Californian FB" w:hAnsi="Californian FB" w:cs="Californian FB"/>
          <w:color w:val="000000" w:themeColor="text1"/>
          <w:lang w:val="en-US"/>
        </w:rPr>
        <w:t>A</w:t>
      </w:r>
      <w:r w:rsidRPr="42D18D7A">
        <w:rPr>
          <w:rFonts w:ascii="Californian FB" w:eastAsia="Californian FB" w:hAnsi="Californian FB" w:cs="Californian FB"/>
          <w:color w:val="000000" w:themeColor="text1"/>
          <w:lang w:val="en-US"/>
        </w:rPr>
        <w:t>8 (but, interestingly, not A1P1, as it ‘adds nothing</w:t>
      </w:r>
      <w:r w:rsidR="009A54F7">
        <w:rPr>
          <w:rFonts w:ascii="Californian FB" w:eastAsia="Californian FB" w:hAnsi="Californian FB" w:cs="Californian FB"/>
          <w:color w:val="000000" w:themeColor="text1"/>
          <w:lang w:val="en-US"/>
        </w:rPr>
        <w:t>’</w:t>
      </w:r>
      <w:r w:rsidRPr="10E55573">
        <w:rPr>
          <w:rStyle w:val="FootnoteReference"/>
          <w:rFonts w:ascii="Californian FB" w:eastAsia="Californian FB" w:hAnsi="Californian FB" w:cs="Californian FB"/>
          <w:color w:val="000000" w:themeColor="text1"/>
          <w:lang w:val="en-US"/>
        </w:rPr>
        <w:footnoteReference w:id="87"/>
      </w:r>
      <w:r w:rsidRPr="42D18D7A">
        <w:rPr>
          <w:rFonts w:ascii="Californian FB" w:eastAsia="Californian FB" w:hAnsi="Californian FB" w:cs="Californian FB"/>
          <w:color w:val="000000" w:themeColor="text1"/>
          <w:lang w:val="en-US"/>
        </w:rPr>
        <w:t xml:space="preserve">) rights, because the measures contained an exception for children who could not share bedrooms for disability reasons but not for adults with the same requirement. </w:t>
      </w:r>
      <w:r w:rsidR="00B96657">
        <w:rPr>
          <w:rFonts w:ascii="Californian FB" w:eastAsia="Californian FB" w:hAnsi="Californian FB" w:cs="Californian FB"/>
          <w:color w:val="000000" w:themeColor="text1"/>
          <w:lang w:val="en-US"/>
        </w:rPr>
        <w:t>Th</w:t>
      </w:r>
      <w:r w:rsidR="00A46338">
        <w:rPr>
          <w:rFonts w:ascii="Californian FB" w:eastAsia="Californian FB" w:hAnsi="Californian FB" w:cs="Californian FB"/>
          <w:color w:val="000000" w:themeColor="text1"/>
          <w:lang w:val="en-US"/>
        </w:rPr>
        <w:t xml:space="preserve">is development did, then, suggest a role </w:t>
      </w:r>
      <w:r w:rsidR="005E3B9E">
        <w:rPr>
          <w:rFonts w:ascii="Californian FB" w:eastAsia="Californian FB" w:hAnsi="Californian FB" w:cs="Californian FB"/>
          <w:color w:val="000000" w:themeColor="text1"/>
          <w:lang w:val="en-US"/>
        </w:rPr>
        <w:t>for property-related Convention rights</w:t>
      </w:r>
      <w:r w:rsidR="005A7D62">
        <w:rPr>
          <w:rFonts w:ascii="Californian FB" w:eastAsia="Californian FB" w:hAnsi="Californian FB" w:cs="Californian FB"/>
          <w:color w:val="000000" w:themeColor="text1"/>
          <w:lang w:val="en-US"/>
        </w:rPr>
        <w:t xml:space="preserve"> in supporting those left behind by government policy.</w:t>
      </w:r>
    </w:p>
    <w:p w14:paraId="4A9B1544" w14:textId="76092354" w:rsidR="008E4BC4" w:rsidRDefault="008E4BC4" w:rsidP="008E4BC4">
      <w:pPr>
        <w:spacing w:line="279" w:lineRule="auto"/>
        <w:jc w:val="both"/>
        <w:rPr>
          <w:rFonts w:ascii="Californian FB" w:eastAsia="Californian FB" w:hAnsi="Californian FB" w:cs="Californian FB"/>
          <w:color w:val="000000" w:themeColor="text1"/>
          <w:lang w:val="en-US"/>
        </w:rPr>
      </w:pPr>
      <w:r w:rsidRPr="42D18D7A">
        <w:rPr>
          <w:rFonts w:ascii="Californian FB" w:eastAsia="Californian FB" w:hAnsi="Californian FB" w:cs="Californian FB"/>
          <w:color w:val="000000" w:themeColor="text1"/>
          <w:lang w:val="en-US"/>
        </w:rPr>
        <w:t>Lady Hale dissented in relation to another of the conjoined appeals, which concerned not disability</w:t>
      </w:r>
      <w:r w:rsidR="00B277F2">
        <w:rPr>
          <w:rFonts w:ascii="Californian FB" w:eastAsia="Californian FB" w:hAnsi="Californian FB" w:cs="Californian FB"/>
          <w:color w:val="000000" w:themeColor="text1"/>
          <w:lang w:val="en-US"/>
        </w:rPr>
        <w:t>,</w:t>
      </w:r>
      <w:r w:rsidRPr="42D18D7A">
        <w:rPr>
          <w:rFonts w:ascii="Californian FB" w:eastAsia="Californian FB" w:hAnsi="Californian FB" w:cs="Californian FB"/>
          <w:color w:val="000000" w:themeColor="text1"/>
          <w:lang w:val="en-US"/>
        </w:rPr>
        <w:t xml:space="preserve"> but gender: the claimant was a </w:t>
      </w:r>
      <w:r w:rsidR="00B97373">
        <w:rPr>
          <w:rFonts w:ascii="Californian FB" w:eastAsia="Californian FB" w:hAnsi="Californian FB" w:cs="Californian FB"/>
          <w:color w:val="000000" w:themeColor="text1"/>
          <w:lang w:val="en-US"/>
        </w:rPr>
        <w:t>female</w:t>
      </w:r>
      <w:r w:rsidRPr="42D18D7A">
        <w:rPr>
          <w:rFonts w:ascii="Californian FB" w:eastAsia="Californian FB" w:hAnsi="Californian FB" w:cs="Californian FB"/>
          <w:color w:val="000000" w:themeColor="text1"/>
          <w:lang w:val="en-US"/>
        </w:rPr>
        <w:t xml:space="preserve"> victim of gender-based violence who had been accommodated in a three-bedroom flat under the sanctuary scheme. There was no </w:t>
      </w:r>
      <w:proofErr w:type="gramStart"/>
      <w:r w:rsidRPr="42D18D7A">
        <w:rPr>
          <w:rFonts w:ascii="Californian FB" w:eastAsia="Californian FB" w:hAnsi="Californian FB" w:cs="Californian FB"/>
          <w:color w:val="000000" w:themeColor="text1"/>
          <w:lang w:val="en-US"/>
        </w:rPr>
        <w:t>particular need</w:t>
      </w:r>
      <w:proofErr w:type="gramEnd"/>
      <w:r w:rsidRPr="42D18D7A">
        <w:rPr>
          <w:rFonts w:ascii="Californian FB" w:eastAsia="Californian FB" w:hAnsi="Californian FB" w:cs="Californian FB"/>
          <w:color w:val="000000" w:themeColor="text1"/>
          <w:lang w:val="en-US"/>
        </w:rPr>
        <w:t xml:space="preserve"> for the third bedroom</w:t>
      </w:r>
      <w:r w:rsidR="00F024F4">
        <w:rPr>
          <w:rFonts w:ascii="Californian FB" w:eastAsia="Californian FB" w:hAnsi="Californian FB" w:cs="Californian FB"/>
          <w:color w:val="000000" w:themeColor="text1"/>
          <w:lang w:val="en-US"/>
        </w:rPr>
        <w:t xml:space="preserve">: </w:t>
      </w:r>
      <w:r w:rsidRPr="42D18D7A">
        <w:rPr>
          <w:rFonts w:ascii="Californian FB" w:eastAsia="Californian FB" w:hAnsi="Californian FB" w:cs="Californian FB"/>
          <w:color w:val="000000" w:themeColor="text1"/>
          <w:lang w:val="en-US"/>
        </w:rPr>
        <w:t>the issue was rather the prospect of the claimant having to move to a smaller property losing the community and safety around her.</w:t>
      </w:r>
      <w:r w:rsidRPr="10E55573">
        <w:rPr>
          <w:rStyle w:val="FootnoteReference"/>
          <w:rFonts w:ascii="Californian FB" w:eastAsia="Californian FB" w:hAnsi="Californian FB" w:cs="Californian FB"/>
          <w:color w:val="000000" w:themeColor="text1"/>
          <w:lang w:val="en-US"/>
        </w:rPr>
        <w:footnoteReference w:id="88"/>
      </w:r>
      <w:r w:rsidRPr="42D18D7A">
        <w:rPr>
          <w:rFonts w:ascii="Californian FB" w:eastAsia="Californian FB" w:hAnsi="Californian FB" w:cs="Californian FB"/>
          <w:color w:val="000000" w:themeColor="text1"/>
          <w:lang w:val="en-US"/>
        </w:rPr>
        <w:t xml:space="preserve"> </w:t>
      </w:r>
      <w:r w:rsidRPr="00F024F4">
        <w:rPr>
          <w:rFonts w:ascii="Californian FB" w:eastAsia="Californian FB" w:hAnsi="Californian FB" w:cs="Californian FB"/>
          <w:color w:val="000000" w:themeColor="text1"/>
          <w:lang w:val="en-US"/>
        </w:rPr>
        <w:t>L</w:t>
      </w:r>
      <w:r w:rsidRPr="42D18D7A">
        <w:rPr>
          <w:rFonts w:ascii="Californian FB" w:eastAsia="Californian FB" w:hAnsi="Californian FB" w:cs="Californian FB"/>
          <w:color w:val="000000" w:themeColor="text1"/>
          <w:lang w:val="en-US"/>
        </w:rPr>
        <w:t>ady Hale’s dissent</w:t>
      </w:r>
      <w:r w:rsidR="00830C58">
        <w:rPr>
          <w:rStyle w:val="FootnoteReference"/>
          <w:rFonts w:ascii="Californian FB" w:eastAsia="Californian FB" w:hAnsi="Californian FB" w:cs="Californian FB"/>
          <w:color w:val="000000" w:themeColor="text1"/>
          <w:lang w:val="en-US"/>
        </w:rPr>
        <w:footnoteReference w:id="89"/>
      </w:r>
      <w:r w:rsidRPr="42D18D7A">
        <w:rPr>
          <w:rFonts w:ascii="Californian FB" w:eastAsia="Californian FB" w:hAnsi="Californian FB" w:cs="Californian FB"/>
          <w:color w:val="000000" w:themeColor="text1"/>
          <w:lang w:val="en-US"/>
        </w:rPr>
        <w:t xml:space="preserve"> viewed the measure as discriminating against women victims of gender-based violence in breach of </w:t>
      </w:r>
      <w:r w:rsidR="00356F56">
        <w:rPr>
          <w:rFonts w:ascii="Californian FB" w:eastAsia="Californian FB" w:hAnsi="Californian FB" w:cs="Californian FB"/>
          <w:color w:val="000000" w:themeColor="text1"/>
          <w:lang w:val="en-US"/>
        </w:rPr>
        <w:t>A</w:t>
      </w:r>
      <w:r w:rsidRPr="42D18D7A">
        <w:rPr>
          <w:rFonts w:ascii="Californian FB" w:eastAsia="Californian FB" w:hAnsi="Californian FB" w:cs="Californian FB"/>
          <w:color w:val="000000" w:themeColor="text1"/>
          <w:lang w:val="en-US"/>
        </w:rPr>
        <w:t xml:space="preserve">14 taken with </w:t>
      </w:r>
      <w:r w:rsidR="00356F56">
        <w:rPr>
          <w:rFonts w:ascii="Californian FB" w:eastAsia="Californian FB" w:hAnsi="Californian FB" w:cs="Californian FB"/>
          <w:color w:val="000000" w:themeColor="text1"/>
          <w:lang w:val="en-US"/>
        </w:rPr>
        <w:t>A</w:t>
      </w:r>
      <w:r w:rsidRPr="42D18D7A">
        <w:rPr>
          <w:rFonts w:ascii="Californian FB" w:eastAsia="Californian FB" w:hAnsi="Californian FB" w:cs="Californian FB"/>
          <w:color w:val="000000" w:themeColor="text1"/>
          <w:lang w:val="en-US"/>
        </w:rPr>
        <w:t xml:space="preserve">8. </w:t>
      </w:r>
      <w:r w:rsidR="001C5A8E">
        <w:rPr>
          <w:rFonts w:ascii="Californian FB" w:eastAsia="Californian FB" w:hAnsi="Californian FB" w:cs="Californian FB"/>
          <w:color w:val="000000" w:themeColor="text1"/>
          <w:lang w:val="en-US"/>
        </w:rPr>
        <w:t>She viewed states as having</w:t>
      </w:r>
      <w:r w:rsidRPr="42D18D7A">
        <w:rPr>
          <w:rFonts w:ascii="Californian FB" w:eastAsia="Californian FB" w:hAnsi="Californian FB" w:cs="Californian FB"/>
          <w:color w:val="000000" w:themeColor="text1"/>
          <w:lang w:val="en-US"/>
        </w:rPr>
        <w:t xml:space="preserve"> </w:t>
      </w:r>
      <w:r w:rsidR="00021E3C">
        <w:rPr>
          <w:rFonts w:ascii="Californian FB" w:eastAsia="Californian FB" w:hAnsi="Californian FB" w:cs="Californian FB"/>
          <w:color w:val="000000" w:themeColor="text1"/>
          <w:lang w:val="en-US"/>
        </w:rPr>
        <w:t>‘</w:t>
      </w:r>
      <w:r w:rsidRPr="42D18D7A">
        <w:rPr>
          <w:rFonts w:ascii="Californian FB" w:eastAsia="Californian FB" w:hAnsi="Californian FB" w:cs="Californian FB"/>
          <w:color w:val="000000" w:themeColor="text1"/>
          <w:lang w:val="en-US"/>
        </w:rPr>
        <w:t xml:space="preserve">positive obligation to provide effective protection for vulnerable people against ill-treatment or abuse’ from the state or from private persons, an obligation she said was generally </w:t>
      </w:r>
      <w:proofErr w:type="spellStart"/>
      <w:r w:rsidRPr="42D18D7A">
        <w:rPr>
          <w:rFonts w:ascii="Californian FB" w:eastAsia="Californian FB" w:hAnsi="Californian FB" w:cs="Californian FB"/>
          <w:color w:val="000000" w:themeColor="text1"/>
          <w:lang w:val="en-US"/>
        </w:rPr>
        <w:t>recognised</w:t>
      </w:r>
      <w:proofErr w:type="spellEnd"/>
      <w:r w:rsidRPr="42D18D7A">
        <w:rPr>
          <w:rFonts w:ascii="Californian FB" w:eastAsia="Californian FB" w:hAnsi="Californian FB" w:cs="Californian FB"/>
          <w:color w:val="000000" w:themeColor="text1"/>
          <w:lang w:val="en-US"/>
        </w:rPr>
        <w:t xml:space="preserve"> at national and international levels.</w:t>
      </w:r>
      <w:r w:rsidRPr="10E55573">
        <w:rPr>
          <w:rStyle w:val="FootnoteReference"/>
          <w:rFonts w:ascii="Californian FB" w:eastAsia="Californian FB" w:hAnsi="Californian FB" w:cs="Californian FB"/>
          <w:color w:val="000000" w:themeColor="text1"/>
          <w:lang w:val="en-US"/>
        </w:rPr>
        <w:footnoteReference w:id="90"/>
      </w:r>
      <w:r w:rsidR="00CC2075">
        <w:rPr>
          <w:rFonts w:ascii="Californian FB" w:eastAsia="Californian FB" w:hAnsi="Californian FB" w:cs="Californian FB"/>
          <w:color w:val="000000" w:themeColor="text1"/>
          <w:lang w:val="en-US"/>
        </w:rPr>
        <w:t xml:space="preserve"> </w:t>
      </w:r>
      <w:r>
        <w:rPr>
          <w:rFonts w:ascii="Californian FB" w:eastAsia="Californian FB" w:hAnsi="Californian FB" w:cs="Californian FB"/>
          <w:i/>
          <w:iCs/>
          <w:color w:val="000000" w:themeColor="text1"/>
          <w:lang w:val="en-US"/>
        </w:rPr>
        <w:t>Carmichael</w:t>
      </w:r>
      <w:r>
        <w:rPr>
          <w:rFonts w:ascii="Californian FB" w:eastAsia="Californian FB" w:hAnsi="Californian FB" w:cs="Californian FB"/>
          <w:color w:val="000000" w:themeColor="text1"/>
          <w:lang w:val="en-US"/>
        </w:rPr>
        <w:t xml:space="preserve"> </w:t>
      </w:r>
      <w:r w:rsidR="00E63D6E">
        <w:rPr>
          <w:rFonts w:ascii="Californian FB" w:eastAsia="Californian FB" w:hAnsi="Californian FB" w:cs="Californian FB"/>
          <w:color w:val="000000" w:themeColor="text1"/>
          <w:lang w:val="en-US"/>
        </w:rPr>
        <w:t>was used to further support protection for the more vulnerable in</w:t>
      </w:r>
      <w:r w:rsidRPr="42D18D7A">
        <w:rPr>
          <w:rFonts w:ascii="Californian FB" w:eastAsia="Californian FB" w:hAnsi="Californian FB" w:cs="Californian FB"/>
          <w:color w:val="000000" w:themeColor="text1"/>
          <w:lang w:val="en-US"/>
        </w:rPr>
        <w:t xml:space="preserve"> </w:t>
      </w:r>
      <w:r w:rsidRPr="42D18D7A">
        <w:rPr>
          <w:rFonts w:ascii="Californian FB" w:eastAsia="Californian FB" w:hAnsi="Californian FB" w:cs="Californian FB"/>
          <w:i/>
          <w:iCs/>
          <w:color w:val="000000" w:themeColor="text1"/>
          <w:lang w:val="en-US"/>
        </w:rPr>
        <w:t>RR v Secretary of State for Work and Pensions</w:t>
      </w:r>
      <w:r w:rsidRPr="42D18D7A">
        <w:rPr>
          <w:rFonts w:ascii="Californian FB" w:eastAsia="Californian FB" w:hAnsi="Californian FB" w:cs="Californian FB"/>
          <w:color w:val="000000" w:themeColor="text1"/>
          <w:lang w:val="en-US"/>
        </w:rPr>
        <w:t>,</w:t>
      </w:r>
      <w:r w:rsidRPr="42D18D7A">
        <w:rPr>
          <w:rStyle w:val="FootnoteReference"/>
          <w:rFonts w:ascii="Californian FB" w:eastAsia="Californian FB" w:hAnsi="Californian FB" w:cs="Californian FB"/>
          <w:color w:val="000000" w:themeColor="text1"/>
          <w:lang w:val="en-US"/>
        </w:rPr>
        <w:footnoteReference w:id="91"/>
      </w:r>
      <w:r>
        <w:rPr>
          <w:rFonts w:ascii="Californian FB" w:eastAsia="Californian FB" w:hAnsi="Californian FB" w:cs="Californian FB"/>
          <w:color w:val="000000" w:themeColor="text1"/>
          <w:lang w:val="en-US"/>
        </w:rPr>
        <w:t xml:space="preserve"> </w:t>
      </w:r>
      <w:r w:rsidRPr="42D18D7A">
        <w:rPr>
          <w:rFonts w:ascii="Californian FB" w:eastAsia="Californian FB" w:hAnsi="Californian FB" w:cs="Californian FB"/>
          <w:color w:val="000000" w:themeColor="text1"/>
          <w:lang w:val="en-US"/>
        </w:rPr>
        <w:t xml:space="preserve"> </w:t>
      </w:r>
      <w:r>
        <w:rPr>
          <w:rFonts w:ascii="Californian FB" w:eastAsia="Californian FB" w:hAnsi="Californian FB" w:cs="Californian FB"/>
          <w:color w:val="000000" w:themeColor="text1"/>
          <w:lang w:val="en-US"/>
        </w:rPr>
        <w:t xml:space="preserve">where the appellant lived with his severely disabled partner in a two-bedroom flat in respect of which the ‘bedroom tax’ had been applied to reduce the applicant’s housing benefit. </w:t>
      </w:r>
    </w:p>
    <w:p w14:paraId="536BFAAB" w14:textId="5A403E72" w:rsidR="000111D6" w:rsidRPr="00321A21" w:rsidRDefault="008E4BC4" w:rsidP="008E4BC4">
      <w:pPr>
        <w:spacing w:line="279" w:lineRule="auto"/>
        <w:jc w:val="both"/>
        <w:rPr>
          <w:rFonts w:ascii="Californian FB" w:eastAsia="Californian FB" w:hAnsi="Californian FB" w:cs="Californian FB"/>
          <w:color w:val="000000" w:themeColor="text1"/>
          <w:lang w:val="en-US"/>
        </w:rPr>
      </w:pPr>
      <w:r>
        <w:rPr>
          <w:rFonts w:ascii="Californian FB" w:eastAsia="Californian FB" w:hAnsi="Californian FB" w:cs="Californian FB"/>
          <w:color w:val="000000" w:themeColor="text1"/>
          <w:lang w:val="en-US"/>
        </w:rPr>
        <w:lastRenderedPageBreak/>
        <w:t>In line with this approach, an</w:t>
      </w:r>
      <w:r w:rsidRPr="10E55573">
        <w:rPr>
          <w:rFonts w:ascii="Californian FB" w:eastAsia="Californian FB" w:hAnsi="Californian FB" w:cs="Californian FB"/>
          <w:color w:val="000000" w:themeColor="text1"/>
          <w:lang w:val="en-US"/>
        </w:rPr>
        <w:t xml:space="preserve"> interestingly less-traditional view of cohabitation was given in </w:t>
      </w:r>
      <w:r w:rsidRPr="10E55573">
        <w:rPr>
          <w:rFonts w:ascii="Californian FB" w:eastAsia="Californian FB" w:hAnsi="Californian FB" w:cs="Californian FB"/>
          <w:i/>
          <w:iCs/>
          <w:color w:val="000000" w:themeColor="text1"/>
          <w:lang w:val="en-US"/>
        </w:rPr>
        <w:t>Re Denise Brewster</w:t>
      </w:r>
      <w:bookmarkStart w:id="15" w:name="_Ref174709617"/>
      <w:r w:rsidRPr="10E55573">
        <w:rPr>
          <w:rStyle w:val="FootnoteReference"/>
          <w:rFonts w:ascii="Californian FB" w:eastAsia="Californian FB" w:hAnsi="Californian FB" w:cs="Californian FB"/>
          <w:color w:val="000000" w:themeColor="text1"/>
          <w:lang w:val="en-US"/>
        </w:rPr>
        <w:footnoteReference w:id="92"/>
      </w:r>
      <w:bookmarkEnd w:id="15"/>
      <w:r w:rsidRPr="10E55573">
        <w:rPr>
          <w:rFonts w:ascii="Californian FB" w:eastAsia="Californian FB" w:hAnsi="Californian FB" w:cs="Californian FB"/>
          <w:i/>
          <w:iCs/>
          <w:color w:val="000000" w:themeColor="text1"/>
          <w:lang w:val="en-US"/>
        </w:rPr>
        <w:t xml:space="preserve"> </w:t>
      </w:r>
      <w:r w:rsidRPr="10E55573">
        <w:rPr>
          <w:rFonts w:ascii="Californian FB" w:eastAsia="Californian FB" w:hAnsi="Californian FB" w:cs="Californian FB"/>
          <w:color w:val="000000" w:themeColor="text1"/>
          <w:lang w:val="en-US"/>
        </w:rPr>
        <w:t xml:space="preserve">in finding gender-based discrimination in relation to pension entitlements. It was accepted here that denial of a surviving spouse’s pension </w:t>
      </w:r>
      <w:r w:rsidR="00B861ED">
        <w:rPr>
          <w:rFonts w:ascii="Californian FB" w:eastAsia="Californian FB" w:hAnsi="Californian FB" w:cs="Californian FB"/>
          <w:color w:val="000000" w:themeColor="text1"/>
          <w:lang w:val="en-US"/>
        </w:rPr>
        <w:t xml:space="preserve">(to a cohabitee) </w:t>
      </w:r>
      <w:r w:rsidRPr="10E55573">
        <w:rPr>
          <w:rFonts w:ascii="Californian FB" w:eastAsia="Californian FB" w:hAnsi="Californian FB" w:cs="Californian FB"/>
          <w:color w:val="000000" w:themeColor="text1"/>
          <w:lang w:val="en-US"/>
        </w:rPr>
        <w:t>was engaged by A1P1</w:t>
      </w:r>
      <w:r w:rsidR="00B143C5">
        <w:rPr>
          <w:rFonts w:ascii="Californian FB" w:eastAsia="Californian FB" w:hAnsi="Californian FB" w:cs="Californian FB"/>
          <w:color w:val="000000" w:themeColor="text1"/>
          <w:lang w:val="en-US"/>
        </w:rPr>
        <w:t xml:space="preserve">. </w:t>
      </w:r>
      <w:r w:rsidRPr="10E55573">
        <w:rPr>
          <w:rFonts w:ascii="Californian FB" w:eastAsia="Californian FB" w:hAnsi="Californian FB" w:cs="Californian FB"/>
          <w:color w:val="000000" w:themeColor="text1"/>
          <w:lang w:val="en-US"/>
        </w:rPr>
        <w:t xml:space="preserve">The Court </w:t>
      </w:r>
      <w:r w:rsidR="002500A7">
        <w:rPr>
          <w:rFonts w:ascii="Californian FB" w:eastAsia="Californian FB" w:hAnsi="Californian FB" w:cs="Californian FB"/>
          <w:color w:val="000000" w:themeColor="text1"/>
          <w:lang w:val="en-US"/>
        </w:rPr>
        <w:t>found</w:t>
      </w:r>
      <w:r w:rsidRPr="10E55573">
        <w:rPr>
          <w:rFonts w:ascii="Californian FB" w:eastAsia="Californian FB" w:hAnsi="Californian FB" w:cs="Californian FB"/>
          <w:color w:val="000000" w:themeColor="text1"/>
          <w:lang w:val="en-US"/>
        </w:rPr>
        <w:t xml:space="preserve"> the decision incompatible with the appellant’s rights, with Lord Kerr remarking that the need for the applicant to have been married to the deceased was not explained, given that </w:t>
      </w:r>
      <w:r w:rsidR="002500A7">
        <w:rPr>
          <w:rFonts w:ascii="Californian FB" w:eastAsia="Californian FB" w:hAnsi="Californian FB" w:cs="Californian FB"/>
          <w:color w:val="000000" w:themeColor="text1"/>
          <w:lang w:val="en-US"/>
        </w:rPr>
        <w:t>‘</w:t>
      </w:r>
      <w:r w:rsidRPr="10E55573">
        <w:rPr>
          <w:rFonts w:ascii="Californian FB" w:eastAsia="Californian FB" w:hAnsi="Californian FB" w:cs="Californian FB"/>
          <w:color w:val="000000" w:themeColor="text1"/>
          <w:lang w:val="en-US"/>
        </w:rPr>
        <w:t>[t]he essence of entitlement is that the relevant parties have lived together for a sufficiently long period and that one is financially dependent on the other or that they are financially interdependent.’</w:t>
      </w:r>
      <w:r w:rsidRPr="10E55573">
        <w:rPr>
          <w:rStyle w:val="FootnoteReference"/>
          <w:rFonts w:ascii="Californian FB" w:eastAsia="Californian FB" w:hAnsi="Californian FB" w:cs="Californian FB"/>
          <w:color w:val="000000" w:themeColor="text1"/>
          <w:lang w:val="en-US"/>
        </w:rPr>
        <w:footnoteReference w:id="93"/>
      </w:r>
      <w:r w:rsidRPr="10E55573">
        <w:rPr>
          <w:rFonts w:ascii="Californian FB" w:eastAsia="Californian FB" w:hAnsi="Californian FB" w:cs="Californian FB"/>
          <w:color w:val="000000" w:themeColor="text1"/>
          <w:lang w:val="en-US"/>
        </w:rPr>
        <w:t xml:space="preserve"> </w:t>
      </w:r>
      <w:r w:rsidR="00C800FE">
        <w:rPr>
          <w:rFonts w:ascii="Californian FB" w:eastAsia="Californian FB" w:hAnsi="Californian FB" w:cs="Californian FB"/>
          <w:color w:val="000000" w:themeColor="text1"/>
          <w:lang w:val="en-US"/>
        </w:rPr>
        <w:t>Nevertheless,</w:t>
      </w:r>
      <w:r w:rsidR="00B24BEA">
        <w:rPr>
          <w:rFonts w:ascii="Californian FB" w:eastAsia="Californian FB" w:hAnsi="Californian FB" w:cs="Californian FB"/>
          <w:color w:val="000000" w:themeColor="text1"/>
          <w:lang w:val="en-US"/>
        </w:rPr>
        <w:t xml:space="preserve"> inherent limitations within anti-discrimination </w:t>
      </w:r>
      <w:r w:rsidR="0012189A">
        <w:rPr>
          <w:rFonts w:ascii="Californian FB" w:eastAsia="Californian FB" w:hAnsi="Californian FB" w:cs="Californian FB"/>
          <w:color w:val="000000" w:themeColor="text1"/>
          <w:lang w:val="en-US"/>
        </w:rPr>
        <w:t xml:space="preserve">legislation </w:t>
      </w:r>
      <w:r w:rsidR="007B03A0">
        <w:rPr>
          <w:rFonts w:ascii="Californian FB" w:eastAsia="Californian FB" w:hAnsi="Californian FB" w:cs="Californian FB"/>
          <w:color w:val="000000" w:themeColor="text1"/>
          <w:lang w:val="en-US"/>
        </w:rPr>
        <w:t>mean that it cannot always be deployed to protect rights to remain in property</w:t>
      </w:r>
      <w:r w:rsidR="00B143C5">
        <w:rPr>
          <w:rFonts w:ascii="Californian FB" w:eastAsiaTheme="majorEastAsia" w:hAnsi="Californian FB" w:cstheme="majorBidi"/>
        </w:rPr>
        <w:t>.</w:t>
      </w:r>
      <w:r w:rsidR="007B03A0" w:rsidRPr="4E5106A0">
        <w:rPr>
          <w:rStyle w:val="FootnoteReference"/>
          <w:rFonts w:ascii="Californian FB" w:eastAsiaTheme="majorEastAsia" w:hAnsi="Californian FB" w:cstheme="majorBidi"/>
        </w:rPr>
        <w:footnoteReference w:id="94"/>
      </w:r>
      <w:r w:rsidR="007B03A0" w:rsidRPr="007B03A0">
        <w:rPr>
          <w:rFonts w:ascii="Californian FB" w:eastAsiaTheme="majorEastAsia" w:hAnsi="Californian FB" w:cstheme="majorBidi"/>
        </w:rPr>
        <w:t xml:space="preserve"> </w:t>
      </w:r>
    </w:p>
    <w:p w14:paraId="1D600CBA" w14:textId="2402927D" w:rsidR="008E4BC4" w:rsidRPr="00BA166E" w:rsidRDefault="008E4BC4" w:rsidP="008E4BC4">
      <w:pPr>
        <w:spacing w:line="279" w:lineRule="auto"/>
        <w:jc w:val="both"/>
        <w:rPr>
          <w:rFonts w:ascii="Californian FB" w:eastAsia="Californian FB" w:hAnsi="Californian FB" w:cs="Californian FB"/>
          <w:strike/>
          <w:color w:val="000000" w:themeColor="text1"/>
          <w:lang w:val="en-US"/>
        </w:rPr>
      </w:pPr>
      <w:r>
        <w:rPr>
          <w:rFonts w:ascii="Californian FB" w:eastAsia="Californian FB" w:hAnsi="Californian FB" w:cs="Californian FB"/>
          <w:color w:val="000000" w:themeColor="text1"/>
          <w:lang w:val="en-US"/>
        </w:rPr>
        <w:t xml:space="preserve">From what we have seen, the Court has interpreted A1P1 </w:t>
      </w:r>
      <w:r w:rsidR="00162855">
        <w:rPr>
          <w:rFonts w:ascii="Californian FB" w:eastAsia="Californian FB" w:hAnsi="Californian FB" w:cs="Californian FB"/>
          <w:color w:val="000000" w:themeColor="text1"/>
          <w:lang w:val="en-US"/>
        </w:rPr>
        <w:t>expansively</w:t>
      </w:r>
      <w:r>
        <w:rPr>
          <w:rFonts w:ascii="Californian FB" w:eastAsia="Californian FB" w:hAnsi="Californian FB" w:cs="Californian FB"/>
          <w:color w:val="000000" w:themeColor="text1"/>
          <w:lang w:val="en-US"/>
        </w:rPr>
        <w:t xml:space="preserve"> and </w:t>
      </w:r>
      <w:r w:rsidR="00896B22">
        <w:rPr>
          <w:rFonts w:ascii="Californian FB" w:eastAsia="Californian FB" w:hAnsi="Californian FB" w:cs="Californian FB"/>
          <w:color w:val="000000" w:themeColor="text1"/>
          <w:lang w:val="en-US"/>
        </w:rPr>
        <w:t>found</w:t>
      </w:r>
      <w:r>
        <w:rPr>
          <w:rFonts w:ascii="Californian FB" w:eastAsia="Californian FB" w:hAnsi="Californian FB" w:cs="Californian FB"/>
          <w:color w:val="000000" w:themeColor="text1"/>
          <w:lang w:val="en-US"/>
        </w:rPr>
        <w:t xml:space="preserve"> it to </w:t>
      </w:r>
      <w:r w:rsidR="00896B22">
        <w:rPr>
          <w:rFonts w:ascii="Californian FB" w:eastAsia="Californian FB" w:hAnsi="Californian FB" w:cs="Californian FB"/>
          <w:color w:val="000000" w:themeColor="text1"/>
          <w:lang w:val="en-US"/>
        </w:rPr>
        <w:t xml:space="preserve">be applicable in </w:t>
      </w:r>
      <w:r>
        <w:rPr>
          <w:rFonts w:ascii="Californian FB" w:eastAsia="Californian FB" w:hAnsi="Californian FB" w:cs="Californian FB"/>
          <w:color w:val="000000" w:themeColor="text1"/>
          <w:lang w:val="en-US"/>
        </w:rPr>
        <w:t xml:space="preserve">a variety of </w:t>
      </w:r>
      <w:r w:rsidR="00896B22">
        <w:rPr>
          <w:rFonts w:ascii="Californian FB" w:eastAsia="Californian FB" w:hAnsi="Californian FB" w:cs="Californian FB"/>
          <w:color w:val="000000" w:themeColor="text1"/>
          <w:lang w:val="en-US"/>
        </w:rPr>
        <w:t>contexts</w:t>
      </w:r>
      <w:r>
        <w:rPr>
          <w:rFonts w:ascii="Californian FB" w:eastAsia="Californian FB" w:hAnsi="Californian FB" w:cs="Californian FB"/>
          <w:color w:val="000000" w:themeColor="text1"/>
          <w:lang w:val="en-US"/>
        </w:rPr>
        <w:t xml:space="preserve">. It has used A1P1 to help the less-propertied (in </w:t>
      </w:r>
      <w:r>
        <w:rPr>
          <w:rFonts w:ascii="Californian FB" w:eastAsia="Californian FB" w:hAnsi="Californian FB" w:cs="Californian FB"/>
          <w:i/>
          <w:iCs/>
          <w:color w:val="000000" w:themeColor="text1"/>
          <w:lang w:val="en-US"/>
        </w:rPr>
        <w:t>Mott</w:t>
      </w:r>
      <w:r w:rsidR="00B277F2">
        <w:rPr>
          <w:rFonts w:ascii="Californian FB" w:eastAsia="Californian FB" w:hAnsi="Californian FB" w:cs="Californian FB"/>
          <w:color w:val="000000" w:themeColor="text1"/>
          <w:lang w:val="en-US"/>
        </w:rPr>
        <w:t>)</w:t>
      </w:r>
      <w:r>
        <w:rPr>
          <w:rFonts w:ascii="Californian FB" w:eastAsia="Californian FB" w:hAnsi="Californian FB" w:cs="Californian FB"/>
          <w:color w:val="000000" w:themeColor="text1"/>
          <w:lang w:val="en-US"/>
        </w:rPr>
        <w:t xml:space="preserve"> and conversely it has not always used it to help the comparatively more-propertied</w:t>
      </w:r>
      <w:r w:rsidR="00B277F2">
        <w:rPr>
          <w:rFonts w:ascii="Californian FB" w:eastAsia="Californian FB" w:hAnsi="Californian FB" w:cs="Californian FB"/>
          <w:color w:val="000000" w:themeColor="text1"/>
          <w:lang w:val="en-US"/>
        </w:rPr>
        <w:t xml:space="preserve"> (</w:t>
      </w:r>
      <w:r>
        <w:rPr>
          <w:rFonts w:ascii="Californian FB" w:eastAsia="Californian FB" w:hAnsi="Californian FB" w:cs="Californian FB"/>
          <w:i/>
          <w:iCs/>
          <w:color w:val="000000" w:themeColor="text1"/>
          <w:lang w:val="en-US"/>
        </w:rPr>
        <w:t>Cusack</w:t>
      </w:r>
      <w:r w:rsidR="00B277F2">
        <w:rPr>
          <w:rFonts w:ascii="Californian FB" w:eastAsia="Californian FB" w:hAnsi="Californian FB" w:cs="Californian FB"/>
          <w:color w:val="000000" w:themeColor="text1"/>
          <w:lang w:val="en-US"/>
        </w:rPr>
        <w:t>)</w:t>
      </w:r>
      <w:r>
        <w:rPr>
          <w:rFonts w:ascii="Californian FB" w:eastAsia="Californian FB" w:hAnsi="Californian FB" w:cs="Californian FB"/>
          <w:color w:val="000000" w:themeColor="text1"/>
          <w:lang w:val="en-US"/>
        </w:rPr>
        <w:t xml:space="preserve">. Meanwhile, </w:t>
      </w:r>
      <w:r w:rsidR="00356F56">
        <w:rPr>
          <w:rFonts w:ascii="Californian FB" w:eastAsia="Californian FB" w:hAnsi="Californian FB" w:cs="Californian FB"/>
          <w:color w:val="000000" w:themeColor="text1"/>
          <w:lang w:val="en-US"/>
        </w:rPr>
        <w:t>A</w:t>
      </w:r>
      <w:r>
        <w:rPr>
          <w:rFonts w:ascii="Californian FB" w:eastAsia="Californian FB" w:hAnsi="Californian FB" w:cs="Californian FB"/>
          <w:color w:val="000000" w:themeColor="text1"/>
          <w:lang w:val="en-US"/>
        </w:rPr>
        <w:t xml:space="preserve">14 has been used to bolster </w:t>
      </w:r>
      <w:r w:rsidRPr="00EA45B8">
        <w:rPr>
          <w:rFonts w:ascii="Californian FB" w:eastAsia="Californian FB" w:hAnsi="Californian FB" w:cs="Californian FB"/>
          <w:color w:val="000000" w:themeColor="text1"/>
          <w:lang w:val="en-US"/>
        </w:rPr>
        <w:t>rights to receive state benefits relating to housing.</w:t>
      </w:r>
      <w:r>
        <w:rPr>
          <w:rFonts w:ascii="Californian FB" w:eastAsia="Californian FB" w:hAnsi="Californian FB" w:cs="Californian FB"/>
          <w:color w:val="000000" w:themeColor="text1"/>
          <w:lang w:val="en-US"/>
        </w:rPr>
        <w:t xml:space="preserve"> We will see that </w:t>
      </w:r>
      <w:r w:rsidR="00356F56">
        <w:rPr>
          <w:rFonts w:ascii="Californian FB" w:eastAsia="Californian FB" w:hAnsi="Californian FB" w:cs="Californian FB"/>
          <w:color w:val="000000" w:themeColor="text1"/>
          <w:lang w:val="en-US"/>
        </w:rPr>
        <w:t>A</w:t>
      </w:r>
      <w:r>
        <w:rPr>
          <w:rFonts w:ascii="Californian FB" w:eastAsia="Californian FB" w:hAnsi="Californian FB" w:cs="Californian FB"/>
          <w:color w:val="000000" w:themeColor="text1"/>
          <w:lang w:val="en-US"/>
        </w:rPr>
        <w:t xml:space="preserve">8 is not necessarily the key to helping the </w:t>
      </w:r>
      <w:proofErr w:type="gramStart"/>
      <w:r>
        <w:rPr>
          <w:rFonts w:ascii="Californian FB" w:eastAsia="Californian FB" w:hAnsi="Californian FB" w:cs="Californian FB"/>
          <w:color w:val="000000" w:themeColor="text1"/>
          <w:lang w:val="en-US"/>
        </w:rPr>
        <w:t>less-propertied</w:t>
      </w:r>
      <w:proofErr w:type="gramEnd"/>
      <w:r>
        <w:rPr>
          <w:rFonts w:ascii="Californian FB" w:eastAsia="Californian FB" w:hAnsi="Californian FB" w:cs="Californian FB"/>
          <w:color w:val="000000" w:themeColor="text1"/>
          <w:lang w:val="en-US"/>
        </w:rPr>
        <w:t xml:space="preserve"> or more vulnerable. In that light, </w:t>
      </w:r>
      <w:r w:rsidR="00356F56">
        <w:rPr>
          <w:rFonts w:ascii="Californian FB" w:eastAsia="Californian FB" w:hAnsi="Californian FB" w:cs="Californian FB"/>
          <w:color w:val="000000" w:themeColor="text1"/>
          <w:lang w:val="en-US"/>
        </w:rPr>
        <w:t>A14</w:t>
      </w:r>
      <w:r>
        <w:rPr>
          <w:rFonts w:ascii="Californian FB" w:eastAsia="Californian FB" w:hAnsi="Californian FB" w:cs="Californian FB"/>
          <w:color w:val="000000" w:themeColor="text1"/>
          <w:lang w:val="en-US"/>
        </w:rPr>
        <w:t xml:space="preserve"> has emerged as comparatively a stronger source of support for the </w:t>
      </w:r>
      <w:proofErr w:type="gramStart"/>
      <w:r>
        <w:rPr>
          <w:rFonts w:ascii="Californian FB" w:eastAsia="Californian FB" w:hAnsi="Californian FB" w:cs="Californian FB"/>
          <w:color w:val="000000" w:themeColor="text1"/>
          <w:lang w:val="en-US"/>
        </w:rPr>
        <w:t>less-propertied</w:t>
      </w:r>
      <w:proofErr w:type="gramEnd"/>
      <w:r>
        <w:rPr>
          <w:rFonts w:ascii="Californian FB" w:eastAsia="Californian FB" w:hAnsi="Californian FB" w:cs="Californian FB"/>
          <w:color w:val="000000" w:themeColor="text1"/>
          <w:lang w:val="en-US"/>
        </w:rPr>
        <w:t>.</w:t>
      </w:r>
      <w:r w:rsidRPr="00EA45B8">
        <w:rPr>
          <w:rFonts w:ascii="Californian FB" w:eastAsia="Californian FB" w:hAnsi="Californian FB" w:cs="Californian FB"/>
          <w:color w:val="000000" w:themeColor="text1"/>
          <w:lang w:val="en-US"/>
        </w:rPr>
        <w:t xml:space="preserve"> </w:t>
      </w:r>
      <w:r>
        <w:rPr>
          <w:rFonts w:ascii="Californian FB" w:eastAsia="Californian FB" w:hAnsi="Californian FB" w:cs="Californian FB"/>
          <w:color w:val="000000" w:themeColor="text1"/>
          <w:lang w:val="en-US"/>
        </w:rPr>
        <w:t>We can note here the</w:t>
      </w:r>
      <w:r w:rsidRPr="00EA45B8">
        <w:rPr>
          <w:rFonts w:ascii="Californian FB" w:eastAsia="Californian FB" w:hAnsi="Californian FB" w:cs="Californian FB"/>
          <w:color w:val="000000" w:themeColor="text1"/>
          <w:lang w:val="en-US"/>
        </w:rPr>
        <w:t xml:space="preserve"> remark of Lord Kerr in </w:t>
      </w:r>
      <w:r w:rsidRPr="00EA45B8">
        <w:rPr>
          <w:rFonts w:ascii="Californian FB" w:eastAsia="Californian FB" w:hAnsi="Californian FB" w:cs="Californian FB"/>
          <w:i/>
          <w:iCs/>
          <w:color w:val="000000" w:themeColor="text1"/>
          <w:lang w:val="en-US"/>
        </w:rPr>
        <w:t>Denise Brewster</w:t>
      </w:r>
      <w:r>
        <w:rPr>
          <w:rFonts w:ascii="Californian FB" w:eastAsia="Californian FB" w:hAnsi="Californian FB" w:cs="Californian FB"/>
          <w:color w:val="000000" w:themeColor="text1"/>
          <w:lang w:val="en-US"/>
        </w:rPr>
        <w:t>,</w:t>
      </w:r>
      <w:r w:rsidRPr="00EA45B8">
        <w:rPr>
          <w:rFonts w:ascii="Californian FB" w:eastAsia="Californian FB" w:hAnsi="Californian FB" w:cs="Californian FB"/>
          <w:color w:val="000000" w:themeColor="text1"/>
          <w:lang w:val="en-US"/>
        </w:rPr>
        <w:t xml:space="preserve"> contrasting A14 with A8: A14 requires states to ‘secure’ one’s entitlement to equal treatment, and so ‘[t]he obligation to secure rights must require a greater level of vigilance on the part of the state authorities than is animated by a duty to have respect for a particular species of right. The duty to secure rights calls for a more proactive role than the requirement to respect rights.’</w:t>
      </w:r>
      <w:r>
        <w:rPr>
          <w:rStyle w:val="FootnoteReference"/>
          <w:rFonts w:ascii="Californian FB" w:eastAsia="Californian FB" w:hAnsi="Californian FB" w:cs="Californian FB"/>
          <w:color w:val="000000" w:themeColor="text1"/>
          <w:lang w:val="en-US"/>
        </w:rPr>
        <w:footnoteReference w:id="95"/>
      </w:r>
      <w:r w:rsidRPr="00EA45B8">
        <w:rPr>
          <w:rFonts w:ascii="Californian FB" w:eastAsia="Californian FB" w:hAnsi="Californian FB" w:cs="Californian FB"/>
          <w:color w:val="000000" w:themeColor="text1"/>
          <w:lang w:val="en-US"/>
        </w:rPr>
        <w:t xml:space="preserve"> A14 </w:t>
      </w:r>
      <w:r>
        <w:rPr>
          <w:rFonts w:ascii="Californian FB" w:eastAsia="Californian FB" w:hAnsi="Californian FB" w:cs="Californian FB"/>
          <w:color w:val="000000" w:themeColor="text1"/>
          <w:lang w:val="en-US"/>
        </w:rPr>
        <w:t xml:space="preserve">is, as we have seen, </w:t>
      </w:r>
      <w:r w:rsidRPr="00EA45B8">
        <w:rPr>
          <w:rFonts w:ascii="Californian FB" w:eastAsia="Californian FB" w:hAnsi="Californian FB" w:cs="Californian FB"/>
          <w:color w:val="000000" w:themeColor="text1"/>
          <w:lang w:val="en-US"/>
        </w:rPr>
        <w:t>not</w:t>
      </w:r>
      <w:r>
        <w:rPr>
          <w:rFonts w:ascii="Californian FB" w:eastAsia="Californian FB" w:hAnsi="Californian FB" w:cs="Californian FB"/>
          <w:color w:val="000000" w:themeColor="text1"/>
          <w:lang w:val="en-US"/>
        </w:rPr>
        <w:t xml:space="preserve"> a</w:t>
      </w:r>
      <w:r w:rsidRPr="00EA45B8">
        <w:rPr>
          <w:rFonts w:ascii="Californian FB" w:eastAsia="Californian FB" w:hAnsi="Californian FB" w:cs="Californian FB"/>
          <w:color w:val="000000" w:themeColor="text1"/>
          <w:lang w:val="en-US"/>
        </w:rPr>
        <w:t xml:space="preserve"> universal salvo</w:t>
      </w:r>
      <w:r w:rsidR="00BA166E">
        <w:rPr>
          <w:rFonts w:ascii="Californian FB" w:eastAsia="Californian FB" w:hAnsi="Californian FB" w:cs="Californian FB"/>
          <w:color w:val="000000" w:themeColor="text1"/>
          <w:lang w:val="en-US"/>
        </w:rPr>
        <w:t xml:space="preserve">, </w:t>
      </w:r>
      <w:r>
        <w:rPr>
          <w:rFonts w:ascii="Californian FB" w:eastAsia="Californian FB" w:hAnsi="Californian FB" w:cs="Californian FB"/>
          <w:color w:val="000000" w:themeColor="text1"/>
          <w:lang w:val="en-US"/>
        </w:rPr>
        <w:t>while</w:t>
      </w:r>
      <w:r w:rsidRPr="00EA45B8">
        <w:rPr>
          <w:rFonts w:ascii="Californian FB" w:eastAsia="Californian FB" w:hAnsi="Californian FB" w:cs="Californian FB"/>
          <w:color w:val="000000" w:themeColor="text1"/>
          <w:lang w:val="en-US"/>
        </w:rPr>
        <w:t xml:space="preserve"> Lady Hale</w:t>
      </w:r>
      <w:r>
        <w:rPr>
          <w:rFonts w:ascii="Californian FB" w:eastAsia="Californian FB" w:hAnsi="Californian FB" w:cs="Californian FB"/>
          <w:color w:val="000000" w:themeColor="text1"/>
          <w:lang w:val="en-US"/>
        </w:rPr>
        <w:t xml:space="preserve"> and Lord Kerr seem to have been more pro-active in using A14 with the property-related Convention rights to support a more modern </w:t>
      </w:r>
      <w:r w:rsidRPr="00EA45B8">
        <w:rPr>
          <w:rFonts w:ascii="Californian FB" w:eastAsia="Californian FB" w:hAnsi="Californian FB" w:cs="Californian FB"/>
          <w:color w:val="000000" w:themeColor="text1"/>
          <w:lang w:val="en-US"/>
        </w:rPr>
        <w:t>social agenda than Parliament or Ministers have perhaps anticipated.</w:t>
      </w:r>
      <w:r>
        <w:rPr>
          <w:rFonts w:ascii="Californian FB" w:eastAsia="Californian FB" w:hAnsi="Californian FB" w:cs="Californian FB"/>
          <w:color w:val="000000" w:themeColor="text1"/>
          <w:lang w:val="en-US"/>
        </w:rPr>
        <w:t xml:space="preserve"> Is </w:t>
      </w:r>
      <w:r w:rsidRPr="00FB33E4">
        <w:rPr>
          <w:rFonts w:ascii="Californian FB" w:eastAsia="Californian FB" w:hAnsi="Californian FB" w:cs="Californian FB"/>
          <w:color w:val="000000" w:themeColor="text1"/>
        </w:rPr>
        <w:t>discrimination be</w:t>
      </w:r>
      <w:r>
        <w:rPr>
          <w:rFonts w:ascii="Californian FB" w:eastAsia="Californian FB" w:hAnsi="Californian FB" w:cs="Californian FB"/>
          <w:color w:val="000000" w:themeColor="text1"/>
        </w:rPr>
        <w:t>com</w:t>
      </w:r>
      <w:r w:rsidRPr="00FB33E4">
        <w:rPr>
          <w:rFonts w:ascii="Californian FB" w:eastAsia="Californian FB" w:hAnsi="Californian FB" w:cs="Californian FB"/>
          <w:color w:val="000000" w:themeColor="text1"/>
        </w:rPr>
        <w:t>ing central to court’s understanding of the bounds/protection of property?</w:t>
      </w:r>
    </w:p>
    <w:p w14:paraId="08D50959" w14:textId="18FF6435" w:rsidR="008E4BC4" w:rsidRPr="00F3097A" w:rsidRDefault="008E4BC4" w:rsidP="008E4BC4">
      <w:pPr>
        <w:pStyle w:val="ListParagraph"/>
        <w:numPr>
          <w:ilvl w:val="0"/>
          <w:numId w:val="1"/>
        </w:numPr>
        <w:rPr>
          <w:rFonts w:ascii="Californian FB" w:eastAsiaTheme="majorEastAsia" w:hAnsi="Californian FB" w:cstheme="majorBidi"/>
          <w:sz w:val="24"/>
          <w:szCs w:val="24"/>
        </w:rPr>
      </w:pPr>
      <w:r w:rsidRPr="00F3097A">
        <w:rPr>
          <w:rFonts w:ascii="Californian FB" w:eastAsiaTheme="majorEastAsia" w:hAnsi="Californian FB" w:cstheme="majorBidi"/>
          <w:sz w:val="24"/>
          <w:szCs w:val="24"/>
        </w:rPr>
        <w:t>Article 8</w:t>
      </w:r>
    </w:p>
    <w:p w14:paraId="6FD463A3" w14:textId="21120E67" w:rsidR="008E4BC4" w:rsidRDefault="008E4BC4" w:rsidP="008E4BC4">
      <w:pPr>
        <w:jc w:val="both"/>
        <w:rPr>
          <w:rFonts w:ascii="Californian FB" w:eastAsiaTheme="majorEastAsia" w:hAnsi="Californian FB" w:cstheme="majorBidi"/>
        </w:rPr>
      </w:pPr>
      <w:r w:rsidRPr="4E5106A0">
        <w:rPr>
          <w:rFonts w:ascii="Californian FB" w:eastAsiaTheme="majorEastAsia" w:hAnsi="Californian FB" w:cstheme="majorBidi"/>
        </w:rPr>
        <w:t xml:space="preserve">Article 8 (A8) recognises everyone’s ‘right to respect for his private and family life, his home and his correspondence’, and prohibits a ‘public authority’ from interfering with this right except for such interference ‘as is in accordance with the law and is necessary in a democratic society’, specifying an exhaustive (but </w:t>
      </w:r>
      <w:proofErr w:type="gramStart"/>
      <w:r w:rsidRPr="4E5106A0">
        <w:rPr>
          <w:rFonts w:ascii="Californian FB" w:eastAsiaTheme="majorEastAsia" w:hAnsi="Californian FB" w:cstheme="majorBidi"/>
        </w:rPr>
        <w:t>widely-drawn</w:t>
      </w:r>
      <w:proofErr w:type="gramEnd"/>
      <w:r w:rsidRPr="4E5106A0">
        <w:rPr>
          <w:rFonts w:ascii="Californian FB" w:eastAsiaTheme="majorEastAsia" w:hAnsi="Californian FB" w:cstheme="majorBidi"/>
        </w:rPr>
        <w:t>) list of permitted state interests. A8 has been invoked in a series of cases involving losing one’s home. The Supreme Court inherited what has been politely called a ‘dialogue’, but could be described as a ‘battle’, concerning what A8 requires of public authorities</w:t>
      </w:r>
      <w:r>
        <w:rPr>
          <w:rFonts w:ascii="Californian FB" w:eastAsiaTheme="majorEastAsia" w:hAnsi="Californian FB" w:cstheme="majorBidi"/>
        </w:rPr>
        <w:t xml:space="preserve">, </w:t>
      </w:r>
      <w:r w:rsidRPr="4E5106A0">
        <w:rPr>
          <w:rFonts w:ascii="Californian FB" w:eastAsiaTheme="majorEastAsia" w:hAnsi="Californian FB" w:cstheme="majorBidi"/>
        </w:rPr>
        <w:t xml:space="preserve">with the House of Lords adopting a narrow approach in </w:t>
      </w:r>
      <w:r w:rsidRPr="4E5106A0">
        <w:rPr>
          <w:rFonts w:ascii="Californian FB" w:eastAsiaTheme="majorEastAsia" w:hAnsi="Californian FB" w:cstheme="majorBidi"/>
          <w:i/>
          <w:iCs/>
        </w:rPr>
        <w:t>London Borough of Harrow v Qazi</w:t>
      </w:r>
      <w:r w:rsidRPr="4E5106A0">
        <w:rPr>
          <w:rFonts w:ascii="Californian FB" w:eastAsiaTheme="majorEastAsia" w:hAnsi="Californian FB" w:cstheme="majorBidi"/>
        </w:rPr>
        <w:t>.</w:t>
      </w:r>
      <w:r>
        <w:rPr>
          <w:rStyle w:val="FootnoteReference"/>
          <w:rFonts w:ascii="Californian FB" w:eastAsiaTheme="majorEastAsia" w:hAnsi="Californian FB" w:cstheme="majorBidi"/>
        </w:rPr>
        <w:footnoteReference w:id="96"/>
      </w:r>
      <w:r w:rsidRPr="4E5106A0">
        <w:rPr>
          <w:rFonts w:ascii="Californian FB" w:eastAsiaTheme="majorEastAsia" w:hAnsi="Californian FB" w:cstheme="majorBidi"/>
        </w:rPr>
        <w:t xml:space="preserve"> The Supreme Court had to retrench somewhat from this position, but it has still been able to interpret </w:t>
      </w:r>
      <w:r w:rsidR="00B46AD8">
        <w:rPr>
          <w:rFonts w:ascii="Californian FB" w:eastAsiaTheme="majorEastAsia" w:hAnsi="Californian FB" w:cstheme="majorBidi"/>
        </w:rPr>
        <w:t>A</w:t>
      </w:r>
      <w:r w:rsidRPr="4E5106A0">
        <w:rPr>
          <w:rFonts w:ascii="Californian FB" w:eastAsiaTheme="majorEastAsia" w:hAnsi="Californian FB" w:cstheme="majorBidi"/>
        </w:rPr>
        <w:t xml:space="preserve">8 narrowly. It has had to make a balancing act between the obligations imposed by Strasbourg jurisprudence, and the resource strain faced by housing authorities. </w:t>
      </w:r>
    </w:p>
    <w:p w14:paraId="24B301C1" w14:textId="095F48C1" w:rsidR="00600998" w:rsidRPr="0057154F" w:rsidRDefault="00EA769B" w:rsidP="0057154F">
      <w:pPr>
        <w:jc w:val="both"/>
        <w:rPr>
          <w:rFonts w:ascii="Californian FB" w:eastAsiaTheme="majorEastAsia" w:hAnsi="Californian FB" w:cstheme="majorBidi"/>
        </w:rPr>
      </w:pPr>
      <w:r w:rsidRPr="0057154F">
        <w:rPr>
          <w:rFonts w:ascii="Californian FB" w:eastAsiaTheme="majorEastAsia" w:hAnsi="Californian FB" w:cstheme="majorBidi"/>
        </w:rPr>
        <w:t xml:space="preserve">A8 has some potential </w:t>
      </w:r>
      <w:r w:rsidR="00FA1357">
        <w:rPr>
          <w:rFonts w:ascii="Californian FB" w:eastAsiaTheme="majorEastAsia" w:hAnsi="Californian FB" w:cstheme="majorBidi"/>
        </w:rPr>
        <w:t xml:space="preserve">to </w:t>
      </w:r>
      <w:r w:rsidR="00AF7B23">
        <w:rPr>
          <w:rFonts w:ascii="Californian FB" w:eastAsiaTheme="majorEastAsia" w:hAnsi="Californian FB" w:cstheme="majorBidi"/>
        </w:rPr>
        <w:t>develop case-law which</w:t>
      </w:r>
      <w:r w:rsidR="00184FA1">
        <w:rPr>
          <w:rFonts w:ascii="Californian FB" w:eastAsiaTheme="majorEastAsia" w:hAnsi="Californian FB" w:cstheme="majorBidi"/>
        </w:rPr>
        <w:t xml:space="preserve"> affords protection to the mo</w:t>
      </w:r>
      <w:r w:rsidR="00213DB7" w:rsidRPr="0057154F">
        <w:rPr>
          <w:rFonts w:ascii="Californian FB" w:eastAsiaTheme="majorEastAsia" w:hAnsi="Californian FB" w:cstheme="majorBidi"/>
        </w:rPr>
        <w:t xml:space="preserve">re vulnerable and marginalised. </w:t>
      </w:r>
      <w:r w:rsidR="00E53560" w:rsidRPr="0057154F">
        <w:rPr>
          <w:rFonts w:ascii="Californian FB" w:eastAsiaTheme="majorEastAsia" w:hAnsi="Californian FB" w:cstheme="majorBidi"/>
        </w:rPr>
        <w:t>But</w:t>
      </w:r>
      <w:r w:rsidR="00213DB7" w:rsidRPr="0057154F">
        <w:rPr>
          <w:rFonts w:ascii="Californian FB" w:eastAsiaTheme="majorEastAsia" w:hAnsi="Californian FB" w:cstheme="majorBidi"/>
        </w:rPr>
        <w:t xml:space="preserve"> we will see</w:t>
      </w:r>
      <w:r w:rsidR="00213DB7" w:rsidRPr="0057154F" w:rsidDel="00162F6E">
        <w:rPr>
          <w:rFonts w:ascii="Californian FB" w:eastAsiaTheme="majorEastAsia" w:hAnsi="Californian FB" w:cstheme="majorBidi"/>
        </w:rPr>
        <w:t xml:space="preserve"> </w:t>
      </w:r>
      <w:r w:rsidR="00213DB7" w:rsidRPr="0057154F">
        <w:rPr>
          <w:rFonts w:ascii="Californian FB" w:eastAsiaTheme="majorEastAsia" w:hAnsi="Californian FB" w:cstheme="majorBidi"/>
        </w:rPr>
        <w:t xml:space="preserve">that A8 has been invoked </w:t>
      </w:r>
      <w:r w:rsidR="00646056" w:rsidRPr="0057154F">
        <w:rPr>
          <w:rFonts w:ascii="Californian FB" w:eastAsiaTheme="majorEastAsia" w:hAnsi="Californian FB" w:cstheme="majorBidi"/>
        </w:rPr>
        <w:t>numerous times without success.</w:t>
      </w:r>
      <w:r w:rsidR="00B97C70" w:rsidRPr="0057154F">
        <w:rPr>
          <w:rFonts w:ascii="Californian FB" w:eastAsiaTheme="majorEastAsia" w:hAnsi="Californian FB" w:cstheme="majorBidi"/>
        </w:rPr>
        <w:t xml:space="preserve"> Interestingly, </w:t>
      </w:r>
      <w:r w:rsidR="00184FA1">
        <w:rPr>
          <w:rFonts w:ascii="Californian FB" w:eastAsiaTheme="majorEastAsia" w:hAnsi="Californian FB" w:cstheme="majorBidi"/>
        </w:rPr>
        <w:t xml:space="preserve">it has </w:t>
      </w:r>
      <w:r w:rsidR="00184FA1">
        <w:rPr>
          <w:rFonts w:ascii="Californian FB" w:eastAsiaTheme="majorEastAsia" w:hAnsi="Californian FB" w:cstheme="majorBidi"/>
          <w:i/>
          <w:iCs/>
        </w:rPr>
        <w:t xml:space="preserve">equally </w:t>
      </w:r>
      <w:r w:rsidR="00115E4A">
        <w:rPr>
          <w:rFonts w:ascii="Californian FB" w:eastAsiaTheme="majorEastAsia" w:hAnsi="Californian FB" w:cstheme="majorBidi"/>
        </w:rPr>
        <w:t>been</w:t>
      </w:r>
      <w:r w:rsidR="00B97C70" w:rsidRPr="0057154F">
        <w:rPr>
          <w:rFonts w:ascii="Californian FB" w:eastAsiaTheme="majorEastAsia" w:hAnsi="Californian FB" w:cstheme="majorBidi"/>
        </w:rPr>
        <w:t xml:space="preserve"> invoked without success (indeed</w:t>
      </w:r>
      <w:r w:rsidR="00115E4A">
        <w:rPr>
          <w:rFonts w:ascii="Californian FB" w:eastAsiaTheme="majorEastAsia" w:hAnsi="Californian FB" w:cstheme="majorBidi"/>
        </w:rPr>
        <w:t>, it was</w:t>
      </w:r>
      <w:r w:rsidR="00B97C70" w:rsidRPr="0057154F">
        <w:rPr>
          <w:rFonts w:ascii="Californian FB" w:eastAsiaTheme="majorEastAsia" w:hAnsi="Californian FB" w:cstheme="majorBidi"/>
        </w:rPr>
        <w:t xml:space="preserve"> dismissed very briefly) by privileged inhabitants of </w:t>
      </w:r>
      <w:r w:rsidR="002E01D0">
        <w:rPr>
          <w:rFonts w:ascii="Californian FB" w:eastAsiaTheme="majorEastAsia" w:hAnsi="Californian FB" w:cstheme="majorBidi"/>
        </w:rPr>
        <w:t xml:space="preserve">a </w:t>
      </w:r>
      <w:r w:rsidR="00B97C70" w:rsidRPr="0057154F">
        <w:rPr>
          <w:rFonts w:ascii="Californian FB" w:eastAsiaTheme="majorEastAsia" w:hAnsi="Californian FB" w:cstheme="majorBidi"/>
        </w:rPr>
        <w:t>riverside development in London.</w:t>
      </w:r>
      <w:r w:rsidR="00213DB7" w:rsidRPr="0057154F">
        <w:rPr>
          <w:rFonts w:ascii="Californian FB" w:eastAsiaTheme="majorEastAsia" w:hAnsi="Californian FB" w:cstheme="majorBidi"/>
        </w:rPr>
        <w:t xml:space="preserve"> </w:t>
      </w:r>
      <w:r w:rsidR="00E53560" w:rsidRPr="0057154F">
        <w:rPr>
          <w:rFonts w:ascii="Californian FB" w:eastAsiaTheme="majorEastAsia" w:hAnsi="Californian FB" w:cstheme="majorBidi"/>
        </w:rPr>
        <w:t xml:space="preserve">We </w:t>
      </w:r>
      <w:r w:rsidR="005B6D4B" w:rsidRPr="0057154F">
        <w:rPr>
          <w:rFonts w:ascii="Californian FB" w:eastAsiaTheme="majorEastAsia" w:hAnsi="Californian FB" w:cstheme="majorBidi"/>
        </w:rPr>
        <w:t>shall see that</w:t>
      </w:r>
      <w:r w:rsidR="002E01D0">
        <w:rPr>
          <w:rFonts w:ascii="Californian FB" w:eastAsiaTheme="majorEastAsia" w:hAnsi="Californian FB" w:cstheme="majorBidi"/>
        </w:rPr>
        <w:t xml:space="preserve"> the</w:t>
      </w:r>
      <w:r w:rsidR="005B6D4B" w:rsidRPr="0057154F">
        <w:rPr>
          <w:rFonts w:ascii="Californian FB" w:eastAsiaTheme="majorEastAsia" w:hAnsi="Californian FB" w:cstheme="majorBidi"/>
        </w:rPr>
        <w:t xml:space="preserve"> Justices consider domestic law can go far enough. Is there a reluctance to </w:t>
      </w:r>
      <w:r w:rsidR="00443FD5">
        <w:rPr>
          <w:rFonts w:ascii="Californian FB" w:eastAsiaTheme="majorEastAsia" w:hAnsi="Californian FB" w:cstheme="majorBidi"/>
        </w:rPr>
        <w:t>develop</w:t>
      </w:r>
      <w:r w:rsidR="005B6D4B" w:rsidRPr="0057154F">
        <w:rPr>
          <w:rFonts w:ascii="Californian FB" w:eastAsiaTheme="majorEastAsia" w:hAnsi="Californian FB" w:cstheme="majorBidi"/>
        </w:rPr>
        <w:t xml:space="preserve"> Convention rights further, seeing instead what domestic law can do</w:t>
      </w:r>
      <w:r w:rsidR="002E01D0">
        <w:rPr>
          <w:rFonts w:ascii="Californian FB" w:eastAsiaTheme="majorEastAsia" w:hAnsi="Californian FB" w:cstheme="majorBidi"/>
        </w:rPr>
        <w:t>?</w:t>
      </w:r>
    </w:p>
    <w:p w14:paraId="41FF48EB" w14:textId="07733B45" w:rsidR="008E4BC4" w:rsidRPr="00CC23F2" w:rsidRDefault="00912BBA" w:rsidP="008E4BC4">
      <w:pPr>
        <w:spacing w:line="256" w:lineRule="auto"/>
        <w:jc w:val="both"/>
        <w:rPr>
          <w:rFonts w:ascii="Californian FB" w:eastAsia="Californian FB" w:hAnsi="Californian FB" w:cs="Californian FB"/>
          <w:color w:val="000000" w:themeColor="text1"/>
        </w:rPr>
      </w:pPr>
      <w:r>
        <w:rPr>
          <w:rFonts w:ascii="Californian FB" w:eastAsia="Californian FB" w:hAnsi="Californian FB" w:cs="Californian FB"/>
          <w:color w:val="000000" w:themeColor="text1"/>
        </w:rPr>
        <w:lastRenderedPageBreak/>
        <w:t>The</w:t>
      </w:r>
      <w:r w:rsidDel="00162F6E">
        <w:rPr>
          <w:rFonts w:ascii="Californian FB" w:eastAsia="Californian FB" w:hAnsi="Californian FB" w:cs="Californian FB"/>
          <w:color w:val="000000" w:themeColor="text1"/>
        </w:rPr>
        <w:t xml:space="preserve"> </w:t>
      </w:r>
      <w:r>
        <w:rPr>
          <w:rFonts w:ascii="Californian FB" w:eastAsia="Californian FB" w:hAnsi="Californian FB" w:cs="Californian FB"/>
          <w:color w:val="000000" w:themeColor="text1"/>
        </w:rPr>
        <w:t xml:space="preserve">Court’s </w:t>
      </w:r>
      <w:r w:rsidR="00906D67">
        <w:rPr>
          <w:rFonts w:ascii="Californian FB" w:eastAsia="Californian FB" w:hAnsi="Californian FB" w:cs="Californian FB"/>
          <w:color w:val="000000" w:themeColor="text1"/>
        </w:rPr>
        <w:t>cautious approach to A8</w:t>
      </w:r>
      <w:r w:rsidR="00996F5A" w:rsidDel="00162F6E">
        <w:rPr>
          <w:rFonts w:ascii="Californian FB" w:eastAsia="Californian FB" w:hAnsi="Californian FB" w:cs="Californian FB"/>
          <w:color w:val="000000" w:themeColor="text1"/>
        </w:rPr>
        <w:t xml:space="preserve"> </w:t>
      </w:r>
      <w:r w:rsidR="00162F6E">
        <w:rPr>
          <w:rFonts w:ascii="Californian FB" w:eastAsia="Californian FB" w:hAnsi="Californian FB" w:cs="Californian FB"/>
          <w:color w:val="000000" w:themeColor="text1"/>
        </w:rPr>
        <w:t xml:space="preserve">emerges in </w:t>
      </w:r>
      <w:r w:rsidR="008E4BC4" w:rsidRPr="00CC23F2">
        <w:rPr>
          <w:rFonts w:ascii="Californian FB" w:eastAsia="Californian FB" w:hAnsi="Californian FB" w:cs="Californian FB"/>
          <w:i/>
          <w:iCs/>
          <w:color w:val="000000" w:themeColor="text1"/>
        </w:rPr>
        <w:t>Pinnock</w:t>
      </w:r>
      <w:r w:rsidR="00906D67">
        <w:rPr>
          <w:rFonts w:ascii="Californian FB" w:eastAsia="Californian FB" w:hAnsi="Californian FB" w:cs="Californian FB"/>
          <w:color w:val="000000" w:themeColor="text1"/>
        </w:rPr>
        <w:t>,</w:t>
      </w:r>
      <w:r w:rsidR="00906D67" w:rsidRPr="00196351">
        <w:rPr>
          <w:rStyle w:val="FootnoteReference"/>
          <w:rFonts w:ascii="Californian FB" w:eastAsia="Californian FB" w:hAnsi="Californian FB" w:cs="Californian FB"/>
          <w:color w:val="000000" w:themeColor="text1"/>
        </w:rPr>
        <w:t xml:space="preserve"> </w:t>
      </w:r>
      <w:bookmarkStart w:id="16" w:name="_Ref174709749"/>
      <w:r w:rsidR="00196351">
        <w:rPr>
          <w:rStyle w:val="FootnoteReference"/>
          <w:rFonts w:ascii="Californian FB" w:eastAsia="Californian FB" w:hAnsi="Californian FB" w:cs="Californian FB"/>
          <w:color w:val="000000" w:themeColor="text1"/>
        </w:rPr>
        <w:footnoteReference w:id="97"/>
      </w:r>
      <w:bookmarkEnd w:id="16"/>
      <w:r w:rsidR="00906D67">
        <w:rPr>
          <w:rFonts w:ascii="Californian FB" w:eastAsia="Californian FB" w:hAnsi="Californian FB" w:cs="Californian FB"/>
          <w:color w:val="000000" w:themeColor="text1"/>
        </w:rPr>
        <w:t xml:space="preserve"> which</w:t>
      </w:r>
      <w:r w:rsidR="008E4BC4" w:rsidRPr="00CC23F2">
        <w:rPr>
          <w:rFonts w:ascii="Californian FB" w:eastAsia="Californian FB" w:hAnsi="Californian FB" w:cs="Californian FB"/>
          <w:i/>
          <w:iCs/>
          <w:color w:val="000000" w:themeColor="text1"/>
        </w:rPr>
        <w:t xml:space="preserve"> </w:t>
      </w:r>
      <w:r w:rsidR="008E4BC4" w:rsidRPr="00CC23F2">
        <w:rPr>
          <w:rFonts w:ascii="Californian FB" w:eastAsia="Californian FB" w:hAnsi="Californian FB" w:cs="Californian FB"/>
          <w:color w:val="000000" w:themeColor="text1"/>
        </w:rPr>
        <w:t>has been referred to as ‘</w:t>
      </w:r>
      <w:r w:rsidR="008E4BC4" w:rsidRPr="00CC23F2">
        <w:rPr>
          <w:rFonts w:ascii="Californian FB" w:eastAsia="Californian FB" w:hAnsi="Californian FB" w:cs="Californian FB"/>
        </w:rPr>
        <w:t>the resolution of a protracted inter-judicial dialogue between the House of Lords and the Strasbourg court.’</w:t>
      </w:r>
      <w:r w:rsidR="008E4BC4">
        <w:rPr>
          <w:rStyle w:val="FootnoteReference"/>
          <w:rFonts w:ascii="Californian FB" w:eastAsia="Californian FB" w:hAnsi="Californian FB" w:cs="Californian FB"/>
        </w:rPr>
        <w:footnoteReference w:id="98"/>
      </w:r>
      <w:r w:rsidR="008E4BC4" w:rsidRPr="00CC23F2">
        <w:rPr>
          <w:rFonts w:ascii="Californian FB" w:eastAsia="Californian FB" w:hAnsi="Californian FB" w:cs="Californian FB"/>
        </w:rPr>
        <w:t xml:space="preserve"> </w:t>
      </w:r>
      <w:r w:rsidR="008E4BC4" w:rsidRPr="00CC23F2">
        <w:rPr>
          <w:rFonts w:ascii="Californian FB" w:eastAsia="Californian FB" w:hAnsi="Californian FB" w:cs="Californian FB"/>
          <w:color w:val="000000" w:themeColor="text1"/>
        </w:rPr>
        <w:t>Lord Neuberger held that it would suffice for a court to be able to hear a proportionality defence in eviction proceedings</w:t>
      </w:r>
      <w:r w:rsidR="008E4BC4">
        <w:rPr>
          <w:rFonts w:ascii="Californian FB" w:eastAsia="Californian FB" w:hAnsi="Californian FB" w:cs="Californian FB"/>
          <w:color w:val="000000" w:themeColor="text1"/>
        </w:rPr>
        <w:t xml:space="preserve"> by </w:t>
      </w:r>
      <w:r w:rsidR="008E4BC4" w:rsidRPr="0080410B">
        <w:rPr>
          <w:rFonts w:ascii="Californian FB" w:eastAsia="Californian FB" w:hAnsi="Californian FB" w:cs="Californian FB"/>
          <w:color w:val="000000" w:themeColor="text1"/>
        </w:rPr>
        <w:t>a public body</w:t>
      </w:r>
      <w:r w:rsidR="008E4BC4">
        <w:rPr>
          <w:rStyle w:val="FootnoteReference"/>
          <w:rFonts w:ascii="Californian FB" w:eastAsia="Californian FB" w:hAnsi="Californian FB" w:cs="Californian FB"/>
          <w:color w:val="000000" w:themeColor="text1"/>
        </w:rPr>
        <w:footnoteReference w:id="99"/>
      </w:r>
      <w:r w:rsidR="008E4BC4" w:rsidRPr="0080410B">
        <w:rPr>
          <w:rFonts w:ascii="Californian FB" w:eastAsia="Californian FB" w:hAnsi="Californian FB" w:cs="Californian FB"/>
          <w:color w:val="000000" w:themeColor="text1"/>
        </w:rPr>
        <w:t xml:space="preserve"> in</w:t>
      </w:r>
      <w:r w:rsidR="008E4BC4" w:rsidRPr="00CC23F2">
        <w:rPr>
          <w:rFonts w:ascii="Californian FB" w:eastAsia="Californian FB" w:hAnsi="Californian FB" w:cs="Californian FB"/>
          <w:color w:val="000000" w:themeColor="text1"/>
        </w:rPr>
        <w:t xml:space="preserve"> order to achieve compatibility with </w:t>
      </w:r>
      <w:r w:rsidR="008E4BC4">
        <w:rPr>
          <w:rFonts w:ascii="Californian FB" w:eastAsia="Californian FB" w:hAnsi="Californian FB" w:cs="Californian FB"/>
          <w:color w:val="000000" w:themeColor="text1"/>
        </w:rPr>
        <w:t>A</w:t>
      </w:r>
      <w:r w:rsidR="008E4BC4" w:rsidRPr="00CC23F2">
        <w:rPr>
          <w:rFonts w:ascii="Californian FB" w:eastAsia="Californian FB" w:hAnsi="Californian FB" w:cs="Californian FB"/>
          <w:color w:val="000000" w:themeColor="text1"/>
        </w:rPr>
        <w:t>8</w:t>
      </w:r>
      <w:r w:rsidR="008E4BC4">
        <w:rPr>
          <w:rFonts w:ascii="Californian FB" w:eastAsia="Californian FB" w:hAnsi="Californian FB" w:cs="Californian FB"/>
          <w:color w:val="000000" w:themeColor="text1"/>
        </w:rPr>
        <w:t xml:space="preserve"> for the purposes of section 6 HRA</w:t>
      </w:r>
      <w:r w:rsidR="008E4BC4" w:rsidRPr="00CC23F2">
        <w:rPr>
          <w:rFonts w:ascii="Californian FB" w:eastAsia="Californian FB" w:hAnsi="Californian FB" w:cs="Californian FB"/>
          <w:color w:val="000000" w:themeColor="text1"/>
        </w:rPr>
        <w:t>.</w:t>
      </w:r>
      <w:r w:rsidR="008E4BC4">
        <w:rPr>
          <w:rStyle w:val="FootnoteReference"/>
          <w:rFonts w:ascii="Californian FB" w:eastAsia="Californian FB" w:hAnsi="Californian FB" w:cs="Californian FB"/>
          <w:color w:val="000000" w:themeColor="text1"/>
        </w:rPr>
        <w:footnoteReference w:id="100"/>
      </w:r>
      <w:r w:rsidR="008E4BC4" w:rsidRPr="00CC23F2">
        <w:rPr>
          <w:rFonts w:ascii="Californian FB" w:eastAsia="Californian FB" w:hAnsi="Californian FB" w:cs="Californian FB"/>
          <w:color w:val="000000" w:themeColor="text1"/>
        </w:rPr>
        <w:t xml:space="preserve"> He noted that</w:t>
      </w:r>
      <w:r w:rsidR="008E4BC4" w:rsidRPr="00CC23F2">
        <w:rPr>
          <w:rFonts w:ascii="Californian FB" w:eastAsia="Californian FB" w:hAnsi="Californian FB" w:cs="Californian FB"/>
          <w:i/>
          <w:iCs/>
          <w:color w:val="000000" w:themeColor="text1"/>
        </w:rPr>
        <w:t xml:space="preserve"> </w:t>
      </w:r>
      <w:r w:rsidR="008E4BC4" w:rsidRPr="00CC23F2">
        <w:rPr>
          <w:rFonts w:ascii="Californian FB" w:eastAsia="Californian FB" w:hAnsi="Californian FB" w:cs="Californian FB"/>
          <w:color w:val="000000" w:themeColor="text1"/>
        </w:rPr>
        <w:t>only in exceptional cases will there be a successful proportionality defence where the applicant has no right to remain in the property.</w:t>
      </w:r>
      <w:bookmarkStart w:id="17" w:name="_Ref174709847"/>
      <w:r w:rsidR="008E4BC4">
        <w:rPr>
          <w:rStyle w:val="FootnoteReference"/>
          <w:rFonts w:ascii="Californian FB" w:eastAsia="Californian FB" w:hAnsi="Californian FB" w:cs="Californian FB"/>
          <w:color w:val="000000" w:themeColor="text1"/>
        </w:rPr>
        <w:footnoteReference w:id="101"/>
      </w:r>
      <w:bookmarkEnd w:id="17"/>
    </w:p>
    <w:p w14:paraId="18C784C2" w14:textId="755641EA" w:rsidR="00E277BA" w:rsidRDefault="008E4BC4" w:rsidP="008E4BC4">
      <w:pPr>
        <w:spacing w:line="256" w:lineRule="auto"/>
        <w:jc w:val="both"/>
        <w:rPr>
          <w:rFonts w:ascii="Californian FB" w:eastAsia="Californian FB" w:hAnsi="Californian FB" w:cs="Californian FB"/>
          <w:color w:val="000000" w:themeColor="text1"/>
        </w:rPr>
      </w:pPr>
      <w:r w:rsidRPr="00CC23F2">
        <w:rPr>
          <w:rFonts w:ascii="Californian FB" w:eastAsia="Californian FB" w:hAnsi="Californian FB" w:cs="Californian FB"/>
          <w:color w:val="000000" w:themeColor="text1"/>
        </w:rPr>
        <w:t xml:space="preserve">The shortcomings we identified in the </w:t>
      </w:r>
      <w:r w:rsidR="00702043">
        <w:rPr>
          <w:rFonts w:ascii="Californian FB" w:eastAsia="Californian FB" w:hAnsi="Californian FB" w:cs="Californian FB"/>
          <w:color w:val="000000" w:themeColor="text1"/>
        </w:rPr>
        <w:t>linked</w:t>
      </w:r>
      <w:r w:rsidR="00702043" w:rsidRPr="00CC23F2">
        <w:rPr>
          <w:rFonts w:ascii="Californian FB" w:eastAsia="Californian FB" w:hAnsi="Californian FB" w:cs="Californian FB"/>
          <w:color w:val="000000" w:themeColor="text1"/>
        </w:rPr>
        <w:t xml:space="preserve"> </w:t>
      </w:r>
      <w:r w:rsidRPr="00CC23F2">
        <w:rPr>
          <w:rFonts w:ascii="Californian FB" w:eastAsia="Californian FB" w:hAnsi="Californian FB" w:cs="Californian FB"/>
          <w:color w:val="000000" w:themeColor="text1"/>
        </w:rPr>
        <w:t xml:space="preserve">paper (that the Court is not always consistent in deciding what counts as a ‘home’) are not cured by a broad human right to respect for the home. In </w:t>
      </w:r>
      <w:r w:rsidR="001A55A6" w:rsidRPr="001A55A6">
        <w:rPr>
          <w:rFonts w:ascii="Californian FB" w:eastAsia="Californian FB" w:hAnsi="Californian FB" w:cs="Californian FB"/>
          <w:i/>
          <w:iCs/>
          <w:color w:val="000000" w:themeColor="text1"/>
          <w:lang w:val="en-US"/>
        </w:rPr>
        <w:t>R (ZH and CN) v Newham LBC &amp; Lewisham LBC</w:t>
      </w:r>
      <w:r w:rsidRPr="00CC23F2">
        <w:rPr>
          <w:rFonts w:ascii="Californian FB" w:eastAsia="Californian FB" w:hAnsi="Californian FB" w:cs="Californian FB"/>
          <w:color w:val="000000" w:themeColor="text1"/>
        </w:rPr>
        <w:t>,</w:t>
      </w:r>
      <w:r w:rsidR="001A55A6">
        <w:rPr>
          <w:rStyle w:val="FootnoteReference"/>
          <w:rFonts w:ascii="Californian FB" w:eastAsia="Californian FB" w:hAnsi="Californian FB" w:cs="Californian FB"/>
          <w:color w:val="000000" w:themeColor="text1"/>
        </w:rPr>
        <w:footnoteReference w:id="102"/>
      </w:r>
      <w:r w:rsidRPr="00CC23F2">
        <w:rPr>
          <w:rFonts w:ascii="Californian FB" w:eastAsia="Californian FB" w:hAnsi="Californian FB" w:cs="Californian FB"/>
          <w:color w:val="000000" w:themeColor="text1"/>
        </w:rPr>
        <w:t xml:space="preserve"> the appellants failed in their claim that section 3 </w:t>
      </w:r>
      <w:r>
        <w:rPr>
          <w:rFonts w:ascii="Californian FB" w:eastAsia="Californian FB" w:hAnsi="Californian FB" w:cs="Californian FB"/>
          <w:color w:val="000000" w:themeColor="text1"/>
        </w:rPr>
        <w:t>of the Protection from Eviction</w:t>
      </w:r>
      <w:r w:rsidRPr="00CC23F2">
        <w:rPr>
          <w:rFonts w:ascii="Californian FB" w:eastAsia="Californian FB" w:hAnsi="Californian FB" w:cs="Californian FB"/>
          <w:color w:val="000000" w:themeColor="text1"/>
        </w:rPr>
        <w:t xml:space="preserve"> </w:t>
      </w:r>
      <w:r>
        <w:rPr>
          <w:rFonts w:ascii="Californian FB" w:eastAsia="Californian FB" w:hAnsi="Californian FB" w:cs="Californian FB"/>
          <w:color w:val="000000" w:themeColor="text1"/>
        </w:rPr>
        <w:t>Act (</w:t>
      </w:r>
      <w:r w:rsidRPr="00CC23F2">
        <w:rPr>
          <w:rFonts w:ascii="Californian FB" w:eastAsia="Californian FB" w:hAnsi="Californian FB" w:cs="Californian FB"/>
          <w:color w:val="000000" w:themeColor="text1"/>
        </w:rPr>
        <w:t>PEA</w:t>
      </w:r>
      <w:r>
        <w:rPr>
          <w:rFonts w:ascii="Californian FB" w:eastAsia="Californian FB" w:hAnsi="Californian FB" w:cs="Californian FB"/>
          <w:color w:val="000000" w:themeColor="text1"/>
        </w:rPr>
        <w:t>)</w:t>
      </w:r>
      <w:r w:rsidRPr="00CC23F2">
        <w:rPr>
          <w:rFonts w:ascii="Californian FB" w:eastAsia="Californian FB" w:hAnsi="Californian FB" w:cs="Californian FB"/>
          <w:color w:val="000000" w:themeColor="text1"/>
        </w:rPr>
        <w:t xml:space="preserve"> 1977 required a local authority to obtain a court order to recover property that had been licensed to them as temporary accommodation, on the basis that such property was not being occupied </w:t>
      </w:r>
      <w:r w:rsidR="00750D00">
        <w:rPr>
          <w:rFonts w:ascii="Californian FB" w:eastAsia="Californian FB" w:hAnsi="Californian FB" w:cs="Californian FB"/>
          <w:color w:val="000000" w:themeColor="text1"/>
        </w:rPr>
        <w:t xml:space="preserve">by them </w:t>
      </w:r>
      <w:r w:rsidRPr="00CC23F2">
        <w:rPr>
          <w:rFonts w:ascii="Californian FB" w:eastAsia="Californian FB" w:hAnsi="Californian FB" w:cs="Californian FB"/>
          <w:color w:val="000000" w:themeColor="text1"/>
        </w:rPr>
        <w:t xml:space="preserve">as a </w:t>
      </w:r>
      <w:r w:rsidR="00750D00">
        <w:rPr>
          <w:rFonts w:ascii="Californian FB" w:eastAsia="Californian FB" w:hAnsi="Californian FB" w:cs="Californian FB"/>
          <w:color w:val="000000" w:themeColor="text1"/>
        </w:rPr>
        <w:t>‘</w:t>
      </w:r>
      <w:r w:rsidRPr="00CC23F2">
        <w:rPr>
          <w:rFonts w:ascii="Californian FB" w:eastAsia="Californian FB" w:hAnsi="Californian FB" w:cs="Californian FB"/>
          <w:color w:val="000000" w:themeColor="text1"/>
        </w:rPr>
        <w:t>dwelling</w:t>
      </w:r>
      <w:r w:rsidR="00750D00">
        <w:rPr>
          <w:rFonts w:ascii="Californian FB" w:eastAsia="Californian FB" w:hAnsi="Californian FB" w:cs="Californian FB"/>
          <w:color w:val="000000" w:themeColor="text1"/>
        </w:rPr>
        <w:t>’</w:t>
      </w:r>
      <w:r w:rsidRPr="00CC23F2">
        <w:rPr>
          <w:rFonts w:ascii="Californian FB" w:eastAsia="Californian FB" w:hAnsi="Californian FB" w:cs="Californian FB"/>
          <w:color w:val="000000" w:themeColor="text1"/>
        </w:rPr>
        <w:t>. They argued</w:t>
      </w:r>
      <w:r w:rsidR="00E277BA">
        <w:rPr>
          <w:rFonts w:ascii="Californian FB" w:eastAsia="Californian FB" w:hAnsi="Californian FB" w:cs="Californian FB"/>
          <w:color w:val="000000" w:themeColor="text1"/>
        </w:rPr>
        <w:t>,</w:t>
      </w:r>
      <w:r w:rsidRPr="00CC23F2">
        <w:rPr>
          <w:rFonts w:ascii="Californian FB" w:eastAsia="Californian FB" w:hAnsi="Californian FB" w:cs="Californian FB"/>
          <w:color w:val="000000" w:themeColor="text1"/>
        </w:rPr>
        <w:t xml:space="preserve"> in the alternative</w:t>
      </w:r>
      <w:r w:rsidR="00E277BA">
        <w:rPr>
          <w:rFonts w:ascii="Californian FB" w:eastAsia="Californian FB" w:hAnsi="Californian FB" w:cs="Californian FB"/>
          <w:color w:val="000000" w:themeColor="text1"/>
        </w:rPr>
        <w:t>,</w:t>
      </w:r>
      <w:r w:rsidRPr="00CC23F2">
        <w:rPr>
          <w:rFonts w:ascii="Californian FB" w:eastAsia="Californian FB" w:hAnsi="Californian FB" w:cs="Californian FB"/>
          <w:color w:val="000000" w:themeColor="text1"/>
        </w:rPr>
        <w:t xml:space="preserve"> that the authorities were required to bring court proceedings anyway, so that the appellants could then raise a proportionality defence.</w:t>
      </w:r>
      <w:r>
        <w:rPr>
          <w:rFonts w:ascii="Californian FB" w:eastAsia="Californian FB" w:hAnsi="Californian FB" w:cs="Californian FB"/>
          <w:color w:val="000000" w:themeColor="text1"/>
        </w:rPr>
        <w:t xml:space="preserve"> It had been conceded that A8 was applicable,</w:t>
      </w:r>
      <w:r>
        <w:rPr>
          <w:rStyle w:val="FootnoteReference"/>
          <w:rFonts w:ascii="Californian FB" w:eastAsia="Californian FB" w:hAnsi="Californian FB" w:cs="Californian FB"/>
          <w:color w:val="000000" w:themeColor="text1"/>
        </w:rPr>
        <w:footnoteReference w:id="103"/>
      </w:r>
      <w:r>
        <w:rPr>
          <w:rFonts w:ascii="Californian FB" w:eastAsia="Californian FB" w:hAnsi="Californian FB" w:cs="Californian FB"/>
          <w:color w:val="000000" w:themeColor="text1"/>
        </w:rPr>
        <w:t xml:space="preserve"> so the matter turned on compatibility.</w:t>
      </w:r>
      <w:r w:rsidRPr="00CC23F2">
        <w:rPr>
          <w:rFonts w:ascii="Californian FB" w:eastAsia="Californian FB" w:hAnsi="Californian FB" w:cs="Californian FB"/>
          <w:color w:val="000000" w:themeColor="text1"/>
        </w:rPr>
        <w:t xml:space="preserve"> </w:t>
      </w:r>
    </w:p>
    <w:p w14:paraId="06B85EE3" w14:textId="77777777" w:rsidR="00BE3697" w:rsidRDefault="008E4BC4" w:rsidP="008E4BC4">
      <w:pPr>
        <w:spacing w:line="256" w:lineRule="auto"/>
        <w:jc w:val="both"/>
        <w:rPr>
          <w:rFonts w:ascii="Californian FB" w:eastAsia="Californian FB" w:hAnsi="Californian FB" w:cs="Californian FB"/>
          <w:color w:val="000000" w:themeColor="text1"/>
        </w:rPr>
      </w:pPr>
      <w:r>
        <w:rPr>
          <w:rFonts w:ascii="Californian FB" w:eastAsia="Californian FB" w:hAnsi="Californian FB" w:cs="Californian FB"/>
          <w:color w:val="000000" w:themeColor="text1"/>
        </w:rPr>
        <w:t xml:space="preserve">While sections 3 and 6 were not explicitly cited in solving the matter, it was ultimately concluded that the statutory scheme as it related to these appeals did safeguard A8 rights. </w:t>
      </w:r>
      <w:r w:rsidRPr="00CC23F2">
        <w:rPr>
          <w:rFonts w:ascii="Californian FB" w:eastAsia="Californian FB" w:hAnsi="Californian FB" w:cs="Californian FB"/>
          <w:color w:val="000000" w:themeColor="text1"/>
        </w:rPr>
        <w:t>Lord Hodge remarked that ‘premises may not be “let as a dwelling” under PEA 1977 and yet be a home for the purposes of A8 of the ECHR’,</w:t>
      </w:r>
      <w:r>
        <w:rPr>
          <w:rStyle w:val="FootnoteReference"/>
          <w:rFonts w:ascii="Californian FB" w:eastAsia="Californian FB" w:hAnsi="Californian FB" w:cs="Californian FB"/>
          <w:color w:val="000000" w:themeColor="text1"/>
        </w:rPr>
        <w:footnoteReference w:id="104"/>
      </w:r>
      <w:r w:rsidRPr="00CC23F2">
        <w:rPr>
          <w:rFonts w:ascii="Californian FB" w:eastAsia="Californian FB" w:hAnsi="Californian FB" w:cs="Californian FB"/>
          <w:color w:val="000000" w:themeColor="text1"/>
        </w:rPr>
        <w:t xml:space="preserve"> which initially suggests the hope that the ECHR and the HRA can bolster the protections offered by domestic law. Nevertheless, he held that the procedures and available safeguards were in accordance with the law and in pursuit of a legitimate aim</w:t>
      </w:r>
      <w:r w:rsidR="003607D8">
        <w:rPr>
          <w:rFonts w:ascii="Californian FB" w:eastAsia="Californian FB" w:hAnsi="Californian FB" w:cs="Californian FB"/>
          <w:color w:val="000000" w:themeColor="text1"/>
        </w:rPr>
        <w:t>.</w:t>
      </w:r>
      <w:r>
        <w:rPr>
          <w:rStyle w:val="FootnoteReference"/>
          <w:rFonts w:ascii="Californian FB" w:eastAsia="Californian FB" w:hAnsi="Californian FB" w:cs="Californian FB"/>
          <w:color w:val="000000" w:themeColor="text1"/>
        </w:rPr>
        <w:footnoteReference w:id="105"/>
      </w:r>
      <w:r w:rsidRPr="00CC23F2">
        <w:rPr>
          <w:rFonts w:ascii="Californian FB" w:eastAsia="Californian FB" w:hAnsi="Californian FB" w:cs="Californian FB"/>
          <w:color w:val="000000" w:themeColor="text1"/>
        </w:rPr>
        <w:t xml:space="preserve"> As for proportionality, the county court can consider this on an appeal of the review decision, under section 204.</w:t>
      </w:r>
      <w:r>
        <w:rPr>
          <w:rStyle w:val="FootnoteReference"/>
          <w:rFonts w:ascii="Californian FB" w:eastAsia="Californian FB" w:hAnsi="Californian FB" w:cs="Californian FB"/>
          <w:color w:val="000000" w:themeColor="text1"/>
        </w:rPr>
        <w:footnoteReference w:id="106"/>
      </w:r>
      <w:r w:rsidRPr="00CC23F2">
        <w:rPr>
          <w:rFonts w:ascii="Californian FB" w:eastAsia="Californian FB" w:hAnsi="Californian FB" w:cs="Californian FB"/>
          <w:color w:val="000000" w:themeColor="text1"/>
        </w:rPr>
        <w:t xml:space="preserve"> Thus, while the domestic law protections turned on the majority’s narrow definition of ‘dwelling’, A8 defines the ‘home’ more widely in according it protection – and yet it made no difference. </w:t>
      </w:r>
    </w:p>
    <w:p w14:paraId="799D3E01" w14:textId="4E2B7950" w:rsidR="008E4BC4" w:rsidRPr="00CC23F2" w:rsidRDefault="008E4BC4" w:rsidP="008E4BC4">
      <w:pPr>
        <w:spacing w:line="256" w:lineRule="auto"/>
        <w:jc w:val="both"/>
        <w:rPr>
          <w:rFonts w:ascii="Californian FB" w:eastAsia="Californian FB" w:hAnsi="Californian FB" w:cs="Californian FB"/>
          <w:color w:val="000000" w:themeColor="text1"/>
        </w:rPr>
      </w:pPr>
      <w:r w:rsidRPr="00CC23F2">
        <w:rPr>
          <w:rFonts w:ascii="Californian FB" w:eastAsia="Californian FB" w:hAnsi="Californian FB" w:cs="Californian FB"/>
          <w:color w:val="000000" w:themeColor="text1"/>
        </w:rPr>
        <w:t xml:space="preserve">In </w:t>
      </w:r>
      <w:r w:rsidRPr="4E5106A0">
        <w:rPr>
          <w:rFonts w:ascii="Californian FB" w:eastAsia="Californian FB" w:hAnsi="Californian FB" w:cs="Californian FB"/>
          <w:i/>
          <w:iCs/>
          <w:color w:val="000000" w:themeColor="text1"/>
        </w:rPr>
        <w:t>Sims</w:t>
      </w:r>
      <w:r w:rsidRPr="42D18D7A">
        <w:rPr>
          <w:rFonts w:ascii="Californian FB" w:eastAsia="Californian FB" w:hAnsi="Californian FB" w:cs="Californian FB"/>
          <w:color w:val="000000" w:themeColor="text1"/>
        </w:rPr>
        <w:t xml:space="preserve">, </w:t>
      </w:r>
      <w:r w:rsidR="00B73608">
        <w:rPr>
          <w:rFonts w:ascii="Californian FB" w:eastAsia="Californian FB" w:hAnsi="Californian FB" w:cs="Californian FB"/>
          <w:color w:val="000000" w:themeColor="text1"/>
        </w:rPr>
        <w:t>discussed</w:t>
      </w:r>
      <w:r w:rsidRPr="42D18D7A">
        <w:rPr>
          <w:rFonts w:ascii="Californian FB" w:eastAsia="Californian FB" w:hAnsi="Californian FB" w:cs="Californian FB"/>
          <w:color w:val="000000" w:themeColor="text1"/>
        </w:rPr>
        <w:t xml:space="preserve"> earlier, Lord Neuberger noted that the service of notice by the appellant’s wife, ending their tenancy, </w:t>
      </w:r>
      <w:r w:rsidR="00A30404">
        <w:rPr>
          <w:rFonts w:ascii="Californian FB" w:eastAsia="Californian FB" w:hAnsi="Californian FB" w:cs="Californian FB"/>
          <w:color w:val="000000" w:themeColor="text1"/>
        </w:rPr>
        <w:t>‘</w:t>
      </w:r>
      <w:r w:rsidRPr="42D18D7A">
        <w:rPr>
          <w:rFonts w:ascii="Californian FB" w:eastAsia="Californian FB" w:hAnsi="Californian FB" w:cs="Californian FB"/>
          <w:color w:val="000000" w:themeColor="text1"/>
        </w:rPr>
        <w:t>put at risk [his] enjoyment of his home’</w:t>
      </w:r>
      <w:r w:rsidR="00FD2BE2">
        <w:rPr>
          <w:rFonts w:ascii="Californian FB" w:eastAsia="Californian FB" w:hAnsi="Californian FB" w:cs="Californian FB"/>
          <w:color w:val="000000" w:themeColor="text1"/>
        </w:rPr>
        <w:t>,</w:t>
      </w:r>
      <w:r w:rsidRPr="42D18D7A">
        <w:rPr>
          <w:rFonts w:ascii="Californian FB" w:eastAsia="Californian FB" w:hAnsi="Californian FB" w:cs="Californian FB"/>
          <w:color w:val="000000" w:themeColor="text1"/>
        </w:rPr>
        <w:t xml:space="preserve"> and that </w:t>
      </w:r>
      <w:r>
        <w:rPr>
          <w:rFonts w:ascii="Californian FB" w:eastAsia="Californian FB" w:hAnsi="Californian FB" w:cs="Californian FB"/>
          <w:color w:val="000000" w:themeColor="text1"/>
        </w:rPr>
        <w:t>‘</w:t>
      </w:r>
      <w:r w:rsidRPr="42D18D7A">
        <w:rPr>
          <w:rFonts w:ascii="Californian FB" w:eastAsia="Californian FB" w:hAnsi="Californian FB" w:cs="Californian FB"/>
          <w:color w:val="000000" w:themeColor="text1"/>
        </w:rPr>
        <w:t>different considerations’ may apply where</w:t>
      </w:r>
      <w:r w:rsidR="00D93650">
        <w:rPr>
          <w:rFonts w:ascii="Californian FB" w:eastAsia="Californian FB" w:hAnsi="Californian FB" w:cs="Californian FB"/>
          <w:color w:val="000000" w:themeColor="text1"/>
        </w:rPr>
        <w:t xml:space="preserve"> </w:t>
      </w:r>
      <w:r w:rsidRPr="42D18D7A">
        <w:rPr>
          <w:rFonts w:ascii="Californian FB" w:eastAsia="Californian FB" w:hAnsi="Californian FB" w:cs="Californian FB"/>
          <w:color w:val="000000" w:themeColor="text1"/>
        </w:rPr>
        <w:t xml:space="preserve">the appellant risked </w:t>
      </w:r>
      <w:r>
        <w:rPr>
          <w:rFonts w:ascii="Californian FB" w:eastAsia="Californian FB" w:hAnsi="Californian FB" w:cs="Californian FB"/>
          <w:color w:val="000000" w:themeColor="text1"/>
        </w:rPr>
        <w:t>‘</w:t>
      </w:r>
      <w:r w:rsidRPr="42D18D7A">
        <w:rPr>
          <w:rFonts w:ascii="Californian FB" w:eastAsia="Californian FB" w:hAnsi="Californian FB" w:cs="Californian FB"/>
          <w:color w:val="000000" w:themeColor="text1"/>
        </w:rPr>
        <w:t>losing what has been his family home for many years.’</w:t>
      </w:r>
      <w:r w:rsidRPr="42D18D7A">
        <w:rPr>
          <w:rStyle w:val="FootnoteReference"/>
          <w:rFonts w:ascii="Californian FB" w:eastAsia="Californian FB" w:hAnsi="Californian FB" w:cs="Californian FB"/>
          <w:color w:val="000000" w:themeColor="text1"/>
        </w:rPr>
        <w:footnoteReference w:id="107"/>
      </w:r>
      <w:r w:rsidRPr="42D18D7A">
        <w:rPr>
          <w:rFonts w:ascii="Californian FB" w:eastAsia="Californian FB" w:hAnsi="Californian FB" w:cs="Californian FB"/>
          <w:color w:val="000000" w:themeColor="text1"/>
        </w:rPr>
        <w:t xml:space="preserve"> Nevertheless, dismissing the</w:t>
      </w:r>
      <w:r w:rsidR="00FA398E">
        <w:rPr>
          <w:rFonts w:ascii="Californian FB" w:eastAsia="Californian FB" w:hAnsi="Californian FB" w:cs="Californian FB"/>
          <w:color w:val="000000" w:themeColor="text1"/>
        </w:rPr>
        <w:t xml:space="preserve"> appellant’s</w:t>
      </w:r>
      <w:r w:rsidRPr="42D18D7A">
        <w:rPr>
          <w:rFonts w:ascii="Californian FB" w:eastAsia="Californian FB" w:hAnsi="Californian FB" w:cs="Californian FB"/>
          <w:color w:val="000000" w:themeColor="text1"/>
        </w:rPr>
        <w:t xml:space="preserve"> argument</w:t>
      </w:r>
      <w:r w:rsidR="00FA398E">
        <w:rPr>
          <w:rFonts w:ascii="Californian FB" w:eastAsia="Californian FB" w:hAnsi="Californian FB" w:cs="Californian FB"/>
          <w:color w:val="000000" w:themeColor="text1"/>
        </w:rPr>
        <w:t xml:space="preserve"> in </w:t>
      </w:r>
      <w:r w:rsidR="00FA398E" w:rsidRPr="00FA398E">
        <w:rPr>
          <w:rFonts w:ascii="Californian FB" w:eastAsia="Californian FB" w:hAnsi="Californian FB" w:cs="Californian FB"/>
          <w:i/>
          <w:iCs/>
          <w:color w:val="000000" w:themeColor="text1"/>
        </w:rPr>
        <w:t>Sims</w:t>
      </w:r>
      <w:r w:rsidRPr="42D18D7A">
        <w:rPr>
          <w:rFonts w:ascii="Californian FB" w:eastAsia="Californian FB" w:hAnsi="Californian FB" w:cs="Californian FB"/>
          <w:color w:val="000000" w:themeColor="text1"/>
        </w:rPr>
        <w:t xml:space="preserve"> in a way similar to the A1P1 point, he held that </w:t>
      </w:r>
      <w:r w:rsidR="00930CBC">
        <w:rPr>
          <w:rFonts w:ascii="Californian FB" w:eastAsia="Californian FB" w:hAnsi="Californian FB" w:cs="Californian FB"/>
          <w:color w:val="000000" w:themeColor="text1"/>
        </w:rPr>
        <w:t>‘</w:t>
      </w:r>
      <w:r w:rsidRPr="42D18D7A">
        <w:rPr>
          <w:rFonts w:ascii="Californian FB" w:eastAsia="Californian FB" w:hAnsi="Californian FB" w:cs="Californian FB"/>
          <w:color w:val="000000" w:themeColor="text1"/>
        </w:rPr>
        <w:t xml:space="preserve">full respect’ was given, inter alia, by the fact that the tenancy was terminated </w:t>
      </w:r>
      <w:r w:rsidR="00A30404">
        <w:rPr>
          <w:rFonts w:ascii="Californian FB" w:eastAsia="Californian FB" w:hAnsi="Californian FB" w:cs="Californian FB"/>
          <w:color w:val="000000" w:themeColor="text1"/>
        </w:rPr>
        <w:t>‘</w:t>
      </w:r>
      <w:r w:rsidRPr="42D18D7A">
        <w:rPr>
          <w:rFonts w:ascii="Californian FB" w:eastAsia="Californian FB" w:hAnsi="Californian FB" w:cs="Californian FB"/>
          <w:color w:val="000000" w:themeColor="text1"/>
        </w:rPr>
        <w:t>in accordance with its contractual terms to which he had agreed’, and that PEA would require a court order in his case.</w:t>
      </w:r>
      <w:r w:rsidRPr="42D18D7A">
        <w:rPr>
          <w:rStyle w:val="FootnoteReference"/>
          <w:rFonts w:ascii="Californian FB" w:eastAsia="Californian FB" w:hAnsi="Californian FB" w:cs="Californian FB"/>
          <w:color w:val="000000" w:themeColor="text1"/>
        </w:rPr>
        <w:footnoteReference w:id="108"/>
      </w:r>
      <w:r w:rsidRPr="42D18D7A">
        <w:rPr>
          <w:rFonts w:ascii="Californian FB" w:eastAsia="Californian FB" w:hAnsi="Californian FB" w:cs="Californian FB"/>
          <w:color w:val="000000" w:themeColor="text1"/>
        </w:rPr>
        <w:t xml:space="preserve"> </w:t>
      </w:r>
    </w:p>
    <w:p w14:paraId="0D8D5660" w14:textId="462AB95C" w:rsidR="008E4BC4" w:rsidRDefault="0075736B" w:rsidP="008E4BC4">
      <w:pPr>
        <w:spacing w:line="256" w:lineRule="auto"/>
        <w:jc w:val="both"/>
        <w:rPr>
          <w:rFonts w:ascii="Californian FB" w:eastAsia="Californian FB" w:hAnsi="Californian FB" w:cs="Californian FB"/>
        </w:rPr>
      </w:pPr>
      <w:r>
        <w:rPr>
          <w:rFonts w:ascii="Californian FB" w:eastAsia="Californian FB" w:hAnsi="Californian FB" w:cs="Californian FB"/>
          <w:color w:val="000000" w:themeColor="text1"/>
        </w:rPr>
        <w:t>While</w:t>
      </w:r>
      <w:r w:rsidR="00EE14BD">
        <w:rPr>
          <w:rFonts w:ascii="Californian FB" w:eastAsia="Californian FB" w:hAnsi="Californian FB" w:cs="Californian FB"/>
          <w:color w:val="000000" w:themeColor="text1"/>
        </w:rPr>
        <w:t xml:space="preserve"> </w:t>
      </w:r>
      <w:r w:rsidR="008E4BC4" w:rsidRPr="00CC23F2">
        <w:rPr>
          <w:rFonts w:ascii="Californian FB" w:eastAsia="Californian FB" w:hAnsi="Californian FB" w:cs="Californian FB"/>
          <w:color w:val="000000" w:themeColor="text1"/>
        </w:rPr>
        <w:t>Lord Neuberger and Lady Hale</w:t>
      </w:r>
      <w:r w:rsidR="008E4BC4">
        <w:rPr>
          <w:rFonts w:ascii="Californian FB" w:eastAsia="Californian FB" w:hAnsi="Californian FB" w:cs="Californian FB"/>
          <w:color w:val="000000" w:themeColor="text1"/>
        </w:rPr>
        <w:t xml:space="preserve">’s dissents in </w:t>
      </w:r>
      <w:r w:rsidR="008E4BC4" w:rsidRPr="4E5106A0">
        <w:rPr>
          <w:rFonts w:ascii="Californian FB" w:eastAsia="Californian FB" w:hAnsi="Californian FB" w:cs="Californian FB"/>
          <w:i/>
          <w:iCs/>
          <w:color w:val="000000" w:themeColor="text1"/>
        </w:rPr>
        <w:t xml:space="preserve">ZH </w:t>
      </w:r>
      <w:r w:rsidR="008E4BC4">
        <w:rPr>
          <w:rFonts w:ascii="Californian FB" w:eastAsia="Californian FB" w:hAnsi="Californian FB" w:cs="Californian FB"/>
          <w:color w:val="000000" w:themeColor="text1"/>
        </w:rPr>
        <w:t xml:space="preserve">gave </w:t>
      </w:r>
      <w:r w:rsidR="008E4BC4" w:rsidRPr="00CC23F2">
        <w:rPr>
          <w:rFonts w:ascii="Californian FB" w:eastAsia="Californian FB" w:hAnsi="Californian FB" w:cs="Californian FB"/>
          <w:color w:val="000000" w:themeColor="text1"/>
        </w:rPr>
        <w:t xml:space="preserve">wider </w:t>
      </w:r>
      <w:r w:rsidR="008E4BC4" w:rsidRPr="11722F7C">
        <w:rPr>
          <w:rFonts w:ascii="Californian FB" w:eastAsia="Californian FB" w:hAnsi="Californian FB" w:cs="Californian FB"/>
          <w:color w:val="000000" w:themeColor="text1"/>
        </w:rPr>
        <w:t xml:space="preserve">readings </w:t>
      </w:r>
      <w:r w:rsidR="008E4BC4" w:rsidRPr="00CC23F2">
        <w:rPr>
          <w:rFonts w:ascii="Californian FB" w:eastAsia="Californian FB" w:hAnsi="Californian FB" w:cs="Californian FB"/>
          <w:color w:val="000000" w:themeColor="text1"/>
        </w:rPr>
        <w:t xml:space="preserve">of ‘dwelling’ that made the </w:t>
      </w:r>
      <w:r w:rsidR="008E4BC4">
        <w:rPr>
          <w:rFonts w:ascii="Californian FB" w:eastAsia="Californian FB" w:hAnsi="Californian FB" w:cs="Californian FB"/>
          <w:color w:val="000000" w:themeColor="text1"/>
        </w:rPr>
        <w:t>A</w:t>
      </w:r>
      <w:r w:rsidR="008E4BC4" w:rsidRPr="00CC23F2">
        <w:rPr>
          <w:rFonts w:ascii="Californian FB" w:eastAsia="Californian FB" w:hAnsi="Californian FB" w:cs="Californian FB"/>
          <w:color w:val="000000" w:themeColor="text1"/>
        </w:rPr>
        <w:t>8 point redundant</w:t>
      </w:r>
      <w:r>
        <w:rPr>
          <w:rFonts w:ascii="Californian FB" w:eastAsia="Californian FB" w:hAnsi="Californian FB" w:cs="Californian FB"/>
          <w:color w:val="000000" w:themeColor="text1"/>
        </w:rPr>
        <w:t>, i</w:t>
      </w:r>
      <w:r w:rsidR="008E4BC4" w:rsidRPr="00CC23F2">
        <w:rPr>
          <w:rFonts w:ascii="Californian FB" w:eastAsia="Californian FB" w:hAnsi="Californian FB" w:cs="Californian FB"/>
          <w:color w:val="000000" w:themeColor="text1"/>
        </w:rPr>
        <w:t xml:space="preserve">nterestingly, in </w:t>
      </w:r>
      <w:r w:rsidR="008E4BC4" w:rsidRPr="4E5106A0">
        <w:rPr>
          <w:rFonts w:ascii="Californian FB" w:eastAsia="Californian FB" w:hAnsi="Californian FB" w:cs="Californian FB"/>
          <w:i/>
          <w:iCs/>
          <w:color w:val="000000" w:themeColor="text1"/>
        </w:rPr>
        <w:t xml:space="preserve">McDonald </w:t>
      </w:r>
      <w:r w:rsidR="008E4BC4" w:rsidRPr="00CC23F2">
        <w:rPr>
          <w:rFonts w:ascii="Californian FB" w:eastAsia="Californian FB" w:hAnsi="Californian FB" w:cs="Californian FB"/>
          <w:color w:val="000000" w:themeColor="text1"/>
        </w:rPr>
        <w:t xml:space="preserve">a year later, they revisited PEA 1977 in a joint judgment, and viewed it among other </w:t>
      </w:r>
      <w:r w:rsidR="008A2EEB">
        <w:rPr>
          <w:rFonts w:ascii="Californian FB" w:eastAsia="Californian FB" w:hAnsi="Californian FB" w:cs="Californian FB"/>
          <w:color w:val="000000" w:themeColor="text1"/>
        </w:rPr>
        <w:t>legislation</w:t>
      </w:r>
      <w:r w:rsidR="008A2EEB" w:rsidRPr="00CC23F2">
        <w:rPr>
          <w:rFonts w:ascii="Californian FB" w:eastAsia="Californian FB" w:hAnsi="Californian FB" w:cs="Californian FB"/>
          <w:color w:val="000000" w:themeColor="text1"/>
        </w:rPr>
        <w:t xml:space="preserve"> </w:t>
      </w:r>
      <w:r w:rsidR="008E4BC4" w:rsidRPr="00CC23F2">
        <w:rPr>
          <w:rFonts w:ascii="Californian FB" w:eastAsia="Californian FB" w:hAnsi="Californian FB" w:cs="Californian FB"/>
          <w:color w:val="000000" w:themeColor="text1"/>
        </w:rPr>
        <w:t xml:space="preserve">as </w:t>
      </w:r>
      <w:r w:rsidR="008E4BC4" w:rsidRPr="4E5106A0">
        <w:rPr>
          <w:rFonts w:ascii="Californian FB" w:eastAsia="Californian FB" w:hAnsi="Californian FB" w:cs="Californian FB"/>
          <w:i/>
          <w:iCs/>
          <w:color w:val="000000" w:themeColor="text1"/>
        </w:rPr>
        <w:t xml:space="preserve">sufficient </w:t>
      </w:r>
      <w:r w:rsidR="008E4BC4" w:rsidRPr="00CC23F2">
        <w:rPr>
          <w:rFonts w:ascii="Californian FB" w:eastAsia="Californian FB" w:hAnsi="Californian FB" w:cs="Californian FB"/>
          <w:color w:val="000000" w:themeColor="text1"/>
        </w:rPr>
        <w:t>to ‘properly balance the competing rights’ in the private sector.</w:t>
      </w:r>
      <w:r w:rsidR="008E4BC4">
        <w:rPr>
          <w:rStyle w:val="FootnoteReference"/>
          <w:rFonts w:ascii="Californian FB" w:eastAsia="Californian FB" w:hAnsi="Californian FB" w:cs="Californian FB"/>
          <w:color w:val="000000" w:themeColor="text1"/>
        </w:rPr>
        <w:footnoteReference w:id="109"/>
      </w:r>
      <w:r w:rsidR="008E4BC4" w:rsidRPr="00CC23F2">
        <w:rPr>
          <w:rFonts w:ascii="Californian FB" w:eastAsia="Californian FB" w:hAnsi="Californian FB" w:cs="Californian FB"/>
          <w:color w:val="000000" w:themeColor="text1"/>
        </w:rPr>
        <w:t xml:space="preserve"> </w:t>
      </w:r>
      <w:r w:rsidR="00C01063">
        <w:rPr>
          <w:rFonts w:ascii="Californian FB" w:eastAsia="Californian FB" w:hAnsi="Californian FB" w:cs="Californian FB"/>
          <w:color w:val="000000" w:themeColor="text1"/>
        </w:rPr>
        <w:t>The case turned on whether</w:t>
      </w:r>
      <w:r w:rsidR="008E4BC4" w:rsidRPr="00CC23F2">
        <w:rPr>
          <w:rFonts w:ascii="Californian FB" w:eastAsia="Californian FB" w:hAnsi="Californian FB" w:cs="Californian FB"/>
          <w:color w:val="000000" w:themeColor="text1"/>
        </w:rPr>
        <w:t xml:space="preserve"> court</w:t>
      </w:r>
      <w:r w:rsidR="008A2EEB">
        <w:rPr>
          <w:rFonts w:ascii="Californian FB" w:eastAsia="Californian FB" w:hAnsi="Californian FB" w:cs="Californian FB"/>
          <w:color w:val="000000" w:themeColor="text1"/>
        </w:rPr>
        <w:t>s</w:t>
      </w:r>
      <w:r w:rsidR="008E4BC4" w:rsidRPr="00CC23F2">
        <w:rPr>
          <w:rFonts w:ascii="Californian FB" w:eastAsia="Californian FB" w:hAnsi="Californian FB" w:cs="Californian FB"/>
          <w:color w:val="000000" w:themeColor="text1"/>
        </w:rPr>
        <w:t xml:space="preserve">, in proceedings between a private landlord and their tenant, </w:t>
      </w:r>
      <w:r w:rsidR="00C01063">
        <w:rPr>
          <w:rFonts w:ascii="Californian FB" w:eastAsia="Californian FB" w:hAnsi="Californian FB" w:cs="Californian FB"/>
          <w:color w:val="000000" w:themeColor="text1"/>
        </w:rPr>
        <w:t>were</w:t>
      </w:r>
      <w:r w:rsidR="00C01063" w:rsidDel="008A2EEB">
        <w:rPr>
          <w:rFonts w:ascii="Californian FB" w:eastAsia="Californian FB" w:hAnsi="Californian FB" w:cs="Californian FB"/>
          <w:color w:val="000000" w:themeColor="text1"/>
        </w:rPr>
        <w:t xml:space="preserve"> </w:t>
      </w:r>
      <w:r w:rsidR="008E4BC4" w:rsidRPr="00CC23F2">
        <w:rPr>
          <w:rFonts w:ascii="Californian FB" w:eastAsia="Californian FB" w:hAnsi="Californian FB" w:cs="Californian FB"/>
          <w:color w:val="000000" w:themeColor="text1"/>
        </w:rPr>
        <w:t>required to consider proportionality in order to comply with section 6</w:t>
      </w:r>
      <w:r w:rsidR="00DD442E">
        <w:rPr>
          <w:rFonts w:ascii="Californian FB" w:eastAsia="Californian FB" w:hAnsi="Californian FB" w:cs="Californian FB"/>
          <w:color w:val="000000" w:themeColor="text1"/>
        </w:rPr>
        <w:t xml:space="preserve"> </w:t>
      </w:r>
      <w:r w:rsidR="008E4BC4" w:rsidRPr="00CC23F2">
        <w:rPr>
          <w:rFonts w:ascii="Californian FB" w:eastAsia="Californian FB" w:hAnsi="Californian FB" w:cs="Californian FB"/>
          <w:color w:val="000000" w:themeColor="text1"/>
        </w:rPr>
        <w:t>HRA 1998</w:t>
      </w:r>
      <w:r w:rsidR="00C01063">
        <w:rPr>
          <w:rFonts w:ascii="Californian FB" w:eastAsia="Californian FB" w:hAnsi="Californian FB" w:cs="Californian FB"/>
          <w:color w:val="000000" w:themeColor="text1"/>
        </w:rPr>
        <w:t xml:space="preserve">. </w:t>
      </w:r>
      <w:r w:rsidR="008E4BC4" w:rsidRPr="00CC23F2">
        <w:rPr>
          <w:rFonts w:ascii="Californian FB" w:eastAsia="Californian FB" w:hAnsi="Californian FB" w:cs="Californian FB"/>
          <w:color w:val="000000" w:themeColor="text1"/>
        </w:rPr>
        <w:t>It was held tha</w:t>
      </w:r>
      <w:r w:rsidR="00912E9F">
        <w:rPr>
          <w:rFonts w:ascii="Californian FB" w:eastAsia="Californian FB" w:hAnsi="Californian FB" w:cs="Californian FB"/>
          <w:color w:val="000000" w:themeColor="text1"/>
        </w:rPr>
        <w:t>t A8 could not ‘</w:t>
      </w:r>
      <w:r w:rsidR="008E4BC4" w:rsidRPr="00CC23F2">
        <w:rPr>
          <w:rFonts w:ascii="Californian FB" w:eastAsia="Californian FB" w:hAnsi="Californian FB" w:cs="Californian FB"/>
        </w:rPr>
        <w:t xml:space="preserve">justify a different order from that which is mandated by the contractual </w:t>
      </w:r>
      <w:r w:rsidR="008E4BC4" w:rsidRPr="00CC23F2">
        <w:rPr>
          <w:rFonts w:ascii="Californian FB" w:eastAsia="Californian FB" w:hAnsi="Californian FB" w:cs="Californian FB"/>
        </w:rPr>
        <w:lastRenderedPageBreak/>
        <w:t>relationship between the parties</w:t>
      </w:r>
      <w:r w:rsidR="008E4BC4">
        <w:rPr>
          <w:rFonts w:ascii="Californian FB" w:eastAsia="Californian FB" w:hAnsi="Californian FB" w:cs="Californian FB"/>
        </w:rPr>
        <w:t>, at least where, as here, there are legislative provisions which the democratically elected legislature has decided properly balance the competing interests of private sector landlords and residential tenants.</w:t>
      </w:r>
      <w:r w:rsidR="00912E9F">
        <w:rPr>
          <w:rFonts w:ascii="Californian FB" w:eastAsia="Californian FB" w:hAnsi="Californian FB" w:cs="Californian FB"/>
        </w:rPr>
        <w:t>’</w:t>
      </w:r>
      <w:r w:rsidR="008E4BC4">
        <w:rPr>
          <w:rStyle w:val="FootnoteReference"/>
          <w:rFonts w:ascii="Californian FB" w:eastAsia="Californian FB" w:hAnsi="Californian FB" w:cs="Californian FB"/>
          <w:color w:val="000000" w:themeColor="text1"/>
        </w:rPr>
        <w:footnoteReference w:id="110"/>
      </w:r>
      <w:r w:rsidR="008E4BC4" w:rsidRPr="00CC23F2">
        <w:rPr>
          <w:rFonts w:ascii="Californian FB" w:eastAsia="Californian FB" w:hAnsi="Californian FB" w:cs="Californian FB"/>
          <w:color w:val="000000" w:themeColor="text1"/>
        </w:rPr>
        <w:t xml:space="preserve"> </w:t>
      </w:r>
      <w:r w:rsidR="008E4BC4">
        <w:rPr>
          <w:rFonts w:ascii="Californian FB" w:eastAsia="Californian FB" w:hAnsi="Californian FB" w:cs="Californian FB"/>
          <w:color w:val="000000" w:themeColor="text1"/>
        </w:rPr>
        <w:t>It</w:t>
      </w:r>
      <w:r w:rsidR="008E4BC4" w:rsidRPr="00CC23F2">
        <w:rPr>
          <w:rFonts w:ascii="Californian FB" w:eastAsia="Californian FB" w:hAnsi="Californian FB" w:cs="Californian FB"/>
          <w:color w:val="000000" w:themeColor="text1"/>
        </w:rPr>
        <w:t xml:space="preserve"> was</w:t>
      </w:r>
      <w:r w:rsidR="008E4BC4">
        <w:rPr>
          <w:rFonts w:ascii="Californian FB" w:eastAsia="Californian FB" w:hAnsi="Californian FB" w:cs="Californian FB"/>
          <w:color w:val="000000" w:themeColor="text1"/>
        </w:rPr>
        <w:t xml:space="preserve"> also</w:t>
      </w:r>
      <w:r w:rsidR="008E4BC4" w:rsidRPr="00CC23F2">
        <w:rPr>
          <w:rFonts w:ascii="Californian FB" w:eastAsia="Californian FB" w:hAnsi="Californian FB" w:cs="Californian FB"/>
          <w:color w:val="000000" w:themeColor="text1"/>
        </w:rPr>
        <w:t xml:space="preserve"> difficult to see how, on the facts, if a judge were to conduct a proportionality exercise, the applicant’s needs would outweigh the lender’s need to be repaid.</w:t>
      </w:r>
      <w:r w:rsidR="008E4BC4">
        <w:rPr>
          <w:rStyle w:val="FootnoteReference"/>
          <w:rFonts w:ascii="Californian FB" w:eastAsia="Californian FB" w:hAnsi="Californian FB" w:cs="Californian FB"/>
          <w:color w:val="000000" w:themeColor="text1"/>
        </w:rPr>
        <w:footnoteReference w:id="111"/>
      </w:r>
      <w:r w:rsidR="008E4BC4">
        <w:rPr>
          <w:rFonts w:ascii="Californian FB" w:eastAsia="Californian FB" w:hAnsi="Californian FB" w:cs="Californian FB"/>
          <w:color w:val="000000" w:themeColor="text1"/>
        </w:rPr>
        <w:t xml:space="preserve"> While Lord Neuberger in </w:t>
      </w:r>
      <w:r w:rsidR="008E4BC4">
        <w:rPr>
          <w:rFonts w:ascii="Californian FB" w:eastAsia="Californian FB" w:hAnsi="Californian FB" w:cs="Californian FB"/>
          <w:i/>
          <w:iCs/>
          <w:color w:val="000000" w:themeColor="text1"/>
        </w:rPr>
        <w:t>Pinnock</w:t>
      </w:r>
      <w:r w:rsidR="008E4BC4">
        <w:rPr>
          <w:rFonts w:ascii="Californian FB" w:eastAsia="Californian FB" w:hAnsi="Californian FB" w:cs="Californian FB"/>
          <w:color w:val="000000" w:themeColor="text1"/>
        </w:rPr>
        <w:t xml:space="preserve"> had been careful to highlight that the judgment was to have no bearing on cases where a private landlord was seeking the order for possession, explaining that domestic and Strasbourg authorities were not conclusive,</w:t>
      </w:r>
      <w:r w:rsidR="008E4BC4">
        <w:rPr>
          <w:rStyle w:val="FootnoteReference"/>
          <w:rFonts w:ascii="Californian FB" w:eastAsia="Californian FB" w:hAnsi="Californian FB" w:cs="Californian FB"/>
          <w:color w:val="000000" w:themeColor="text1"/>
        </w:rPr>
        <w:footnoteReference w:id="112"/>
      </w:r>
      <w:r w:rsidR="008E4BC4">
        <w:rPr>
          <w:rFonts w:ascii="Californian FB" w:eastAsia="Californian FB" w:hAnsi="Californian FB" w:cs="Californian FB"/>
          <w:color w:val="000000" w:themeColor="text1"/>
        </w:rPr>
        <w:t xml:space="preserve"> he and Lady Hale in </w:t>
      </w:r>
      <w:r w:rsidR="008E4BC4">
        <w:rPr>
          <w:rFonts w:ascii="Californian FB" w:eastAsia="Californian FB" w:hAnsi="Californian FB" w:cs="Californian FB"/>
          <w:i/>
          <w:iCs/>
          <w:color w:val="000000" w:themeColor="text1"/>
        </w:rPr>
        <w:t>McDonald</w:t>
      </w:r>
      <w:r w:rsidR="008E4BC4">
        <w:rPr>
          <w:rFonts w:ascii="Californian FB" w:eastAsia="Californian FB" w:hAnsi="Californian FB" w:cs="Californian FB"/>
          <w:color w:val="000000" w:themeColor="text1"/>
        </w:rPr>
        <w:t xml:space="preserve"> seemed to place importance on the fact that it was </w:t>
      </w:r>
      <w:r w:rsidR="008E4BC4">
        <w:rPr>
          <w:rFonts w:ascii="Californian FB" w:eastAsia="Californian FB" w:hAnsi="Californian FB" w:cs="Californian FB"/>
          <w:i/>
          <w:iCs/>
          <w:color w:val="000000" w:themeColor="text1"/>
        </w:rPr>
        <w:t>not</w:t>
      </w:r>
      <w:r w:rsidR="008E4BC4">
        <w:rPr>
          <w:rFonts w:ascii="Californian FB" w:eastAsia="Californian FB" w:hAnsi="Californian FB" w:cs="Californian FB"/>
          <w:color w:val="000000" w:themeColor="text1"/>
        </w:rPr>
        <w:t xml:space="preserve"> a public body seeking possession. They seem to have held</w:t>
      </w:r>
      <w:bookmarkStart w:id="18" w:name="_Ref174710967"/>
      <w:r w:rsidR="008E4BC4">
        <w:rPr>
          <w:rStyle w:val="FootnoteReference"/>
          <w:rFonts w:ascii="Californian FB" w:eastAsia="Californian FB" w:hAnsi="Californian FB" w:cs="Californian FB"/>
          <w:color w:val="000000" w:themeColor="text1"/>
        </w:rPr>
        <w:footnoteReference w:id="113"/>
      </w:r>
      <w:bookmarkEnd w:id="18"/>
      <w:r w:rsidR="008E4BC4">
        <w:rPr>
          <w:rFonts w:ascii="Californian FB" w:eastAsia="Californian FB" w:hAnsi="Californian FB" w:cs="Californian FB"/>
          <w:color w:val="000000" w:themeColor="text1"/>
        </w:rPr>
        <w:t xml:space="preserve"> that A8 was applicable (</w:t>
      </w:r>
      <w:proofErr w:type="spellStart"/>
      <w:r w:rsidR="008E4BC4">
        <w:rPr>
          <w:rFonts w:ascii="Californian FB" w:eastAsia="Californian FB" w:hAnsi="Californian FB" w:cs="Californian FB"/>
          <w:color w:val="000000" w:themeColor="text1"/>
        </w:rPr>
        <w:t>ie</w:t>
      </w:r>
      <w:proofErr w:type="spellEnd"/>
      <w:r w:rsidR="008E4BC4">
        <w:rPr>
          <w:rFonts w:ascii="Californian FB" w:eastAsia="Californian FB" w:hAnsi="Californian FB" w:cs="Californian FB"/>
          <w:color w:val="000000" w:themeColor="text1"/>
        </w:rPr>
        <w:t xml:space="preserve"> engaged) but that there was no incompatibility. Their reasoning in relation to the balance having been struck by statute therefore seems </w:t>
      </w:r>
      <w:r w:rsidR="008E4BC4">
        <w:rPr>
          <w:rFonts w:ascii="Californian FB" w:eastAsia="Californian FB" w:hAnsi="Californian FB" w:cs="Californian FB"/>
          <w:i/>
          <w:iCs/>
          <w:color w:val="000000" w:themeColor="text1"/>
        </w:rPr>
        <w:t>not</w:t>
      </w:r>
      <w:r w:rsidR="008E4BC4">
        <w:rPr>
          <w:rFonts w:ascii="Californian FB" w:eastAsia="Californian FB" w:hAnsi="Californian FB" w:cs="Californian FB"/>
          <w:color w:val="000000" w:themeColor="text1"/>
        </w:rPr>
        <w:t xml:space="preserve"> to rule out A8</w:t>
      </w:r>
      <w:r w:rsidR="00234CC1">
        <w:rPr>
          <w:rFonts w:ascii="Californian FB" w:eastAsia="Californian FB" w:hAnsi="Californian FB" w:cs="Californian FB"/>
          <w:color w:val="000000" w:themeColor="text1"/>
        </w:rPr>
        <w:t>’s applicability</w:t>
      </w:r>
      <w:r w:rsidR="008E4BC4">
        <w:rPr>
          <w:rFonts w:ascii="Californian FB" w:eastAsia="Californian FB" w:hAnsi="Californian FB" w:cs="Californian FB"/>
          <w:color w:val="000000" w:themeColor="text1"/>
        </w:rPr>
        <w:t>,</w:t>
      </w:r>
      <w:r w:rsidR="008E4BC4">
        <w:rPr>
          <w:rStyle w:val="FootnoteReference"/>
          <w:rFonts w:ascii="Californian FB" w:eastAsia="Californian FB" w:hAnsi="Californian FB" w:cs="Californian FB"/>
          <w:color w:val="000000" w:themeColor="text1"/>
        </w:rPr>
        <w:footnoteReference w:id="114"/>
      </w:r>
      <w:r w:rsidR="008E4BC4">
        <w:rPr>
          <w:rFonts w:ascii="Californian FB" w:eastAsia="Californian FB" w:hAnsi="Californian FB" w:cs="Californian FB"/>
          <w:color w:val="000000" w:themeColor="text1"/>
        </w:rPr>
        <w:t xml:space="preserve"> but it does make incompatibility a very high hurdle indeed. </w:t>
      </w:r>
      <w:r w:rsidR="008E4BC4" w:rsidRPr="00CC23F2">
        <w:rPr>
          <w:rFonts w:ascii="Californian FB" w:eastAsia="Californian FB" w:hAnsi="Californian FB" w:cs="Californian FB"/>
          <w:color w:val="000000" w:themeColor="text1"/>
        </w:rPr>
        <w:t xml:space="preserve">We can </w:t>
      </w:r>
      <w:r w:rsidR="008E4BC4">
        <w:rPr>
          <w:rFonts w:ascii="Californian FB" w:eastAsia="Californian FB" w:hAnsi="Californian FB" w:cs="Californian FB"/>
          <w:color w:val="000000" w:themeColor="text1"/>
        </w:rPr>
        <w:t xml:space="preserve">perhaps </w:t>
      </w:r>
      <w:r w:rsidR="008E4BC4" w:rsidRPr="00CC23F2">
        <w:rPr>
          <w:rFonts w:ascii="Californian FB" w:eastAsia="Californian FB" w:hAnsi="Californian FB" w:cs="Californian FB"/>
          <w:color w:val="000000" w:themeColor="text1"/>
        </w:rPr>
        <w:t xml:space="preserve">speculate that the Court </w:t>
      </w:r>
      <w:r w:rsidR="008E4BC4" w:rsidRPr="11722F7C">
        <w:rPr>
          <w:rFonts w:ascii="Californian FB" w:eastAsia="Californian FB" w:hAnsi="Californian FB" w:cs="Californian FB"/>
          <w:color w:val="000000" w:themeColor="text1"/>
        </w:rPr>
        <w:t>may have</w:t>
      </w:r>
      <w:r w:rsidR="008E4BC4">
        <w:rPr>
          <w:rFonts w:ascii="Californian FB" w:eastAsia="Californian FB" w:hAnsi="Californian FB" w:cs="Californian FB"/>
          <w:color w:val="000000" w:themeColor="text1"/>
        </w:rPr>
        <w:t xml:space="preserve"> anticipated</w:t>
      </w:r>
      <w:r w:rsidR="008E4BC4" w:rsidRPr="11722F7C">
        <w:rPr>
          <w:rFonts w:ascii="Californian FB" w:eastAsia="Californian FB" w:hAnsi="Californian FB" w:cs="Californian FB"/>
          <w:color w:val="000000" w:themeColor="text1"/>
        </w:rPr>
        <w:t xml:space="preserve"> </w:t>
      </w:r>
      <w:r w:rsidR="008E4BC4" w:rsidRPr="00CC23F2">
        <w:rPr>
          <w:rFonts w:ascii="Californian FB" w:eastAsia="Californian FB" w:hAnsi="Californian FB" w:cs="Californian FB"/>
          <w:color w:val="000000" w:themeColor="text1"/>
        </w:rPr>
        <w:t xml:space="preserve">a Strasbourg challenge in taking </w:t>
      </w:r>
      <w:r w:rsidR="008E4BC4">
        <w:rPr>
          <w:rFonts w:ascii="Californian FB" w:eastAsia="Californian FB" w:hAnsi="Californian FB" w:cs="Californian FB"/>
          <w:color w:val="000000" w:themeColor="text1"/>
        </w:rPr>
        <w:t>its</w:t>
      </w:r>
      <w:r w:rsidR="008E4BC4" w:rsidRPr="00CC23F2">
        <w:rPr>
          <w:rFonts w:ascii="Californian FB" w:eastAsia="Californian FB" w:hAnsi="Californian FB" w:cs="Californian FB"/>
          <w:color w:val="000000" w:themeColor="text1"/>
        </w:rPr>
        <w:t xml:space="preserve"> non-interventionist stance: </w:t>
      </w:r>
      <w:r w:rsidR="0002206D">
        <w:rPr>
          <w:rFonts w:ascii="Californian FB" w:eastAsia="Californian FB" w:hAnsi="Californian FB" w:cs="Californian FB"/>
          <w:color w:val="000000" w:themeColor="text1"/>
        </w:rPr>
        <w:t>t</w:t>
      </w:r>
      <w:r w:rsidR="008E4BC4">
        <w:rPr>
          <w:rFonts w:ascii="Californian FB" w:eastAsia="Californian FB" w:hAnsi="Californian FB" w:cs="Californian FB"/>
        </w:rPr>
        <w:t xml:space="preserve">he appellant did indeed pursue the matter in the European Court of Human Rights in </w:t>
      </w:r>
      <w:r w:rsidR="008E4BC4">
        <w:rPr>
          <w:rFonts w:ascii="Californian FB" w:eastAsia="Californian FB" w:hAnsi="Californian FB" w:cs="Californian FB"/>
          <w:i/>
          <w:iCs/>
        </w:rPr>
        <w:t>FJM v United Kingdom</w:t>
      </w:r>
      <w:r w:rsidR="008E4BC4">
        <w:rPr>
          <w:rFonts w:ascii="Californian FB" w:eastAsia="Californian FB" w:hAnsi="Californian FB" w:cs="Californian FB"/>
        </w:rPr>
        <w:t>,</w:t>
      </w:r>
      <w:r w:rsidR="008E4BC4" w:rsidRPr="00560F86">
        <w:rPr>
          <w:rStyle w:val="FootnoteReference"/>
          <w:rFonts w:ascii="Californian FB" w:eastAsia="Californian FB" w:hAnsi="Californian FB" w:cs="Californian FB"/>
        </w:rPr>
        <w:footnoteReference w:id="115"/>
      </w:r>
      <w:r w:rsidR="008E4BC4">
        <w:rPr>
          <w:rFonts w:ascii="Californian FB" w:eastAsia="Californian FB" w:hAnsi="Californian FB" w:cs="Californian FB"/>
        </w:rPr>
        <w:t xml:space="preserve"> unsuccessfully, with the Court offering reasoning that underexplored its own jurisprudence.</w:t>
      </w:r>
      <w:r w:rsidR="008E4BC4">
        <w:rPr>
          <w:rStyle w:val="FootnoteReference"/>
          <w:rFonts w:ascii="Californian FB" w:eastAsia="Californian FB" w:hAnsi="Californian FB" w:cs="Californian FB"/>
        </w:rPr>
        <w:footnoteReference w:id="116"/>
      </w:r>
      <w:r w:rsidR="008E4BC4" w:rsidRPr="00560F86">
        <w:rPr>
          <w:rFonts w:ascii="Californian FB" w:eastAsia="Californian FB" w:hAnsi="Californian FB" w:cs="Californian FB"/>
        </w:rPr>
        <w:t xml:space="preserve"> </w:t>
      </w:r>
    </w:p>
    <w:p w14:paraId="0237692F" w14:textId="77777777" w:rsidR="008E4BC4" w:rsidRPr="006111B5" w:rsidRDefault="008E4BC4" w:rsidP="008E4BC4">
      <w:pPr>
        <w:spacing w:line="256" w:lineRule="auto"/>
        <w:jc w:val="both"/>
        <w:rPr>
          <w:rFonts w:ascii="Californian FB" w:eastAsia="Californian FB" w:hAnsi="Californian FB" w:cs="Californian FB"/>
          <w:iCs/>
          <w:color w:val="000000" w:themeColor="text1"/>
        </w:rPr>
      </w:pPr>
      <w:r w:rsidRPr="00CC23F2">
        <w:rPr>
          <w:rFonts w:ascii="Californian FB" w:eastAsia="Californian FB" w:hAnsi="Californian FB" w:cs="Californian FB"/>
          <w:color w:val="000000" w:themeColor="text1"/>
        </w:rPr>
        <w:t xml:space="preserve">While the result in </w:t>
      </w:r>
      <w:r w:rsidRPr="4E5106A0">
        <w:rPr>
          <w:rFonts w:ascii="Californian FB" w:eastAsia="Californian FB" w:hAnsi="Californian FB" w:cs="Californian FB"/>
          <w:i/>
          <w:iCs/>
          <w:color w:val="000000" w:themeColor="text1"/>
        </w:rPr>
        <w:t xml:space="preserve">McDonald </w:t>
      </w:r>
      <w:r w:rsidRPr="00CC23F2">
        <w:rPr>
          <w:rFonts w:ascii="Californian FB" w:eastAsia="Californian FB" w:hAnsi="Californian FB" w:cs="Californian FB"/>
          <w:color w:val="000000" w:themeColor="text1"/>
        </w:rPr>
        <w:t xml:space="preserve">is disappointing, </w:t>
      </w:r>
      <w:r>
        <w:rPr>
          <w:rFonts w:ascii="Californian FB" w:eastAsia="Californian FB" w:hAnsi="Californian FB" w:cs="Californian FB"/>
          <w:color w:val="000000" w:themeColor="text1"/>
        </w:rPr>
        <w:t>Lord Neuberger and Lady Hale’s</w:t>
      </w:r>
      <w:r w:rsidRPr="00CC23F2">
        <w:rPr>
          <w:rFonts w:ascii="Californian FB" w:eastAsia="Californian FB" w:hAnsi="Californian FB" w:cs="Californian FB"/>
          <w:color w:val="000000" w:themeColor="text1"/>
        </w:rPr>
        <w:t xml:space="preserve"> generous view</w:t>
      </w:r>
      <w:r>
        <w:rPr>
          <w:rFonts w:ascii="Californian FB" w:eastAsia="Californian FB" w:hAnsi="Californian FB" w:cs="Californian FB"/>
          <w:color w:val="000000" w:themeColor="text1"/>
        </w:rPr>
        <w:t xml:space="preserve"> (already expressed in their dissenting judgments in </w:t>
      </w:r>
      <w:r>
        <w:rPr>
          <w:rFonts w:ascii="Californian FB" w:eastAsia="Californian FB" w:hAnsi="Californian FB" w:cs="Californian FB"/>
          <w:i/>
          <w:iCs/>
          <w:color w:val="000000" w:themeColor="text1"/>
        </w:rPr>
        <w:t>ZH</w:t>
      </w:r>
      <w:r>
        <w:rPr>
          <w:rFonts w:ascii="Californian FB" w:eastAsia="Californian FB" w:hAnsi="Californian FB" w:cs="Californian FB"/>
          <w:color w:val="000000" w:themeColor="text1"/>
        </w:rPr>
        <w:t>)</w:t>
      </w:r>
      <w:r w:rsidRPr="00CC23F2">
        <w:rPr>
          <w:rFonts w:ascii="Californian FB" w:eastAsia="Californian FB" w:hAnsi="Californian FB" w:cs="Californian FB"/>
          <w:color w:val="000000" w:themeColor="text1"/>
        </w:rPr>
        <w:t xml:space="preserve"> of what PEA </w:t>
      </w:r>
      <w:r w:rsidRPr="4E5106A0">
        <w:rPr>
          <w:rFonts w:ascii="Californian FB" w:eastAsia="Californian FB" w:hAnsi="Californian FB" w:cs="Californian FB"/>
          <w:i/>
          <w:iCs/>
          <w:color w:val="000000" w:themeColor="text1"/>
        </w:rPr>
        <w:t>does</w:t>
      </w:r>
      <w:r w:rsidRPr="00CC23F2">
        <w:rPr>
          <w:rFonts w:ascii="Californian FB" w:eastAsia="Californian FB" w:hAnsi="Californian FB" w:cs="Californian FB"/>
          <w:color w:val="000000" w:themeColor="text1"/>
        </w:rPr>
        <w:t xml:space="preserve"> and the extent to which it protects accommodation at the extreme end of insecure perhaps explains why </w:t>
      </w:r>
      <w:r>
        <w:rPr>
          <w:rFonts w:ascii="Californian FB" w:eastAsia="Californian FB" w:hAnsi="Californian FB" w:cs="Californian FB"/>
          <w:color w:val="000000" w:themeColor="text1"/>
        </w:rPr>
        <w:t>they</w:t>
      </w:r>
      <w:r w:rsidRPr="11722F7C">
        <w:rPr>
          <w:rFonts w:ascii="Californian FB" w:eastAsia="Californian FB" w:hAnsi="Californian FB" w:cs="Californian FB"/>
          <w:color w:val="000000" w:themeColor="text1"/>
        </w:rPr>
        <w:t xml:space="preserve"> </w:t>
      </w:r>
      <w:r w:rsidRPr="00CC23F2">
        <w:rPr>
          <w:rFonts w:ascii="Californian FB" w:eastAsia="Californian FB" w:hAnsi="Californian FB" w:cs="Californian FB"/>
          <w:color w:val="000000" w:themeColor="text1"/>
        </w:rPr>
        <w:t>found</w:t>
      </w:r>
      <w:r>
        <w:rPr>
          <w:rFonts w:ascii="Californian FB" w:eastAsia="Californian FB" w:hAnsi="Californian FB" w:cs="Californian FB"/>
          <w:color w:val="000000" w:themeColor="text1"/>
        </w:rPr>
        <w:t xml:space="preserve"> in </w:t>
      </w:r>
      <w:r>
        <w:rPr>
          <w:rFonts w:ascii="Californian FB" w:eastAsia="Californian FB" w:hAnsi="Californian FB" w:cs="Californian FB"/>
          <w:i/>
          <w:iCs/>
          <w:color w:val="000000" w:themeColor="text1"/>
        </w:rPr>
        <w:t>McDonald</w:t>
      </w:r>
      <w:r w:rsidRPr="00CC23F2">
        <w:rPr>
          <w:rFonts w:ascii="Californian FB" w:eastAsia="Californian FB" w:hAnsi="Californian FB" w:cs="Californian FB"/>
          <w:color w:val="000000" w:themeColor="text1"/>
        </w:rPr>
        <w:t xml:space="preserve"> that the legislature had already struck a proper balance. </w:t>
      </w:r>
      <w:r>
        <w:rPr>
          <w:rFonts w:ascii="Californian FB" w:eastAsia="Californian FB" w:hAnsi="Californian FB" w:cs="Californian FB"/>
          <w:color w:val="000000" w:themeColor="text1"/>
        </w:rPr>
        <w:t xml:space="preserve">It is not clear to what extent this view was the determining factor in </w:t>
      </w:r>
      <w:r>
        <w:rPr>
          <w:rFonts w:ascii="Californian FB" w:eastAsia="Californian FB" w:hAnsi="Californian FB" w:cs="Californian FB"/>
          <w:i/>
          <w:iCs/>
          <w:color w:val="000000" w:themeColor="text1"/>
        </w:rPr>
        <w:t>McDonald</w:t>
      </w:r>
      <w:r>
        <w:rPr>
          <w:rFonts w:ascii="Californian FB" w:eastAsia="Californian FB" w:hAnsi="Californian FB" w:cs="Californian FB"/>
          <w:color w:val="000000" w:themeColor="text1"/>
        </w:rPr>
        <w:t xml:space="preserve">: it seems rather that this was the emphasis on the fact that Strasbourg jurisprudence simply did not extend A8 applicability to evictions by private landlords. It is a separate question whether the view that A8 does not apply in such situations is </w:t>
      </w:r>
      <w:r>
        <w:rPr>
          <w:rFonts w:ascii="Californian FB" w:eastAsia="Californian FB" w:hAnsi="Californian FB" w:cs="Californian FB"/>
          <w:i/>
          <w:color w:val="000000" w:themeColor="text1"/>
        </w:rPr>
        <w:t>correct</w:t>
      </w:r>
      <w:r>
        <w:rPr>
          <w:rFonts w:ascii="Californian FB" w:eastAsia="Californian FB" w:hAnsi="Californian FB" w:cs="Californian FB"/>
          <w:iCs/>
          <w:color w:val="000000" w:themeColor="text1"/>
        </w:rPr>
        <w:t xml:space="preserve">, and </w:t>
      </w:r>
      <w:r w:rsidRPr="00DC1317">
        <w:rPr>
          <w:rFonts w:ascii="Californian FB" w:eastAsia="Californian FB" w:hAnsi="Californian FB" w:cs="Californian FB"/>
          <w:color w:val="000000" w:themeColor="text1"/>
        </w:rPr>
        <w:t>the Court is perhaps not clear on what view it is</w:t>
      </w:r>
      <w:r>
        <w:rPr>
          <w:rFonts w:ascii="Californian FB" w:eastAsia="Californian FB" w:hAnsi="Californian FB" w:cs="Californian FB"/>
          <w:iCs/>
          <w:color w:val="000000" w:themeColor="text1"/>
        </w:rPr>
        <w:t xml:space="preserve"> taking.</w:t>
      </w:r>
    </w:p>
    <w:p w14:paraId="22CAEE6B" w14:textId="79640B30" w:rsidR="008E4BC4" w:rsidRPr="00ED6A07" w:rsidRDefault="008E4BC4" w:rsidP="008E4BC4">
      <w:pPr>
        <w:spacing w:line="256" w:lineRule="auto"/>
        <w:jc w:val="both"/>
        <w:rPr>
          <w:rFonts w:ascii="Californian FB" w:eastAsia="Californian FB" w:hAnsi="Californian FB" w:cs="Californian FB"/>
          <w:color w:val="000000" w:themeColor="text1"/>
        </w:rPr>
      </w:pPr>
      <w:r w:rsidRPr="42D18D7A">
        <w:rPr>
          <w:rFonts w:ascii="Californian FB" w:eastAsia="Californian FB" w:hAnsi="Californian FB" w:cs="Californian FB"/>
          <w:color w:val="000000" w:themeColor="text1"/>
        </w:rPr>
        <w:t xml:space="preserve">In a very different context, Lord Leggatt dismissed the claimants’ attempt to rely on A8 (specifically, the private life aspect) in </w:t>
      </w:r>
      <w:r w:rsidRPr="4E5106A0">
        <w:rPr>
          <w:rFonts w:ascii="Californian FB" w:eastAsia="Californian FB" w:hAnsi="Californian FB" w:cs="Californian FB"/>
          <w:i/>
          <w:iCs/>
          <w:color w:val="000000" w:themeColor="text1"/>
        </w:rPr>
        <w:t>Fearn v Tate Gallery</w:t>
      </w:r>
      <w:r w:rsidRPr="42D18D7A">
        <w:rPr>
          <w:rFonts w:ascii="Californian FB" w:eastAsia="Californian FB" w:hAnsi="Californian FB" w:cs="Californian FB"/>
          <w:color w:val="000000" w:themeColor="text1"/>
        </w:rPr>
        <w:t>.</w:t>
      </w:r>
      <w:bookmarkStart w:id="19" w:name="_Ref174702530"/>
      <w:r w:rsidRPr="42D18D7A">
        <w:rPr>
          <w:rStyle w:val="FootnoteReference"/>
          <w:rFonts w:ascii="Californian FB" w:eastAsia="Californian FB" w:hAnsi="Californian FB" w:cs="Californian FB"/>
          <w:color w:val="000000" w:themeColor="text1"/>
        </w:rPr>
        <w:footnoteReference w:id="117"/>
      </w:r>
      <w:bookmarkEnd w:id="19"/>
      <w:r>
        <w:rPr>
          <w:rFonts w:ascii="Californian FB" w:eastAsia="Californian FB" w:hAnsi="Californian FB" w:cs="Californian FB"/>
          <w:color w:val="000000" w:themeColor="text1"/>
        </w:rPr>
        <w:t xml:space="preserve"> </w:t>
      </w:r>
      <w:r w:rsidRPr="42D18D7A">
        <w:rPr>
          <w:rFonts w:ascii="Californian FB" w:eastAsia="Californian FB" w:hAnsi="Californian FB" w:cs="Californian FB"/>
          <w:color w:val="000000" w:themeColor="text1"/>
        </w:rPr>
        <w:t xml:space="preserve">Describing the argument </w:t>
      </w:r>
      <w:r w:rsidR="00DC1317">
        <w:rPr>
          <w:rFonts w:ascii="Californian FB" w:eastAsia="Californian FB" w:hAnsi="Californian FB" w:cs="Californian FB"/>
          <w:color w:val="000000" w:themeColor="text1"/>
        </w:rPr>
        <w:t>‘</w:t>
      </w:r>
      <w:r w:rsidRPr="42D18D7A">
        <w:rPr>
          <w:rFonts w:ascii="Californian FB" w:eastAsia="Californian FB" w:hAnsi="Californian FB" w:cs="Californian FB"/>
          <w:color w:val="000000" w:themeColor="text1"/>
        </w:rPr>
        <w:t xml:space="preserve">as an unnecessary complication and distraction,’ he added that </w:t>
      </w:r>
      <w:r w:rsidR="00B71238">
        <w:rPr>
          <w:rFonts w:ascii="Californian FB" w:eastAsia="Californian FB" w:hAnsi="Californian FB" w:cs="Californian FB"/>
          <w:color w:val="000000" w:themeColor="text1"/>
        </w:rPr>
        <w:t>‘</w:t>
      </w:r>
      <w:r w:rsidRPr="42D18D7A">
        <w:rPr>
          <w:rFonts w:ascii="Californian FB" w:eastAsia="Californian FB" w:hAnsi="Californian FB" w:cs="Californian FB"/>
          <w:color w:val="000000" w:themeColor="text1"/>
        </w:rPr>
        <w:t>the common law has already developed tried and tested principles which determine when liability arises for the type of legal wrong of which the claimants complain.</w:t>
      </w:r>
      <w:r w:rsidR="00B71238">
        <w:rPr>
          <w:rFonts w:ascii="Californian FB" w:eastAsia="Californian FB" w:hAnsi="Californian FB" w:cs="Californian FB"/>
          <w:color w:val="000000" w:themeColor="text1"/>
        </w:rPr>
        <w:t>’</w:t>
      </w:r>
      <w:r w:rsidRPr="42D18D7A">
        <w:rPr>
          <w:rStyle w:val="FootnoteReference"/>
          <w:rFonts w:ascii="Californian FB" w:eastAsia="Californian FB" w:hAnsi="Californian FB" w:cs="Californian FB"/>
          <w:color w:val="000000" w:themeColor="text1"/>
        </w:rPr>
        <w:footnoteReference w:id="118"/>
      </w:r>
      <w:r w:rsidRPr="42D18D7A">
        <w:rPr>
          <w:rFonts w:ascii="Californian FB" w:eastAsia="Californian FB" w:hAnsi="Californian FB" w:cs="Californian FB"/>
          <w:color w:val="000000" w:themeColor="text1"/>
        </w:rPr>
        <w:t xml:space="preserve"> This was enabled by his extensive view of what was protected by the common law of nuisance: </w:t>
      </w:r>
      <w:r w:rsidR="00B71238">
        <w:rPr>
          <w:rFonts w:ascii="Californian FB" w:eastAsia="Californian FB" w:hAnsi="Californian FB" w:cs="Californian FB"/>
          <w:color w:val="000000" w:themeColor="text1"/>
        </w:rPr>
        <w:t>‘</w:t>
      </w:r>
      <w:r w:rsidRPr="42D18D7A">
        <w:rPr>
          <w:rFonts w:ascii="Californian FB" w:eastAsia="Californian FB" w:hAnsi="Californian FB" w:cs="Californian FB"/>
          <w:color w:val="000000" w:themeColor="text1"/>
        </w:rPr>
        <w:t>[a]n important aspect of the amenity value of real property is the freedom to conduct your life in your own home without being constantly watched and photographed by strangers.’</w:t>
      </w:r>
      <w:r w:rsidRPr="42D18D7A">
        <w:rPr>
          <w:rStyle w:val="FootnoteReference"/>
          <w:rFonts w:ascii="Californian FB" w:eastAsia="Californian FB" w:hAnsi="Californian FB" w:cs="Californian FB"/>
          <w:color w:val="000000" w:themeColor="text1"/>
        </w:rPr>
        <w:footnoteReference w:id="119"/>
      </w:r>
      <w:r w:rsidRPr="42D18D7A">
        <w:rPr>
          <w:rFonts w:ascii="Californian FB" w:eastAsia="Californian FB" w:hAnsi="Californian FB" w:cs="Californian FB"/>
          <w:color w:val="000000" w:themeColor="text1"/>
        </w:rPr>
        <w:t xml:space="preserve"> </w:t>
      </w:r>
      <w:r>
        <w:rPr>
          <w:rFonts w:ascii="Californian FB" w:eastAsia="Californian FB" w:hAnsi="Californian FB" w:cs="Californian FB"/>
          <w:color w:val="000000" w:themeColor="text1"/>
        </w:rPr>
        <w:t xml:space="preserve">While Lord Leggatt’s reasoning here is brief, he does not seem to be explicitly ruling out A8’s </w:t>
      </w:r>
      <w:r>
        <w:rPr>
          <w:rFonts w:ascii="Californian FB" w:eastAsia="Californian FB" w:hAnsi="Californian FB" w:cs="Californian FB"/>
          <w:i/>
          <w:iCs/>
          <w:color w:val="000000" w:themeColor="text1"/>
        </w:rPr>
        <w:t>applicability</w:t>
      </w:r>
      <w:r>
        <w:rPr>
          <w:rFonts w:ascii="Californian FB" w:eastAsia="Californian FB" w:hAnsi="Californian FB" w:cs="Californian FB"/>
          <w:color w:val="000000" w:themeColor="text1"/>
        </w:rPr>
        <w:t xml:space="preserve"> in this context in those terms. Instead, he seems to be saying that the common law goes far enough to protect the interest at hand so that recourse to A8 is not needed. Is this the same thing as ruling out applicability? Lord Leggatt’s judgment, with respect, could have expanded on the relationship between the privacy element of A8 and the privacy element of the property tort concerned in this case. A pattern seems to have emerged where discussions of the potential applicability of human rights provisions are overshadowed by strong, if not always fully developed and articulated, views on how far domestic law </w:t>
      </w:r>
      <w:r>
        <w:rPr>
          <w:rFonts w:ascii="Californian FB" w:eastAsia="Californian FB" w:hAnsi="Californian FB" w:cs="Californian FB"/>
          <w:color w:val="000000" w:themeColor="text1"/>
        </w:rPr>
        <w:lastRenderedPageBreak/>
        <w:t xml:space="preserve">goes to protect the human right concerned. Or, in the case of the dissenting judgments in </w:t>
      </w:r>
      <w:r>
        <w:rPr>
          <w:rFonts w:ascii="Californian FB" w:eastAsia="Californian FB" w:hAnsi="Californian FB" w:cs="Californian FB"/>
          <w:i/>
          <w:iCs/>
          <w:color w:val="000000" w:themeColor="text1"/>
        </w:rPr>
        <w:t>ZH</w:t>
      </w:r>
      <w:r>
        <w:rPr>
          <w:rFonts w:ascii="Californian FB" w:eastAsia="Californian FB" w:hAnsi="Californian FB" w:cs="Californian FB"/>
          <w:color w:val="000000" w:themeColor="text1"/>
        </w:rPr>
        <w:t xml:space="preserve">, how far domestic law </w:t>
      </w:r>
      <w:r>
        <w:rPr>
          <w:rFonts w:ascii="Californian FB" w:eastAsia="Californian FB" w:hAnsi="Californian FB" w:cs="Californian FB"/>
          <w:i/>
          <w:iCs/>
          <w:color w:val="000000" w:themeColor="text1"/>
        </w:rPr>
        <w:t>ought to go</w:t>
      </w:r>
      <w:r>
        <w:rPr>
          <w:rFonts w:ascii="Californian FB" w:eastAsia="Californian FB" w:hAnsi="Californian FB" w:cs="Californian FB"/>
          <w:color w:val="000000" w:themeColor="text1"/>
        </w:rPr>
        <w:t xml:space="preserve"> in protecting it.</w:t>
      </w:r>
    </w:p>
    <w:p w14:paraId="6E3560BA" w14:textId="05FF16E7" w:rsidR="008E4BC4" w:rsidRPr="00E17004" w:rsidRDefault="008E4BC4" w:rsidP="00E17004">
      <w:pPr>
        <w:spacing w:line="256" w:lineRule="auto"/>
        <w:jc w:val="both"/>
        <w:rPr>
          <w:rFonts w:ascii="Californian FB" w:eastAsia="Californian FB" w:hAnsi="Californian FB" w:cs="Californian FB"/>
          <w:color w:val="000000" w:themeColor="text1"/>
        </w:rPr>
      </w:pPr>
      <w:r>
        <w:rPr>
          <w:rFonts w:ascii="Californian FB" w:eastAsia="Californian FB" w:hAnsi="Californian FB" w:cs="Californian FB"/>
          <w:color w:val="000000" w:themeColor="text1"/>
        </w:rPr>
        <w:t>Is A8, then, an increasingly redundant backstop to the flourishing development of private property law?</w:t>
      </w:r>
      <w:r w:rsidRPr="00080E25">
        <w:rPr>
          <w:rFonts w:ascii="Californian FB" w:eastAsia="Californian FB" w:hAnsi="Californian FB" w:cs="Californian FB"/>
          <w:color w:val="000000" w:themeColor="text1"/>
        </w:rPr>
        <w:t xml:space="preserve"> </w:t>
      </w:r>
      <w:r>
        <w:rPr>
          <w:rFonts w:ascii="Californian FB" w:eastAsia="Californian FB" w:hAnsi="Californian FB" w:cs="Californian FB"/>
          <w:color w:val="000000" w:themeColor="text1"/>
        </w:rPr>
        <w:t xml:space="preserve">A note of caution ought to be sounded, as the minority in </w:t>
      </w:r>
      <w:r>
        <w:rPr>
          <w:rFonts w:ascii="Californian FB" w:eastAsia="Californian FB" w:hAnsi="Californian FB" w:cs="Californian FB"/>
          <w:i/>
          <w:iCs/>
          <w:color w:val="000000" w:themeColor="text1"/>
        </w:rPr>
        <w:t>ZH</w:t>
      </w:r>
      <w:r>
        <w:rPr>
          <w:rFonts w:ascii="Californian FB" w:eastAsia="Californian FB" w:hAnsi="Californian FB" w:cs="Californian FB"/>
          <w:color w:val="000000" w:themeColor="text1"/>
        </w:rPr>
        <w:t xml:space="preserve"> seem to want PEA </w:t>
      </w:r>
      <w:r w:rsidRPr="00B71238">
        <w:rPr>
          <w:rFonts w:ascii="Californian FB" w:eastAsia="Californian FB" w:hAnsi="Californian FB" w:cs="Californian FB"/>
          <w:color w:val="000000" w:themeColor="text1"/>
        </w:rPr>
        <w:t>to do more heavy lifting than it ought</w:t>
      </w:r>
      <w:r>
        <w:rPr>
          <w:rFonts w:ascii="Californian FB" w:eastAsia="Californian FB" w:hAnsi="Californian FB" w:cs="Californian FB"/>
          <w:color w:val="000000" w:themeColor="text1"/>
        </w:rPr>
        <w:t xml:space="preserve"> (and the majority certainly dismissed their generous view of PEA). It seems to be assumed that domestic law has done enough that we go no</w:t>
      </w:r>
      <w:r w:rsidRPr="000B4995">
        <w:rPr>
          <w:rFonts w:ascii="Californian FB" w:eastAsia="Californian FB" w:hAnsi="Californian FB" w:cs="Californian FB"/>
          <w:color w:val="000000" w:themeColor="text1"/>
        </w:rPr>
        <w:t xml:space="preserve"> further</w:t>
      </w:r>
      <w:r>
        <w:rPr>
          <w:rFonts w:ascii="Californian FB" w:eastAsia="Californian FB" w:hAnsi="Californian FB" w:cs="Californian FB"/>
          <w:color w:val="000000" w:themeColor="text1"/>
        </w:rPr>
        <w:t>.</w:t>
      </w:r>
      <w:r w:rsidRPr="000B4995">
        <w:rPr>
          <w:rFonts w:ascii="Californian FB" w:eastAsia="Californian FB" w:hAnsi="Californian FB" w:cs="Californian FB"/>
          <w:color w:val="000000" w:themeColor="text1"/>
        </w:rPr>
        <w:t xml:space="preserve"> This may be the case </w:t>
      </w:r>
      <w:r w:rsidRPr="000B4995">
        <w:rPr>
          <w:rFonts w:ascii="Californian FB" w:eastAsia="Californian FB" w:hAnsi="Californian FB" w:cs="Californian FB"/>
          <w:i/>
          <w:iCs/>
          <w:color w:val="000000" w:themeColor="text1"/>
        </w:rPr>
        <w:t>even where the human rights provision is applicable in principle</w:t>
      </w:r>
      <w:r w:rsidRPr="000B4995">
        <w:rPr>
          <w:rFonts w:ascii="Californian FB" w:eastAsia="Californian FB" w:hAnsi="Californian FB" w:cs="Californian FB"/>
          <w:color w:val="000000" w:themeColor="text1"/>
        </w:rPr>
        <w:t xml:space="preserve">. </w:t>
      </w:r>
      <w:r>
        <w:rPr>
          <w:rFonts w:ascii="Californian FB" w:eastAsia="Californian FB" w:hAnsi="Californian FB" w:cs="Californian FB"/>
          <w:color w:val="000000" w:themeColor="text1"/>
        </w:rPr>
        <w:t xml:space="preserve">The </w:t>
      </w:r>
      <w:r w:rsidRPr="00080E25">
        <w:rPr>
          <w:rFonts w:ascii="Californian FB" w:eastAsia="Californian FB" w:hAnsi="Californian FB" w:cs="Californian FB"/>
          <w:color w:val="000000" w:themeColor="text1"/>
        </w:rPr>
        <w:t>Court</w:t>
      </w:r>
      <w:r>
        <w:rPr>
          <w:rFonts w:ascii="Californian FB" w:eastAsia="Californian FB" w:hAnsi="Californian FB" w:cs="Californian FB"/>
          <w:color w:val="000000" w:themeColor="text1"/>
        </w:rPr>
        <w:t>’s engagement with A8 therefore reveals</w:t>
      </w:r>
      <w:r w:rsidRPr="00080E25">
        <w:rPr>
          <w:rFonts w:ascii="Californian FB" w:eastAsia="Californian FB" w:hAnsi="Californian FB" w:cs="Californian FB"/>
          <w:color w:val="000000" w:themeColor="text1"/>
        </w:rPr>
        <w:t xml:space="preserve"> uneven ideas about what </w:t>
      </w:r>
      <w:r>
        <w:rPr>
          <w:rFonts w:ascii="Californian FB" w:eastAsia="Californian FB" w:hAnsi="Californian FB" w:cs="Californian FB"/>
          <w:color w:val="000000" w:themeColor="text1"/>
        </w:rPr>
        <w:t xml:space="preserve">human rights protections are </w:t>
      </w:r>
      <w:proofErr w:type="gramStart"/>
      <w:r>
        <w:rPr>
          <w:rFonts w:ascii="Californian FB" w:eastAsia="Californian FB" w:hAnsi="Californian FB" w:cs="Californian FB"/>
          <w:color w:val="000000" w:themeColor="text1"/>
        </w:rPr>
        <w:t>actually for</w:t>
      </w:r>
      <w:proofErr w:type="gramEnd"/>
      <w:r>
        <w:rPr>
          <w:rFonts w:ascii="Californian FB" w:eastAsia="Californian FB" w:hAnsi="Californian FB" w:cs="Californian FB"/>
          <w:color w:val="000000" w:themeColor="text1"/>
        </w:rPr>
        <w:t>.</w:t>
      </w:r>
      <w:r w:rsidRPr="00E17004">
        <w:rPr>
          <w:rFonts w:ascii="Californian FB" w:eastAsia="Californian FB" w:hAnsi="Californian FB" w:cs="Californian FB"/>
          <w:color w:val="000000" w:themeColor="text1"/>
        </w:rPr>
        <w:tab/>
      </w:r>
    </w:p>
    <w:p w14:paraId="02D0892E" w14:textId="6DD613F1" w:rsidR="008E4BC4" w:rsidRDefault="007B03A0" w:rsidP="008E4BC4">
      <w:pPr>
        <w:pStyle w:val="ListParagraph"/>
        <w:numPr>
          <w:ilvl w:val="0"/>
          <w:numId w:val="1"/>
        </w:numPr>
        <w:jc w:val="both"/>
        <w:rPr>
          <w:rFonts w:ascii="Californian FB" w:eastAsiaTheme="majorEastAsia" w:hAnsi="Californian FB" w:cstheme="majorBidi"/>
        </w:rPr>
      </w:pPr>
      <w:r>
        <w:rPr>
          <w:rFonts w:ascii="Californian FB" w:eastAsiaTheme="majorEastAsia" w:hAnsi="Californian FB" w:cstheme="majorBidi"/>
          <w:sz w:val="24"/>
          <w:szCs w:val="24"/>
        </w:rPr>
        <w:t xml:space="preserve"> </w:t>
      </w:r>
      <w:r w:rsidR="008E4BC4" w:rsidRPr="42D18D7A">
        <w:rPr>
          <w:rFonts w:ascii="Californian FB" w:eastAsiaTheme="majorEastAsia" w:hAnsi="Californian FB" w:cstheme="majorBidi"/>
        </w:rPr>
        <w:t>Summary</w:t>
      </w:r>
    </w:p>
    <w:p w14:paraId="215595B6" w14:textId="2F402958" w:rsidR="00636C3E" w:rsidRPr="008E4BC4" w:rsidRDefault="432A4669" w:rsidP="008E4BC4">
      <w:pPr>
        <w:jc w:val="both"/>
        <w:rPr>
          <w:rFonts w:ascii="Californian FB" w:eastAsiaTheme="majorEastAsia" w:hAnsi="Californian FB" w:cstheme="majorBidi"/>
        </w:rPr>
      </w:pPr>
      <w:r w:rsidRPr="42493695">
        <w:rPr>
          <w:rFonts w:ascii="Californian FB" w:eastAsiaTheme="majorEastAsia" w:hAnsi="Californian FB" w:cstheme="majorBidi"/>
        </w:rPr>
        <w:t xml:space="preserve">Overall, the ECHR and HRA have certainly shaped property, albeit in different ways. </w:t>
      </w:r>
      <w:r w:rsidR="008E4BC4">
        <w:rPr>
          <w:rFonts w:ascii="Californian FB" w:eastAsiaTheme="majorEastAsia" w:hAnsi="Californian FB" w:cstheme="majorBidi"/>
        </w:rPr>
        <w:t xml:space="preserve">The risk is that this detached approach to </w:t>
      </w:r>
      <w:r w:rsidR="009775F1">
        <w:rPr>
          <w:rFonts w:ascii="Californian FB" w:eastAsiaTheme="majorEastAsia" w:hAnsi="Californian FB" w:cstheme="majorBidi"/>
        </w:rPr>
        <w:t xml:space="preserve">Convention rights, </w:t>
      </w:r>
      <w:r w:rsidR="00C7184D">
        <w:rPr>
          <w:rFonts w:ascii="Californian FB" w:eastAsiaTheme="majorEastAsia" w:hAnsi="Californian FB" w:cstheme="majorBidi"/>
        </w:rPr>
        <w:t>elucidated above in the discussion of the case law</w:t>
      </w:r>
      <w:r w:rsidR="009775F1">
        <w:rPr>
          <w:rFonts w:ascii="Californian FB" w:eastAsiaTheme="majorEastAsia" w:hAnsi="Californian FB" w:cstheme="majorBidi"/>
        </w:rPr>
        <w:t>,</w:t>
      </w:r>
      <w:r w:rsidR="00C7184D">
        <w:rPr>
          <w:rFonts w:ascii="Californian FB" w:eastAsiaTheme="majorEastAsia" w:hAnsi="Californian FB" w:cstheme="majorBidi"/>
        </w:rPr>
        <w:t xml:space="preserve"> </w:t>
      </w:r>
      <w:r w:rsidR="005D031F">
        <w:rPr>
          <w:rFonts w:ascii="Californian FB" w:eastAsiaTheme="majorEastAsia" w:hAnsi="Californian FB" w:cstheme="majorBidi"/>
        </w:rPr>
        <w:t xml:space="preserve">might slow </w:t>
      </w:r>
      <w:r w:rsidR="008E4BC4">
        <w:rPr>
          <w:rFonts w:ascii="Californian FB" w:eastAsiaTheme="majorEastAsia" w:hAnsi="Californian FB" w:cstheme="majorBidi"/>
        </w:rPr>
        <w:t xml:space="preserve">down the potential for interesting development of those rights in relation to property: that is, not just as a </w:t>
      </w:r>
      <w:r w:rsidR="008E4BC4">
        <w:rPr>
          <w:rFonts w:ascii="Californian FB" w:eastAsiaTheme="majorEastAsia" w:hAnsi="Californian FB" w:cstheme="majorBidi"/>
          <w:i/>
          <w:iCs/>
        </w:rPr>
        <w:t>fallback</w:t>
      </w:r>
      <w:r w:rsidR="008E4BC4">
        <w:rPr>
          <w:rFonts w:ascii="Californian FB" w:eastAsiaTheme="majorEastAsia" w:hAnsi="Californian FB" w:cstheme="majorBidi"/>
        </w:rPr>
        <w:t xml:space="preserve"> or tactic when legislation or regulations end up having arbitrary and discriminatory effects on specific categories of individuals (as in the A14 cases), but as an end in itself. This disengagement speaks volumes about the Court’s self-perception of its role.</w:t>
      </w:r>
    </w:p>
    <w:p w14:paraId="65332FDF" w14:textId="3781CAFD" w:rsidR="2A043751" w:rsidRPr="007E5D1D" w:rsidRDefault="00DC45C7" w:rsidP="007E5D1D">
      <w:pPr>
        <w:pStyle w:val="ListParagraph"/>
        <w:numPr>
          <w:ilvl w:val="0"/>
          <w:numId w:val="8"/>
        </w:numPr>
        <w:spacing w:after="0" w:line="240" w:lineRule="auto"/>
        <w:rPr>
          <w:rFonts w:ascii="Californian FB" w:eastAsiaTheme="minorEastAsia" w:hAnsi="Californian FB"/>
          <w:i/>
          <w:iCs/>
        </w:rPr>
      </w:pPr>
      <w:r w:rsidRPr="28857B16">
        <w:rPr>
          <w:rFonts w:ascii="Californian FB" w:eastAsiaTheme="minorEastAsia" w:hAnsi="Californian FB"/>
          <w:i/>
          <w:iCs/>
        </w:rPr>
        <w:t>Public Policy Influence</w:t>
      </w:r>
    </w:p>
    <w:p w14:paraId="4DE786B2" w14:textId="30D689D8" w:rsidR="00DC45C7" w:rsidRDefault="41622F2C" w:rsidP="00DC45C7">
      <w:pPr>
        <w:spacing w:line="279" w:lineRule="auto"/>
        <w:jc w:val="both"/>
        <w:rPr>
          <w:rFonts w:ascii="Californian FB" w:eastAsia="Californian FB" w:hAnsi="Californian FB" w:cs="Californian FB"/>
          <w:color w:val="000000" w:themeColor="text1"/>
          <w:lang w:val="en-US"/>
        </w:rPr>
      </w:pPr>
      <w:r w:rsidRPr="42493695">
        <w:rPr>
          <w:rFonts w:ascii="Californian FB" w:eastAsia="Californian FB" w:hAnsi="Californian FB" w:cs="Californian FB"/>
          <w:color w:val="000000" w:themeColor="text1"/>
          <w:lang w:val="en-US"/>
        </w:rPr>
        <w:t xml:space="preserve">If human rights </w:t>
      </w:r>
      <w:r w:rsidR="21ED87E3" w:rsidRPr="42493695">
        <w:rPr>
          <w:rFonts w:ascii="Californian FB" w:eastAsia="Californian FB" w:hAnsi="Californian FB" w:cs="Californian FB"/>
          <w:color w:val="000000" w:themeColor="text1"/>
          <w:lang w:val="en-US"/>
        </w:rPr>
        <w:t xml:space="preserve">have impacted property law to some extent, ‘public policy’ or ‘public interest’ ideas have not quite had the same effect. While public policy can be difficult to define, we have noted two broad categories of case </w:t>
      </w:r>
      <w:r w:rsidR="3FC335EC" w:rsidRPr="42493695">
        <w:rPr>
          <w:rFonts w:ascii="Californian FB" w:eastAsia="Californian FB" w:hAnsi="Californian FB" w:cs="Californian FB"/>
          <w:color w:val="000000" w:themeColor="text1"/>
          <w:lang w:val="en-US"/>
        </w:rPr>
        <w:t>in which the Court has called upon public policy to make its decision.</w:t>
      </w:r>
      <w:r w:rsidRPr="42493695">
        <w:rPr>
          <w:rFonts w:ascii="Californian FB" w:eastAsia="Californian FB" w:hAnsi="Californian FB" w:cs="Californian FB"/>
          <w:color w:val="000000" w:themeColor="text1"/>
          <w:lang w:val="en-US"/>
        </w:rPr>
        <w:t xml:space="preserve"> </w:t>
      </w:r>
      <w:r w:rsidR="00DC45C7" w:rsidRPr="42493695">
        <w:rPr>
          <w:rFonts w:ascii="Californian FB" w:eastAsia="Californian FB" w:hAnsi="Californian FB" w:cs="Californian FB"/>
          <w:color w:val="000000" w:themeColor="text1"/>
          <w:lang w:val="en-US"/>
        </w:rPr>
        <w:t xml:space="preserve"> First, </w:t>
      </w:r>
      <w:r w:rsidR="00A270F5">
        <w:rPr>
          <w:rFonts w:ascii="Californian FB" w:eastAsia="Californian FB" w:hAnsi="Californian FB" w:cs="Californian FB"/>
          <w:color w:val="000000" w:themeColor="text1"/>
          <w:lang w:val="en-US"/>
        </w:rPr>
        <w:t xml:space="preserve">we note the extent to which </w:t>
      </w:r>
      <w:r w:rsidR="00A270F5" w:rsidRPr="42493695">
        <w:rPr>
          <w:rFonts w:ascii="Californian FB" w:eastAsia="Californian FB" w:hAnsi="Californian FB" w:cs="Californian FB"/>
          <w:color w:val="000000" w:themeColor="text1"/>
          <w:lang w:val="en-US"/>
        </w:rPr>
        <w:t>public policy can itself be a determining factor in whether the claimant has made out a claim in the first place</w:t>
      </w:r>
      <w:r w:rsidR="00A270F5">
        <w:rPr>
          <w:rFonts w:ascii="Californian FB" w:eastAsia="Californian FB" w:hAnsi="Californian FB" w:cs="Californian FB"/>
          <w:color w:val="000000" w:themeColor="text1"/>
          <w:lang w:val="en-US"/>
        </w:rPr>
        <w:t xml:space="preserve">. </w:t>
      </w:r>
      <w:r w:rsidR="001646F4">
        <w:rPr>
          <w:rFonts w:ascii="Californian FB" w:eastAsia="Californian FB" w:hAnsi="Californian FB" w:cs="Californian FB"/>
          <w:color w:val="000000" w:themeColor="text1"/>
          <w:lang w:val="en-US"/>
        </w:rPr>
        <w:t>A small number of cases engage this proposition, leading us to conclude that the idea remains undeveloped. Secondly, we consider</w:t>
      </w:r>
      <w:r w:rsidR="374FADD0" w:rsidRPr="42493695">
        <w:rPr>
          <w:rFonts w:ascii="Californian FB" w:eastAsia="Californian FB" w:hAnsi="Californian FB" w:cs="Californian FB"/>
          <w:color w:val="000000" w:themeColor="text1"/>
          <w:lang w:val="en-US"/>
        </w:rPr>
        <w:t xml:space="preserve"> the illegality </w:t>
      </w:r>
      <w:proofErr w:type="spellStart"/>
      <w:r w:rsidR="374FADD0" w:rsidRPr="42493695">
        <w:rPr>
          <w:rFonts w:ascii="Californian FB" w:eastAsia="Californian FB" w:hAnsi="Californian FB" w:cs="Californian FB"/>
          <w:color w:val="000000" w:themeColor="text1"/>
          <w:lang w:val="en-US"/>
        </w:rPr>
        <w:t>defence</w:t>
      </w:r>
      <w:proofErr w:type="spellEnd"/>
      <w:r w:rsidR="374FADD0" w:rsidRPr="42493695">
        <w:rPr>
          <w:rFonts w:ascii="Californian FB" w:eastAsia="Californian FB" w:hAnsi="Californian FB" w:cs="Californian FB"/>
          <w:color w:val="000000" w:themeColor="text1"/>
          <w:lang w:val="en-US"/>
        </w:rPr>
        <w:t xml:space="preserve"> to private law claims generally, which we only briefly mention because of its general importance</w:t>
      </w:r>
      <w:r w:rsidR="00DC45C7" w:rsidRPr="42493695">
        <w:rPr>
          <w:rFonts w:ascii="Californian FB" w:eastAsia="Californian FB" w:hAnsi="Californian FB" w:cs="Californian FB"/>
          <w:color w:val="000000" w:themeColor="text1"/>
          <w:lang w:val="en-US"/>
        </w:rPr>
        <w:t xml:space="preserve">. </w:t>
      </w:r>
    </w:p>
    <w:p w14:paraId="26D53C73" w14:textId="19740132" w:rsidR="00DC45C7" w:rsidRPr="00C47F34" w:rsidRDefault="001646F4" w:rsidP="00DC45C7">
      <w:pPr>
        <w:spacing w:line="279" w:lineRule="auto"/>
        <w:jc w:val="both"/>
        <w:rPr>
          <w:rFonts w:ascii="Californian FB" w:eastAsia="Californian FB" w:hAnsi="Californian FB" w:cs="Californian FB"/>
          <w:color w:val="000000" w:themeColor="text1"/>
        </w:rPr>
      </w:pPr>
      <w:r>
        <w:rPr>
          <w:rFonts w:ascii="Californian FB" w:eastAsia="Californian FB" w:hAnsi="Californian FB" w:cs="Californian FB"/>
          <w:color w:val="000000" w:themeColor="text1"/>
          <w:lang w:val="en-US"/>
        </w:rPr>
        <w:t xml:space="preserve">As to substantive public policy or morality </w:t>
      </w:r>
      <w:r w:rsidR="0035530D">
        <w:rPr>
          <w:rFonts w:ascii="Californian FB" w:eastAsia="Californian FB" w:hAnsi="Californian FB" w:cs="Californian FB"/>
          <w:color w:val="000000" w:themeColor="text1"/>
          <w:lang w:val="en-US"/>
        </w:rPr>
        <w:t xml:space="preserve">influences seeping into the shaping of doctrine, </w:t>
      </w:r>
      <w:r w:rsidR="0035530D">
        <w:rPr>
          <w:rFonts w:ascii="Californian FB" w:eastAsia="Californian FB" w:hAnsi="Californian FB" w:cs="Californian FB"/>
          <w:i/>
          <w:iCs/>
          <w:color w:val="000000" w:themeColor="text1"/>
          <w:lang w:val="en-US"/>
        </w:rPr>
        <w:t xml:space="preserve">FHR </w:t>
      </w:r>
      <w:r w:rsidR="0035530D">
        <w:rPr>
          <w:rFonts w:ascii="Californian FB" w:eastAsia="Californian FB" w:hAnsi="Californian FB" w:cs="Californian FB"/>
          <w:color w:val="000000" w:themeColor="text1"/>
          <w:lang w:val="en-US"/>
        </w:rPr>
        <w:t xml:space="preserve">offers the strongest example. As we saw, Lord Neuberger partly based his decision on considerations of ‘policy’, and the decision even offers </w:t>
      </w:r>
      <w:r w:rsidR="00DC45C7" w:rsidRPr="28857B16">
        <w:rPr>
          <w:rFonts w:ascii="Californian FB" w:eastAsia="Californian FB" w:hAnsi="Californian FB" w:cs="Californian FB"/>
          <w:color w:val="000000" w:themeColor="text1"/>
          <w:lang w:val="en-US"/>
        </w:rPr>
        <w:t xml:space="preserve">hints of a </w:t>
      </w:r>
      <w:r w:rsidR="00AE508E">
        <w:rPr>
          <w:rFonts w:ascii="Californian FB" w:eastAsia="Californian FB" w:hAnsi="Californian FB" w:cs="Californian FB"/>
          <w:color w:val="000000" w:themeColor="text1"/>
          <w:lang w:val="en-US"/>
        </w:rPr>
        <w:t>punitive</w:t>
      </w:r>
      <w:r w:rsidR="00AE508E" w:rsidRPr="28857B16">
        <w:rPr>
          <w:rFonts w:ascii="Californian FB" w:eastAsia="Californian FB" w:hAnsi="Californian FB" w:cs="Californian FB"/>
          <w:color w:val="000000" w:themeColor="text1"/>
          <w:lang w:val="en-US"/>
        </w:rPr>
        <w:t xml:space="preserve"> </w:t>
      </w:r>
      <w:r w:rsidR="00DC45C7" w:rsidRPr="28857B16">
        <w:rPr>
          <w:rFonts w:ascii="Californian FB" w:eastAsia="Californian FB" w:hAnsi="Californian FB" w:cs="Californian FB"/>
          <w:color w:val="000000" w:themeColor="text1"/>
          <w:lang w:val="en-US"/>
        </w:rPr>
        <w:t>rationale</w:t>
      </w:r>
      <w:r w:rsidR="0035530D">
        <w:rPr>
          <w:rFonts w:ascii="Californian FB" w:eastAsia="Californian FB" w:hAnsi="Californian FB" w:cs="Californian FB"/>
          <w:color w:val="000000" w:themeColor="text1"/>
          <w:lang w:val="en-US"/>
        </w:rPr>
        <w:t>. T</w:t>
      </w:r>
      <w:r w:rsidR="00DC45C7" w:rsidRPr="28857B16">
        <w:rPr>
          <w:rFonts w:ascii="Californian FB" w:eastAsia="Californian FB" w:hAnsi="Californian FB" w:cs="Californian FB"/>
          <w:color w:val="000000" w:themeColor="text1"/>
          <w:lang w:val="en-US"/>
        </w:rPr>
        <w:t xml:space="preserve">hese are rather more tempered than the decision’s predecessor in the Privy Council, </w:t>
      </w:r>
      <w:r w:rsidR="00DC45C7" w:rsidRPr="28857B16">
        <w:rPr>
          <w:rFonts w:ascii="Californian FB" w:eastAsia="Californian FB" w:hAnsi="Californian FB" w:cs="Californian FB"/>
          <w:i/>
          <w:iCs/>
          <w:color w:val="000000" w:themeColor="text1"/>
          <w:lang w:val="en-US"/>
        </w:rPr>
        <w:t>Attorney General for Hong Kong v Reid</w:t>
      </w:r>
      <w:r w:rsidR="00DC45C7" w:rsidRPr="00912A43">
        <w:rPr>
          <w:rFonts w:ascii="Californian FB" w:eastAsia="Californian FB" w:hAnsi="Californian FB" w:cs="Californian FB"/>
          <w:color w:val="000000" w:themeColor="text1"/>
          <w:lang w:val="en-US"/>
        </w:rPr>
        <w:t>,</w:t>
      </w:r>
      <w:r w:rsidR="00274CF6" w:rsidRPr="00912A43">
        <w:rPr>
          <w:rStyle w:val="FootnoteReference"/>
          <w:rFonts w:ascii="Californian FB" w:eastAsia="Californian FB" w:hAnsi="Californian FB" w:cs="Californian FB"/>
          <w:color w:val="000000" w:themeColor="text1"/>
          <w:lang w:val="en-US"/>
        </w:rPr>
        <w:footnoteReference w:id="120"/>
      </w:r>
      <w:r w:rsidR="007B575A">
        <w:rPr>
          <w:rFonts w:ascii="Californian FB" w:eastAsia="Californian FB" w:hAnsi="Californian FB" w:cs="Californian FB"/>
          <w:color w:val="000000" w:themeColor="text1"/>
          <w:lang w:val="en-US"/>
        </w:rPr>
        <w:t xml:space="preserve"> </w:t>
      </w:r>
      <w:r w:rsidR="00DC45C7" w:rsidRPr="00912A43">
        <w:rPr>
          <w:rFonts w:ascii="Californian FB" w:eastAsia="Californian FB" w:hAnsi="Californian FB" w:cs="Californian FB"/>
          <w:color w:val="000000" w:themeColor="text1"/>
          <w:lang w:val="en-US"/>
        </w:rPr>
        <w:t>per</w:t>
      </w:r>
      <w:r w:rsidR="00DC45C7" w:rsidRPr="28857B16">
        <w:rPr>
          <w:rFonts w:ascii="Californian FB" w:eastAsia="Californian FB" w:hAnsi="Californian FB" w:cs="Californian FB"/>
          <w:color w:val="000000" w:themeColor="text1"/>
          <w:lang w:val="en-US"/>
        </w:rPr>
        <w:t>haps as the latter concerned a bribe (</w:t>
      </w:r>
      <w:proofErr w:type="spellStart"/>
      <w:r w:rsidR="00DC45C7" w:rsidRPr="28857B16">
        <w:rPr>
          <w:rFonts w:ascii="Californian FB" w:eastAsia="Californian FB" w:hAnsi="Californian FB" w:cs="Californian FB"/>
          <w:color w:val="000000" w:themeColor="text1"/>
          <w:lang w:val="en-US"/>
        </w:rPr>
        <w:t>characterised</w:t>
      </w:r>
      <w:proofErr w:type="spellEnd"/>
      <w:r w:rsidR="00DC45C7" w:rsidRPr="28857B16">
        <w:rPr>
          <w:rFonts w:ascii="Californian FB" w:eastAsia="Californian FB" w:hAnsi="Californian FB" w:cs="Californian FB"/>
          <w:color w:val="000000" w:themeColor="text1"/>
          <w:lang w:val="en-US"/>
        </w:rPr>
        <w:t xml:space="preserve"> by Lord Templeman as ‘evil’ in a fragment cited by Lord Neuberger</w:t>
      </w:r>
      <w:r w:rsidR="002B1671">
        <w:rPr>
          <w:rStyle w:val="FootnoteReference"/>
          <w:rFonts w:ascii="Californian FB" w:eastAsia="Californian FB" w:hAnsi="Californian FB" w:cs="Californian FB"/>
          <w:color w:val="000000" w:themeColor="text1"/>
          <w:lang w:val="en-US"/>
        </w:rPr>
        <w:footnoteReference w:id="121"/>
      </w:r>
      <w:r w:rsidR="00DC45C7" w:rsidRPr="28857B16">
        <w:rPr>
          <w:rFonts w:ascii="Californian FB" w:eastAsia="Californian FB" w:hAnsi="Californian FB" w:cs="Californian FB"/>
          <w:color w:val="000000" w:themeColor="text1"/>
          <w:lang w:val="en-US"/>
        </w:rPr>
        <w:t>) and the former concerned a secret commission. While Lord Neuberger briefly touched on general concerns about bribery and secret commissions, his decision focused more on principle and authority</w:t>
      </w:r>
      <w:r w:rsidR="00FA5A76">
        <w:rPr>
          <w:rFonts w:ascii="Californian FB" w:eastAsia="Californian FB" w:hAnsi="Californian FB" w:cs="Californian FB"/>
          <w:color w:val="000000" w:themeColor="text1"/>
          <w:lang w:val="en-US"/>
        </w:rPr>
        <w:t>,</w:t>
      </w:r>
      <w:r w:rsidR="00245866">
        <w:rPr>
          <w:rFonts w:ascii="Californian FB" w:eastAsia="Californian FB" w:hAnsi="Californian FB" w:cs="Californian FB"/>
          <w:color w:val="000000" w:themeColor="text1"/>
          <w:lang w:val="en-US"/>
        </w:rPr>
        <w:t xml:space="preserve"> and</w:t>
      </w:r>
      <w:r w:rsidR="00FA5A76">
        <w:rPr>
          <w:rFonts w:ascii="Californian FB" w:eastAsia="Californian FB" w:hAnsi="Californian FB" w:cs="Californian FB"/>
          <w:color w:val="000000" w:themeColor="text1"/>
          <w:lang w:val="en-US"/>
        </w:rPr>
        <w:t xml:space="preserve"> attempted</w:t>
      </w:r>
      <w:r w:rsidR="00245866" w:rsidDel="00FA5A76">
        <w:rPr>
          <w:rFonts w:ascii="Californian FB" w:eastAsia="Californian FB" w:hAnsi="Californian FB" w:cs="Californian FB"/>
          <w:color w:val="000000" w:themeColor="text1"/>
          <w:lang w:val="en-US"/>
        </w:rPr>
        <w:t xml:space="preserve"> </w:t>
      </w:r>
      <w:r w:rsidR="00245866">
        <w:rPr>
          <w:rFonts w:ascii="Californian FB" w:eastAsia="Californian FB" w:hAnsi="Californian FB" w:cs="Californian FB"/>
          <w:color w:val="000000" w:themeColor="text1"/>
          <w:lang w:val="en-US"/>
        </w:rPr>
        <w:t xml:space="preserve">to balance </w:t>
      </w:r>
      <w:r w:rsidR="00245866" w:rsidRPr="28857B16">
        <w:rPr>
          <w:rFonts w:ascii="Californian FB" w:eastAsia="Californian FB" w:hAnsi="Californian FB" w:cs="Californian FB"/>
          <w:color w:val="000000" w:themeColor="text1"/>
          <w:lang w:val="en-US"/>
        </w:rPr>
        <w:t xml:space="preserve">the prejudice to unsecured creditors </w:t>
      </w:r>
      <w:r w:rsidR="00FA5A76">
        <w:rPr>
          <w:rFonts w:ascii="Californian FB" w:eastAsia="Californian FB" w:hAnsi="Californian FB" w:cs="Californian FB"/>
          <w:color w:val="000000" w:themeColor="text1"/>
          <w:lang w:val="en-US"/>
        </w:rPr>
        <w:t>caused by the recognition of a trust</w:t>
      </w:r>
      <w:r w:rsidR="00245866" w:rsidRPr="28857B16">
        <w:rPr>
          <w:rFonts w:ascii="Californian FB" w:eastAsia="Californian FB" w:hAnsi="Californian FB" w:cs="Californian FB"/>
          <w:color w:val="000000" w:themeColor="text1"/>
          <w:lang w:val="en-US"/>
        </w:rPr>
        <w:t xml:space="preserve"> </w:t>
      </w:r>
      <w:r w:rsidR="00245866">
        <w:rPr>
          <w:rFonts w:ascii="Californian FB" w:eastAsia="Californian FB" w:hAnsi="Californian FB" w:cs="Californian FB"/>
          <w:color w:val="000000" w:themeColor="text1"/>
          <w:lang w:val="en-US"/>
        </w:rPr>
        <w:t xml:space="preserve">against giving </w:t>
      </w:r>
      <w:r w:rsidR="00245866" w:rsidRPr="28857B16">
        <w:rPr>
          <w:rFonts w:ascii="Californian FB" w:eastAsia="Californian FB" w:hAnsi="Californian FB" w:cs="Californian FB"/>
          <w:color w:val="000000" w:themeColor="text1"/>
          <w:lang w:val="en-US"/>
        </w:rPr>
        <w:t>an effective remedy</w:t>
      </w:r>
      <w:r w:rsidR="00245866">
        <w:rPr>
          <w:rFonts w:ascii="Californian FB" w:eastAsia="Californian FB" w:hAnsi="Californian FB" w:cs="Californian FB"/>
          <w:color w:val="000000" w:themeColor="text1"/>
          <w:lang w:val="en-US"/>
        </w:rPr>
        <w:t xml:space="preserve"> to the principal</w:t>
      </w:r>
      <w:r w:rsidR="00245866" w:rsidRPr="28857B16">
        <w:rPr>
          <w:rFonts w:ascii="Californian FB" w:eastAsia="Californian FB" w:hAnsi="Californian FB" w:cs="Californian FB"/>
          <w:color w:val="000000" w:themeColor="text1"/>
          <w:lang w:val="en-US"/>
        </w:rPr>
        <w:t xml:space="preserve"> through tracing</w:t>
      </w:r>
      <w:r w:rsidR="00245866">
        <w:rPr>
          <w:rFonts w:ascii="Californian FB" w:eastAsia="Californian FB" w:hAnsi="Californian FB" w:cs="Californian FB"/>
          <w:color w:val="000000" w:themeColor="text1"/>
          <w:lang w:val="en-US"/>
        </w:rPr>
        <w:t>.</w:t>
      </w:r>
      <w:r w:rsidR="00AB4A7D">
        <w:rPr>
          <w:rStyle w:val="FootnoteReference"/>
          <w:rFonts w:ascii="Californian FB" w:eastAsia="Californian FB" w:hAnsi="Californian FB" w:cs="Californian FB"/>
          <w:color w:val="000000" w:themeColor="text1"/>
          <w:lang w:val="en-US"/>
        </w:rPr>
        <w:footnoteReference w:id="122"/>
      </w:r>
      <w:r w:rsidR="0035530D">
        <w:rPr>
          <w:rFonts w:ascii="Californian FB" w:eastAsia="Californian FB" w:hAnsi="Californian FB" w:cs="Californian FB"/>
          <w:color w:val="000000" w:themeColor="text1"/>
          <w:lang w:val="en-US"/>
        </w:rPr>
        <w:t xml:space="preserve"> </w:t>
      </w:r>
      <w:r w:rsidR="0035530D">
        <w:rPr>
          <w:rFonts w:ascii="Californian FB" w:eastAsia="Californian FB" w:hAnsi="Californian FB" w:cs="Californian FB"/>
          <w:i/>
          <w:iCs/>
          <w:color w:val="000000" w:themeColor="text1"/>
          <w:lang w:val="en-US"/>
        </w:rPr>
        <w:t>Bailey</w:t>
      </w:r>
      <w:r w:rsidR="0035530D">
        <w:rPr>
          <w:rFonts w:ascii="Californian FB" w:eastAsia="Californian FB" w:hAnsi="Californian FB" w:cs="Californian FB"/>
          <w:color w:val="000000" w:themeColor="text1"/>
          <w:lang w:val="en-US"/>
        </w:rPr>
        <w:t xml:space="preserve">, discussed above as a counter-point to </w:t>
      </w:r>
      <w:r w:rsidR="0035530D">
        <w:rPr>
          <w:rFonts w:ascii="Californian FB" w:eastAsia="Californian FB" w:hAnsi="Californian FB" w:cs="Californian FB"/>
          <w:i/>
          <w:iCs/>
          <w:color w:val="000000" w:themeColor="text1"/>
          <w:lang w:val="en-US"/>
        </w:rPr>
        <w:t>FHR</w:t>
      </w:r>
      <w:r w:rsidR="0035530D">
        <w:rPr>
          <w:rFonts w:ascii="Californian FB" w:eastAsia="Californian FB" w:hAnsi="Californian FB" w:cs="Californian FB"/>
          <w:color w:val="000000" w:themeColor="text1"/>
          <w:lang w:val="en-US"/>
        </w:rPr>
        <w:t xml:space="preserve">, </w:t>
      </w:r>
      <w:r w:rsidR="00725458">
        <w:rPr>
          <w:rFonts w:ascii="Californian FB" w:eastAsia="Californian FB" w:hAnsi="Californian FB" w:cs="Californian FB"/>
          <w:color w:val="000000" w:themeColor="text1"/>
          <w:lang w:val="en-US"/>
        </w:rPr>
        <w:t xml:space="preserve">involved Lord Sumption decrying fairness or justice from seeping into answering the question whether an agent received money on constructive trust for the principal. While </w:t>
      </w:r>
      <w:r w:rsidR="00725458">
        <w:rPr>
          <w:rFonts w:ascii="Californian FB" w:eastAsia="Californian FB" w:hAnsi="Californian FB" w:cs="Californian FB"/>
          <w:i/>
          <w:iCs/>
          <w:color w:val="000000" w:themeColor="text1"/>
          <w:lang w:val="en-US"/>
        </w:rPr>
        <w:t>FHR</w:t>
      </w:r>
      <w:r w:rsidR="00725458">
        <w:rPr>
          <w:rFonts w:ascii="Californian FB" w:eastAsia="Californian FB" w:hAnsi="Californian FB" w:cs="Californian FB"/>
          <w:color w:val="000000" w:themeColor="text1"/>
          <w:lang w:val="en-US"/>
        </w:rPr>
        <w:t xml:space="preserve"> seems like a contrasting decision – particularly as ‘policy’ is expressly cited </w:t>
      </w:r>
      <w:r w:rsidR="00376E75">
        <w:rPr>
          <w:rFonts w:ascii="Californian FB" w:eastAsia="Californian FB" w:hAnsi="Californian FB" w:cs="Californian FB"/>
          <w:color w:val="000000" w:themeColor="text1"/>
          <w:lang w:val="en-US"/>
        </w:rPr>
        <w:t xml:space="preserve">as part of the rationale – we think that it is significant that </w:t>
      </w:r>
      <w:r w:rsidR="00ED71CF">
        <w:rPr>
          <w:rFonts w:ascii="Californian FB" w:eastAsia="Californian FB" w:hAnsi="Californian FB" w:cs="Californian FB"/>
          <w:color w:val="000000" w:themeColor="text1"/>
          <w:lang w:val="en-US"/>
        </w:rPr>
        <w:t xml:space="preserve">extensive sections of Lord Neuberger’s judgment are devoted to </w:t>
      </w:r>
      <w:r w:rsidR="00CE119A">
        <w:rPr>
          <w:rFonts w:ascii="Californian FB" w:eastAsia="Californian FB" w:hAnsi="Californian FB" w:cs="Californian FB"/>
          <w:color w:val="000000" w:themeColor="text1"/>
          <w:lang w:val="en-US"/>
        </w:rPr>
        <w:t xml:space="preserve">justifying </w:t>
      </w:r>
      <w:r w:rsidR="00011B75">
        <w:rPr>
          <w:rFonts w:ascii="Californian FB" w:eastAsia="Californian FB" w:hAnsi="Californian FB" w:cs="Californian FB"/>
          <w:color w:val="000000" w:themeColor="text1"/>
          <w:lang w:val="en-US"/>
        </w:rPr>
        <w:t>his decision</w:t>
      </w:r>
      <w:r w:rsidR="00C47F34">
        <w:rPr>
          <w:rFonts w:ascii="Californian FB" w:eastAsia="Californian FB" w:hAnsi="Californian FB" w:cs="Californian FB"/>
          <w:color w:val="000000" w:themeColor="text1"/>
          <w:lang w:val="en-US"/>
        </w:rPr>
        <w:t xml:space="preserve"> on the basis of the strength of the authority for it, and the weakness of the authority against it (which</w:t>
      </w:r>
      <w:r w:rsidR="00C84A3E">
        <w:rPr>
          <w:rFonts w:ascii="Californian FB" w:eastAsia="Californian FB" w:hAnsi="Californian FB" w:cs="Californian FB"/>
          <w:color w:val="000000" w:themeColor="text1"/>
          <w:lang w:val="en-US"/>
        </w:rPr>
        <w:t xml:space="preserve"> </w:t>
      </w:r>
      <w:r w:rsidR="00C47F34">
        <w:rPr>
          <w:rFonts w:ascii="Californian FB" w:eastAsia="Californian FB" w:hAnsi="Californian FB" w:cs="Californian FB"/>
          <w:color w:val="000000" w:themeColor="text1"/>
          <w:lang w:val="en-US"/>
        </w:rPr>
        <w:t xml:space="preserve">includes his own judgment three years previously in </w:t>
      </w:r>
      <w:r w:rsidR="00C47F34">
        <w:rPr>
          <w:rFonts w:ascii="Californian FB" w:eastAsia="Californian FB" w:hAnsi="Californian FB" w:cs="Californian FB"/>
          <w:i/>
          <w:iCs/>
          <w:color w:val="000000" w:themeColor="text1"/>
          <w:lang w:val="en-US"/>
        </w:rPr>
        <w:t>Sinclair v Versailles</w:t>
      </w:r>
      <w:r w:rsidR="00C47F34">
        <w:rPr>
          <w:rFonts w:ascii="Californian FB" w:eastAsia="Californian FB" w:hAnsi="Californian FB" w:cs="Californian FB"/>
          <w:color w:val="000000" w:themeColor="text1"/>
          <w:lang w:val="en-US"/>
        </w:rPr>
        <w:t>).</w:t>
      </w:r>
      <w:r w:rsidR="00C47F34">
        <w:rPr>
          <w:rStyle w:val="FootnoteReference"/>
          <w:rFonts w:ascii="Californian FB" w:eastAsia="Californian FB" w:hAnsi="Californian FB" w:cs="Californian FB"/>
          <w:color w:val="000000" w:themeColor="text1"/>
          <w:lang w:val="en-US"/>
        </w:rPr>
        <w:footnoteReference w:id="123"/>
      </w:r>
      <w:r w:rsidR="00C84A3E">
        <w:rPr>
          <w:rFonts w:ascii="Californian FB" w:eastAsia="Californian FB" w:hAnsi="Californian FB" w:cs="Californian FB"/>
          <w:color w:val="000000" w:themeColor="text1"/>
          <w:lang w:val="en-US"/>
        </w:rPr>
        <w:t xml:space="preserve"> </w:t>
      </w:r>
      <w:r w:rsidR="00611A86">
        <w:rPr>
          <w:rFonts w:ascii="Californian FB" w:eastAsia="Californian FB" w:hAnsi="Californian FB" w:cs="Californian FB"/>
          <w:color w:val="000000" w:themeColor="text1"/>
          <w:lang w:val="en-US"/>
        </w:rPr>
        <w:t xml:space="preserve">And, while </w:t>
      </w:r>
      <w:r w:rsidR="00611A86">
        <w:rPr>
          <w:rFonts w:ascii="Californian FB" w:eastAsia="Californian FB" w:hAnsi="Californian FB" w:cs="Californian FB"/>
          <w:i/>
          <w:iCs/>
          <w:color w:val="000000" w:themeColor="text1"/>
          <w:lang w:val="en-US"/>
        </w:rPr>
        <w:t xml:space="preserve">Bailey </w:t>
      </w:r>
      <w:r w:rsidR="00611A86">
        <w:rPr>
          <w:rFonts w:ascii="Californian FB" w:eastAsia="Californian FB" w:hAnsi="Californian FB" w:cs="Californian FB"/>
          <w:color w:val="000000" w:themeColor="text1"/>
          <w:lang w:val="en-US"/>
        </w:rPr>
        <w:t>can be read as based on a policy choice,</w:t>
      </w:r>
      <w:r w:rsidR="008145B5">
        <w:rPr>
          <w:rFonts w:ascii="Californian FB" w:eastAsia="Californian FB" w:hAnsi="Californian FB" w:cs="Californian FB"/>
          <w:color w:val="000000" w:themeColor="text1"/>
          <w:lang w:val="en-US"/>
        </w:rPr>
        <w:t xml:space="preserve"> even overturning doctrine as expressed in an Equity treatise, </w:t>
      </w:r>
      <w:r w:rsidR="004A2F68">
        <w:rPr>
          <w:rFonts w:ascii="Californian FB" w:eastAsia="Californian FB" w:hAnsi="Californian FB" w:cs="Californian FB"/>
          <w:color w:val="000000" w:themeColor="text1"/>
          <w:lang w:val="en-US"/>
        </w:rPr>
        <w:t xml:space="preserve">Lord Sumption </w:t>
      </w:r>
      <w:r w:rsidR="0061391C">
        <w:rPr>
          <w:rFonts w:ascii="Californian FB" w:eastAsia="Californian FB" w:hAnsi="Californian FB" w:cs="Californian FB"/>
          <w:color w:val="000000" w:themeColor="text1"/>
          <w:lang w:val="en-US"/>
        </w:rPr>
        <w:t xml:space="preserve">was also able to rely on the apparently settled idea that English law does not </w:t>
      </w:r>
      <w:proofErr w:type="spellStart"/>
      <w:r w:rsidR="0061391C">
        <w:rPr>
          <w:rFonts w:ascii="Californian FB" w:eastAsia="Californian FB" w:hAnsi="Californian FB" w:cs="Californian FB"/>
          <w:color w:val="000000" w:themeColor="text1"/>
          <w:lang w:val="en-US"/>
        </w:rPr>
        <w:t>recogni</w:t>
      </w:r>
      <w:r w:rsidR="00121AE8">
        <w:rPr>
          <w:rFonts w:ascii="Californian FB" w:eastAsia="Californian FB" w:hAnsi="Californian FB" w:cs="Californian FB"/>
          <w:color w:val="000000" w:themeColor="text1"/>
          <w:lang w:val="en-US"/>
        </w:rPr>
        <w:t>s</w:t>
      </w:r>
      <w:r w:rsidR="0061391C">
        <w:rPr>
          <w:rFonts w:ascii="Californian FB" w:eastAsia="Californian FB" w:hAnsi="Californian FB" w:cs="Californian FB"/>
          <w:color w:val="000000" w:themeColor="text1"/>
          <w:lang w:val="en-US"/>
        </w:rPr>
        <w:t>e</w:t>
      </w:r>
      <w:proofErr w:type="spellEnd"/>
      <w:r w:rsidR="0061391C">
        <w:rPr>
          <w:rFonts w:ascii="Californian FB" w:eastAsia="Californian FB" w:hAnsi="Californian FB" w:cs="Californian FB"/>
          <w:color w:val="000000" w:themeColor="text1"/>
          <w:lang w:val="en-US"/>
        </w:rPr>
        <w:t xml:space="preserve"> a remedial constructive trust (which can be doubted, for instance on the basis of </w:t>
      </w:r>
      <w:r w:rsidR="0061391C">
        <w:rPr>
          <w:rFonts w:ascii="Californian FB" w:eastAsia="Californian FB" w:hAnsi="Californian FB" w:cs="Californian FB"/>
          <w:i/>
          <w:iCs/>
          <w:color w:val="000000" w:themeColor="text1"/>
          <w:lang w:val="en-US"/>
        </w:rPr>
        <w:lastRenderedPageBreak/>
        <w:t>Jones v Kernott</w:t>
      </w:r>
      <w:r w:rsidR="0061391C">
        <w:rPr>
          <w:rFonts w:ascii="Californian FB" w:eastAsia="Californian FB" w:hAnsi="Californian FB" w:cs="Californian FB"/>
          <w:color w:val="000000" w:themeColor="text1"/>
          <w:lang w:val="en-US"/>
        </w:rPr>
        <w:t>).</w:t>
      </w:r>
      <w:r w:rsidR="00611A86">
        <w:rPr>
          <w:rFonts w:ascii="Californian FB" w:eastAsia="Californian FB" w:hAnsi="Californian FB" w:cs="Californian FB"/>
          <w:color w:val="000000" w:themeColor="text1"/>
          <w:lang w:val="en-US"/>
        </w:rPr>
        <w:t xml:space="preserve"> </w:t>
      </w:r>
      <w:r w:rsidR="00C84A3E">
        <w:rPr>
          <w:rFonts w:ascii="Californian FB" w:eastAsia="Californian FB" w:hAnsi="Californian FB" w:cs="Californian FB"/>
          <w:color w:val="000000" w:themeColor="text1"/>
          <w:lang w:val="en-US"/>
        </w:rPr>
        <w:t xml:space="preserve">There </w:t>
      </w:r>
      <w:proofErr w:type="gramStart"/>
      <w:r w:rsidR="00C84A3E">
        <w:rPr>
          <w:rFonts w:ascii="Californian FB" w:eastAsia="Californian FB" w:hAnsi="Californian FB" w:cs="Californian FB"/>
          <w:color w:val="000000" w:themeColor="text1"/>
          <w:lang w:val="en-US"/>
        </w:rPr>
        <w:t>are</w:t>
      </w:r>
      <w:proofErr w:type="gramEnd"/>
      <w:r w:rsidR="00C84A3E">
        <w:rPr>
          <w:rFonts w:ascii="Californian FB" w:eastAsia="Californian FB" w:hAnsi="Californian FB" w:cs="Californian FB"/>
          <w:color w:val="000000" w:themeColor="text1"/>
          <w:lang w:val="en-US"/>
        </w:rPr>
        <w:t xml:space="preserve"> therefore, we think, </w:t>
      </w:r>
      <w:r w:rsidR="00611A86">
        <w:rPr>
          <w:rFonts w:ascii="Californian FB" w:eastAsia="Californian FB" w:hAnsi="Californian FB" w:cs="Californian FB"/>
          <w:color w:val="000000" w:themeColor="text1"/>
          <w:lang w:val="en-US"/>
        </w:rPr>
        <w:t>consistent</w:t>
      </w:r>
      <w:r w:rsidR="00EF0163">
        <w:rPr>
          <w:rFonts w:ascii="Californian FB" w:eastAsia="Californian FB" w:hAnsi="Californian FB" w:cs="Californian FB"/>
          <w:color w:val="000000" w:themeColor="text1"/>
          <w:lang w:val="en-US"/>
        </w:rPr>
        <w:t xml:space="preserve"> </w:t>
      </w:r>
      <w:r w:rsidR="000B462F">
        <w:rPr>
          <w:rFonts w:ascii="Californian FB" w:eastAsia="Californian FB" w:hAnsi="Californian FB" w:cs="Californian FB"/>
          <w:color w:val="000000" w:themeColor="text1"/>
          <w:lang w:val="en-US"/>
        </w:rPr>
        <w:t xml:space="preserve">hints that </w:t>
      </w:r>
      <w:r w:rsidR="001E2EE7">
        <w:rPr>
          <w:rFonts w:ascii="Californian FB" w:eastAsia="Californian FB" w:hAnsi="Californian FB" w:cs="Californian FB"/>
          <w:color w:val="000000" w:themeColor="text1"/>
          <w:lang w:val="en-US"/>
        </w:rPr>
        <w:t xml:space="preserve">using abstract ideas of policy or fairness (which </w:t>
      </w:r>
      <w:r w:rsidR="00611A86">
        <w:rPr>
          <w:rFonts w:ascii="Californian FB" w:eastAsia="Californian FB" w:hAnsi="Californian FB" w:cs="Californian FB"/>
          <w:color w:val="000000" w:themeColor="text1"/>
          <w:lang w:val="en-US"/>
        </w:rPr>
        <w:t>obviously might not always be overlapping</w:t>
      </w:r>
      <w:r w:rsidR="001E2EE7">
        <w:rPr>
          <w:rFonts w:ascii="Californian FB" w:eastAsia="Californian FB" w:hAnsi="Californian FB" w:cs="Californian FB"/>
          <w:color w:val="000000" w:themeColor="text1"/>
          <w:lang w:val="en-US"/>
        </w:rPr>
        <w:t>)</w:t>
      </w:r>
      <w:r w:rsidR="00611A86">
        <w:rPr>
          <w:rFonts w:ascii="Californian FB" w:eastAsia="Californian FB" w:hAnsi="Californian FB" w:cs="Californian FB"/>
          <w:color w:val="000000" w:themeColor="text1"/>
          <w:lang w:val="en-US"/>
        </w:rPr>
        <w:t xml:space="preserve"> </w:t>
      </w:r>
      <w:r w:rsidR="00D31667">
        <w:rPr>
          <w:rFonts w:ascii="Californian FB" w:eastAsia="Californian FB" w:hAnsi="Californian FB" w:cs="Californian FB"/>
          <w:color w:val="000000" w:themeColor="text1"/>
          <w:lang w:val="en-US"/>
        </w:rPr>
        <w:t xml:space="preserve">is dangerous, and that </w:t>
      </w:r>
      <w:r w:rsidR="00003745">
        <w:rPr>
          <w:rFonts w:ascii="Californian FB" w:eastAsia="Californian FB" w:hAnsi="Californian FB" w:cs="Californian FB"/>
          <w:color w:val="000000" w:themeColor="text1"/>
          <w:lang w:val="en-US"/>
        </w:rPr>
        <w:t xml:space="preserve">recourse to settled principle is safer. While this point may seem obvious, we think that it is interesting that </w:t>
      </w:r>
      <w:r w:rsidR="00170C36">
        <w:rPr>
          <w:rFonts w:ascii="Californian FB" w:eastAsia="Californian FB" w:hAnsi="Californian FB" w:cs="Californian FB"/>
          <w:color w:val="000000" w:themeColor="text1"/>
          <w:lang w:val="en-US"/>
        </w:rPr>
        <w:t>different Justices at different stages are doing the same thing in slightly different ways.</w:t>
      </w:r>
    </w:p>
    <w:p w14:paraId="1A21F07F" w14:textId="50BC0E7D" w:rsidR="00DC45C7" w:rsidRPr="00415E64" w:rsidRDefault="00DC45C7" w:rsidP="00DE2320">
      <w:pPr>
        <w:spacing w:line="279" w:lineRule="auto"/>
        <w:jc w:val="both"/>
        <w:rPr>
          <w:rFonts w:ascii="Californian FB" w:eastAsia="Californian FB" w:hAnsi="Californian FB" w:cs="Californian FB"/>
          <w:color w:val="000000" w:themeColor="text1"/>
          <w:lang w:val="en-US"/>
        </w:rPr>
      </w:pPr>
      <w:r w:rsidRPr="28857B16">
        <w:rPr>
          <w:rFonts w:ascii="Californian FB" w:eastAsia="Californian FB" w:hAnsi="Californian FB" w:cs="Californian FB"/>
          <w:color w:val="000000" w:themeColor="text1"/>
          <w:lang w:val="en-US"/>
        </w:rPr>
        <w:t>Interestingly, two cases involving restrictive covenants on land</w:t>
      </w:r>
      <w:r w:rsidR="00391866">
        <w:rPr>
          <w:rFonts w:ascii="Californian FB" w:eastAsia="Californian FB" w:hAnsi="Californian FB" w:cs="Californian FB"/>
          <w:color w:val="000000" w:themeColor="text1"/>
          <w:lang w:val="en-US"/>
        </w:rPr>
        <w:t xml:space="preserve">, </w:t>
      </w:r>
      <w:r w:rsidR="00387EF3">
        <w:rPr>
          <w:rFonts w:ascii="Californian FB" w:eastAsia="Californian FB" w:hAnsi="Californian FB" w:cs="Californian FB"/>
          <w:color w:val="000000" w:themeColor="text1"/>
          <w:lang w:val="en-US"/>
        </w:rPr>
        <w:t>in</w:t>
      </w:r>
      <w:r w:rsidR="00391866">
        <w:rPr>
          <w:rFonts w:ascii="Californian FB" w:eastAsia="Californian FB" w:hAnsi="Californian FB" w:cs="Californian FB"/>
          <w:color w:val="000000" w:themeColor="text1"/>
          <w:lang w:val="en-US"/>
        </w:rPr>
        <w:t xml:space="preserve"> a later era of the Court,</w:t>
      </w:r>
      <w:r w:rsidRPr="28857B16">
        <w:rPr>
          <w:rFonts w:ascii="Californian FB" w:eastAsia="Californian FB" w:hAnsi="Californian FB" w:cs="Californian FB"/>
          <w:color w:val="000000" w:themeColor="text1"/>
          <w:lang w:val="en-US"/>
        </w:rPr>
        <w:t xml:space="preserve"> provide development of the idea of public policy as an aspect of a legal test. In </w:t>
      </w:r>
      <w:r w:rsidRPr="28857B16">
        <w:rPr>
          <w:rFonts w:ascii="Californian FB" w:eastAsia="Californian FB" w:hAnsi="Californian FB" w:cs="Californian FB"/>
          <w:i/>
          <w:iCs/>
          <w:color w:val="000000" w:themeColor="text1"/>
          <w:lang w:val="en-US"/>
        </w:rPr>
        <w:t>Alexander Devine</w:t>
      </w:r>
      <w:r w:rsidR="00A16260">
        <w:rPr>
          <w:rFonts w:ascii="Californian FB" w:eastAsia="Californian FB" w:hAnsi="Californian FB" w:cs="Californian FB"/>
          <w:color w:val="000000" w:themeColor="text1"/>
          <w:lang w:val="en-US"/>
        </w:rPr>
        <w:t xml:space="preserve"> </w:t>
      </w:r>
      <w:r w:rsidR="00A16260" w:rsidRPr="00BF0D44">
        <w:rPr>
          <w:rFonts w:ascii="Californian FB" w:eastAsia="Californian FB" w:hAnsi="Californian FB" w:cs="Californian FB"/>
          <w:i/>
          <w:iCs/>
          <w:color w:val="000000" w:themeColor="text1"/>
          <w:lang w:val="en-US"/>
        </w:rPr>
        <w:t>Children’s Cancer Trust v Housing Solutions Ltd</w:t>
      </w:r>
      <w:r w:rsidR="00A16260">
        <w:rPr>
          <w:rFonts w:ascii="Californian FB" w:eastAsia="Californian FB" w:hAnsi="Californian FB" w:cs="Californian FB"/>
          <w:color w:val="000000" w:themeColor="text1"/>
          <w:lang w:val="en-US"/>
        </w:rPr>
        <w:t>,</w:t>
      </w:r>
      <w:r w:rsidR="00BF0D44">
        <w:rPr>
          <w:rStyle w:val="FootnoteReference"/>
          <w:rFonts w:ascii="Californian FB" w:eastAsia="Californian FB" w:hAnsi="Californian FB" w:cs="Californian FB"/>
          <w:color w:val="000000" w:themeColor="text1"/>
          <w:lang w:val="en-US"/>
        </w:rPr>
        <w:footnoteReference w:id="124"/>
      </w:r>
      <w:r w:rsidR="00A16260">
        <w:rPr>
          <w:rFonts w:ascii="Californian FB" w:eastAsia="Californian FB" w:hAnsi="Californian FB" w:cs="Californian FB"/>
          <w:color w:val="000000" w:themeColor="text1"/>
          <w:lang w:val="en-US"/>
        </w:rPr>
        <w:t xml:space="preserve"> the Court considered</w:t>
      </w:r>
      <w:r w:rsidR="003D0F42">
        <w:rPr>
          <w:rFonts w:ascii="Californian FB" w:eastAsia="Californian FB" w:hAnsi="Californian FB" w:cs="Californian FB"/>
          <w:color w:val="000000" w:themeColor="text1"/>
          <w:lang w:val="en-US"/>
        </w:rPr>
        <w:t xml:space="preserve"> section 84 of the Law of Property Act 1925 for the first time</w:t>
      </w:r>
      <w:r w:rsidR="00C23D68">
        <w:rPr>
          <w:rFonts w:ascii="Californian FB" w:eastAsia="Californian FB" w:hAnsi="Californian FB" w:cs="Californian FB"/>
          <w:color w:val="000000" w:themeColor="text1"/>
          <w:lang w:val="en-US"/>
        </w:rPr>
        <w:t>. Under that section,</w:t>
      </w:r>
      <w:r w:rsidR="00A16260">
        <w:rPr>
          <w:rFonts w:ascii="Californian FB" w:eastAsia="Californian FB" w:hAnsi="Californian FB" w:cs="Californian FB"/>
          <w:color w:val="000000" w:themeColor="text1"/>
          <w:lang w:val="en-US"/>
        </w:rPr>
        <w:t xml:space="preserve"> </w:t>
      </w:r>
      <w:r w:rsidRPr="28857B16">
        <w:rPr>
          <w:rFonts w:ascii="Californian FB" w:eastAsia="Californian FB" w:hAnsi="Californian FB" w:cs="Californian FB"/>
          <w:color w:val="000000" w:themeColor="text1"/>
          <w:lang w:val="en-US"/>
        </w:rPr>
        <w:t xml:space="preserve">public interest considerations are a statutory ground for jurisdiction to discharge or modify a restrictive covenant, and </w:t>
      </w:r>
      <w:r w:rsidR="00C23D68">
        <w:rPr>
          <w:rFonts w:ascii="Californian FB" w:eastAsia="Californian FB" w:hAnsi="Californian FB" w:cs="Californian FB"/>
          <w:color w:val="000000" w:themeColor="text1"/>
          <w:lang w:val="en-US"/>
        </w:rPr>
        <w:t xml:space="preserve">the Court </w:t>
      </w:r>
      <w:r w:rsidR="00333253">
        <w:rPr>
          <w:rFonts w:ascii="Californian FB" w:eastAsia="Californian FB" w:hAnsi="Californian FB" w:cs="Californian FB"/>
          <w:color w:val="000000" w:themeColor="text1"/>
          <w:lang w:val="en-US"/>
        </w:rPr>
        <w:t>indicated</w:t>
      </w:r>
      <w:r w:rsidR="00C23D68">
        <w:rPr>
          <w:rFonts w:ascii="Californian FB" w:eastAsia="Californian FB" w:hAnsi="Californian FB" w:cs="Californian FB"/>
          <w:color w:val="000000" w:themeColor="text1"/>
          <w:lang w:val="en-US"/>
        </w:rPr>
        <w:t xml:space="preserve"> that these</w:t>
      </w:r>
      <w:r w:rsidRPr="28857B16">
        <w:rPr>
          <w:rFonts w:ascii="Californian FB" w:eastAsia="Californian FB" w:hAnsi="Californian FB" w:cs="Californian FB"/>
          <w:color w:val="000000" w:themeColor="text1"/>
          <w:lang w:val="en-US"/>
        </w:rPr>
        <w:t xml:space="preserve"> </w:t>
      </w:r>
      <w:r w:rsidRPr="00343630">
        <w:rPr>
          <w:rFonts w:ascii="Californian FB" w:eastAsia="Californian FB" w:hAnsi="Californian FB" w:cs="Californian FB"/>
          <w:color w:val="000000" w:themeColor="text1"/>
          <w:lang w:val="en-US"/>
        </w:rPr>
        <w:t>can</w:t>
      </w:r>
      <w:r w:rsidRPr="28857B16">
        <w:rPr>
          <w:rFonts w:ascii="Californian FB" w:eastAsia="Californian FB" w:hAnsi="Californian FB" w:cs="Californian FB"/>
          <w:color w:val="000000" w:themeColor="text1"/>
          <w:lang w:val="en-US"/>
        </w:rPr>
        <w:t xml:space="preserve"> include the provision of affordable housing.</w:t>
      </w:r>
      <w:r w:rsidR="00C23D68">
        <w:rPr>
          <w:rStyle w:val="FootnoteReference"/>
          <w:rFonts w:ascii="Californian FB" w:eastAsia="Californian FB" w:hAnsi="Californian FB" w:cs="Californian FB"/>
          <w:color w:val="000000" w:themeColor="text1"/>
          <w:lang w:val="en-US"/>
        </w:rPr>
        <w:footnoteReference w:id="125"/>
      </w:r>
      <w:r w:rsidRPr="28857B16">
        <w:rPr>
          <w:rFonts w:ascii="Californian FB" w:eastAsia="Californian FB" w:hAnsi="Californian FB" w:cs="Californian FB"/>
          <w:color w:val="000000" w:themeColor="text1"/>
          <w:lang w:val="en-US"/>
        </w:rPr>
        <w:t xml:space="preserve"> In </w:t>
      </w:r>
      <w:r w:rsidRPr="28857B16">
        <w:rPr>
          <w:rFonts w:ascii="Californian FB" w:eastAsia="Californian FB" w:hAnsi="Californian FB" w:cs="Californian FB"/>
          <w:i/>
          <w:iCs/>
          <w:color w:val="000000" w:themeColor="text1"/>
          <w:lang w:val="en-US"/>
        </w:rPr>
        <w:t>Peninsula</w:t>
      </w:r>
      <w:r w:rsidR="00EE3242">
        <w:rPr>
          <w:rFonts w:ascii="Californian FB" w:eastAsia="Californian FB" w:hAnsi="Californian FB" w:cs="Californian FB"/>
          <w:i/>
          <w:iCs/>
          <w:color w:val="000000" w:themeColor="text1"/>
          <w:lang w:val="en-US"/>
        </w:rPr>
        <w:t xml:space="preserve"> Securities Ltd v </w:t>
      </w:r>
      <w:proofErr w:type="spellStart"/>
      <w:r w:rsidR="00EE3242">
        <w:rPr>
          <w:rFonts w:ascii="Californian FB" w:eastAsia="Californian FB" w:hAnsi="Californian FB" w:cs="Californian FB"/>
          <w:i/>
          <w:iCs/>
          <w:color w:val="000000" w:themeColor="text1"/>
          <w:lang w:val="en-US"/>
        </w:rPr>
        <w:t>Dunnes</w:t>
      </w:r>
      <w:proofErr w:type="spellEnd"/>
      <w:r w:rsidR="00EE3242">
        <w:rPr>
          <w:rFonts w:ascii="Californian FB" w:eastAsia="Californian FB" w:hAnsi="Californian FB" w:cs="Californian FB"/>
          <w:i/>
          <w:iCs/>
          <w:color w:val="000000" w:themeColor="text1"/>
          <w:lang w:val="en-US"/>
        </w:rPr>
        <w:t xml:space="preserve"> Stores (Bangor) Ltd</w:t>
      </w:r>
      <w:r w:rsidRPr="28857B16">
        <w:rPr>
          <w:rFonts w:ascii="Californian FB" w:eastAsia="Californian FB" w:hAnsi="Californian FB" w:cs="Californian FB"/>
          <w:color w:val="000000" w:themeColor="text1"/>
          <w:lang w:val="en-US"/>
        </w:rPr>
        <w:t>,</w:t>
      </w:r>
      <w:r w:rsidR="0066583B">
        <w:rPr>
          <w:rStyle w:val="FootnoteReference"/>
          <w:rFonts w:ascii="Californian FB" w:eastAsia="Californian FB" w:hAnsi="Californian FB" w:cs="Californian FB"/>
          <w:color w:val="000000" w:themeColor="text1"/>
          <w:lang w:val="en-US"/>
        </w:rPr>
        <w:footnoteReference w:id="126"/>
      </w:r>
      <w:r w:rsidRPr="28857B16">
        <w:rPr>
          <w:rFonts w:ascii="Californian FB" w:eastAsia="Californian FB" w:hAnsi="Californian FB" w:cs="Californian FB"/>
          <w:color w:val="000000" w:themeColor="text1"/>
          <w:lang w:val="en-US"/>
        </w:rPr>
        <w:t xml:space="preserve"> meanwhile, a leasehold covenant restricting trade was argued to be unlawful, in a context in which the anchor tenant essentially benefitting from it, the Irish chain </w:t>
      </w:r>
      <w:proofErr w:type="spellStart"/>
      <w:r w:rsidRPr="28857B16">
        <w:rPr>
          <w:rFonts w:ascii="Californian FB" w:eastAsia="Californian FB" w:hAnsi="Californian FB" w:cs="Californian FB"/>
          <w:color w:val="000000" w:themeColor="text1"/>
          <w:lang w:val="en-US"/>
        </w:rPr>
        <w:t>Dunnes</w:t>
      </w:r>
      <w:proofErr w:type="spellEnd"/>
      <w:r w:rsidRPr="28857B16">
        <w:rPr>
          <w:rFonts w:ascii="Californian FB" w:eastAsia="Californian FB" w:hAnsi="Californian FB" w:cs="Californian FB"/>
          <w:color w:val="000000" w:themeColor="text1"/>
          <w:lang w:val="en-US"/>
        </w:rPr>
        <w:t xml:space="preserve"> Stores, was seen as a major boost to the shopping </w:t>
      </w:r>
      <w:proofErr w:type="spellStart"/>
      <w:r w:rsidRPr="28857B16">
        <w:rPr>
          <w:rFonts w:ascii="Californian FB" w:eastAsia="Californian FB" w:hAnsi="Californian FB" w:cs="Californian FB"/>
          <w:color w:val="000000" w:themeColor="text1"/>
          <w:lang w:val="en-US"/>
        </w:rPr>
        <w:t>centre</w:t>
      </w:r>
      <w:proofErr w:type="spellEnd"/>
      <w:r w:rsidRPr="28857B16">
        <w:rPr>
          <w:rFonts w:ascii="Californian FB" w:eastAsia="Californian FB" w:hAnsi="Californian FB" w:cs="Californian FB"/>
          <w:color w:val="000000" w:themeColor="text1"/>
          <w:lang w:val="en-US"/>
        </w:rPr>
        <w:t>. Rejecting the claim, the</w:t>
      </w:r>
      <w:r w:rsidRPr="28857B16" w:rsidDel="008E1026">
        <w:rPr>
          <w:rFonts w:ascii="Californian FB" w:eastAsia="Californian FB" w:hAnsi="Californian FB" w:cs="Californian FB"/>
          <w:color w:val="000000" w:themeColor="text1"/>
          <w:lang w:val="en-US"/>
        </w:rPr>
        <w:t xml:space="preserve"> </w:t>
      </w:r>
      <w:r w:rsidRPr="28857B16">
        <w:rPr>
          <w:rFonts w:ascii="Californian FB" w:eastAsia="Californian FB" w:hAnsi="Californian FB" w:cs="Californian FB"/>
          <w:color w:val="000000" w:themeColor="text1"/>
          <w:lang w:val="en-US"/>
        </w:rPr>
        <w:t>Court re-examined the doctrine of restraint of trade, which Lord Wilson remarked had at its foundation public policy.</w:t>
      </w:r>
      <w:r w:rsidR="006141CB">
        <w:rPr>
          <w:rStyle w:val="FootnoteReference"/>
          <w:rFonts w:ascii="Californian FB" w:eastAsia="Californian FB" w:hAnsi="Californian FB" w:cs="Californian FB"/>
          <w:color w:val="000000" w:themeColor="text1"/>
          <w:lang w:val="en-US"/>
        </w:rPr>
        <w:footnoteReference w:id="127"/>
      </w:r>
      <w:r w:rsidRPr="28857B16">
        <w:rPr>
          <w:rFonts w:ascii="Californian FB" w:eastAsia="Californian FB" w:hAnsi="Californian FB" w:cs="Californian FB"/>
          <w:color w:val="000000" w:themeColor="text1"/>
          <w:lang w:val="en-US"/>
        </w:rPr>
        <w:t xml:space="preserve"> By having regard to public policy, the Court held that the </w:t>
      </w:r>
      <w:r w:rsidR="00664C68">
        <w:rPr>
          <w:rFonts w:ascii="Californian FB" w:eastAsia="Californian FB" w:hAnsi="Californian FB" w:cs="Californian FB"/>
          <w:color w:val="000000" w:themeColor="text1"/>
          <w:lang w:val="en-US"/>
        </w:rPr>
        <w:t>‘</w:t>
      </w:r>
      <w:r w:rsidRPr="28857B16">
        <w:rPr>
          <w:rFonts w:ascii="Californian FB" w:eastAsia="Californian FB" w:hAnsi="Californian FB" w:cs="Californian FB"/>
          <w:color w:val="000000" w:themeColor="text1"/>
          <w:lang w:val="en-US"/>
        </w:rPr>
        <w:t>pre-existing freedom’ test ought not to be followed as it did not engage public policy and could have arbitrary results;</w:t>
      </w:r>
      <w:r w:rsidR="00F532BD">
        <w:rPr>
          <w:rStyle w:val="FootnoteReference"/>
          <w:rFonts w:ascii="Californian FB" w:eastAsia="Californian FB" w:hAnsi="Californian FB" w:cs="Californian FB"/>
          <w:color w:val="000000" w:themeColor="text1"/>
          <w:lang w:val="en-US"/>
        </w:rPr>
        <w:footnoteReference w:id="128"/>
      </w:r>
      <w:r w:rsidRPr="28857B16">
        <w:rPr>
          <w:rFonts w:ascii="Californian FB" w:eastAsia="Californian FB" w:hAnsi="Californian FB" w:cs="Californian FB"/>
          <w:color w:val="000000" w:themeColor="text1"/>
          <w:lang w:val="en-US"/>
        </w:rPr>
        <w:t xml:space="preserve"> it </w:t>
      </w:r>
      <w:r w:rsidR="00664C68">
        <w:rPr>
          <w:rFonts w:ascii="Californian FB" w:eastAsia="Californian FB" w:hAnsi="Californian FB" w:cs="Californian FB"/>
          <w:color w:val="000000" w:themeColor="text1"/>
          <w:lang w:val="en-US"/>
        </w:rPr>
        <w:t>preferred</w:t>
      </w:r>
      <w:r w:rsidRPr="28857B16">
        <w:rPr>
          <w:rFonts w:ascii="Californian FB" w:eastAsia="Californian FB" w:hAnsi="Californian FB" w:cs="Californian FB"/>
          <w:color w:val="000000" w:themeColor="text1"/>
          <w:lang w:val="en-US"/>
        </w:rPr>
        <w:t xml:space="preserve"> the </w:t>
      </w:r>
      <w:r w:rsidR="00F767AD">
        <w:rPr>
          <w:rFonts w:ascii="Californian FB" w:eastAsia="Californian FB" w:hAnsi="Californian FB" w:cs="Californian FB"/>
          <w:color w:val="000000" w:themeColor="text1"/>
          <w:lang w:val="en-US"/>
        </w:rPr>
        <w:t>‘</w:t>
      </w:r>
      <w:r w:rsidRPr="28857B16">
        <w:rPr>
          <w:rFonts w:ascii="Californian FB" w:eastAsia="Californian FB" w:hAnsi="Californian FB" w:cs="Californian FB"/>
          <w:color w:val="000000" w:themeColor="text1"/>
          <w:lang w:val="en-US"/>
        </w:rPr>
        <w:t>trading society’ test which would uphold a restraint on trade if it is normally accepted in contractual relations in that context.</w:t>
      </w:r>
      <w:r w:rsidR="00D74121">
        <w:rPr>
          <w:rStyle w:val="FootnoteReference"/>
          <w:rFonts w:ascii="Californian FB" w:eastAsia="Californian FB" w:hAnsi="Californian FB" w:cs="Californian FB"/>
          <w:color w:val="000000" w:themeColor="text1"/>
          <w:lang w:val="en-US"/>
        </w:rPr>
        <w:footnoteReference w:id="129"/>
      </w:r>
      <w:r w:rsidR="00170C36">
        <w:rPr>
          <w:rFonts w:ascii="Californian FB" w:eastAsia="Californian FB" w:hAnsi="Californian FB" w:cs="Californian FB"/>
          <w:color w:val="000000" w:themeColor="text1"/>
          <w:lang w:val="en-US"/>
        </w:rPr>
        <w:t xml:space="preserve"> </w:t>
      </w:r>
      <w:r w:rsidR="00391866">
        <w:rPr>
          <w:rFonts w:ascii="Californian FB" w:eastAsia="Californian FB" w:hAnsi="Californian FB" w:cs="Californian FB"/>
          <w:color w:val="000000" w:themeColor="text1"/>
          <w:lang w:val="en-US"/>
        </w:rPr>
        <w:t>A</w:t>
      </w:r>
      <w:r w:rsidR="00ED7064">
        <w:rPr>
          <w:rFonts w:ascii="Californian FB" w:eastAsia="Californian FB" w:hAnsi="Californian FB" w:cs="Californian FB"/>
          <w:color w:val="000000" w:themeColor="text1"/>
          <w:lang w:val="en-US"/>
        </w:rPr>
        <w:t xml:space="preserve"> consistent approach</w:t>
      </w:r>
      <w:r w:rsidR="00391866">
        <w:rPr>
          <w:rFonts w:ascii="Californian FB" w:eastAsia="Californian FB" w:hAnsi="Californian FB" w:cs="Californian FB"/>
          <w:color w:val="000000" w:themeColor="text1"/>
          <w:lang w:val="en-US"/>
        </w:rPr>
        <w:t xml:space="preserve"> is evident</w:t>
      </w:r>
      <w:r w:rsidR="00ED7064">
        <w:rPr>
          <w:rFonts w:ascii="Californian FB" w:eastAsia="Californian FB" w:hAnsi="Californian FB" w:cs="Californian FB"/>
          <w:color w:val="000000" w:themeColor="text1"/>
          <w:lang w:val="en-US"/>
        </w:rPr>
        <w:t xml:space="preserve">: </w:t>
      </w:r>
      <w:r w:rsidR="00ED7064">
        <w:rPr>
          <w:rFonts w:ascii="Californian FB" w:eastAsia="Californian FB" w:hAnsi="Californian FB" w:cs="Californian FB"/>
          <w:i/>
          <w:iCs/>
          <w:color w:val="000000" w:themeColor="text1"/>
          <w:lang w:val="en-US"/>
        </w:rPr>
        <w:t>Devine</w:t>
      </w:r>
      <w:r w:rsidR="00ED7064">
        <w:rPr>
          <w:rFonts w:ascii="Californian FB" w:eastAsia="Californian FB" w:hAnsi="Californian FB" w:cs="Californian FB"/>
          <w:color w:val="000000" w:themeColor="text1"/>
          <w:lang w:val="en-US"/>
        </w:rPr>
        <w:t xml:space="preserve"> looks at what courts can permissibly consider as part of broadly-drawn </w:t>
      </w:r>
      <w:r w:rsidR="000450EF">
        <w:rPr>
          <w:rFonts w:ascii="Californian FB" w:eastAsia="Californian FB" w:hAnsi="Californian FB" w:cs="Californian FB"/>
          <w:color w:val="000000" w:themeColor="text1"/>
          <w:lang w:val="en-US"/>
        </w:rPr>
        <w:t xml:space="preserve">statutory grounds for jurisdiction and discretion, </w:t>
      </w:r>
      <w:r w:rsidR="00415E64">
        <w:rPr>
          <w:rFonts w:ascii="Californian FB" w:eastAsia="Californian FB" w:hAnsi="Californian FB" w:cs="Californian FB"/>
          <w:color w:val="000000" w:themeColor="text1"/>
          <w:lang w:val="en-US"/>
        </w:rPr>
        <w:t xml:space="preserve">while </w:t>
      </w:r>
      <w:r w:rsidR="00415E64">
        <w:rPr>
          <w:rFonts w:ascii="Californian FB" w:eastAsia="Californian FB" w:hAnsi="Californian FB" w:cs="Californian FB"/>
          <w:i/>
          <w:iCs/>
          <w:color w:val="000000" w:themeColor="text1"/>
          <w:lang w:val="en-US"/>
        </w:rPr>
        <w:t>Peninsula</w:t>
      </w:r>
      <w:r w:rsidR="00415E64">
        <w:rPr>
          <w:rFonts w:ascii="Californian FB" w:eastAsia="Californian FB" w:hAnsi="Californian FB" w:cs="Californian FB"/>
          <w:color w:val="000000" w:themeColor="text1"/>
          <w:lang w:val="en-US"/>
        </w:rPr>
        <w:t xml:space="preserve"> (as with </w:t>
      </w:r>
      <w:r w:rsidR="00415E64">
        <w:rPr>
          <w:rFonts w:ascii="Californian FB" w:eastAsia="Californian FB" w:hAnsi="Californian FB" w:cs="Californian FB"/>
          <w:i/>
          <w:iCs/>
          <w:color w:val="000000" w:themeColor="text1"/>
          <w:lang w:val="en-US"/>
        </w:rPr>
        <w:t>FHR</w:t>
      </w:r>
      <w:r w:rsidR="00415E64">
        <w:rPr>
          <w:rFonts w:ascii="Californian FB" w:eastAsia="Californian FB" w:hAnsi="Californian FB" w:cs="Californian FB"/>
          <w:color w:val="000000" w:themeColor="text1"/>
          <w:lang w:val="en-US"/>
        </w:rPr>
        <w:t xml:space="preserve">) </w:t>
      </w:r>
      <w:r w:rsidR="00E84E27">
        <w:rPr>
          <w:rFonts w:ascii="Californian FB" w:eastAsia="Californian FB" w:hAnsi="Californian FB" w:cs="Californian FB"/>
          <w:color w:val="000000" w:themeColor="text1"/>
          <w:lang w:val="en-US"/>
        </w:rPr>
        <w:t xml:space="preserve">makes a choice between apparently valid lines of authority, albeit perhaps more expressly basing this decision on policy reasoning. </w:t>
      </w:r>
      <w:r w:rsidR="003C62BB">
        <w:rPr>
          <w:rFonts w:ascii="Californian FB" w:eastAsia="Californian FB" w:hAnsi="Californian FB" w:cs="Californian FB"/>
          <w:color w:val="000000" w:themeColor="text1"/>
          <w:lang w:val="en-US"/>
        </w:rPr>
        <w:t xml:space="preserve">It is also possible to see the decision in </w:t>
      </w:r>
      <w:r w:rsidR="003C62BB">
        <w:rPr>
          <w:rFonts w:ascii="Californian FB" w:eastAsia="Californian FB" w:hAnsi="Californian FB" w:cs="Californian FB"/>
          <w:i/>
          <w:iCs/>
          <w:color w:val="000000" w:themeColor="text1"/>
          <w:lang w:val="en-US"/>
        </w:rPr>
        <w:t>Peninsula</w:t>
      </w:r>
      <w:r w:rsidR="00E84E27">
        <w:rPr>
          <w:rFonts w:ascii="Californian FB" w:eastAsia="Californian FB" w:hAnsi="Californian FB" w:cs="Californian FB"/>
          <w:color w:val="000000" w:themeColor="text1"/>
          <w:lang w:val="en-US"/>
        </w:rPr>
        <w:t xml:space="preserve"> </w:t>
      </w:r>
      <w:r w:rsidR="003C62BB">
        <w:rPr>
          <w:rFonts w:ascii="Californian FB" w:eastAsia="Californian FB" w:hAnsi="Californian FB" w:cs="Californian FB"/>
          <w:color w:val="000000" w:themeColor="text1"/>
          <w:lang w:val="en-US"/>
        </w:rPr>
        <w:t>as part of</w:t>
      </w:r>
      <w:r w:rsidR="00E84E27">
        <w:rPr>
          <w:rFonts w:ascii="Californian FB" w:eastAsia="Californian FB" w:hAnsi="Californian FB" w:cs="Californian FB"/>
          <w:color w:val="000000" w:themeColor="text1"/>
          <w:lang w:val="en-US"/>
        </w:rPr>
        <w:t xml:space="preserve"> the Court’s consistent </w:t>
      </w:r>
      <w:r w:rsidR="003C62BB">
        <w:rPr>
          <w:rFonts w:ascii="Californian FB" w:eastAsia="Californian FB" w:hAnsi="Californian FB" w:cs="Californian FB"/>
          <w:color w:val="000000" w:themeColor="text1"/>
          <w:lang w:val="en-US"/>
        </w:rPr>
        <w:t xml:space="preserve">recourse to what commerce needs </w:t>
      </w:r>
      <w:proofErr w:type="gramStart"/>
      <w:r w:rsidR="003C62BB">
        <w:rPr>
          <w:rFonts w:ascii="Californian FB" w:eastAsia="Californian FB" w:hAnsi="Californian FB" w:cs="Californian FB"/>
          <w:color w:val="000000" w:themeColor="text1"/>
          <w:lang w:val="en-US"/>
        </w:rPr>
        <w:t>in order to</w:t>
      </w:r>
      <w:proofErr w:type="gramEnd"/>
      <w:r w:rsidR="003C62BB">
        <w:rPr>
          <w:rFonts w:ascii="Californian FB" w:eastAsia="Californian FB" w:hAnsi="Californian FB" w:cs="Californian FB"/>
          <w:color w:val="000000" w:themeColor="text1"/>
          <w:lang w:val="en-US"/>
        </w:rPr>
        <w:t xml:space="preserve"> function.</w:t>
      </w:r>
    </w:p>
    <w:p w14:paraId="65FBB50F" w14:textId="4BCC0333" w:rsidR="001646F4" w:rsidRDefault="00937747" w:rsidP="001646F4">
      <w:pPr>
        <w:spacing w:line="279" w:lineRule="auto"/>
        <w:jc w:val="both"/>
        <w:rPr>
          <w:rFonts w:ascii="Californian FB" w:eastAsia="Californian FB" w:hAnsi="Californian FB" w:cs="Californian FB"/>
          <w:color w:val="000000" w:themeColor="text1"/>
          <w:lang w:val="en-US"/>
        </w:rPr>
      </w:pPr>
      <w:r>
        <w:rPr>
          <w:rFonts w:ascii="Californian FB" w:eastAsia="Californian FB" w:hAnsi="Californian FB" w:cs="Californian FB"/>
          <w:color w:val="000000" w:themeColor="text1"/>
          <w:lang w:val="en-US"/>
        </w:rPr>
        <w:t xml:space="preserve">We then turn to </w:t>
      </w:r>
      <w:r w:rsidR="00A629D1">
        <w:rPr>
          <w:rFonts w:ascii="Californian FB" w:eastAsia="Californian FB" w:hAnsi="Californian FB" w:cs="Californian FB"/>
          <w:color w:val="000000" w:themeColor="text1"/>
          <w:lang w:val="en-US"/>
        </w:rPr>
        <w:t>the illegality principle</w:t>
      </w:r>
      <w:r w:rsidR="00FF42AA">
        <w:rPr>
          <w:rFonts w:ascii="Californian FB" w:eastAsia="Californian FB" w:hAnsi="Californian FB" w:cs="Californian FB"/>
          <w:color w:val="000000" w:themeColor="text1"/>
          <w:lang w:val="en-US"/>
        </w:rPr>
        <w:t>. This</w:t>
      </w:r>
      <w:r w:rsidR="00860A88">
        <w:rPr>
          <w:rFonts w:ascii="Californian FB" w:eastAsia="Californian FB" w:hAnsi="Californian FB" w:cs="Californian FB"/>
          <w:color w:val="000000" w:themeColor="text1"/>
          <w:lang w:val="en-US"/>
        </w:rPr>
        <w:t xml:space="preserve"> was one of the specific points which most</w:t>
      </w:r>
      <w:r w:rsidR="001646F4" w:rsidRPr="42493695">
        <w:rPr>
          <w:rFonts w:ascii="Californian FB" w:eastAsia="Californian FB" w:hAnsi="Californian FB" w:cs="Californian FB"/>
          <w:color w:val="000000" w:themeColor="text1"/>
          <w:lang w:val="en-US"/>
        </w:rPr>
        <w:t xml:space="preserve"> consistently trouble</w:t>
      </w:r>
      <w:r w:rsidR="00860A88">
        <w:rPr>
          <w:rFonts w:ascii="Californian FB" w:eastAsia="Californian FB" w:hAnsi="Californian FB" w:cs="Californian FB"/>
          <w:color w:val="000000" w:themeColor="text1"/>
          <w:lang w:val="en-US"/>
        </w:rPr>
        <w:t>d</w:t>
      </w:r>
      <w:r w:rsidR="001646F4" w:rsidRPr="42493695">
        <w:rPr>
          <w:rFonts w:ascii="Californian FB" w:eastAsia="Californian FB" w:hAnsi="Californian FB" w:cs="Californian FB"/>
          <w:color w:val="000000" w:themeColor="text1"/>
          <w:lang w:val="en-US"/>
        </w:rPr>
        <w:t xml:space="preserve"> the Supreme Court in its 15 years</w:t>
      </w:r>
      <w:r w:rsidR="00860A88">
        <w:rPr>
          <w:rFonts w:ascii="Californian FB" w:eastAsia="Californian FB" w:hAnsi="Californian FB" w:cs="Californian FB"/>
          <w:color w:val="000000" w:themeColor="text1"/>
          <w:lang w:val="en-US"/>
        </w:rPr>
        <w:t xml:space="preserve"> until</w:t>
      </w:r>
      <w:r w:rsidR="001646F4" w:rsidRPr="42493695">
        <w:rPr>
          <w:rFonts w:ascii="Californian FB" w:eastAsia="Californian FB" w:hAnsi="Californian FB" w:cs="Californian FB"/>
          <w:color w:val="000000" w:themeColor="text1"/>
          <w:lang w:val="en-US"/>
        </w:rPr>
        <w:t xml:space="preserve"> </w:t>
      </w:r>
      <w:r w:rsidR="001646F4" w:rsidRPr="217AB82C">
        <w:rPr>
          <w:rFonts w:ascii="Californian FB" w:eastAsia="Californian FB" w:hAnsi="Californian FB" w:cs="Californian FB"/>
          <w:i/>
          <w:iCs/>
          <w:color w:val="000000" w:themeColor="text1"/>
          <w:lang w:val="en-US"/>
        </w:rPr>
        <w:t>Patel v Mirza</w:t>
      </w:r>
      <w:r w:rsidR="007E783A" w:rsidRPr="004C369A">
        <w:rPr>
          <w:rStyle w:val="FootnoteReference"/>
          <w:rFonts w:ascii="Californian FB" w:eastAsia="Californian FB" w:hAnsi="Californian FB" w:cs="Californian FB"/>
          <w:color w:val="000000" w:themeColor="text1"/>
          <w:lang w:val="en-US"/>
        </w:rPr>
        <w:footnoteReference w:id="130"/>
      </w:r>
      <w:r w:rsidR="001646F4" w:rsidRPr="004C369A">
        <w:rPr>
          <w:rFonts w:ascii="Californian FB" w:eastAsia="Californian FB" w:hAnsi="Californian FB" w:cs="Californian FB"/>
          <w:color w:val="000000" w:themeColor="text1"/>
          <w:lang w:val="en-US"/>
        </w:rPr>
        <w:t xml:space="preserve"> </w:t>
      </w:r>
      <w:r w:rsidR="00860A88" w:rsidRPr="007E783A">
        <w:rPr>
          <w:rFonts w:ascii="Californian FB" w:eastAsia="Californian FB" w:hAnsi="Californian FB" w:cs="Californian FB"/>
          <w:color w:val="000000" w:themeColor="text1"/>
          <w:lang w:val="en-US"/>
        </w:rPr>
        <w:t>laid</w:t>
      </w:r>
      <w:r w:rsidR="001646F4" w:rsidRPr="007E783A">
        <w:rPr>
          <w:rFonts w:ascii="Californian FB" w:eastAsia="Californian FB" w:hAnsi="Californian FB" w:cs="Californian FB"/>
          <w:color w:val="000000" w:themeColor="text1"/>
          <w:lang w:val="en-US"/>
        </w:rPr>
        <w:t xml:space="preserve"> </w:t>
      </w:r>
      <w:r w:rsidR="00860A88" w:rsidRPr="007E783A">
        <w:rPr>
          <w:rFonts w:ascii="Californian FB" w:eastAsia="Californian FB" w:hAnsi="Californian FB" w:cs="Californian FB"/>
          <w:color w:val="000000" w:themeColor="text1"/>
          <w:lang w:val="en-US"/>
        </w:rPr>
        <w:t>down</w:t>
      </w:r>
      <w:r w:rsidR="00860A88">
        <w:rPr>
          <w:rFonts w:ascii="Californian FB" w:eastAsia="Californian FB" w:hAnsi="Californian FB" w:cs="Californian FB"/>
          <w:color w:val="000000" w:themeColor="text1"/>
          <w:lang w:val="en-US"/>
        </w:rPr>
        <w:t xml:space="preserve"> the current</w:t>
      </w:r>
      <w:r w:rsidR="001646F4" w:rsidRPr="42493695">
        <w:rPr>
          <w:rFonts w:ascii="Californian FB" w:eastAsia="Californian FB" w:hAnsi="Californian FB" w:cs="Californian FB"/>
          <w:color w:val="000000" w:themeColor="text1"/>
          <w:lang w:val="en-US"/>
        </w:rPr>
        <w:t xml:space="preserve"> test for the application of the principle. We only </w:t>
      </w:r>
      <w:r w:rsidR="004C369A">
        <w:rPr>
          <w:rFonts w:ascii="Californian FB" w:eastAsia="Californian FB" w:hAnsi="Californian FB" w:cs="Californian FB"/>
          <w:color w:val="000000" w:themeColor="text1"/>
          <w:lang w:val="en-US"/>
        </w:rPr>
        <w:t>explore some aspects of this principle</w:t>
      </w:r>
      <w:r w:rsidR="001646F4" w:rsidRPr="42493695">
        <w:rPr>
          <w:rFonts w:ascii="Californian FB" w:eastAsia="Californian FB" w:hAnsi="Californian FB" w:cs="Californian FB"/>
          <w:color w:val="000000" w:themeColor="text1"/>
          <w:lang w:val="en-US"/>
        </w:rPr>
        <w:t xml:space="preserve">, as it applies across private law generally and has been written about extensively elsewhere. Essentially, the illegality principle bars a claim where that the claim is based on, or furthers, some conduct proscribed by the law: a simple example is a claim for damages for breach of a contract to kill someone. While the principle itself is clear, English courts have had quite a lot of difficulty laying down a test. Indeed, unhappiness with the ‘reliance’ test laid down by the House of Lords in </w:t>
      </w:r>
      <w:r w:rsidR="001646F4" w:rsidRPr="217AB82C">
        <w:rPr>
          <w:rFonts w:ascii="Californian FB" w:eastAsia="Californian FB" w:hAnsi="Californian FB" w:cs="Californian FB"/>
          <w:i/>
          <w:iCs/>
          <w:color w:val="000000" w:themeColor="text1"/>
          <w:lang w:val="en-US"/>
        </w:rPr>
        <w:t>Tinsley v Milligan</w:t>
      </w:r>
      <w:r w:rsidR="001646F4" w:rsidRPr="0092166E">
        <w:rPr>
          <w:rStyle w:val="FootnoteReference"/>
          <w:rFonts w:ascii="Californian FB" w:eastAsia="Californian FB" w:hAnsi="Californian FB" w:cs="Californian FB"/>
          <w:color w:val="000000" w:themeColor="text1"/>
          <w:lang w:val="en-US"/>
        </w:rPr>
        <w:footnoteReference w:id="131"/>
      </w:r>
      <w:r w:rsidR="001646F4" w:rsidRPr="0092166E">
        <w:rPr>
          <w:rFonts w:ascii="Californian FB" w:eastAsia="Californian FB" w:hAnsi="Californian FB" w:cs="Californian FB"/>
          <w:color w:val="000000" w:themeColor="text1"/>
          <w:lang w:val="en-US"/>
        </w:rPr>
        <w:t xml:space="preserve"> p</w:t>
      </w:r>
      <w:r w:rsidR="001646F4" w:rsidRPr="42493695">
        <w:rPr>
          <w:rFonts w:ascii="Californian FB" w:eastAsia="Californian FB" w:hAnsi="Californian FB" w:cs="Californian FB"/>
          <w:color w:val="000000" w:themeColor="text1"/>
          <w:lang w:val="en-US"/>
        </w:rPr>
        <w:t xml:space="preserve">receded </w:t>
      </w:r>
      <w:r w:rsidR="2CCC275D" w:rsidRPr="42493695">
        <w:rPr>
          <w:rFonts w:ascii="Californian FB" w:eastAsia="Californian FB" w:hAnsi="Californian FB" w:cs="Californian FB"/>
          <w:color w:val="000000" w:themeColor="text1"/>
          <w:lang w:val="en-US"/>
        </w:rPr>
        <w:t xml:space="preserve">three </w:t>
      </w:r>
      <w:r w:rsidR="001646F4" w:rsidRPr="42493695">
        <w:rPr>
          <w:rFonts w:ascii="Californian FB" w:eastAsia="Californian FB" w:hAnsi="Californian FB" w:cs="Californian FB"/>
          <w:color w:val="000000" w:themeColor="text1"/>
          <w:lang w:val="en-US"/>
        </w:rPr>
        <w:t>decisions by the Supreme Court revisiting the principle and making refinements where it could.</w:t>
      </w:r>
      <w:r w:rsidR="001646F4">
        <w:rPr>
          <w:rFonts w:ascii="Californian FB" w:eastAsia="Californian FB" w:hAnsi="Californian FB" w:cs="Californian FB"/>
          <w:color w:val="000000" w:themeColor="text1"/>
          <w:lang w:val="en-US"/>
        </w:rPr>
        <w:t xml:space="preserve"> An approach based on weighing up competing policy factors had been </w:t>
      </w:r>
      <w:r w:rsidR="00350622">
        <w:rPr>
          <w:rFonts w:ascii="Californian FB" w:eastAsia="Californian FB" w:hAnsi="Californian FB" w:cs="Californian FB"/>
          <w:color w:val="000000" w:themeColor="text1"/>
          <w:lang w:val="en-US"/>
        </w:rPr>
        <w:t>developing</w:t>
      </w:r>
      <w:r w:rsidR="001646F4">
        <w:rPr>
          <w:rFonts w:ascii="Californian FB" w:eastAsia="Californian FB" w:hAnsi="Californian FB" w:cs="Californian FB"/>
          <w:color w:val="000000" w:themeColor="text1"/>
          <w:lang w:val="en-US"/>
        </w:rPr>
        <w:t xml:space="preserve">, for example in the decision of three of the Justices in </w:t>
      </w:r>
      <w:proofErr w:type="spellStart"/>
      <w:r w:rsidR="001646F4" w:rsidRPr="217AB82C">
        <w:rPr>
          <w:rFonts w:ascii="Californian FB" w:eastAsia="Californian FB" w:hAnsi="Californian FB" w:cs="Californian FB"/>
          <w:i/>
          <w:iCs/>
          <w:color w:val="000000" w:themeColor="text1"/>
          <w:lang w:val="en-US"/>
        </w:rPr>
        <w:t>Hounga</w:t>
      </w:r>
      <w:proofErr w:type="spellEnd"/>
      <w:r w:rsidR="001646F4" w:rsidRPr="217AB82C">
        <w:rPr>
          <w:rFonts w:ascii="Californian FB" w:eastAsia="Californian FB" w:hAnsi="Californian FB" w:cs="Californian FB"/>
          <w:i/>
          <w:iCs/>
          <w:color w:val="000000" w:themeColor="text1"/>
          <w:lang w:val="en-US"/>
        </w:rPr>
        <w:t xml:space="preserve"> v Allen</w:t>
      </w:r>
      <w:r w:rsidR="001646F4">
        <w:rPr>
          <w:rFonts w:ascii="Californian FB" w:eastAsia="Californian FB" w:hAnsi="Californian FB" w:cs="Californian FB"/>
          <w:color w:val="000000" w:themeColor="text1"/>
          <w:lang w:val="en-US"/>
        </w:rPr>
        <w:t>.</w:t>
      </w:r>
      <w:r w:rsidR="001646F4">
        <w:rPr>
          <w:rStyle w:val="FootnoteReference"/>
          <w:rFonts w:ascii="Californian FB" w:eastAsia="Californian FB" w:hAnsi="Californian FB" w:cs="Californian FB"/>
          <w:color w:val="000000" w:themeColor="text1"/>
          <w:lang w:val="en-US"/>
        </w:rPr>
        <w:footnoteReference w:id="132"/>
      </w:r>
      <w:r w:rsidR="001646F4" w:rsidRPr="42493695">
        <w:rPr>
          <w:rFonts w:ascii="Californian FB" w:eastAsia="Californian FB" w:hAnsi="Californian FB" w:cs="Californian FB"/>
          <w:color w:val="000000" w:themeColor="text1"/>
          <w:lang w:val="en-US"/>
        </w:rPr>
        <w:t xml:space="preserve"> Finally, in </w:t>
      </w:r>
      <w:r w:rsidR="001646F4" w:rsidRPr="217AB82C">
        <w:rPr>
          <w:rFonts w:ascii="Californian FB" w:eastAsia="Californian FB" w:hAnsi="Californian FB" w:cs="Californian FB"/>
          <w:i/>
          <w:iCs/>
          <w:color w:val="000000" w:themeColor="text1"/>
          <w:lang w:val="en-US"/>
        </w:rPr>
        <w:t>Patel v Mirza</w:t>
      </w:r>
      <w:r w:rsidR="001646F4" w:rsidRPr="42493695">
        <w:rPr>
          <w:rFonts w:ascii="Californian FB" w:eastAsia="Californian FB" w:hAnsi="Californian FB" w:cs="Californian FB"/>
          <w:color w:val="000000" w:themeColor="text1"/>
          <w:lang w:val="en-US"/>
        </w:rPr>
        <w:t>,</w:t>
      </w:r>
      <w:r w:rsidR="001646F4">
        <w:rPr>
          <w:rStyle w:val="FootnoteReference"/>
          <w:rFonts w:ascii="Californian FB" w:eastAsia="Californian FB" w:hAnsi="Californian FB" w:cs="Californian FB"/>
          <w:color w:val="000000" w:themeColor="text1"/>
          <w:lang w:val="en-US"/>
        </w:rPr>
        <w:footnoteReference w:id="133"/>
      </w:r>
      <w:r w:rsidR="001646F4" w:rsidRPr="42493695">
        <w:rPr>
          <w:rFonts w:ascii="Californian FB" w:eastAsia="Californian FB" w:hAnsi="Californian FB" w:cs="Californian FB"/>
          <w:color w:val="000000" w:themeColor="text1"/>
          <w:lang w:val="en-US"/>
        </w:rPr>
        <w:t xml:space="preserve"> the opportunity came to </w:t>
      </w:r>
      <w:r w:rsidR="001646F4">
        <w:rPr>
          <w:rFonts w:ascii="Californian FB" w:eastAsia="Californian FB" w:hAnsi="Californian FB" w:cs="Californian FB"/>
          <w:color w:val="000000" w:themeColor="text1"/>
          <w:lang w:val="en-US"/>
        </w:rPr>
        <w:t>confirm a test</w:t>
      </w:r>
      <w:r w:rsidR="001646F4" w:rsidRPr="42493695">
        <w:rPr>
          <w:rFonts w:ascii="Californian FB" w:eastAsia="Californian FB" w:hAnsi="Californian FB" w:cs="Californian FB"/>
          <w:color w:val="000000" w:themeColor="text1"/>
          <w:lang w:val="en-US"/>
        </w:rPr>
        <w:t xml:space="preserve"> based on weighing up policy factors. Lord Toulson stated that courts were now to consider the underlying purpose of the prohibition and whether it would be enhanced by denying the claim, then consider any other relevant public policy that might be impacted by </w:t>
      </w:r>
      <w:r w:rsidR="001646F4" w:rsidRPr="008910B4">
        <w:rPr>
          <w:rFonts w:ascii="Californian FB" w:eastAsia="Californian FB" w:hAnsi="Californian FB" w:cs="Californian FB"/>
          <w:color w:val="000000" w:themeColor="text1"/>
          <w:lang w:val="en-US"/>
        </w:rPr>
        <w:t>denying</w:t>
      </w:r>
      <w:r w:rsidR="001646F4" w:rsidRPr="42493695">
        <w:rPr>
          <w:rFonts w:ascii="Californian FB" w:eastAsia="Californian FB" w:hAnsi="Californian FB" w:cs="Californian FB"/>
          <w:color w:val="000000" w:themeColor="text1"/>
          <w:lang w:val="en-US"/>
        </w:rPr>
        <w:t xml:space="preserve"> the claim, and finally consider whether </w:t>
      </w:r>
      <w:r w:rsidR="001646F4" w:rsidRPr="42493695">
        <w:rPr>
          <w:rFonts w:ascii="Californian FB" w:eastAsia="Californian FB" w:hAnsi="Californian FB" w:cs="Californian FB"/>
          <w:color w:val="000000" w:themeColor="text1"/>
          <w:lang w:val="en-US"/>
        </w:rPr>
        <w:lastRenderedPageBreak/>
        <w:t>denial would be proportionate.</w:t>
      </w:r>
      <w:r w:rsidR="001646F4" w:rsidRPr="42493695">
        <w:rPr>
          <w:rStyle w:val="FootnoteReference"/>
          <w:rFonts w:ascii="Californian FB" w:eastAsia="Californian FB" w:hAnsi="Californian FB" w:cs="Californian FB"/>
          <w:color w:val="000000" w:themeColor="text1"/>
          <w:lang w:val="en-US"/>
        </w:rPr>
        <w:footnoteReference w:id="134"/>
      </w:r>
      <w:r w:rsidR="001646F4">
        <w:rPr>
          <w:rFonts w:ascii="Californian FB" w:eastAsia="Californian FB" w:hAnsi="Californian FB" w:cs="Californian FB"/>
          <w:color w:val="000000" w:themeColor="text1"/>
          <w:lang w:val="en-US"/>
        </w:rPr>
        <w:t xml:space="preserve"> A similar public policy analysis had been conducted the year before by the Court of Appeal in </w:t>
      </w:r>
      <w:r w:rsidR="001646F4" w:rsidRPr="217AB82C">
        <w:rPr>
          <w:rFonts w:ascii="Californian FB" w:eastAsia="Californian FB" w:hAnsi="Californian FB" w:cs="Californian FB"/>
          <w:i/>
          <w:iCs/>
          <w:color w:val="000000" w:themeColor="text1"/>
          <w:lang w:val="en-US"/>
        </w:rPr>
        <w:t>R (Best) v Chief Land Registrar</w:t>
      </w:r>
      <w:r w:rsidR="001646F4" w:rsidRPr="00492510">
        <w:rPr>
          <w:rStyle w:val="FootnoteReference"/>
          <w:rFonts w:ascii="Californian FB" w:eastAsia="Californian FB" w:hAnsi="Californian FB" w:cs="Californian FB"/>
          <w:color w:val="000000" w:themeColor="text1"/>
          <w:lang w:val="en-US"/>
        </w:rPr>
        <w:footnoteReference w:id="135"/>
      </w:r>
      <w:r w:rsidR="001646F4">
        <w:rPr>
          <w:rFonts w:ascii="Californian FB" w:eastAsia="Californian FB" w:hAnsi="Californian FB" w:cs="Californian FB"/>
          <w:color w:val="000000" w:themeColor="text1"/>
          <w:lang w:val="en-US"/>
        </w:rPr>
        <w:t xml:space="preserve"> in deciding </w:t>
      </w:r>
      <w:r w:rsidR="00F3782D">
        <w:rPr>
          <w:rFonts w:ascii="Californian FB" w:eastAsia="Californian FB" w:hAnsi="Californian FB" w:cs="Californian FB"/>
          <w:color w:val="000000" w:themeColor="text1"/>
          <w:lang w:val="en-US"/>
        </w:rPr>
        <w:t>that the</w:t>
      </w:r>
      <w:r w:rsidR="001646F4">
        <w:rPr>
          <w:rFonts w:ascii="Californian FB" w:eastAsia="Californian FB" w:hAnsi="Californian FB" w:cs="Californian FB"/>
          <w:color w:val="000000" w:themeColor="text1"/>
          <w:lang w:val="en-US"/>
        </w:rPr>
        <w:t xml:space="preserve"> illegality </w:t>
      </w:r>
      <w:proofErr w:type="spellStart"/>
      <w:r w:rsidR="001646F4">
        <w:rPr>
          <w:rFonts w:ascii="Californian FB" w:eastAsia="Californian FB" w:hAnsi="Californian FB" w:cs="Californian FB"/>
          <w:color w:val="000000" w:themeColor="text1"/>
          <w:lang w:val="en-US"/>
        </w:rPr>
        <w:t>defence</w:t>
      </w:r>
      <w:proofErr w:type="spellEnd"/>
      <w:r w:rsidR="001646F4">
        <w:rPr>
          <w:rFonts w:ascii="Californian FB" w:eastAsia="Californian FB" w:hAnsi="Californian FB" w:cs="Californian FB"/>
          <w:color w:val="000000" w:themeColor="text1"/>
          <w:lang w:val="en-US"/>
        </w:rPr>
        <w:t xml:space="preserve"> </w:t>
      </w:r>
      <w:r w:rsidR="00F3782D">
        <w:rPr>
          <w:rFonts w:ascii="Californian FB" w:eastAsia="Californian FB" w:hAnsi="Californian FB" w:cs="Californian FB"/>
          <w:color w:val="000000" w:themeColor="text1"/>
          <w:lang w:val="en-US"/>
        </w:rPr>
        <w:t xml:space="preserve">did </w:t>
      </w:r>
      <w:r w:rsidR="00F3782D" w:rsidRPr="217AB82C">
        <w:rPr>
          <w:rFonts w:ascii="Californian FB" w:eastAsia="Californian FB" w:hAnsi="Californian FB" w:cs="Californian FB"/>
          <w:i/>
          <w:iCs/>
          <w:color w:val="000000" w:themeColor="text1"/>
          <w:lang w:val="en-US"/>
        </w:rPr>
        <w:t>not</w:t>
      </w:r>
      <w:r w:rsidR="00F3782D">
        <w:rPr>
          <w:rFonts w:ascii="Californian FB" w:eastAsia="Californian FB" w:hAnsi="Californian FB" w:cs="Californian FB"/>
          <w:color w:val="000000" w:themeColor="text1"/>
          <w:lang w:val="en-US"/>
        </w:rPr>
        <w:t xml:space="preserve"> apply specifically</w:t>
      </w:r>
      <w:r w:rsidR="001646F4">
        <w:rPr>
          <w:rFonts w:ascii="Californian FB" w:eastAsia="Californian FB" w:hAnsi="Californian FB" w:cs="Californian FB"/>
          <w:color w:val="000000" w:themeColor="text1"/>
          <w:lang w:val="en-US"/>
        </w:rPr>
        <w:t xml:space="preserve"> in respect of an application to become registered proprietor under Schedule 6 of the Land Registration Act (LRA) 2002, following a period of adverse possession.</w:t>
      </w:r>
      <w:r w:rsidR="00932AFB">
        <w:rPr>
          <w:rStyle w:val="FootnoteReference"/>
          <w:rFonts w:ascii="Californian FB" w:eastAsia="Californian FB" w:hAnsi="Californian FB" w:cs="Californian FB"/>
          <w:color w:val="000000" w:themeColor="text1"/>
          <w:lang w:val="en-US"/>
        </w:rPr>
        <w:footnoteReference w:id="136"/>
      </w:r>
      <w:r w:rsidR="000B676F">
        <w:rPr>
          <w:rFonts w:ascii="Californian FB" w:eastAsia="Californian FB" w:hAnsi="Californian FB" w:cs="Californian FB"/>
          <w:color w:val="000000" w:themeColor="text1"/>
          <w:lang w:val="en-US"/>
        </w:rPr>
        <w:t xml:space="preserve"> The test</w:t>
      </w:r>
      <w:r w:rsidR="00ED164C">
        <w:rPr>
          <w:rFonts w:ascii="Californian FB" w:eastAsia="Californian FB" w:hAnsi="Californian FB" w:cs="Californian FB"/>
          <w:color w:val="000000" w:themeColor="text1"/>
          <w:lang w:val="en-US"/>
        </w:rPr>
        <w:t>,</w:t>
      </w:r>
      <w:r w:rsidR="0047088F">
        <w:rPr>
          <w:rFonts w:ascii="Californian FB" w:eastAsia="Californian FB" w:hAnsi="Californian FB" w:cs="Californian FB"/>
          <w:color w:val="000000" w:themeColor="text1"/>
          <w:lang w:val="en-US"/>
        </w:rPr>
        <w:t xml:space="preserve"> now confirmed by the Supreme Court,</w:t>
      </w:r>
      <w:r w:rsidR="003E5392">
        <w:rPr>
          <w:rFonts w:ascii="Californian FB" w:eastAsia="Californian FB" w:hAnsi="Californian FB" w:cs="Californian FB"/>
          <w:color w:val="000000" w:themeColor="text1"/>
          <w:lang w:val="en-US"/>
        </w:rPr>
        <w:t xml:space="preserve"> therefore provides space for interesting development of </w:t>
      </w:r>
      <w:r w:rsidR="00F633CF">
        <w:rPr>
          <w:rFonts w:ascii="Californian FB" w:eastAsia="Californian FB" w:hAnsi="Californian FB" w:cs="Californian FB"/>
          <w:color w:val="000000" w:themeColor="text1"/>
          <w:lang w:val="en-US"/>
        </w:rPr>
        <w:t xml:space="preserve">property in balancing </w:t>
      </w:r>
      <w:r w:rsidR="00A362B7">
        <w:rPr>
          <w:rFonts w:ascii="Californian FB" w:eastAsia="Californian FB" w:hAnsi="Californian FB" w:cs="Californian FB"/>
          <w:color w:val="000000" w:themeColor="text1"/>
          <w:lang w:val="en-US"/>
        </w:rPr>
        <w:t>competing policy from tort or the criminal law</w:t>
      </w:r>
      <w:r w:rsidR="00462A94">
        <w:rPr>
          <w:rFonts w:ascii="Californian FB" w:eastAsia="Californian FB" w:hAnsi="Californian FB" w:cs="Californian FB"/>
          <w:color w:val="000000" w:themeColor="text1"/>
          <w:lang w:val="en-US"/>
        </w:rPr>
        <w:t>.</w:t>
      </w:r>
    </w:p>
    <w:p w14:paraId="63438391" w14:textId="03A3EF53" w:rsidR="001319E4" w:rsidRDefault="001646F4" w:rsidP="001646F4">
      <w:pPr>
        <w:spacing w:line="279" w:lineRule="auto"/>
        <w:jc w:val="both"/>
        <w:rPr>
          <w:rFonts w:ascii="Californian FB" w:eastAsia="Californian FB" w:hAnsi="Californian FB" w:cs="Californian FB"/>
          <w:color w:val="000000" w:themeColor="text1"/>
          <w:lang w:val="en-US"/>
        </w:rPr>
      </w:pPr>
      <w:r w:rsidRPr="28857B16">
        <w:rPr>
          <w:rFonts w:ascii="Californian FB" w:eastAsia="Californian FB" w:hAnsi="Californian FB" w:cs="Californian FB"/>
          <w:color w:val="000000" w:themeColor="text1"/>
          <w:lang w:val="en-US"/>
        </w:rPr>
        <w:t>The</w:t>
      </w:r>
      <w:r w:rsidR="003D4718">
        <w:rPr>
          <w:rFonts w:ascii="Californian FB" w:eastAsia="Californian FB" w:hAnsi="Californian FB" w:cs="Californian FB"/>
          <w:color w:val="000000" w:themeColor="text1"/>
          <w:lang w:val="en-US"/>
        </w:rPr>
        <w:t xml:space="preserve"> </w:t>
      </w:r>
      <w:r w:rsidRPr="28857B16">
        <w:rPr>
          <w:rFonts w:ascii="Californian FB" w:eastAsia="Californian FB" w:hAnsi="Californian FB" w:cs="Californian FB"/>
          <w:color w:val="000000" w:themeColor="text1"/>
          <w:lang w:val="en-US"/>
        </w:rPr>
        <w:t>Court</w:t>
      </w:r>
      <w:r w:rsidRPr="28857B16" w:rsidDel="00752AAA">
        <w:rPr>
          <w:rFonts w:ascii="Californian FB" w:eastAsia="Californian FB" w:hAnsi="Californian FB" w:cs="Californian FB"/>
          <w:color w:val="000000" w:themeColor="text1"/>
          <w:lang w:val="en-US"/>
        </w:rPr>
        <w:t xml:space="preserve"> </w:t>
      </w:r>
      <w:r w:rsidRPr="28857B16">
        <w:rPr>
          <w:rFonts w:ascii="Californian FB" w:eastAsia="Californian FB" w:hAnsi="Californian FB" w:cs="Californian FB"/>
          <w:color w:val="000000" w:themeColor="text1"/>
          <w:lang w:val="en-US"/>
        </w:rPr>
        <w:t xml:space="preserve">has since already had an opportunity to </w:t>
      </w:r>
      <w:r w:rsidR="0047088F">
        <w:rPr>
          <w:rFonts w:ascii="Californian FB" w:eastAsia="Californian FB" w:hAnsi="Californian FB" w:cs="Californian FB"/>
          <w:color w:val="000000" w:themeColor="text1"/>
          <w:lang w:val="en-US"/>
        </w:rPr>
        <w:t>apply the test</w:t>
      </w:r>
      <w:r w:rsidRPr="28857B16">
        <w:rPr>
          <w:rFonts w:ascii="Californian FB" w:eastAsia="Californian FB" w:hAnsi="Californian FB" w:cs="Californian FB"/>
          <w:color w:val="000000" w:themeColor="text1"/>
          <w:lang w:val="en-US"/>
        </w:rPr>
        <w:t xml:space="preserve"> in a property context, in </w:t>
      </w:r>
      <w:r w:rsidRPr="28857B16">
        <w:rPr>
          <w:rFonts w:ascii="Californian FB" w:eastAsia="Californian FB" w:hAnsi="Californian FB" w:cs="Californian FB"/>
          <w:i/>
          <w:iCs/>
          <w:color w:val="000000" w:themeColor="text1"/>
          <w:lang w:val="en-US"/>
        </w:rPr>
        <w:t xml:space="preserve">Stoffel v </w:t>
      </w:r>
      <w:proofErr w:type="spellStart"/>
      <w:r w:rsidRPr="28857B16">
        <w:rPr>
          <w:rFonts w:ascii="Californian FB" w:eastAsia="Californian FB" w:hAnsi="Californian FB" w:cs="Californian FB"/>
          <w:i/>
          <w:iCs/>
          <w:color w:val="000000" w:themeColor="text1"/>
          <w:lang w:val="en-US"/>
        </w:rPr>
        <w:t>Grondona</w:t>
      </w:r>
      <w:proofErr w:type="spellEnd"/>
      <w:r w:rsidRPr="28857B16">
        <w:rPr>
          <w:rFonts w:ascii="Californian FB" w:eastAsia="Californian FB" w:hAnsi="Californian FB" w:cs="Californian FB"/>
          <w:color w:val="000000" w:themeColor="text1"/>
          <w:lang w:val="en-US"/>
        </w:rPr>
        <w:t>.</w:t>
      </w:r>
      <w:bookmarkStart w:id="20" w:name="_Ref174702404"/>
      <w:r w:rsidR="00D2062E">
        <w:rPr>
          <w:rStyle w:val="FootnoteReference"/>
          <w:rFonts w:ascii="Californian FB" w:eastAsia="Californian FB" w:hAnsi="Californian FB" w:cs="Californian FB"/>
          <w:color w:val="000000" w:themeColor="text1"/>
          <w:lang w:val="en-US"/>
        </w:rPr>
        <w:footnoteReference w:id="137"/>
      </w:r>
      <w:bookmarkEnd w:id="20"/>
      <w:r w:rsidRPr="28857B16">
        <w:rPr>
          <w:rFonts w:ascii="Californian FB" w:eastAsia="Californian FB" w:hAnsi="Californian FB" w:cs="Californian FB"/>
          <w:color w:val="000000" w:themeColor="text1"/>
          <w:lang w:val="en-US"/>
        </w:rPr>
        <w:t xml:space="preserve"> Here, a vendor and purchaser of a leasehold flat were cooperating in arranging a mortgage fraud, with the purchaser executing a charge for around £76</w:t>
      </w:r>
      <w:r w:rsidR="007B6F19">
        <w:rPr>
          <w:rFonts w:ascii="Californian FB" w:eastAsia="Californian FB" w:hAnsi="Californian FB" w:cs="Californian FB"/>
          <w:color w:val="000000" w:themeColor="text1"/>
          <w:lang w:val="en-US"/>
        </w:rPr>
        <w:t>,</w:t>
      </w:r>
      <w:r w:rsidRPr="28857B16">
        <w:rPr>
          <w:rFonts w:ascii="Californian FB" w:eastAsia="Californian FB" w:hAnsi="Californian FB" w:cs="Californian FB"/>
          <w:color w:val="000000" w:themeColor="text1"/>
          <w:lang w:val="en-US"/>
        </w:rPr>
        <w:t xml:space="preserve">000. The solicitors negligently failed to register the purchaser as the proprietor. She eventually defaulted on the mortgage, and she sought damages from the solicitors, who raised the illegality </w:t>
      </w:r>
      <w:proofErr w:type="spellStart"/>
      <w:r w:rsidRPr="28857B16">
        <w:rPr>
          <w:rFonts w:ascii="Californian FB" w:eastAsia="Californian FB" w:hAnsi="Californian FB" w:cs="Californian FB"/>
          <w:color w:val="000000" w:themeColor="text1"/>
          <w:lang w:val="en-US"/>
        </w:rPr>
        <w:t>defence</w:t>
      </w:r>
      <w:proofErr w:type="spellEnd"/>
      <w:r w:rsidRPr="28857B16">
        <w:rPr>
          <w:rFonts w:ascii="Californian FB" w:eastAsia="Californian FB" w:hAnsi="Californian FB" w:cs="Californian FB"/>
          <w:color w:val="000000" w:themeColor="text1"/>
          <w:lang w:val="en-US"/>
        </w:rPr>
        <w:t xml:space="preserve">. In allowing the claim and disapplying the </w:t>
      </w:r>
      <w:proofErr w:type="spellStart"/>
      <w:r w:rsidRPr="28857B16">
        <w:rPr>
          <w:rFonts w:ascii="Californian FB" w:eastAsia="Californian FB" w:hAnsi="Californian FB" w:cs="Californian FB"/>
          <w:color w:val="000000" w:themeColor="text1"/>
          <w:lang w:val="en-US"/>
        </w:rPr>
        <w:t>defence</w:t>
      </w:r>
      <w:proofErr w:type="spellEnd"/>
      <w:r w:rsidRPr="28857B16">
        <w:rPr>
          <w:rFonts w:ascii="Californian FB" w:eastAsia="Californian FB" w:hAnsi="Californian FB" w:cs="Californian FB"/>
          <w:color w:val="000000" w:themeColor="text1"/>
          <w:lang w:val="en-US"/>
        </w:rPr>
        <w:t xml:space="preserve">, Lord Lloyd-Jones for the majority </w:t>
      </w:r>
      <w:proofErr w:type="spellStart"/>
      <w:r w:rsidRPr="28857B16">
        <w:rPr>
          <w:rFonts w:ascii="Californian FB" w:eastAsia="Californian FB" w:hAnsi="Californian FB" w:cs="Californian FB"/>
          <w:color w:val="000000" w:themeColor="text1"/>
          <w:lang w:val="en-US"/>
        </w:rPr>
        <w:t>emphasised</w:t>
      </w:r>
      <w:proofErr w:type="spellEnd"/>
      <w:r w:rsidRPr="28857B16">
        <w:rPr>
          <w:rFonts w:ascii="Californian FB" w:eastAsia="Californian FB" w:hAnsi="Californian FB" w:cs="Californian FB"/>
          <w:color w:val="000000" w:themeColor="text1"/>
          <w:lang w:val="en-US"/>
        </w:rPr>
        <w:t xml:space="preserve"> that </w:t>
      </w:r>
      <w:r w:rsidR="003C62BB">
        <w:rPr>
          <w:rFonts w:ascii="Californian FB" w:eastAsia="Californian FB" w:hAnsi="Californian FB" w:cs="Californian FB"/>
          <w:color w:val="000000" w:themeColor="text1"/>
          <w:lang w:val="en-US"/>
        </w:rPr>
        <w:t>the first two parts</w:t>
      </w:r>
      <w:r w:rsidR="00171E0B">
        <w:rPr>
          <w:rFonts w:ascii="Californian FB" w:eastAsia="Californian FB" w:hAnsi="Californian FB" w:cs="Californian FB"/>
          <w:color w:val="000000" w:themeColor="text1"/>
          <w:lang w:val="en-US"/>
        </w:rPr>
        <w:t xml:space="preserve"> of</w:t>
      </w:r>
      <w:r w:rsidRPr="28857B16">
        <w:rPr>
          <w:rFonts w:ascii="Californian FB" w:eastAsia="Californian FB" w:hAnsi="Californian FB" w:cs="Californian FB"/>
          <w:color w:val="000000" w:themeColor="text1"/>
          <w:lang w:val="en-US"/>
        </w:rPr>
        <w:t xml:space="preserve"> the test involve assessing whether allowing the claim would damage the integrity of the legal system, without getting into evaluations of the policies themselves</w:t>
      </w:r>
      <w:r w:rsidR="00900C6E">
        <w:rPr>
          <w:rFonts w:ascii="Californian FB" w:eastAsia="Californian FB" w:hAnsi="Californian FB" w:cs="Californian FB"/>
          <w:color w:val="000000" w:themeColor="text1"/>
          <w:lang w:val="en-US"/>
        </w:rPr>
        <w:t xml:space="preserve"> –</w:t>
      </w:r>
      <w:r w:rsidR="003C62BB">
        <w:rPr>
          <w:rFonts w:ascii="Californian FB" w:eastAsia="Californian FB" w:hAnsi="Californian FB" w:cs="Californian FB"/>
          <w:color w:val="000000" w:themeColor="text1"/>
          <w:lang w:val="en-US"/>
        </w:rPr>
        <w:t xml:space="preserve"> and</w:t>
      </w:r>
      <w:r w:rsidRPr="28857B16">
        <w:rPr>
          <w:rFonts w:ascii="Californian FB" w:eastAsia="Californian FB" w:hAnsi="Californian FB" w:cs="Californian FB"/>
          <w:color w:val="000000" w:themeColor="text1"/>
          <w:lang w:val="en-US"/>
        </w:rPr>
        <w:t xml:space="preserve"> that, in some cases, the decision not to allow the claim would be sufficiently clear at this stage that the proportionality aspect would not need to be considered.</w:t>
      </w:r>
      <w:r w:rsidR="00FC3473">
        <w:rPr>
          <w:rStyle w:val="FootnoteReference"/>
          <w:rFonts w:ascii="Californian FB" w:eastAsia="Californian FB" w:hAnsi="Californian FB" w:cs="Californian FB"/>
          <w:color w:val="000000" w:themeColor="text1"/>
          <w:lang w:val="en-US"/>
        </w:rPr>
        <w:footnoteReference w:id="138"/>
      </w:r>
      <w:r w:rsidRPr="28857B16">
        <w:rPr>
          <w:rFonts w:ascii="Californian FB" w:eastAsia="Californian FB" w:hAnsi="Californian FB" w:cs="Californian FB"/>
          <w:color w:val="000000" w:themeColor="text1"/>
          <w:lang w:val="en-US"/>
        </w:rPr>
        <w:t xml:space="preserve"> </w:t>
      </w:r>
      <w:r w:rsidR="00C910CE">
        <w:rPr>
          <w:rFonts w:ascii="Californian FB" w:eastAsia="Californian FB" w:hAnsi="Californian FB" w:cs="Californian FB"/>
          <w:color w:val="000000" w:themeColor="text1"/>
          <w:lang w:val="en-US"/>
        </w:rPr>
        <w:t xml:space="preserve">As we will see below, the Court seemingly </w:t>
      </w:r>
      <w:proofErr w:type="spellStart"/>
      <w:r w:rsidR="001319E4">
        <w:rPr>
          <w:rFonts w:ascii="Californian FB" w:eastAsia="Californian FB" w:hAnsi="Californian FB" w:cs="Californian FB"/>
          <w:color w:val="000000" w:themeColor="text1"/>
          <w:lang w:val="en-US"/>
        </w:rPr>
        <w:t>emphasised</w:t>
      </w:r>
      <w:proofErr w:type="spellEnd"/>
      <w:r w:rsidR="001319E4">
        <w:rPr>
          <w:rFonts w:ascii="Californian FB" w:eastAsia="Californian FB" w:hAnsi="Californian FB" w:cs="Californian FB"/>
          <w:color w:val="000000" w:themeColor="text1"/>
          <w:lang w:val="en-US"/>
        </w:rPr>
        <w:t xml:space="preserve"> the need for protection of commercial interests.</w:t>
      </w:r>
    </w:p>
    <w:p w14:paraId="6943B821" w14:textId="06426372" w:rsidR="001646F4" w:rsidRPr="00DE2320" w:rsidRDefault="001319E4" w:rsidP="00DE2320">
      <w:pPr>
        <w:spacing w:line="279" w:lineRule="auto"/>
        <w:jc w:val="both"/>
        <w:rPr>
          <w:rFonts w:ascii="Californian FB" w:eastAsia="Californian FB" w:hAnsi="Californian FB" w:cs="Californian FB"/>
          <w:color w:val="000000" w:themeColor="text1"/>
          <w:lang w:val="en-US"/>
        </w:rPr>
      </w:pPr>
      <w:r>
        <w:rPr>
          <w:rFonts w:ascii="Californian FB" w:eastAsia="Californian FB" w:hAnsi="Californian FB" w:cs="Californian FB"/>
          <w:color w:val="000000" w:themeColor="text1"/>
          <w:lang w:val="en-US"/>
        </w:rPr>
        <w:t xml:space="preserve">Overall, the small sample of cases interacting with wider policy considerations belies the depth of </w:t>
      </w:r>
      <w:r w:rsidR="00BC53A9">
        <w:rPr>
          <w:rFonts w:ascii="Californian FB" w:eastAsia="Californian FB" w:hAnsi="Californian FB" w:cs="Californian FB"/>
          <w:color w:val="000000" w:themeColor="text1"/>
          <w:lang w:val="en-US"/>
        </w:rPr>
        <w:t>meaning</w:t>
      </w:r>
      <w:r w:rsidR="009C49D7">
        <w:rPr>
          <w:rFonts w:ascii="Californian FB" w:eastAsia="Californian FB" w:hAnsi="Californian FB" w:cs="Californian FB"/>
          <w:color w:val="000000" w:themeColor="text1"/>
          <w:lang w:val="en-US"/>
        </w:rPr>
        <w:t xml:space="preserve"> involved, especially when we make links with other themes identified in this project. First, the Court draws on policy considerations but prefers to safely base its decisions on settled principle</w:t>
      </w:r>
      <w:r w:rsidR="007C2A66">
        <w:rPr>
          <w:rFonts w:ascii="Californian FB" w:eastAsia="Californian FB" w:hAnsi="Californian FB" w:cs="Californian FB"/>
          <w:color w:val="000000" w:themeColor="text1"/>
          <w:lang w:val="en-US"/>
        </w:rPr>
        <w:t xml:space="preserve"> and, when it is available, precedent. Nevertheless, choices between conflicting lines of authority have been resolved by recourse to policy. Secondly, the open-textured illegality test which explicitly </w:t>
      </w:r>
      <w:r w:rsidR="007C2A66">
        <w:rPr>
          <w:rFonts w:ascii="Californian FB" w:eastAsia="Californian FB" w:hAnsi="Californian FB" w:cs="Californian FB"/>
          <w:i/>
          <w:iCs/>
          <w:color w:val="000000" w:themeColor="text1"/>
          <w:lang w:val="en-US"/>
        </w:rPr>
        <w:t>requires</w:t>
      </w:r>
      <w:r w:rsidR="007C2A66">
        <w:rPr>
          <w:rFonts w:ascii="Californian FB" w:eastAsia="Californian FB" w:hAnsi="Californian FB" w:cs="Californian FB"/>
          <w:color w:val="000000" w:themeColor="text1"/>
          <w:lang w:val="en-US"/>
        </w:rPr>
        <w:t xml:space="preserve"> consideration of policy factors is yet </w:t>
      </w:r>
      <w:r w:rsidR="008C3FAE">
        <w:rPr>
          <w:rFonts w:ascii="Californian FB" w:eastAsia="Californian FB" w:hAnsi="Californian FB" w:cs="Californian FB"/>
          <w:color w:val="000000" w:themeColor="text1"/>
          <w:lang w:val="en-US"/>
        </w:rPr>
        <w:t>to be tested</w:t>
      </w:r>
      <w:r w:rsidR="005809C5">
        <w:rPr>
          <w:rFonts w:ascii="Californian FB" w:eastAsia="Californian FB" w:hAnsi="Californian FB" w:cs="Californian FB"/>
          <w:color w:val="000000" w:themeColor="text1"/>
          <w:lang w:val="en-US"/>
        </w:rPr>
        <w:t xml:space="preserve"> at the highest level</w:t>
      </w:r>
      <w:r w:rsidR="008C3FAE">
        <w:rPr>
          <w:rFonts w:ascii="Californian FB" w:eastAsia="Californian FB" w:hAnsi="Californian FB" w:cs="Californian FB"/>
          <w:color w:val="000000" w:themeColor="text1"/>
          <w:lang w:val="en-US"/>
        </w:rPr>
        <w:t xml:space="preserve"> </w:t>
      </w:r>
      <w:r w:rsidR="00121FC3">
        <w:rPr>
          <w:rFonts w:ascii="Californian FB" w:eastAsia="Californian FB" w:hAnsi="Californian FB" w:cs="Californian FB"/>
          <w:color w:val="000000" w:themeColor="text1"/>
          <w:lang w:val="en-US"/>
        </w:rPr>
        <w:t xml:space="preserve">in difficult cases involving </w:t>
      </w:r>
      <w:r w:rsidR="005809C5">
        <w:rPr>
          <w:rFonts w:ascii="Californian FB" w:eastAsia="Californian FB" w:hAnsi="Californian FB" w:cs="Californian FB"/>
          <w:color w:val="000000" w:themeColor="text1"/>
          <w:lang w:val="en-US"/>
        </w:rPr>
        <w:t>squatting and homelessness</w:t>
      </w:r>
      <w:r w:rsidR="00237D36">
        <w:rPr>
          <w:rFonts w:ascii="Californian FB" w:eastAsia="Californian FB" w:hAnsi="Californian FB" w:cs="Californian FB"/>
          <w:color w:val="000000" w:themeColor="text1"/>
          <w:lang w:val="en-US"/>
        </w:rPr>
        <w:t xml:space="preserve">: while </w:t>
      </w:r>
      <w:r w:rsidR="005809C5">
        <w:rPr>
          <w:rFonts w:ascii="Californian FB" w:eastAsia="Californian FB" w:hAnsi="Californian FB" w:cs="Californian FB"/>
          <w:i/>
          <w:iCs/>
          <w:color w:val="000000" w:themeColor="text1"/>
          <w:lang w:val="en-US"/>
        </w:rPr>
        <w:t>Stoffel</w:t>
      </w:r>
      <w:r w:rsidR="005809C5">
        <w:rPr>
          <w:rFonts w:ascii="Californian FB" w:eastAsia="Californian FB" w:hAnsi="Californian FB" w:cs="Californian FB"/>
          <w:color w:val="000000" w:themeColor="text1"/>
          <w:lang w:val="en-US"/>
        </w:rPr>
        <w:t xml:space="preserve"> suggests </w:t>
      </w:r>
      <w:r w:rsidR="00237D36">
        <w:rPr>
          <w:rFonts w:ascii="Californian FB" w:eastAsia="Californian FB" w:hAnsi="Californian FB" w:cs="Californian FB"/>
          <w:color w:val="000000" w:themeColor="text1"/>
          <w:lang w:val="en-US"/>
        </w:rPr>
        <w:t xml:space="preserve">a relatively light-touch approach, the very point of the test is to </w:t>
      </w:r>
      <w:proofErr w:type="spellStart"/>
      <w:r w:rsidR="00237D36">
        <w:rPr>
          <w:rFonts w:ascii="Californian FB" w:eastAsia="Californian FB" w:hAnsi="Californian FB" w:cs="Californian FB"/>
          <w:color w:val="000000" w:themeColor="text1"/>
          <w:lang w:val="en-US"/>
        </w:rPr>
        <w:t>recognise</w:t>
      </w:r>
      <w:proofErr w:type="spellEnd"/>
      <w:r w:rsidR="00237D36">
        <w:rPr>
          <w:rFonts w:ascii="Californian FB" w:eastAsia="Californian FB" w:hAnsi="Californian FB" w:cs="Californian FB"/>
          <w:color w:val="000000" w:themeColor="text1"/>
          <w:lang w:val="en-US"/>
        </w:rPr>
        <w:t xml:space="preserve"> that each case will be </w:t>
      </w:r>
      <w:r w:rsidR="00E35CAC">
        <w:rPr>
          <w:rFonts w:ascii="Californian FB" w:eastAsia="Californian FB" w:hAnsi="Californian FB" w:cs="Californian FB"/>
          <w:color w:val="000000" w:themeColor="text1"/>
          <w:lang w:val="en-US"/>
        </w:rPr>
        <w:t xml:space="preserve">very different, and </w:t>
      </w:r>
      <w:r w:rsidR="002C56B4">
        <w:rPr>
          <w:rFonts w:ascii="Californian FB" w:eastAsia="Californian FB" w:hAnsi="Californian FB" w:cs="Californian FB"/>
          <w:color w:val="000000" w:themeColor="text1"/>
          <w:lang w:val="en-US"/>
        </w:rPr>
        <w:t xml:space="preserve">it is perhaps fair to say that, as we have seen in this and the </w:t>
      </w:r>
      <w:r w:rsidR="00171DA9">
        <w:rPr>
          <w:rFonts w:ascii="Californian FB" w:eastAsia="Californian FB" w:hAnsi="Californian FB" w:cs="Californian FB"/>
          <w:color w:val="000000" w:themeColor="text1"/>
          <w:lang w:val="en-US"/>
        </w:rPr>
        <w:t xml:space="preserve">linked </w:t>
      </w:r>
      <w:r w:rsidR="002C56B4">
        <w:rPr>
          <w:rFonts w:ascii="Californian FB" w:eastAsia="Californian FB" w:hAnsi="Californian FB" w:cs="Californian FB"/>
          <w:color w:val="000000" w:themeColor="text1"/>
          <w:lang w:val="en-US"/>
        </w:rPr>
        <w:t>paper,</w:t>
      </w:r>
      <w:r w:rsidR="00640167">
        <w:rPr>
          <w:rFonts w:ascii="Californian FB" w:eastAsia="Californian FB" w:hAnsi="Californian FB" w:cs="Californian FB"/>
          <w:color w:val="000000" w:themeColor="text1"/>
          <w:lang w:val="en-US"/>
        </w:rPr>
        <w:t xml:space="preserve"> </w:t>
      </w:r>
      <w:r w:rsidR="008637CD">
        <w:rPr>
          <w:rFonts w:ascii="Californian FB" w:eastAsia="Californian FB" w:hAnsi="Californian FB" w:cs="Californian FB"/>
          <w:color w:val="000000" w:themeColor="text1"/>
          <w:lang w:val="en-US"/>
        </w:rPr>
        <w:t>various iterations of the</w:t>
      </w:r>
      <w:r w:rsidR="00C168F0">
        <w:rPr>
          <w:rFonts w:ascii="Californian FB" w:eastAsia="Californian FB" w:hAnsi="Californian FB" w:cs="Californian FB"/>
          <w:color w:val="000000" w:themeColor="text1"/>
          <w:lang w:val="en-US"/>
        </w:rPr>
        <w:t xml:space="preserve"> Court </w:t>
      </w:r>
      <w:r w:rsidR="008637CD">
        <w:rPr>
          <w:rFonts w:ascii="Californian FB" w:eastAsia="Californian FB" w:hAnsi="Californian FB" w:cs="Californian FB"/>
          <w:color w:val="000000" w:themeColor="text1"/>
          <w:lang w:val="en-US"/>
        </w:rPr>
        <w:t>have been</w:t>
      </w:r>
      <w:r w:rsidR="00C168F0">
        <w:rPr>
          <w:rFonts w:ascii="Californian FB" w:eastAsia="Californian FB" w:hAnsi="Californian FB" w:cs="Californian FB"/>
          <w:color w:val="000000" w:themeColor="text1"/>
          <w:lang w:val="en-US"/>
        </w:rPr>
        <w:t xml:space="preserve"> conflicted about what social policy it </w:t>
      </w:r>
      <w:r w:rsidR="008637CD">
        <w:rPr>
          <w:rFonts w:ascii="Californian FB" w:eastAsia="Californian FB" w:hAnsi="Californian FB" w:cs="Californian FB"/>
          <w:color w:val="000000" w:themeColor="text1"/>
          <w:lang w:val="en-US"/>
        </w:rPr>
        <w:t>ought</w:t>
      </w:r>
      <w:r w:rsidR="00C168F0">
        <w:rPr>
          <w:rFonts w:ascii="Californian FB" w:eastAsia="Californian FB" w:hAnsi="Californian FB" w:cs="Californian FB"/>
          <w:color w:val="000000" w:themeColor="text1"/>
          <w:lang w:val="en-US"/>
        </w:rPr>
        <w:t xml:space="preserve"> to pursue around housing and homelessness.</w:t>
      </w:r>
      <w:r w:rsidR="008637CD">
        <w:rPr>
          <w:rFonts w:ascii="Californian FB" w:eastAsia="Californian FB" w:hAnsi="Californian FB" w:cs="Californian FB"/>
          <w:color w:val="000000" w:themeColor="text1"/>
          <w:lang w:val="en-US"/>
        </w:rPr>
        <w:t xml:space="preserve"> </w:t>
      </w:r>
      <w:r w:rsidR="00C168F0">
        <w:rPr>
          <w:rFonts w:ascii="Californian FB" w:eastAsia="Californian FB" w:hAnsi="Californian FB" w:cs="Californian FB"/>
          <w:color w:val="000000" w:themeColor="text1"/>
          <w:lang w:val="en-US"/>
        </w:rPr>
        <w:t>Thi</w:t>
      </w:r>
      <w:r w:rsidR="001523E6">
        <w:rPr>
          <w:rFonts w:ascii="Californian FB" w:eastAsia="Californian FB" w:hAnsi="Californian FB" w:cs="Californian FB"/>
          <w:color w:val="000000" w:themeColor="text1"/>
          <w:lang w:val="en-US"/>
        </w:rPr>
        <w:t xml:space="preserve">rdly, the need to </w:t>
      </w:r>
      <w:r w:rsidR="00055BE2">
        <w:rPr>
          <w:rFonts w:ascii="Californian FB" w:eastAsia="Californian FB" w:hAnsi="Californian FB" w:cs="Californian FB"/>
          <w:color w:val="000000" w:themeColor="text1"/>
          <w:lang w:val="en-US"/>
        </w:rPr>
        <w:t xml:space="preserve">boost commerce has </w:t>
      </w:r>
      <w:r w:rsidR="00784223">
        <w:rPr>
          <w:rFonts w:ascii="Californian FB" w:eastAsia="Californian FB" w:hAnsi="Californian FB" w:cs="Californian FB"/>
          <w:color w:val="000000" w:themeColor="text1"/>
          <w:lang w:val="en-US"/>
        </w:rPr>
        <w:t>been a feature of several of these cases</w:t>
      </w:r>
      <w:r w:rsidR="00EE01F2">
        <w:rPr>
          <w:rFonts w:ascii="Californian FB" w:eastAsia="Californian FB" w:hAnsi="Californian FB" w:cs="Californian FB"/>
          <w:color w:val="000000" w:themeColor="text1"/>
          <w:lang w:val="en-US"/>
        </w:rPr>
        <w:t>: while we posited at the beginning of this section that</w:t>
      </w:r>
      <w:r w:rsidR="002F603D">
        <w:rPr>
          <w:rFonts w:ascii="Californian FB" w:eastAsia="Californian FB" w:hAnsi="Californian FB" w:cs="Californian FB"/>
          <w:color w:val="000000" w:themeColor="text1"/>
          <w:lang w:val="en-US"/>
        </w:rPr>
        <w:t xml:space="preserve"> </w:t>
      </w:r>
      <w:r w:rsidR="00E152E3">
        <w:rPr>
          <w:rFonts w:ascii="Californian FB" w:eastAsia="Californian FB" w:hAnsi="Californian FB" w:cs="Californian FB"/>
          <w:color w:val="000000" w:themeColor="text1"/>
          <w:lang w:val="en-US"/>
        </w:rPr>
        <w:t>public policy can be difficult to define, we suggest</w:t>
      </w:r>
      <w:r w:rsidR="00EE01F2">
        <w:rPr>
          <w:rFonts w:ascii="Californian FB" w:eastAsia="Californian FB" w:hAnsi="Californian FB" w:cs="Californian FB"/>
          <w:color w:val="000000" w:themeColor="text1"/>
          <w:lang w:val="en-US"/>
        </w:rPr>
        <w:t xml:space="preserve"> that </w:t>
      </w:r>
      <w:r w:rsidR="00E152E3">
        <w:rPr>
          <w:rFonts w:ascii="Californian FB" w:eastAsia="Californian FB" w:hAnsi="Californian FB" w:cs="Californian FB"/>
          <w:color w:val="000000" w:themeColor="text1"/>
          <w:lang w:val="en-US"/>
        </w:rPr>
        <w:t>one prong of it</w:t>
      </w:r>
      <w:r w:rsidR="00EE01F2">
        <w:rPr>
          <w:rFonts w:ascii="Californian FB" w:eastAsia="Californian FB" w:hAnsi="Californian FB" w:cs="Californian FB"/>
          <w:color w:val="000000" w:themeColor="text1"/>
          <w:lang w:val="en-US"/>
        </w:rPr>
        <w:t xml:space="preserve"> is at least</w:t>
      </w:r>
      <w:r w:rsidR="00E152E3">
        <w:rPr>
          <w:rFonts w:ascii="Californian FB" w:eastAsia="Californian FB" w:hAnsi="Californian FB" w:cs="Californian FB"/>
          <w:color w:val="000000" w:themeColor="text1"/>
          <w:lang w:val="en-US"/>
        </w:rPr>
        <w:t xml:space="preserve"> the</w:t>
      </w:r>
      <w:r w:rsidR="0029021C">
        <w:rPr>
          <w:rFonts w:ascii="Californian FB" w:eastAsia="Californian FB" w:hAnsi="Californian FB" w:cs="Californian FB"/>
          <w:color w:val="000000" w:themeColor="text1"/>
          <w:lang w:val="en-US"/>
        </w:rPr>
        <w:t xml:space="preserve"> ‘good’ of</w:t>
      </w:r>
      <w:r w:rsidR="00E152E3">
        <w:rPr>
          <w:rFonts w:ascii="Californian FB" w:eastAsia="Californian FB" w:hAnsi="Californian FB" w:cs="Californian FB"/>
          <w:color w:val="000000" w:themeColor="text1"/>
          <w:lang w:val="en-US"/>
        </w:rPr>
        <w:t xml:space="preserve"> </w:t>
      </w:r>
      <w:r w:rsidR="0029021C">
        <w:rPr>
          <w:rFonts w:ascii="Californian FB" w:eastAsia="Californian FB" w:hAnsi="Californian FB" w:cs="Californian FB"/>
          <w:color w:val="000000" w:themeColor="text1"/>
          <w:lang w:val="en-US"/>
        </w:rPr>
        <w:t>pursuing wealth through commercial activity.</w:t>
      </w:r>
      <w:r w:rsidR="00640167">
        <w:rPr>
          <w:rFonts w:ascii="Californian FB" w:eastAsia="Californian FB" w:hAnsi="Californian FB" w:cs="Californian FB"/>
          <w:color w:val="000000" w:themeColor="text1"/>
          <w:lang w:val="en-US"/>
        </w:rPr>
        <w:t xml:space="preserve"> </w:t>
      </w:r>
      <w:r w:rsidR="00894186">
        <w:rPr>
          <w:rFonts w:ascii="Californian FB" w:eastAsia="Californian FB" w:hAnsi="Californian FB" w:cs="Californian FB"/>
          <w:color w:val="000000" w:themeColor="text1"/>
          <w:lang w:val="en-US"/>
        </w:rPr>
        <w:t>This point is looked at in more depth next.</w:t>
      </w:r>
    </w:p>
    <w:p w14:paraId="231409A9" w14:textId="0B44D3EA" w:rsidR="00DC45C7" w:rsidRPr="00E8737D" w:rsidRDefault="00DC45C7" w:rsidP="10E55573">
      <w:pPr>
        <w:pStyle w:val="Heading3"/>
      </w:pPr>
      <w:r w:rsidRPr="00E8737D">
        <w:t xml:space="preserve">The </w:t>
      </w:r>
      <w:r>
        <w:t>B</w:t>
      </w:r>
      <w:r w:rsidRPr="00E8737D">
        <w:t xml:space="preserve">alance </w:t>
      </w:r>
      <w:r>
        <w:t>S</w:t>
      </w:r>
      <w:r w:rsidRPr="00E8737D">
        <w:t xml:space="preserve">truck in </w:t>
      </w:r>
      <w:r>
        <w:t>C</w:t>
      </w:r>
      <w:r w:rsidRPr="00E8737D">
        <w:t xml:space="preserve">ases where </w:t>
      </w:r>
      <w:r>
        <w:t>O</w:t>
      </w:r>
      <w:r w:rsidRPr="00E8737D">
        <w:t xml:space="preserve">ne </w:t>
      </w:r>
      <w:r>
        <w:t>P</w:t>
      </w:r>
      <w:r w:rsidRPr="00E8737D">
        <w:t xml:space="preserve">arty was a </w:t>
      </w:r>
      <w:r>
        <w:t>B</w:t>
      </w:r>
      <w:r w:rsidRPr="00E8737D">
        <w:t>ank/</w:t>
      </w:r>
      <w:r>
        <w:t>C</w:t>
      </w:r>
      <w:r w:rsidRPr="00E8737D">
        <w:t xml:space="preserve">ommercial </w:t>
      </w:r>
      <w:r>
        <w:t>L</w:t>
      </w:r>
      <w:r w:rsidRPr="00E8737D">
        <w:t>ender</w:t>
      </w:r>
    </w:p>
    <w:p w14:paraId="52C363D9" w14:textId="5041F00B" w:rsidR="00DC45C7" w:rsidRDefault="00385A82" w:rsidP="00DC45C7">
      <w:pPr>
        <w:jc w:val="both"/>
        <w:rPr>
          <w:rFonts w:ascii="Californian FB" w:hAnsi="Californian FB"/>
        </w:rPr>
      </w:pPr>
      <w:r>
        <w:rPr>
          <w:rFonts w:ascii="Californian FB" w:hAnsi="Californian FB"/>
        </w:rPr>
        <w:t>Th</w:t>
      </w:r>
      <w:r w:rsidR="0059711F">
        <w:rPr>
          <w:rFonts w:ascii="Californian FB" w:hAnsi="Californian FB"/>
        </w:rPr>
        <w:t>is theme explores how the</w:t>
      </w:r>
      <w:r>
        <w:rPr>
          <w:rFonts w:ascii="Californian FB" w:hAnsi="Californian FB"/>
        </w:rPr>
        <w:t xml:space="preserve"> Court has confronted the</w:t>
      </w:r>
      <w:r w:rsidR="00DC45C7">
        <w:rPr>
          <w:rFonts w:ascii="Californian FB" w:hAnsi="Californian FB"/>
        </w:rPr>
        <w:t xml:space="preserve"> balance </w:t>
      </w:r>
      <w:r>
        <w:rPr>
          <w:rFonts w:ascii="Californian FB" w:hAnsi="Californian FB"/>
        </w:rPr>
        <w:t xml:space="preserve">to be </w:t>
      </w:r>
      <w:r w:rsidR="00DC45C7">
        <w:rPr>
          <w:rFonts w:ascii="Californian FB" w:hAnsi="Californian FB"/>
        </w:rPr>
        <w:t>struck between two parties where one was a bank</w:t>
      </w:r>
      <w:r w:rsidR="00902C67">
        <w:rPr>
          <w:rFonts w:ascii="Californian FB" w:hAnsi="Californian FB"/>
        </w:rPr>
        <w:t>/</w:t>
      </w:r>
      <w:r w:rsidR="00DC45C7">
        <w:rPr>
          <w:rFonts w:ascii="Californian FB" w:hAnsi="Californian FB"/>
        </w:rPr>
        <w:t>commercial lender –specifically</w:t>
      </w:r>
      <w:r w:rsidR="0059711F">
        <w:rPr>
          <w:rFonts w:ascii="Californian FB" w:hAnsi="Californian FB"/>
        </w:rPr>
        <w:t>, we look at</w:t>
      </w:r>
      <w:r w:rsidR="00DC45C7">
        <w:rPr>
          <w:rFonts w:ascii="Californian FB" w:hAnsi="Californian FB"/>
        </w:rPr>
        <w:t xml:space="preserve"> whether the bank was prioritised in these decisions. The trend </w:t>
      </w:r>
      <w:r w:rsidR="006F0F8D">
        <w:rPr>
          <w:rFonts w:ascii="Californian FB" w:hAnsi="Californian FB"/>
        </w:rPr>
        <w:t>emerging is</w:t>
      </w:r>
      <w:r w:rsidR="00DC45C7">
        <w:rPr>
          <w:rFonts w:ascii="Californian FB" w:hAnsi="Californian FB"/>
        </w:rPr>
        <w:t xml:space="preserve"> that banks were generally </w:t>
      </w:r>
      <w:r w:rsidR="008A159A">
        <w:rPr>
          <w:rFonts w:ascii="Californian FB" w:hAnsi="Californian FB"/>
        </w:rPr>
        <w:t xml:space="preserve">though not always </w:t>
      </w:r>
      <w:r w:rsidR="00DC45C7">
        <w:rPr>
          <w:rFonts w:ascii="Californian FB" w:hAnsi="Californian FB"/>
        </w:rPr>
        <w:t xml:space="preserve">prioritised. </w:t>
      </w:r>
    </w:p>
    <w:p w14:paraId="2CDA524D" w14:textId="21A8904A" w:rsidR="00DC45C7" w:rsidRDefault="00DC45C7" w:rsidP="00DC45C7">
      <w:pPr>
        <w:jc w:val="both"/>
        <w:rPr>
          <w:rFonts w:ascii="Californian FB" w:hAnsi="Californian FB" w:cs="Segoe UI"/>
        </w:rPr>
      </w:pPr>
      <w:r>
        <w:rPr>
          <w:rFonts w:ascii="Californian FB" w:hAnsi="Californian FB"/>
        </w:rPr>
        <w:t xml:space="preserve">An example </w:t>
      </w:r>
      <w:r w:rsidR="008A159A">
        <w:rPr>
          <w:rFonts w:ascii="Californian FB" w:hAnsi="Californian FB"/>
        </w:rPr>
        <w:t>prioritising</w:t>
      </w:r>
      <w:r>
        <w:rPr>
          <w:rFonts w:ascii="Californian FB" w:hAnsi="Californian FB"/>
        </w:rPr>
        <w:t xml:space="preserve"> banks can be seen in </w:t>
      </w:r>
      <w:r w:rsidRPr="7B386308">
        <w:rPr>
          <w:rFonts w:ascii="Californian FB" w:hAnsi="Californian FB" w:cs="Segoe UI"/>
          <w:i/>
          <w:iCs/>
        </w:rPr>
        <w:t>Scott v Southern Pacific Mortgages Ltd</w:t>
      </w:r>
      <w:r w:rsidR="008A159A">
        <w:rPr>
          <w:rFonts w:ascii="Californian FB" w:hAnsi="Californian FB" w:cs="Segoe UI"/>
        </w:rPr>
        <w:t>,</w:t>
      </w:r>
      <w:r>
        <w:rPr>
          <w:rFonts w:ascii="Californian FB" w:hAnsi="Californian FB" w:cs="Segoe UI"/>
        </w:rPr>
        <w:t xml:space="preserve"> where the Court held that the mortgage and the purchase</w:t>
      </w:r>
      <w:r w:rsidR="00053CBF">
        <w:rPr>
          <w:rFonts w:ascii="Californian FB" w:hAnsi="Californian FB" w:cs="Segoe UI"/>
        </w:rPr>
        <w:t xml:space="preserve">, </w:t>
      </w:r>
      <w:r>
        <w:rPr>
          <w:rFonts w:ascii="Californian FB" w:hAnsi="Californian FB" w:cs="Segoe UI"/>
        </w:rPr>
        <w:t xml:space="preserve">in a predatory </w:t>
      </w:r>
      <w:r w:rsidRPr="000D4E0F">
        <w:rPr>
          <w:rFonts w:ascii="Californian FB" w:hAnsi="Californian FB" w:cs="Segoe UI"/>
        </w:rPr>
        <w:t>sale and rent-back transaction</w:t>
      </w:r>
      <w:r w:rsidR="00053CBF">
        <w:rPr>
          <w:rFonts w:ascii="Californian FB" w:hAnsi="Californian FB" w:cs="Segoe UI"/>
        </w:rPr>
        <w:t>,</w:t>
      </w:r>
      <w:r>
        <w:rPr>
          <w:rFonts w:ascii="Californian FB" w:hAnsi="Californian FB" w:cs="Segoe UI"/>
        </w:rPr>
        <w:t xml:space="preserve"> were one indivisible transaction</w:t>
      </w:r>
      <w:r w:rsidR="008A159A">
        <w:rPr>
          <w:rFonts w:ascii="Californian FB" w:hAnsi="Californian FB" w:cs="Segoe UI"/>
        </w:rPr>
        <w:t>,</w:t>
      </w:r>
      <w:r>
        <w:rPr>
          <w:rFonts w:ascii="Californian FB" w:hAnsi="Californian FB" w:cs="Segoe UI"/>
        </w:rPr>
        <w:t xml:space="preserve"> so that occupiers' rights were not proprietary and </w:t>
      </w:r>
      <w:r w:rsidR="008A159A">
        <w:rPr>
          <w:rFonts w:ascii="Californian FB" w:hAnsi="Californian FB" w:cs="Segoe UI"/>
        </w:rPr>
        <w:t xml:space="preserve">therefore </w:t>
      </w:r>
      <w:r>
        <w:rPr>
          <w:rFonts w:ascii="Californian FB" w:hAnsi="Californian FB" w:cs="Segoe UI"/>
        </w:rPr>
        <w:t xml:space="preserve">incapable of being overriding interests at the time the mortgage was granted. Seeing the mortgage and purchase as one indivisible transaction is an important aspect of prioritising the </w:t>
      </w:r>
      <w:r w:rsidR="00FF6577">
        <w:rPr>
          <w:rFonts w:ascii="Californian FB" w:hAnsi="Californian FB" w:cs="Segoe UI"/>
        </w:rPr>
        <w:t>bank's</w:t>
      </w:r>
      <w:r>
        <w:rPr>
          <w:rFonts w:ascii="Californian FB" w:hAnsi="Californian FB" w:cs="Segoe UI"/>
        </w:rPr>
        <w:t xml:space="preserve"> interest, or at least of not diluting the protection and prioritisation of the bank</w:t>
      </w:r>
      <w:r w:rsidR="00FF6577">
        <w:rPr>
          <w:rFonts w:ascii="Californian FB" w:hAnsi="Californian FB" w:cs="Segoe UI"/>
        </w:rPr>
        <w:t xml:space="preserve"> at the expense of the claimant </w:t>
      </w:r>
      <w:r w:rsidR="00EE1830">
        <w:rPr>
          <w:rFonts w:ascii="Californian FB" w:hAnsi="Californian FB" w:cs="Segoe UI"/>
        </w:rPr>
        <w:t>(</w:t>
      </w:r>
      <w:r w:rsidR="00FF6577">
        <w:rPr>
          <w:rFonts w:ascii="Californian FB" w:hAnsi="Californian FB" w:cs="Segoe UI"/>
        </w:rPr>
        <w:t>who was</w:t>
      </w:r>
      <w:r w:rsidR="00EE1830">
        <w:rPr>
          <w:rFonts w:ascii="Californian FB" w:hAnsi="Californian FB" w:cs="Segoe UI"/>
        </w:rPr>
        <w:t>, however,</w:t>
      </w:r>
      <w:r w:rsidR="00FF6577">
        <w:rPr>
          <w:rFonts w:ascii="Californian FB" w:hAnsi="Californian FB" w:cs="Segoe UI"/>
        </w:rPr>
        <w:t xml:space="preserve"> taken </w:t>
      </w:r>
      <w:r w:rsidR="00FF6577">
        <w:rPr>
          <w:rFonts w:ascii="Californian FB" w:hAnsi="Californian FB" w:cs="Segoe UI"/>
        </w:rPr>
        <w:lastRenderedPageBreak/>
        <w:t>advantage of</w:t>
      </w:r>
      <w:r w:rsidR="00EE1830">
        <w:rPr>
          <w:rFonts w:ascii="Californian FB" w:hAnsi="Californian FB" w:cs="Segoe UI"/>
        </w:rPr>
        <w:t>). Nevertheless,</w:t>
      </w:r>
      <w:r w:rsidR="005844AF">
        <w:rPr>
          <w:rFonts w:ascii="Californian FB" w:hAnsi="Californian FB" w:cs="Segoe UI"/>
        </w:rPr>
        <w:t xml:space="preserve"> </w:t>
      </w:r>
      <w:r>
        <w:rPr>
          <w:rFonts w:ascii="Californian FB" w:hAnsi="Californian FB" w:cs="Segoe UI"/>
        </w:rPr>
        <w:t xml:space="preserve">there was some reluctance in accepting the result of the decision, especially </w:t>
      </w:r>
      <w:r w:rsidR="00093354">
        <w:rPr>
          <w:rFonts w:ascii="Californian FB" w:hAnsi="Californian FB" w:cs="Segoe UI"/>
        </w:rPr>
        <w:t>from</w:t>
      </w:r>
      <w:r>
        <w:rPr>
          <w:rFonts w:ascii="Californian FB" w:hAnsi="Californian FB" w:cs="Segoe UI"/>
        </w:rPr>
        <w:t xml:space="preserve"> Lady Hale</w:t>
      </w:r>
      <w:r w:rsidR="00093354">
        <w:rPr>
          <w:rFonts w:ascii="Californian FB" w:hAnsi="Californian FB" w:cs="Segoe UI"/>
        </w:rPr>
        <w:t>, who expressed ‘uneasiness’ about the result</w:t>
      </w:r>
      <w:r>
        <w:rPr>
          <w:rFonts w:ascii="Californian FB" w:hAnsi="Californian FB" w:cs="Segoe UI"/>
        </w:rPr>
        <w:t>. She questions whether</w:t>
      </w:r>
      <w:r w:rsidR="00093354">
        <w:rPr>
          <w:rFonts w:ascii="Californian FB" w:hAnsi="Californian FB" w:cs="Segoe UI"/>
        </w:rPr>
        <w:t>,</w:t>
      </w:r>
      <w:r>
        <w:rPr>
          <w:rFonts w:ascii="Californian FB" w:hAnsi="Californian FB" w:cs="Segoe UI"/>
        </w:rPr>
        <w:t xml:space="preserve"> post-</w:t>
      </w:r>
      <w:r w:rsidRPr="0024439F">
        <w:rPr>
          <w:rFonts w:ascii="Californian FB" w:hAnsi="Californian FB" w:cs="Segoe UI"/>
          <w:i/>
          <w:iCs/>
        </w:rPr>
        <w:t>Abbey</w:t>
      </w:r>
      <w:r w:rsidRPr="7B386308">
        <w:rPr>
          <w:rFonts w:ascii="Californian FB" w:hAnsi="Californian FB" w:cs="Segoe UI"/>
          <w:i/>
          <w:iCs/>
        </w:rPr>
        <w:t xml:space="preserve"> National v </w:t>
      </w:r>
      <w:proofErr w:type="spellStart"/>
      <w:r w:rsidRPr="7B386308">
        <w:rPr>
          <w:rFonts w:ascii="Californian FB" w:hAnsi="Californian FB" w:cs="Segoe UI"/>
          <w:i/>
          <w:iCs/>
        </w:rPr>
        <w:t>Cann</w:t>
      </w:r>
      <w:proofErr w:type="spellEnd"/>
      <w:r w:rsidR="00093354">
        <w:rPr>
          <w:rFonts w:ascii="Californian FB" w:hAnsi="Californian FB" w:cs="Segoe UI"/>
        </w:rPr>
        <w:t>,</w:t>
      </w:r>
      <w:r w:rsidR="005B5082">
        <w:rPr>
          <w:rFonts w:ascii="Californian FB" w:hAnsi="Californian FB" w:cs="Segoe UI"/>
        </w:rPr>
        <w:t xml:space="preserve"> </w:t>
      </w:r>
      <w:r>
        <w:rPr>
          <w:rFonts w:ascii="Californian FB" w:hAnsi="Californian FB" w:cs="Segoe UI"/>
        </w:rPr>
        <w:t>the balance always had to be struck to the benefit of the lender:</w:t>
      </w:r>
    </w:p>
    <w:p w14:paraId="4E941EFA" w14:textId="51C04F39" w:rsidR="00DC45C7" w:rsidRPr="007222E6" w:rsidRDefault="00DC45C7" w:rsidP="00DC45C7">
      <w:pPr>
        <w:ind w:left="720"/>
        <w:jc w:val="both"/>
        <w:rPr>
          <w:rFonts w:ascii="Californian FB" w:hAnsi="Californian FB" w:cs="Segoe UI"/>
          <w:lang w:val="en-US"/>
        </w:rPr>
      </w:pPr>
      <w:r w:rsidRPr="00F1703D">
        <w:rPr>
          <w:rFonts w:ascii="Californian FB" w:hAnsi="Californian FB" w:cs="Segoe UI"/>
          <w:lang w:val="en-US"/>
        </w:rPr>
        <w:t>Should there not come a point when the claims of lenders who have failed to heed the obvious warning signs that would have told them that this borrower was not a good risk are postponed to those of vendors who have been made promises that the borrowers cannot keep? Innocence is a comparative concept. There ought to be some middle way between the “all or nothing” approach of the present law</w:t>
      </w:r>
      <w:r>
        <w:rPr>
          <w:rStyle w:val="FootnoteReference"/>
          <w:rFonts w:ascii="Californian FB" w:hAnsi="Californian FB" w:cs="Segoe UI"/>
          <w:lang w:val="en-US"/>
        </w:rPr>
        <w:footnoteReference w:id="139"/>
      </w:r>
    </w:p>
    <w:p w14:paraId="23752FD8" w14:textId="58D5EE83" w:rsidR="00DC45C7" w:rsidRDefault="00DC45C7" w:rsidP="00DC45C7">
      <w:pPr>
        <w:jc w:val="both"/>
        <w:rPr>
          <w:rFonts w:ascii="Californian FB" w:hAnsi="Californian FB"/>
        </w:rPr>
      </w:pPr>
      <w:r>
        <w:rPr>
          <w:rFonts w:ascii="Californian FB" w:hAnsi="Californian FB"/>
        </w:rPr>
        <w:t>The interests of the bank were</w:t>
      </w:r>
      <w:r w:rsidDel="008355C1">
        <w:rPr>
          <w:rFonts w:ascii="Californian FB" w:hAnsi="Californian FB"/>
        </w:rPr>
        <w:t xml:space="preserve"> </w:t>
      </w:r>
      <w:r>
        <w:rPr>
          <w:rFonts w:ascii="Californian FB" w:hAnsi="Californian FB"/>
        </w:rPr>
        <w:t xml:space="preserve">similarly prioritised in </w:t>
      </w:r>
      <w:r w:rsidRPr="7B386308">
        <w:rPr>
          <w:rFonts w:ascii="Californian FB" w:hAnsi="Californian FB"/>
          <w:i/>
          <w:iCs/>
        </w:rPr>
        <w:t xml:space="preserve">Bank of Cyprus UK Ltd v </w:t>
      </w:r>
      <w:proofErr w:type="spellStart"/>
      <w:r w:rsidRPr="7B386308">
        <w:rPr>
          <w:rFonts w:ascii="Californian FB" w:hAnsi="Californian FB"/>
          <w:i/>
          <w:iCs/>
        </w:rPr>
        <w:t>Menelaou</w:t>
      </w:r>
      <w:proofErr w:type="spellEnd"/>
      <w:r w:rsidR="00256A75">
        <w:rPr>
          <w:rFonts w:ascii="Californian FB" w:hAnsi="Californian FB"/>
        </w:rPr>
        <w:t>, discussed in detail above,</w:t>
      </w:r>
      <w:r>
        <w:rPr>
          <w:rFonts w:ascii="Californian FB" w:hAnsi="Californian FB"/>
        </w:rPr>
        <w:t xml:space="preserve"> where the court allowed subrogation</w:t>
      </w:r>
      <w:r w:rsidR="00414E60">
        <w:rPr>
          <w:rFonts w:ascii="Californian FB" w:hAnsi="Californian FB"/>
        </w:rPr>
        <w:t>,</w:t>
      </w:r>
      <w:r>
        <w:rPr>
          <w:rFonts w:ascii="Californian FB" w:hAnsi="Californian FB"/>
        </w:rPr>
        <w:t xml:space="preserve"> </w:t>
      </w:r>
      <w:r w:rsidRPr="00204191">
        <w:rPr>
          <w:rFonts w:ascii="Californian FB" w:hAnsi="Californian FB"/>
          <w:lang w:val="en-US"/>
        </w:rPr>
        <w:t>even though</w:t>
      </w:r>
      <w:r w:rsidR="00414E60">
        <w:rPr>
          <w:rFonts w:ascii="Californian FB" w:hAnsi="Californian FB"/>
          <w:lang w:val="en-US"/>
        </w:rPr>
        <w:t>,</w:t>
      </w:r>
      <w:r w:rsidRPr="00204191">
        <w:rPr>
          <w:rFonts w:ascii="Californian FB" w:hAnsi="Californian FB"/>
          <w:lang w:val="en-US"/>
        </w:rPr>
        <w:t xml:space="preserve"> under established principles</w:t>
      </w:r>
      <w:r w:rsidR="00EA498B">
        <w:rPr>
          <w:rFonts w:ascii="Californian FB" w:hAnsi="Californian FB"/>
          <w:lang w:val="en-US"/>
        </w:rPr>
        <w:t>,</w:t>
      </w:r>
      <w:r w:rsidRPr="00204191">
        <w:rPr>
          <w:rFonts w:ascii="Californian FB" w:hAnsi="Californian FB"/>
          <w:lang w:val="en-US"/>
        </w:rPr>
        <w:t xml:space="preserve"> subrogation requires money coming from the claimant being used to pay off the creditor directly</w:t>
      </w:r>
      <w:r>
        <w:rPr>
          <w:rFonts w:ascii="Californian FB" w:hAnsi="Californian FB"/>
          <w:lang w:val="en-US"/>
        </w:rPr>
        <w:t>, which was not found here</w:t>
      </w:r>
      <w:r w:rsidR="00EA498B">
        <w:rPr>
          <w:rFonts w:ascii="Californian FB" w:hAnsi="Californian FB"/>
          <w:lang w:val="en-US"/>
        </w:rPr>
        <w:t xml:space="preserve">. This </w:t>
      </w:r>
      <w:r>
        <w:rPr>
          <w:rFonts w:ascii="Californian FB" w:hAnsi="Californian FB"/>
          <w:lang w:val="en-US"/>
        </w:rPr>
        <w:t>extend</w:t>
      </w:r>
      <w:r w:rsidR="00EA498B">
        <w:rPr>
          <w:rFonts w:ascii="Californian FB" w:hAnsi="Californian FB"/>
          <w:lang w:val="en-US"/>
        </w:rPr>
        <w:t>ed</w:t>
      </w:r>
      <w:r>
        <w:rPr>
          <w:rFonts w:ascii="Californian FB" w:hAnsi="Californian FB"/>
          <w:lang w:val="en-US"/>
        </w:rPr>
        <w:t xml:space="preserve"> the situations in which subrogation is available</w:t>
      </w:r>
      <w:r w:rsidR="00A7196F">
        <w:rPr>
          <w:rFonts w:ascii="Californian FB" w:hAnsi="Californian FB"/>
          <w:lang w:val="en-US"/>
        </w:rPr>
        <w:t>,</w:t>
      </w:r>
      <w:r>
        <w:rPr>
          <w:rFonts w:ascii="Californian FB" w:hAnsi="Californian FB"/>
          <w:lang w:val="en-US"/>
        </w:rPr>
        <w:t xml:space="preserve"> </w:t>
      </w:r>
      <w:r w:rsidR="00A23DB9">
        <w:rPr>
          <w:rFonts w:ascii="Californian FB" w:hAnsi="Californian FB"/>
          <w:lang w:val="en-US"/>
        </w:rPr>
        <w:t xml:space="preserve">and </w:t>
      </w:r>
      <w:r w:rsidR="00EA498B">
        <w:rPr>
          <w:rFonts w:ascii="Californian FB" w:hAnsi="Californian FB"/>
          <w:lang w:val="en-US"/>
        </w:rPr>
        <w:t>the Court</w:t>
      </w:r>
      <w:r>
        <w:rPr>
          <w:rFonts w:ascii="Californian FB" w:hAnsi="Californian FB"/>
          <w:lang w:val="en-US"/>
        </w:rPr>
        <w:t xml:space="preserve"> overlooked the </w:t>
      </w:r>
      <w:r>
        <w:rPr>
          <w:rStyle w:val="normaltextrun"/>
          <w:rFonts w:ascii="Californian FB" w:hAnsi="Californian FB" w:cs="Segoe UI"/>
          <w:lang w:val="en-US"/>
        </w:rPr>
        <w:t>strict chronology of a series of transactions</w:t>
      </w:r>
      <w:r>
        <w:rPr>
          <w:rFonts w:ascii="Californian FB" w:hAnsi="Californian FB"/>
          <w:lang w:val="en-US"/>
        </w:rPr>
        <w:t xml:space="preserve"> </w:t>
      </w:r>
      <w:proofErr w:type="gramStart"/>
      <w:r>
        <w:rPr>
          <w:rFonts w:ascii="Californian FB" w:hAnsi="Californian FB"/>
          <w:lang w:val="en-US"/>
        </w:rPr>
        <w:t>in order to</w:t>
      </w:r>
      <w:proofErr w:type="gramEnd"/>
      <w:r>
        <w:rPr>
          <w:rFonts w:ascii="Californian FB" w:hAnsi="Californian FB"/>
          <w:lang w:val="en-US"/>
        </w:rPr>
        <w:t xml:space="preserve"> allow the bank a proprietary remedy </w:t>
      </w:r>
      <w:r>
        <w:rPr>
          <w:rStyle w:val="normaltextrun"/>
          <w:rFonts w:ascii="Californian FB" w:hAnsi="Californian FB" w:cs="Segoe UI"/>
          <w:lang w:val="en-US"/>
        </w:rPr>
        <w:t xml:space="preserve">that coalesced with what was promised. </w:t>
      </w:r>
      <w:r>
        <w:rPr>
          <w:rFonts w:ascii="Californian FB" w:hAnsi="Californian FB"/>
        </w:rPr>
        <w:t xml:space="preserve">A similar prioritisation of the bank's interest can be seen in </w:t>
      </w:r>
      <w:r w:rsidRPr="7B386308">
        <w:rPr>
          <w:rFonts w:ascii="Californian FB" w:hAnsi="Californian FB"/>
          <w:i/>
          <w:iCs/>
        </w:rPr>
        <w:t xml:space="preserve">Southern Pacific Securities 05-2 Plc </w:t>
      </w:r>
      <w:r w:rsidRPr="0A5F1DBA">
        <w:rPr>
          <w:rFonts w:ascii="Californian FB" w:hAnsi="Californian FB"/>
          <w:i/>
          <w:iCs/>
        </w:rPr>
        <w:t>v Walker</w:t>
      </w:r>
      <w:r w:rsidRPr="7B386308">
        <w:rPr>
          <w:rStyle w:val="FootnoteReference"/>
          <w:rFonts w:ascii="Californian FB" w:hAnsi="Californian FB"/>
        </w:rPr>
        <w:footnoteReference w:id="140"/>
      </w:r>
      <w:r>
        <w:rPr>
          <w:rFonts w:ascii="Californian FB" w:hAnsi="Californian FB"/>
        </w:rPr>
        <w:t xml:space="preserve"> which concerned the interpretation of ‘credit’ </w:t>
      </w:r>
      <w:r w:rsidR="004A3DBE">
        <w:rPr>
          <w:rFonts w:ascii="Californian FB" w:hAnsi="Californian FB"/>
        </w:rPr>
        <w:t xml:space="preserve">in </w:t>
      </w:r>
      <w:r>
        <w:rPr>
          <w:rFonts w:ascii="Californian FB" w:hAnsi="Californian FB"/>
        </w:rPr>
        <w:t xml:space="preserve">an agreement. Here the </w:t>
      </w:r>
      <w:r w:rsidR="5A5FFF38">
        <w:rPr>
          <w:rFonts w:ascii="Californian FB" w:hAnsi="Californian FB"/>
        </w:rPr>
        <w:t>C</w:t>
      </w:r>
      <w:r>
        <w:rPr>
          <w:rFonts w:ascii="Californian FB" w:hAnsi="Californian FB"/>
        </w:rPr>
        <w:t>ourt refused to accept the mortgagor's contention that the discrepancy in the meaning of ‘credit’</w:t>
      </w:r>
      <w:r w:rsidRPr="002A5671">
        <w:rPr>
          <w:rFonts w:ascii="Californian FB" w:hAnsi="Californian FB"/>
        </w:rPr>
        <w:t xml:space="preserve"> </w:t>
      </w:r>
      <w:r w:rsidRPr="00D46A09">
        <w:rPr>
          <w:rFonts w:ascii="Californian FB" w:hAnsi="Californian FB"/>
        </w:rPr>
        <w:t xml:space="preserve">meant </w:t>
      </w:r>
      <w:r w:rsidR="00A23DB9">
        <w:rPr>
          <w:rFonts w:ascii="Californian FB" w:hAnsi="Californian FB"/>
        </w:rPr>
        <w:t xml:space="preserve">the </w:t>
      </w:r>
      <w:r w:rsidRPr="00D46A09">
        <w:rPr>
          <w:rFonts w:ascii="Californian FB" w:hAnsi="Californian FB"/>
        </w:rPr>
        <w:t>agreement was improperly executed and</w:t>
      </w:r>
      <w:r w:rsidR="00D95144">
        <w:rPr>
          <w:rFonts w:ascii="Californian FB" w:hAnsi="Californian FB"/>
        </w:rPr>
        <w:t xml:space="preserve"> that,</w:t>
      </w:r>
      <w:r w:rsidRPr="00D46A09">
        <w:rPr>
          <w:rFonts w:ascii="Californian FB" w:hAnsi="Californian FB"/>
        </w:rPr>
        <w:t xml:space="preserve"> therefore</w:t>
      </w:r>
      <w:r w:rsidR="00D95144">
        <w:rPr>
          <w:rFonts w:ascii="Californian FB" w:hAnsi="Californian FB"/>
        </w:rPr>
        <w:t>,</w:t>
      </w:r>
      <w:r w:rsidRPr="00D46A09">
        <w:rPr>
          <w:rFonts w:ascii="Californian FB" w:hAnsi="Californian FB"/>
        </w:rPr>
        <w:t xml:space="preserve"> </w:t>
      </w:r>
      <w:r w:rsidR="00A23DB9">
        <w:rPr>
          <w:rFonts w:ascii="Californian FB" w:hAnsi="Californian FB"/>
        </w:rPr>
        <w:t>the</w:t>
      </w:r>
      <w:r w:rsidRPr="00D46A09">
        <w:rPr>
          <w:rFonts w:ascii="Californian FB" w:hAnsi="Californian FB"/>
        </w:rPr>
        <w:t xml:space="preserve"> </w:t>
      </w:r>
      <w:r w:rsidR="009747C4">
        <w:rPr>
          <w:rFonts w:ascii="Californian FB" w:hAnsi="Californian FB"/>
        </w:rPr>
        <w:t>C</w:t>
      </w:r>
      <w:r w:rsidRPr="00D46A09">
        <w:rPr>
          <w:rFonts w:ascii="Californian FB" w:hAnsi="Californian FB"/>
        </w:rPr>
        <w:t>ourt had discretion not to enforce</w:t>
      </w:r>
      <w:r>
        <w:rPr>
          <w:rFonts w:ascii="Californian FB" w:hAnsi="Californian FB"/>
        </w:rPr>
        <w:t xml:space="preserve"> it. Instead, the </w:t>
      </w:r>
      <w:r w:rsidR="0FD26094">
        <w:rPr>
          <w:rFonts w:ascii="Californian FB" w:hAnsi="Californian FB"/>
        </w:rPr>
        <w:t>C</w:t>
      </w:r>
      <w:r>
        <w:rPr>
          <w:rFonts w:ascii="Californian FB" w:hAnsi="Californian FB"/>
        </w:rPr>
        <w:t>ourt implie</w:t>
      </w:r>
      <w:r w:rsidR="00A23DB9">
        <w:rPr>
          <w:rFonts w:ascii="Californian FB" w:hAnsi="Californian FB"/>
        </w:rPr>
        <w:t>d</w:t>
      </w:r>
      <w:r>
        <w:rPr>
          <w:rFonts w:ascii="Californian FB" w:hAnsi="Californian FB"/>
        </w:rPr>
        <w:t xml:space="preserve"> that it </w:t>
      </w:r>
      <w:r w:rsidR="000E498C">
        <w:rPr>
          <w:rFonts w:ascii="Californian FB" w:hAnsi="Californian FB"/>
        </w:rPr>
        <w:t>would</w:t>
      </w:r>
      <w:r>
        <w:rPr>
          <w:rFonts w:ascii="Californian FB" w:hAnsi="Californian FB"/>
        </w:rPr>
        <w:t xml:space="preserve"> not allow a mortgagor to wage any argument to rid themselves of a mortgage, suggesting that</w:t>
      </w:r>
      <w:r w:rsidR="009E6A47">
        <w:rPr>
          <w:rFonts w:ascii="Californian FB" w:hAnsi="Californian FB"/>
        </w:rPr>
        <w:t>,</w:t>
      </w:r>
      <w:r>
        <w:rPr>
          <w:rFonts w:ascii="Californian FB" w:hAnsi="Californian FB"/>
        </w:rPr>
        <w:t xml:space="preserve"> however the credit was defined in the agreement</w:t>
      </w:r>
      <w:r w:rsidR="009E6A47">
        <w:rPr>
          <w:rFonts w:ascii="Californian FB" w:hAnsi="Californian FB"/>
        </w:rPr>
        <w:t>,</w:t>
      </w:r>
      <w:r>
        <w:rPr>
          <w:rFonts w:ascii="Californian FB" w:hAnsi="Californian FB"/>
        </w:rPr>
        <w:t xml:space="preserve"> </w:t>
      </w:r>
      <w:r w:rsidR="009E6A47">
        <w:rPr>
          <w:rFonts w:ascii="Californian FB" w:hAnsi="Californian FB"/>
        </w:rPr>
        <w:t xml:space="preserve">the </w:t>
      </w:r>
      <w:r>
        <w:rPr>
          <w:rFonts w:ascii="Californian FB" w:hAnsi="Californian FB"/>
        </w:rPr>
        <w:t xml:space="preserve">claimants would have made this same claim. </w:t>
      </w:r>
    </w:p>
    <w:p w14:paraId="61B92ED5" w14:textId="6307B250" w:rsidR="00DC45C7" w:rsidRDefault="00DC45C7" w:rsidP="00DC45C7">
      <w:pPr>
        <w:jc w:val="both"/>
        <w:rPr>
          <w:rFonts w:ascii="Californian FB" w:hAnsi="Californian FB"/>
        </w:rPr>
      </w:pPr>
      <w:r>
        <w:rPr>
          <w:rFonts w:ascii="Californian FB" w:hAnsi="Californian FB"/>
        </w:rPr>
        <w:t xml:space="preserve">Finally, we can expressly see attention paid to the banks interest in the case of </w:t>
      </w:r>
      <w:r w:rsidRPr="7B386308">
        <w:rPr>
          <w:rFonts w:ascii="Californian FB" w:hAnsi="Californian FB"/>
          <w:i/>
          <w:iCs/>
        </w:rPr>
        <w:t xml:space="preserve">Stoffel &amp; Co v </w:t>
      </w:r>
      <w:proofErr w:type="spellStart"/>
      <w:r w:rsidRPr="7B386308">
        <w:rPr>
          <w:rFonts w:ascii="Californian FB" w:hAnsi="Californian FB"/>
          <w:i/>
          <w:iCs/>
        </w:rPr>
        <w:t>Grondona</w:t>
      </w:r>
      <w:proofErr w:type="spellEnd"/>
      <w:r w:rsidR="001D62EE">
        <w:rPr>
          <w:rFonts w:ascii="Californian FB" w:hAnsi="Californian FB"/>
        </w:rPr>
        <w:t>,</w:t>
      </w:r>
      <w:r>
        <w:rPr>
          <w:rFonts w:ascii="Californian FB" w:hAnsi="Californian FB"/>
        </w:rPr>
        <w:t xml:space="preserve"> </w:t>
      </w:r>
      <w:r w:rsidR="00E31388">
        <w:rPr>
          <w:rFonts w:ascii="Californian FB" w:hAnsi="Californian FB"/>
        </w:rPr>
        <w:t>where</w:t>
      </w:r>
      <w:r>
        <w:rPr>
          <w:rFonts w:ascii="Californian FB" w:hAnsi="Californian FB"/>
        </w:rPr>
        <w:t xml:space="preserve"> the </w:t>
      </w:r>
      <w:r w:rsidR="6824F5DC">
        <w:rPr>
          <w:rFonts w:ascii="Californian FB" w:hAnsi="Californian FB"/>
        </w:rPr>
        <w:t>C</w:t>
      </w:r>
      <w:r>
        <w:rPr>
          <w:rFonts w:ascii="Californian FB" w:hAnsi="Californian FB"/>
        </w:rPr>
        <w:t>ourt recognised that one factor weigh</w:t>
      </w:r>
      <w:r w:rsidR="001D62EE">
        <w:rPr>
          <w:rFonts w:ascii="Californian FB" w:hAnsi="Californian FB"/>
        </w:rPr>
        <w:t>ing</w:t>
      </w:r>
      <w:r>
        <w:rPr>
          <w:rFonts w:ascii="Californian FB" w:hAnsi="Californian FB"/>
        </w:rPr>
        <w:t xml:space="preserve"> </w:t>
      </w:r>
      <w:r w:rsidR="001D62EE">
        <w:rPr>
          <w:rFonts w:ascii="Californian FB" w:hAnsi="Californian FB"/>
        </w:rPr>
        <w:t>o</w:t>
      </w:r>
      <w:r>
        <w:rPr>
          <w:rFonts w:ascii="Californian FB" w:hAnsi="Californian FB"/>
        </w:rPr>
        <w:t>n the decision was the interest of the mortgagee</w:t>
      </w:r>
      <w:r w:rsidR="00692BB9">
        <w:rPr>
          <w:rFonts w:ascii="Californian FB" w:hAnsi="Californian FB"/>
        </w:rPr>
        <w:t>,</w:t>
      </w:r>
      <w:r>
        <w:rPr>
          <w:rFonts w:ascii="Californian FB" w:hAnsi="Californian FB"/>
        </w:rPr>
        <w:t xml:space="preserve"> wh</w:t>
      </w:r>
      <w:r w:rsidR="001D62EE">
        <w:rPr>
          <w:rFonts w:ascii="Californian FB" w:hAnsi="Californian FB"/>
        </w:rPr>
        <w:t>ich</w:t>
      </w:r>
      <w:r>
        <w:rPr>
          <w:rFonts w:ascii="Californian FB" w:hAnsi="Californian FB"/>
        </w:rPr>
        <w:t xml:space="preserve"> </w:t>
      </w:r>
      <w:r w:rsidRPr="7B386308">
        <w:rPr>
          <w:rFonts w:ascii="Californian FB" w:hAnsi="Californian FB"/>
          <w:i/>
          <w:iCs/>
        </w:rPr>
        <w:t>also</w:t>
      </w:r>
      <w:r>
        <w:rPr>
          <w:rFonts w:ascii="Californian FB" w:hAnsi="Californian FB"/>
        </w:rPr>
        <w:t xml:space="preserve"> needed the registration of those documents</w:t>
      </w:r>
      <w:r w:rsidR="00296D86">
        <w:rPr>
          <w:rFonts w:ascii="Californian FB" w:hAnsi="Californian FB"/>
        </w:rPr>
        <w:t>.</w:t>
      </w:r>
      <w:r>
        <w:rPr>
          <w:rStyle w:val="FootnoteReference"/>
          <w:rFonts w:ascii="Californian FB" w:hAnsi="Californian FB"/>
        </w:rPr>
        <w:footnoteReference w:id="141"/>
      </w:r>
      <w:r>
        <w:rPr>
          <w:rFonts w:ascii="Californian FB" w:hAnsi="Californian FB"/>
        </w:rPr>
        <w:t xml:space="preserve"> </w:t>
      </w:r>
      <w:r w:rsidR="00692BB9">
        <w:rPr>
          <w:rFonts w:ascii="Californian FB" w:hAnsi="Californian FB"/>
        </w:rPr>
        <w:t>In</w:t>
      </w:r>
      <w:r>
        <w:rPr>
          <w:rFonts w:ascii="Californian FB" w:hAnsi="Californian FB"/>
        </w:rPr>
        <w:t xml:space="preserve"> fact, ‘[a</w:t>
      </w:r>
      <w:r w:rsidRPr="008B196F">
        <w:rPr>
          <w:rFonts w:ascii="Californian FB" w:hAnsi="Californian FB"/>
        </w:rPr>
        <w:t>s</w:t>
      </w:r>
      <w:r>
        <w:rPr>
          <w:rFonts w:ascii="Californian FB" w:hAnsi="Californian FB"/>
        </w:rPr>
        <w:t>]</w:t>
      </w:r>
      <w:r w:rsidRPr="008B196F">
        <w:rPr>
          <w:rFonts w:ascii="Californian FB" w:hAnsi="Californian FB"/>
        </w:rPr>
        <w:t xml:space="preserve"> matters turned out, the failure to register the transfer to the respondent meant that the property was not available to meet any part of the respondent’s liability on the discharge of the mortgage.</w:t>
      </w:r>
      <w:r>
        <w:rPr>
          <w:rFonts w:ascii="Californian FB" w:hAnsi="Californian FB"/>
        </w:rPr>
        <w:t>’</w:t>
      </w:r>
      <w:r>
        <w:rPr>
          <w:rStyle w:val="FootnoteReference"/>
          <w:rFonts w:ascii="Californian FB" w:hAnsi="Californian FB"/>
        </w:rPr>
        <w:footnoteReference w:id="142"/>
      </w:r>
      <w:r w:rsidRPr="005B24D6">
        <w:rPr>
          <w:rFonts w:ascii="Californian FB" w:hAnsi="Californian FB"/>
        </w:rPr>
        <w:t xml:space="preserve"> </w:t>
      </w:r>
      <w:r w:rsidR="657A95EE" w:rsidRPr="005B24D6">
        <w:rPr>
          <w:rFonts w:ascii="Californian FB" w:hAnsi="Californian FB"/>
        </w:rPr>
        <w:t>T</w:t>
      </w:r>
      <w:r>
        <w:rPr>
          <w:rFonts w:ascii="Californian FB" w:hAnsi="Californian FB"/>
        </w:rPr>
        <w:t xml:space="preserve">he </w:t>
      </w:r>
      <w:r w:rsidR="13C08613">
        <w:rPr>
          <w:rFonts w:ascii="Californian FB" w:hAnsi="Californian FB"/>
        </w:rPr>
        <w:t>C</w:t>
      </w:r>
      <w:r>
        <w:rPr>
          <w:rFonts w:ascii="Californian FB" w:hAnsi="Californian FB"/>
        </w:rPr>
        <w:t xml:space="preserve">ourt went on to say that </w:t>
      </w:r>
      <w:r w:rsidR="00ED2728">
        <w:rPr>
          <w:rFonts w:ascii="Californian FB" w:hAnsi="Californian FB"/>
        </w:rPr>
        <w:t>denying</w:t>
      </w:r>
      <w:r>
        <w:rPr>
          <w:rFonts w:ascii="Californian FB" w:hAnsi="Californian FB"/>
        </w:rPr>
        <w:t xml:space="preserve"> the claim against the solicitors on the basis of illegality at the very least</w:t>
      </w:r>
      <w:r w:rsidR="00921760">
        <w:rPr>
          <w:rFonts w:ascii="Californian FB" w:hAnsi="Californian FB"/>
        </w:rPr>
        <w:t>,</w:t>
      </w:r>
      <w:r>
        <w:rPr>
          <w:rFonts w:ascii="Californian FB" w:hAnsi="Californian FB"/>
        </w:rPr>
        <w:t xml:space="preserve"> ‘</w:t>
      </w:r>
      <w:r w:rsidRPr="00C0074D">
        <w:rPr>
          <w:rFonts w:ascii="Californian FB" w:hAnsi="Californian FB"/>
        </w:rPr>
        <w:t>would not enhance the protection afforded by the law to mortgagees.</w:t>
      </w:r>
      <w:r>
        <w:rPr>
          <w:rFonts w:ascii="Californian FB" w:hAnsi="Californian FB"/>
        </w:rPr>
        <w:t>’</w:t>
      </w:r>
      <w:r w:rsidRPr="10E55573">
        <w:rPr>
          <w:rStyle w:val="FootnoteReference"/>
          <w:rFonts w:ascii="Californian FB" w:hAnsi="Californian FB"/>
        </w:rPr>
        <w:footnoteReference w:id="143"/>
      </w:r>
      <w:r>
        <w:rPr>
          <w:rFonts w:ascii="Californian FB" w:hAnsi="Californian FB"/>
        </w:rPr>
        <w:t xml:space="preserve"> </w:t>
      </w:r>
      <w:r w:rsidR="728755D2" w:rsidRPr="10E55573">
        <w:rPr>
          <w:rFonts w:ascii="Californian FB" w:hAnsi="Californian FB"/>
        </w:rPr>
        <w:t>This shows</w:t>
      </w:r>
      <w:r>
        <w:rPr>
          <w:rFonts w:ascii="Californian FB" w:hAnsi="Californian FB"/>
        </w:rPr>
        <w:t xml:space="preserve"> once again that the interests of the mortgagee are often at the forefront of the </w:t>
      </w:r>
      <w:r w:rsidR="2E09E50F">
        <w:rPr>
          <w:rFonts w:ascii="Californian FB" w:hAnsi="Californian FB"/>
        </w:rPr>
        <w:t>C</w:t>
      </w:r>
      <w:r>
        <w:rPr>
          <w:rFonts w:ascii="Californian FB" w:hAnsi="Californian FB"/>
        </w:rPr>
        <w:t>ourt's mind.</w:t>
      </w:r>
    </w:p>
    <w:p w14:paraId="18469885" w14:textId="7C1F91D4" w:rsidR="00DC45C7" w:rsidRDefault="00DC45C7" w:rsidP="00DC45C7">
      <w:pPr>
        <w:jc w:val="both"/>
        <w:rPr>
          <w:rFonts w:ascii="Californian FB" w:hAnsi="Californian FB"/>
        </w:rPr>
      </w:pPr>
      <w:r w:rsidRPr="002B4BE8">
        <w:rPr>
          <w:rFonts w:ascii="Californian FB" w:hAnsi="Californian FB"/>
        </w:rPr>
        <w:t>Banks are, however, not always favoured</w:t>
      </w:r>
      <w:r w:rsidR="004E4CDF">
        <w:rPr>
          <w:rFonts w:ascii="Californian FB" w:hAnsi="Californian FB"/>
        </w:rPr>
        <w:t>,</w:t>
      </w:r>
      <w:r w:rsidRPr="002B4BE8">
        <w:rPr>
          <w:rFonts w:ascii="Californian FB" w:hAnsi="Californian FB"/>
        </w:rPr>
        <w:t xml:space="preserve"> and there are decisions </w:t>
      </w:r>
      <w:r>
        <w:rPr>
          <w:rFonts w:ascii="Californian FB" w:hAnsi="Californian FB"/>
        </w:rPr>
        <w:t xml:space="preserve">where the </w:t>
      </w:r>
      <w:r w:rsidR="00692BB9">
        <w:rPr>
          <w:rFonts w:ascii="Californian FB" w:hAnsi="Californian FB"/>
        </w:rPr>
        <w:t>C</w:t>
      </w:r>
      <w:r>
        <w:rPr>
          <w:rFonts w:ascii="Californian FB" w:hAnsi="Californian FB"/>
        </w:rPr>
        <w:t>ourt</w:t>
      </w:r>
      <w:r w:rsidR="00692BB9">
        <w:rPr>
          <w:rFonts w:ascii="Californian FB" w:hAnsi="Californian FB"/>
        </w:rPr>
        <w:t xml:space="preserve"> is</w:t>
      </w:r>
      <w:r>
        <w:rPr>
          <w:rFonts w:ascii="Californian FB" w:hAnsi="Californian FB"/>
        </w:rPr>
        <w:t xml:space="preserve"> not generous in their interpretations of rules and legislation</w:t>
      </w:r>
      <w:r w:rsidR="004E4CDF">
        <w:rPr>
          <w:rFonts w:ascii="Californian FB" w:hAnsi="Californian FB"/>
        </w:rPr>
        <w:t>. Indeed, it can be</w:t>
      </w:r>
      <w:r w:rsidDel="004E4CDF">
        <w:rPr>
          <w:rFonts w:ascii="Californian FB" w:hAnsi="Californian FB"/>
        </w:rPr>
        <w:t xml:space="preserve"> </w:t>
      </w:r>
      <w:r w:rsidR="004E4CDF">
        <w:rPr>
          <w:rFonts w:ascii="Californian FB" w:hAnsi="Californian FB"/>
        </w:rPr>
        <w:t xml:space="preserve">critical of </w:t>
      </w:r>
      <w:r>
        <w:rPr>
          <w:rFonts w:ascii="Californian FB" w:hAnsi="Californian FB"/>
        </w:rPr>
        <w:t>the bank's behaviour. One such case is</w:t>
      </w:r>
      <w:r w:rsidRPr="7B386308">
        <w:rPr>
          <w:rFonts w:ascii="Californian FB" w:hAnsi="Californian FB"/>
          <w:i/>
          <w:iCs/>
        </w:rPr>
        <w:t xml:space="preserve"> Royal Bank of Scotland plc v </w:t>
      </w:r>
      <w:r w:rsidRPr="10E55573">
        <w:rPr>
          <w:rFonts w:ascii="Californian FB" w:hAnsi="Californian FB"/>
          <w:i/>
          <w:iCs/>
        </w:rPr>
        <w:t>Wilson</w:t>
      </w:r>
      <w:r w:rsidRPr="7B386308">
        <w:rPr>
          <w:rFonts w:ascii="Californian FB" w:hAnsi="Californian FB"/>
          <w:i/>
          <w:iCs/>
        </w:rPr>
        <w:t xml:space="preserve"> (Scotland),</w:t>
      </w:r>
      <w:r w:rsidRPr="003B0505">
        <w:rPr>
          <w:rStyle w:val="FootnoteReference"/>
          <w:rFonts w:ascii="Californian FB" w:hAnsi="Californian FB"/>
        </w:rPr>
        <w:footnoteReference w:id="144"/>
      </w:r>
      <w:r w:rsidRPr="002B4BE8">
        <w:rPr>
          <w:rFonts w:ascii="Californian FB" w:hAnsi="Californian FB"/>
        </w:rPr>
        <w:t xml:space="preserve"> </w:t>
      </w:r>
      <w:r>
        <w:rPr>
          <w:rFonts w:ascii="Californian FB" w:hAnsi="Californian FB"/>
        </w:rPr>
        <w:t>This was a Scottish case</w:t>
      </w:r>
      <w:r w:rsidRPr="00DC4B07">
        <w:rPr>
          <w:rFonts w:ascii="Californian FB" w:hAnsi="Californian FB"/>
        </w:rPr>
        <w:t xml:space="preserve"> </w:t>
      </w:r>
      <w:r>
        <w:rPr>
          <w:rFonts w:ascii="Californian FB" w:hAnsi="Californian FB"/>
        </w:rPr>
        <w:t>concerning a lender</w:t>
      </w:r>
      <w:r w:rsidR="00185CD6">
        <w:rPr>
          <w:rFonts w:ascii="Californian FB" w:hAnsi="Californian FB"/>
        </w:rPr>
        <w:t>’s failure</w:t>
      </w:r>
      <w:r>
        <w:rPr>
          <w:rFonts w:ascii="Californian FB" w:hAnsi="Californian FB"/>
        </w:rPr>
        <w:t xml:space="preserve"> to </w:t>
      </w:r>
      <w:r w:rsidRPr="00BC1328">
        <w:rPr>
          <w:rFonts w:ascii="Californian FB" w:hAnsi="Californian FB"/>
        </w:rPr>
        <w:t xml:space="preserve">serve a formal requisition under </w:t>
      </w:r>
      <w:r w:rsidR="2B80FD5D" w:rsidRPr="00BC1328">
        <w:rPr>
          <w:rFonts w:ascii="Californian FB" w:hAnsi="Californian FB"/>
        </w:rPr>
        <w:t xml:space="preserve">section 5 of </w:t>
      </w:r>
      <w:r w:rsidRPr="00BC1328">
        <w:rPr>
          <w:rFonts w:ascii="Californian FB" w:hAnsi="Californian FB"/>
        </w:rPr>
        <w:t xml:space="preserve">the Heritable Securities (Scotland) Act 1894 </w:t>
      </w:r>
      <w:r>
        <w:rPr>
          <w:rFonts w:ascii="Californian FB" w:hAnsi="Californian FB"/>
        </w:rPr>
        <w:t xml:space="preserve">before attempting to take possession of a family home (which </w:t>
      </w:r>
      <w:r w:rsidR="00F569F1">
        <w:rPr>
          <w:rFonts w:ascii="Californian FB" w:hAnsi="Californian FB"/>
        </w:rPr>
        <w:t xml:space="preserve">was </w:t>
      </w:r>
      <w:r>
        <w:rPr>
          <w:rFonts w:ascii="Californian FB" w:hAnsi="Californian FB"/>
        </w:rPr>
        <w:t xml:space="preserve">security for </w:t>
      </w:r>
      <w:r w:rsidR="0067642B">
        <w:rPr>
          <w:rFonts w:ascii="Californian FB" w:hAnsi="Californian FB"/>
        </w:rPr>
        <w:t>the husband’s business</w:t>
      </w:r>
      <w:r>
        <w:rPr>
          <w:rFonts w:ascii="Californian FB" w:hAnsi="Californian FB"/>
        </w:rPr>
        <w:t xml:space="preserve"> business) on default. In the case</w:t>
      </w:r>
      <w:r w:rsidR="00DC0DE0">
        <w:rPr>
          <w:rFonts w:ascii="Californian FB" w:hAnsi="Californian FB"/>
        </w:rPr>
        <w:t>,</w:t>
      </w:r>
      <w:r>
        <w:rPr>
          <w:rFonts w:ascii="Californian FB" w:hAnsi="Californian FB"/>
        </w:rPr>
        <w:t xml:space="preserve"> despite the wives being personally liable because of the security, the bank never alerted the wives of the situation </w:t>
      </w:r>
      <w:r w:rsidR="006D0D7E">
        <w:rPr>
          <w:rFonts w:ascii="Californian FB" w:hAnsi="Californian FB"/>
        </w:rPr>
        <w:t>n</w:t>
      </w:r>
      <w:r>
        <w:rPr>
          <w:rFonts w:ascii="Californian FB" w:hAnsi="Californian FB"/>
        </w:rPr>
        <w:t>or demanded payment of them before seeking to gain possession</w:t>
      </w:r>
      <w:r w:rsidRPr="0067642B">
        <w:rPr>
          <w:rFonts w:ascii="Californian FB" w:hAnsi="Californian FB"/>
        </w:rPr>
        <w:t xml:space="preserve">. </w:t>
      </w:r>
      <w:r w:rsidR="0067642B" w:rsidRPr="0067642B">
        <w:rPr>
          <w:rFonts w:ascii="Californian FB" w:hAnsi="Californian FB"/>
        </w:rPr>
        <w:t>The</w:t>
      </w:r>
      <w:r>
        <w:rPr>
          <w:rFonts w:ascii="Californian FB" w:hAnsi="Californian FB"/>
        </w:rPr>
        <w:t xml:space="preserve"> </w:t>
      </w:r>
      <w:r w:rsidR="01C4D291">
        <w:rPr>
          <w:rFonts w:ascii="Californian FB" w:hAnsi="Californian FB"/>
        </w:rPr>
        <w:t>C</w:t>
      </w:r>
      <w:r>
        <w:rPr>
          <w:rFonts w:ascii="Californian FB" w:hAnsi="Californian FB"/>
        </w:rPr>
        <w:t xml:space="preserve">ourt upheld the strict need for a </w:t>
      </w:r>
      <w:r w:rsidRPr="00DC0521">
        <w:rPr>
          <w:rFonts w:ascii="Californian FB" w:hAnsi="Californian FB"/>
        </w:rPr>
        <w:t>formal requisition</w:t>
      </w:r>
      <w:r w:rsidR="006D0D7E">
        <w:rPr>
          <w:rFonts w:ascii="Californian FB" w:hAnsi="Californian FB"/>
        </w:rPr>
        <w:t>,</w:t>
      </w:r>
      <w:r>
        <w:rPr>
          <w:rFonts w:ascii="Californian FB" w:hAnsi="Californian FB"/>
        </w:rPr>
        <w:t xml:space="preserve"> as it would be </w:t>
      </w:r>
      <w:r w:rsidRPr="00DC0521">
        <w:rPr>
          <w:rFonts w:ascii="Californian FB" w:hAnsi="Californian FB"/>
        </w:rPr>
        <w:t>wrong to water down the precondition imposed by Parliament for using that summary procedure</w:t>
      </w:r>
      <w:r>
        <w:rPr>
          <w:rFonts w:ascii="Californian FB" w:hAnsi="Californian FB"/>
        </w:rPr>
        <w:t xml:space="preserve">. </w:t>
      </w:r>
      <w:r w:rsidR="008C405C">
        <w:rPr>
          <w:rFonts w:ascii="Californian FB" w:hAnsi="Californian FB"/>
        </w:rPr>
        <w:t>By</w:t>
      </w:r>
      <w:r>
        <w:rPr>
          <w:rFonts w:ascii="Californian FB" w:hAnsi="Californian FB"/>
        </w:rPr>
        <w:t xml:space="preserve"> </w:t>
      </w:r>
      <w:r w:rsidR="006D0D7E">
        <w:rPr>
          <w:rFonts w:ascii="Californian FB" w:hAnsi="Californian FB"/>
        </w:rPr>
        <w:t>this time</w:t>
      </w:r>
      <w:r>
        <w:rPr>
          <w:rFonts w:ascii="Californian FB" w:hAnsi="Californian FB"/>
        </w:rPr>
        <w:t>, it was clear that both parties knew</w:t>
      </w:r>
      <w:r w:rsidRPr="00DC0521">
        <w:rPr>
          <w:rFonts w:ascii="Californian FB" w:hAnsi="Californian FB"/>
        </w:rPr>
        <w:t xml:space="preserve"> perfectly well what they </w:t>
      </w:r>
      <w:r>
        <w:rPr>
          <w:rFonts w:ascii="Californian FB" w:hAnsi="Californian FB"/>
        </w:rPr>
        <w:t>had</w:t>
      </w:r>
      <w:r w:rsidRPr="00DC0521">
        <w:rPr>
          <w:rFonts w:ascii="Californian FB" w:hAnsi="Californian FB"/>
        </w:rPr>
        <w:t xml:space="preserve"> been asked to pay</w:t>
      </w:r>
      <w:r w:rsidR="008C405C">
        <w:rPr>
          <w:rFonts w:ascii="Californian FB" w:hAnsi="Californian FB"/>
        </w:rPr>
        <w:t>,</w:t>
      </w:r>
      <w:r w:rsidRPr="00DC0521">
        <w:rPr>
          <w:rFonts w:ascii="Californian FB" w:hAnsi="Californian FB"/>
        </w:rPr>
        <w:t xml:space="preserve"> and they </w:t>
      </w:r>
      <w:r>
        <w:rPr>
          <w:rFonts w:ascii="Californian FB" w:hAnsi="Californian FB"/>
        </w:rPr>
        <w:t>had</w:t>
      </w:r>
      <w:r w:rsidRPr="00DC0521">
        <w:rPr>
          <w:rFonts w:ascii="Californian FB" w:hAnsi="Californian FB"/>
        </w:rPr>
        <w:t xml:space="preserve"> had ample opportunity to </w:t>
      </w:r>
      <w:r w:rsidR="00CA446B">
        <w:rPr>
          <w:rFonts w:ascii="Californian FB" w:hAnsi="Californian FB"/>
        </w:rPr>
        <w:t>either</w:t>
      </w:r>
      <w:r w:rsidRPr="00DC0521">
        <w:rPr>
          <w:rFonts w:ascii="Californian FB" w:hAnsi="Californian FB"/>
        </w:rPr>
        <w:t xml:space="preserve"> put forward their defence</w:t>
      </w:r>
      <w:r>
        <w:rPr>
          <w:rFonts w:ascii="Californian FB" w:hAnsi="Californian FB"/>
        </w:rPr>
        <w:t xml:space="preserve"> or pay. </w:t>
      </w:r>
      <w:r w:rsidR="008C405C">
        <w:rPr>
          <w:rFonts w:ascii="Californian FB" w:hAnsi="Californian FB"/>
        </w:rPr>
        <w:t xml:space="preserve">Nevertheless, </w:t>
      </w:r>
      <w:r>
        <w:rPr>
          <w:rFonts w:ascii="Californian FB" w:hAnsi="Californian FB"/>
        </w:rPr>
        <w:t>this did not matter</w:t>
      </w:r>
      <w:r w:rsidR="008C405C">
        <w:rPr>
          <w:rFonts w:ascii="Californian FB" w:hAnsi="Californian FB"/>
        </w:rPr>
        <w:t>:</w:t>
      </w:r>
      <w:r w:rsidDel="008C405C">
        <w:rPr>
          <w:rFonts w:ascii="Californian FB" w:hAnsi="Californian FB"/>
        </w:rPr>
        <w:t xml:space="preserve"> </w:t>
      </w:r>
      <w:r>
        <w:rPr>
          <w:rFonts w:ascii="Californian FB" w:hAnsi="Californian FB"/>
        </w:rPr>
        <w:t xml:space="preserve">a formal requisition was required, a key indication that the bank was not prioritised in the decision. </w:t>
      </w:r>
    </w:p>
    <w:p w14:paraId="6755D272" w14:textId="3EFA00AA" w:rsidR="00DC45C7" w:rsidRPr="003B0505" w:rsidRDefault="0067642B" w:rsidP="2CFACACD">
      <w:pPr>
        <w:jc w:val="both"/>
        <w:rPr>
          <w:rFonts w:ascii="Californian FB" w:hAnsi="Californian FB"/>
        </w:rPr>
      </w:pPr>
      <w:r>
        <w:rPr>
          <w:rFonts w:ascii="Californian FB" w:hAnsi="Californian FB"/>
        </w:rPr>
        <w:t>The last case notwithstanding</w:t>
      </w:r>
      <w:r w:rsidR="00DC45C7" w:rsidRPr="2CFACACD">
        <w:rPr>
          <w:rFonts w:ascii="Californian FB" w:hAnsi="Californian FB"/>
        </w:rPr>
        <w:t xml:space="preserve">, there is a clear trend of preference towards protecting and prioritising the interest of banks in </w:t>
      </w:r>
      <w:r w:rsidR="008C405C">
        <w:rPr>
          <w:rFonts w:ascii="Californian FB" w:hAnsi="Californian FB"/>
        </w:rPr>
        <w:t>the</w:t>
      </w:r>
      <w:r w:rsidR="00DC45C7" w:rsidRPr="2CFACACD">
        <w:rPr>
          <w:rFonts w:ascii="Californian FB" w:hAnsi="Californian FB"/>
        </w:rPr>
        <w:t xml:space="preserve"> Court</w:t>
      </w:r>
      <w:r w:rsidR="008C405C">
        <w:rPr>
          <w:rFonts w:ascii="Californian FB" w:hAnsi="Californian FB"/>
        </w:rPr>
        <w:t>’s decisions</w:t>
      </w:r>
      <w:r w:rsidR="00DC45C7" w:rsidRPr="2CFACACD">
        <w:rPr>
          <w:rFonts w:ascii="Californian FB" w:hAnsi="Californian FB"/>
        </w:rPr>
        <w:t xml:space="preserve"> – a somewhat not</w:t>
      </w:r>
      <w:r w:rsidR="004F6A33">
        <w:rPr>
          <w:rFonts w:ascii="Californian FB" w:hAnsi="Californian FB"/>
        </w:rPr>
        <w:t>-</w:t>
      </w:r>
      <w:r w:rsidR="00DC45C7" w:rsidRPr="2CFACACD">
        <w:rPr>
          <w:rFonts w:ascii="Californian FB" w:hAnsi="Californian FB"/>
        </w:rPr>
        <w:t xml:space="preserve">unexpected trend </w:t>
      </w:r>
      <w:proofErr w:type="gramStart"/>
      <w:r w:rsidR="00DC45C7" w:rsidRPr="2CFACACD">
        <w:rPr>
          <w:rFonts w:ascii="Californian FB" w:hAnsi="Californian FB"/>
        </w:rPr>
        <w:t>in light of</w:t>
      </w:r>
      <w:proofErr w:type="gramEnd"/>
      <w:r w:rsidR="00DC45C7" w:rsidRPr="2CFACACD">
        <w:rPr>
          <w:rFonts w:ascii="Californian FB" w:hAnsi="Californian FB"/>
        </w:rPr>
        <w:t xml:space="preserve"> the policy </w:t>
      </w:r>
      <w:r w:rsidR="00DC45C7" w:rsidRPr="2CFACACD">
        <w:rPr>
          <w:rFonts w:ascii="Californian FB" w:hAnsi="Californian FB"/>
        </w:rPr>
        <w:lastRenderedPageBreak/>
        <w:t>and economic implications of not doing so.</w:t>
      </w:r>
      <w:r w:rsidR="00047CC4">
        <w:rPr>
          <w:rFonts w:ascii="Californian FB" w:hAnsi="Californian FB"/>
        </w:rPr>
        <w:t xml:space="preserve"> This trend, along with </w:t>
      </w:r>
      <w:r w:rsidR="004F6A33">
        <w:rPr>
          <w:rFonts w:ascii="Californian FB" w:hAnsi="Californian FB"/>
        </w:rPr>
        <w:t>others</w:t>
      </w:r>
      <w:r w:rsidR="00047CC4">
        <w:rPr>
          <w:rFonts w:ascii="Californian FB" w:hAnsi="Californian FB"/>
        </w:rPr>
        <w:t xml:space="preserve"> presented earlier, such as the </w:t>
      </w:r>
      <w:r w:rsidR="0058751D">
        <w:rPr>
          <w:rFonts w:ascii="Californian FB" w:hAnsi="Californian FB"/>
        </w:rPr>
        <w:t>C</w:t>
      </w:r>
      <w:r w:rsidR="00047CC4">
        <w:rPr>
          <w:rFonts w:ascii="Californian FB" w:hAnsi="Californian FB"/>
        </w:rPr>
        <w:t xml:space="preserve">ourt not </w:t>
      </w:r>
      <w:r w:rsidR="000C0C8C">
        <w:rPr>
          <w:rFonts w:ascii="Californian FB" w:hAnsi="Californian FB"/>
        </w:rPr>
        <w:t>overruling leasehold cases where it could negatively impact settled tenancies</w:t>
      </w:r>
      <w:r w:rsidR="0058751D">
        <w:rPr>
          <w:rFonts w:ascii="Californian FB" w:hAnsi="Californian FB"/>
        </w:rPr>
        <w:t>,</w:t>
      </w:r>
      <w:r w:rsidR="000C0C8C">
        <w:rPr>
          <w:rFonts w:ascii="Californian FB" w:hAnsi="Californian FB"/>
        </w:rPr>
        <w:t xml:space="preserve"> might tell us something about the parties often prioritised by the courts</w:t>
      </w:r>
      <w:r w:rsidR="32A63150" w:rsidRPr="10E55573">
        <w:rPr>
          <w:rFonts w:ascii="Californian FB" w:hAnsi="Californian FB"/>
        </w:rPr>
        <w:t>.</w:t>
      </w:r>
      <w:r w:rsidR="000C0C8C">
        <w:rPr>
          <w:rFonts w:ascii="Californian FB" w:hAnsi="Californian FB"/>
        </w:rPr>
        <w:t xml:space="preserve"> </w:t>
      </w:r>
      <w:r w:rsidR="0073168F">
        <w:rPr>
          <w:rFonts w:ascii="Californian FB" w:hAnsi="Californian FB"/>
        </w:rPr>
        <w:t>I</w:t>
      </w:r>
      <w:r w:rsidR="000C0C8C">
        <w:rPr>
          <w:rFonts w:ascii="Californian FB" w:hAnsi="Californian FB"/>
        </w:rPr>
        <w:t>t</w:t>
      </w:r>
      <w:r w:rsidR="0058751D">
        <w:rPr>
          <w:rFonts w:ascii="Californian FB" w:hAnsi="Californian FB"/>
        </w:rPr>
        <w:t xml:space="preserve"> is at</w:t>
      </w:r>
      <w:r w:rsidR="000C0C8C">
        <w:rPr>
          <w:rFonts w:ascii="Californian FB" w:hAnsi="Californian FB"/>
        </w:rPr>
        <w:t xml:space="preserve"> least a recognition that some </w:t>
      </w:r>
      <w:r w:rsidR="000C0C8C">
        <w:rPr>
          <w:rFonts w:ascii="Californian FB" w:hAnsi="Californian FB"/>
          <w:i/>
          <w:iCs/>
        </w:rPr>
        <w:t>types of parties</w:t>
      </w:r>
      <w:r w:rsidR="000C0C8C">
        <w:rPr>
          <w:rFonts w:ascii="Californian FB" w:hAnsi="Californian FB"/>
        </w:rPr>
        <w:t xml:space="preserve"> need to be respected for transactions and dealings with property to flourish</w:t>
      </w:r>
      <w:r w:rsidR="001079C6">
        <w:rPr>
          <w:rFonts w:ascii="Californian FB" w:hAnsi="Californian FB"/>
        </w:rPr>
        <w:t>.</w:t>
      </w:r>
      <w:r w:rsidR="0058751D">
        <w:rPr>
          <w:rFonts w:ascii="Californian FB" w:hAnsi="Californian FB"/>
        </w:rPr>
        <w:t xml:space="preserve"> </w:t>
      </w:r>
      <w:r w:rsidR="00BC034D">
        <w:rPr>
          <w:rFonts w:ascii="Californian FB" w:hAnsi="Californian FB"/>
        </w:rPr>
        <w:t>The</w:t>
      </w:r>
      <w:r w:rsidR="0058751D">
        <w:rPr>
          <w:rFonts w:ascii="Californian FB" w:hAnsi="Californian FB"/>
        </w:rPr>
        <w:t xml:space="preserve"> Court is mindful of this</w:t>
      </w:r>
      <w:r w:rsidR="5CFBA012" w:rsidRPr="10E55573">
        <w:rPr>
          <w:rFonts w:ascii="Californian FB" w:hAnsi="Californian FB"/>
        </w:rPr>
        <w:t xml:space="preserve"> </w:t>
      </w:r>
      <w:r w:rsidR="00155697">
        <w:rPr>
          <w:rFonts w:ascii="Californian FB" w:hAnsi="Californian FB"/>
        </w:rPr>
        <w:t xml:space="preserve">even while </w:t>
      </w:r>
      <w:r w:rsidR="79AE0F0A" w:rsidRPr="10E55573">
        <w:rPr>
          <w:rFonts w:ascii="Californian FB" w:hAnsi="Californian FB"/>
        </w:rPr>
        <w:t>the Court, or some of its members,</w:t>
      </w:r>
      <w:r w:rsidR="68E88E21" w:rsidRPr="10E55573">
        <w:rPr>
          <w:rFonts w:ascii="Californian FB" w:hAnsi="Californian FB"/>
        </w:rPr>
        <w:t xml:space="preserve"> might be</w:t>
      </w:r>
      <w:r w:rsidR="00155697">
        <w:rPr>
          <w:rFonts w:ascii="Californian FB" w:hAnsi="Californian FB"/>
        </w:rPr>
        <w:t xml:space="preserve"> reluctant </w:t>
      </w:r>
      <w:r w:rsidR="75683FD9" w:rsidRPr="10E55573">
        <w:rPr>
          <w:rFonts w:ascii="Californian FB" w:hAnsi="Californian FB"/>
        </w:rPr>
        <w:t xml:space="preserve">to take this step </w:t>
      </w:r>
      <w:r w:rsidR="00155697">
        <w:rPr>
          <w:rFonts w:ascii="Californian FB" w:hAnsi="Californian FB"/>
        </w:rPr>
        <w:t xml:space="preserve">and </w:t>
      </w:r>
      <w:r w:rsidR="40F10A82" w:rsidRPr="10E55573">
        <w:rPr>
          <w:rFonts w:ascii="Californian FB" w:hAnsi="Californian FB"/>
        </w:rPr>
        <w:t>would seek</w:t>
      </w:r>
      <w:r w:rsidR="00155697">
        <w:rPr>
          <w:rFonts w:ascii="Californian FB" w:hAnsi="Californian FB"/>
        </w:rPr>
        <w:t xml:space="preserve"> to help the more vulnerable</w:t>
      </w:r>
      <w:r w:rsidR="001079C6">
        <w:rPr>
          <w:rFonts w:ascii="Californian FB" w:hAnsi="Californian FB"/>
        </w:rPr>
        <w:t>,</w:t>
      </w:r>
      <w:r w:rsidR="00155697">
        <w:rPr>
          <w:rFonts w:ascii="Californian FB" w:hAnsi="Californian FB"/>
        </w:rPr>
        <w:t xml:space="preserve"> as in </w:t>
      </w:r>
      <w:r w:rsidR="00155697">
        <w:rPr>
          <w:rFonts w:ascii="Californian FB" w:hAnsi="Californian FB"/>
          <w:i/>
          <w:iCs/>
        </w:rPr>
        <w:t>Scott</w:t>
      </w:r>
      <w:r w:rsidR="00155697">
        <w:rPr>
          <w:rFonts w:ascii="Californian FB" w:hAnsi="Californian FB"/>
        </w:rPr>
        <w:t xml:space="preserve"> above, and as in the case</w:t>
      </w:r>
      <w:r w:rsidR="003E3BB7">
        <w:rPr>
          <w:rFonts w:ascii="Californian FB" w:hAnsi="Californian FB"/>
        </w:rPr>
        <w:t>s relating to overruling tenancies – though</w:t>
      </w:r>
      <w:r w:rsidR="5B87AA92" w:rsidRPr="10E55573">
        <w:rPr>
          <w:rFonts w:ascii="Californian FB" w:hAnsi="Californian FB"/>
        </w:rPr>
        <w:t>, at least</w:t>
      </w:r>
      <w:r w:rsidR="003E3BB7">
        <w:rPr>
          <w:rFonts w:ascii="Californian FB" w:hAnsi="Californian FB"/>
        </w:rPr>
        <w:t xml:space="preserve"> here</w:t>
      </w:r>
      <w:r w:rsidR="66F2FCCE" w:rsidRPr="10E55573">
        <w:rPr>
          <w:rFonts w:ascii="Californian FB" w:hAnsi="Californian FB"/>
        </w:rPr>
        <w:t>,</w:t>
      </w:r>
      <w:r w:rsidR="003E3BB7" w:rsidRPr="10E55573">
        <w:rPr>
          <w:rFonts w:ascii="Californian FB" w:hAnsi="Californian FB"/>
        </w:rPr>
        <w:t xml:space="preserve"> </w:t>
      </w:r>
      <w:r w:rsidR="323AABF0" w:rsidRPr="10E55573">
        <w:rPr>
          <w:rFonts w:ascii="Californian FB" w:hAnsi="Californian FB"/>
        </w:rPr>
        <w:t>the Court was</w:t>
      </w:r>
      <w:r w:rsidR="003E3BB7">
        <w:rPr>
          <w:rFonts w:ascii="Californian FB" w:hAnsi="Californian FB"/>
        </w:rPr>
        <w:t xml:space="preserve"> able to find alternative solutions.</w:t>
      </w:r>
      <w:r w:rsidR="000C0C8C">
        <w:rPr>
          <w:rFonts w:ascii="Californian FB" w:hAnsi="Californian FB"/>
        </w:rPr>
        <w:t xml:space="preserve"> </w:t>
      </w:r>
    </w:p>
    <w:p w14:paraId="62775F17" w14:textId="189D350A" w:rsidR="00DC45C7" w:rsidRDefault="00DC45C7" w:rsidP="00D80E50">
      <w:pPr>
        <w:pStyle w:val="Heading3"/>
        <w:numPr>
          <w:ilvl w:val="0"/>
          <w:numId w:val="8"/>
        </w:numPr>
      </w:pPr>
      <w:r>
        <w:t>Modernising the Law</w:t>
      </w:r>
    </w:p>
    <w:p w14:paraId="29CF7294" w14:textId="72238645" w:rsidR="00D87519" w:rsidRDefault="00DC45C7" w:rsidP="00DC45C7">
      <w:pPr>
        <w:jc w:val="both"/>
        <w:rPr>
          <w:rFonts w:ascii="Californian FB" w:hAnsi="Californian FB"/>
        </w:rPr>
      </w:pPr>
      <w:r w:rsidRPr="00410B89">
        <w:rPr>
          <w:rFonts w:ascii="Californian FB" w:hAnsi="Californian FB"/>
        </w:rPr>
        <w:t>A</w:t>
      </w:r>
      <w:r>
        <w:rPr>
          <w:rFonts w:ascii="Californian FB" w:hAnsi="Californian FB"/>
        </w:rPr>
        <w:t xml:space="preserve"> final</w:t>
      </w:r>
      <w:r w:rsidRPr="00410B89">
        <w:rPr>
          <w:rFonts w:ascii="Californian FB" w:hAnsi="Californian FB"/>
        </w:rPr>
        <w:t xml:space="preserve"> theme </w:t>
      </w:r>
      <w:r w:rsidR="00770755">
        <w:rPr>
          <w:rFonts w:ascii="Californian FB" w:hAnsi="Californian FB"/>
        </w:rPr>
        <w:t xml:space="preserve">that emerged under this </w:t>
      </w:r>
      <w:r w:rsidR="004C76D4">
        <w:rPr>
          <w:rFonts w:ascii="Californian FB" w:hAnsi="Californian FB"/>
        </w:rPr>
        <w:t>umbrella grouping</w:t>
      </w:r>
      <w:r w:rsidR="00770755">
        <w:rPr>
          <w:rFonts w:ascii="Californian FB" w:hAnsi="Californian FB"/>
        </w:rPr>
        <w:t xml:space="preserve"> </w:t>
      </w:r>
      <w:r w:rsidR="0065069B">
        <w:rPr>
          <w:rFonts w:ascii="Californian FB" w:hAnsi="Californian FB"/>
        </w:rPr>
        <w:t>was</w:t>
      </w:r>
      <w:r w:rsidRPr="00410B89">
        <w:rPr>
          <w:rFonts w:ascii="Californian FB" w:hAnsi="Californian FB"/>
        </w:rPr>
        <w:t xml:space="preserve"> </w:t>
      </w:r>
      <w:r w:rsidR="003C61CE">
        <w:rPr>
          <w:rFonts w:ascii="Californian FB" w:hAnsi="Californian FB"/>
        </w:rPr>
        <w:t>that</w:t>
      </w:r>
      <w:r w:rsidR="003C61CE" w:rsidRPr="00410B89">
        <w:rPr>
          <w:rFonts w:ascii="Californian FB" w:hAnsi="Californian FB"/>
        </w:rPr>
        <w:t xml:space="preserve"> </w:t>
      </w:r>
      <w:r w:rsidRPr="00410B89">
        <w:rPr>
          <w:rFonts w:ascii="Californian FB" w:hAnsi="Californian FB"/>
        </w:rPr>
        <w:t xml:space="preserve">the </w:t>
      </w:r>
      <w:r w:rsidR="1479978D" w:rsidRPr="10E55573">
        <w:rPr>
          <w:rFonts w:ascii="Californian FB" w:hAnsi="Californian FB"/>
        </w:rPr>
        <w:t>Court</w:t>
      </w:r>
      <w:r w:rsidRPr="00410B89">
        <w:rPr>
          <w:rFonts w:ascii="Californian FB" w:hAnsi="Californian FB"/>
        </w:rPr>
        <w:t xml:space="preserve"> t</w:t>
      </w:r>
      <w:r w:rsidR="0065069B">
        <w:rPr>
          <w:rFonts w:ascii="Californian FB" w:hAnsi="Californian FB"/>
        </w:rPr>
        <w:t>ook</w:t>
      </w:r>
      <w:r w:rsidRPr="00410B89">
        <w:rPr>
          <w:rFonts w:ascii="Californian FB" w:hAnsi="Californian FB"/>
        </w:rPr>
        <w:t xml:space="preserve"> opportunit</w:t>
      </w:r>
      <w:r w:rsidR="0065069B">
        <w:rPr>
          <w:rFonts w:ascii="Californian FB" w:hAnsi="Californian FB"/>
        </w:rPr>
        <w:t>ies</w:t>
      </w:r>
      <w:r w:rsidRPr="00410B89">
        <w:rPr>
          <w:rFonts w:ascii="Californian FB" w:hAnsi="Californian FB"/>
        </w:rPr>
        <w:t xml:space="preserve"> to modernise the law or bring it ‘up to date’ to reflect current thinking</w:t>
      </w:r>
      <w:r w:rsidR="00DC788F">
        <w:rPr>
          <w:rFonts w:ascii="Californian FB" w:hAnsi="Californian FB"/>
        </w:rPr>
        <w:t xml:space="preserve">. </w:t>
      </w:r>
      <w:r w:rsidR="5EA6350E" w:rsidRPr="10E55573">
        <w:rPr>
          <w:rFonts w:ascii="Californian FB" w:hAnsi="Californian FB"/>
        </w:rPr>
        <w:t xml:space="preserve">We highlight only </w:t>
      </w:r>
      <w:r w:rsidRPr="00410B89">
        <w:rPr>
          <w:rFonts w:ascii="Californian FB" w:hAnsi="Californian FB"/>
        </w:rPr>
        <w:t xml:space="preserve">a few </w:t>
      </w:r>
      <w:r w:rsidR="00DC788F">
        <w:rPr>
          <w:rFonts w:ascii="Californian FB" w:hAnsi="Californian FB"/>
        </w:rPr>
        <w:t>e</w:t>
      </w:r>
      <w:r w:rsidR="70A9AB58">
        <w:rPr>
          <w:rFonts w:ascii="Californian FB" w:hAnsi="Californian FB"/>
        </w:rPr>
        <w:t>xamples</w:t>
      </w:r>
      <w:r w:rsidR="00DC788F">
        <w:rPr>
          <w:rFonts w:ascii="Californian FB" w:hAnsi="Californian FB"/>
        </w:rPr>
        <w:t xml:space="preserve"> here</w:t>
      </w:r>
      <w:r w:rsidR="70A9AB58">
        <w:rPr>
          <w:rFonts w:ascii="Californian FB" w:hAnsi="Californian FB"/>
        </w:rPr>
        <w:t xml:space="preserve"> as illustrations of the Court’s reasoning</w:t>
      </w:r>
      <w:r w:rsidRPr="00410B89">
        <w:rPr>
          <w:rFonts w:ascii="Californian FB" w:hAnsi="Californian FB"/>
        </w:rPr>
        <w:t>. Examples include</w:t>
      </w:r>
      <w:r w:rsidRPr="00410B89" w:rsidDel="003C61CE">
        <w:rPr>
          <w:rFonts w:ascii="Californian FB" w:hAnsi="Californian FB"/>
        </w:rPr>
        <w:t xml:space="preserve"> </w:t>
      </w:r>
      <w:r w:rsidRPr="00410B89">
        <w:rPr>
          <w:rFonts w:ascii="Californian FB" w:hAnsi="Californian FB"/>
        </w:rPr>
        <w:t xml:space="preserve">the </w:t>
      </w:r>
      <w:r w:rsidR="003C61CE">
        <w:rPr>
          <w:rFonts w:ascii="Californian FB" w:hAnsi="Californian FB"/>
        </w:rPr>
        <w:t xml:space="preserve">modernisation of the </w:t>
      </w:r>
      <w:r w:rsidRPr="00410B89">
        <w:rPr>
          <w:rFonts w:ascii="Californian FB" w:hAnsi="Californian FB"/>
        </w:rPr>
        <w:t xml:space="preserve">definition of ‘domestic violence’ </w:t>
      </w:r>
      <w:r w:rsidR="00DC788F">
        <w:rPr>
          <w:rFonts w:ascii="Californian FB" w:hAnsi="Californian FB"/>
        </w:rPr>
        <w:t xml:space="preserve">in </w:t>
      </w:r>
      <w:proofErr w:type="spellStart"/>
      <w:r w:rsidR="00DC788F" w:rsidRPr="4E5106A0">
        <w:rPr>
          <w:rFonts w:ascii="Californian FB" w:hAnsi="Californian FB"/>
          <w:i/>
          <w:iCs/>
        </w:rPr>
        <w:t>Yemshaw</w:t>
      </w:r>
      <w:proofErr w:type="spellEnd"/>
      <w:r w:rsidR="00DC788F" w:rsidRPr="4E5106A0">
        <w:rPr>
          <w:rFonts w:ascii="Californian FB" w:hAnsi="Californian FB"/>
          <w:i/>
          <w:iCs/>
        </w:rPr>
        <w:t xml:space="preserve"> v London Borough of Hounslow</w:t>
      </w:r>
      <w:r w:rsidR="0092614B" w:rsidRPr="4E5106A0">
        <w:rPr>
          <w:rFonts w:ascii="Californian FB" w:hAnsi="Californian FB"/>
          <w:i/>
          <w:iCs/>
        </w:rPr>
        <w:t>.</w:t>
      </w:r>
      <w:r w:rsidR="00DC788F" w:rsidRPr="00410B89">
        <w:rPr>
          <w:rStyle w:val="FootnoteReference"/>
          <w:rFonts w:ascii="Californian FB" w:hAnsi="Californian FB"/>
        </w:rPr>
        <w:footnoteReference w:id="145"/>
      </w:r>
      <w:r w:rsidR="0092614B">
        <w:rPr>
          <w:rFonts w:ascii="Californian FB" w:hAnsi="Californian FB"/>
        </w:rPr>
        <w:t xml:space="preserve"> This</w:t>
      </w:r>
      <w:r w:rsidR="001314D9">
        <w:rPr>
          <w:rFonts w:ascii="Californian FB" w:hAnsi="Californian FB"/>
        </w:rPr>
        <w:t xml:space="preserve"> case </w:t>
      </w:r>
      <w:r w:rsidR="006769BE">
        <w:rPr>
          <w:rFonts w:ascii="Californian FB" w:hAnsi="Californian FB"/>
        </w:rPr>
        <w:t>considered</w:t>
      </w:r>
      <w:r w:rsidR="001314D9" w:rsidRPr="00495232">
        <w:rPr>
          <w:rFonts w:ascii="Californian FB" w:hAnsi="Californian FB"/>
        </w:rPr>
        <w:t xml:space="preserve"> whether a person was homeless (giving the </w:t>
      </w:r>
      <w:r w:rsidR="006769BE">
        <w:rPr>
          <w:rFonts w:ascii="Californian FB" w:hAnsi="Californian FB"/>
        </w:rPr>
        <w:t>local authority</w:t>
      </w:r>
      <w:r w:rsidR="006769BE" w:rsidRPr="00495232">
        <w:rPr>
          <w:rFonts w:ascii="Californian FB" w:hAnsi="Californian FB"/>
        </w:rPr>
        <w:t xml:space="preserve"> </w:t>
      </w:r>
      <w:r w:rsidR="001314D9" w:rsidRPr="00495232">
        <w:rPr>
          <w:rFonts w:ascii="Californian FB" w:hAnsi="Californian FB"/>
        </w:rPr>
        <w:t>responsibility to rehome her) when she left home with her children due to her husband's verbal abuse and controlling behaviour</w:t>
      </w:r>
      <w:r w:rsidR="004B123F">
        <w:rPr>
          <w:rFonts w:ascii="Californian FB" w:hAnsi="Californian FB"/>
        </w:rPr>
        <w:t>.</w:t>
      </w:r>
      <w:r w:rsidR="0068264D">
        <w:rPr>
          <w:rFonts w:ascii="Californian FB" w:hAnsi="Californian FB"/>
        </w:rPr>
        <w:t xml:space="preserve"> </w:t>
      </w:r>
      <w:r w:rsidR="0068264D" w:rsidRPr="0068264D">
        <w:rPr>
          <w:rFonts w:ascii="Californian FB" w:hAnsi="Californian FB"/>
        </w:rPr>
        <w:t>One condition for homelessness is that it is not reasonable to continue to occupy current accommodation: under the previous version of s</w:t>
      </w:r>
      <w:r w:rsidR="63A9FCE4" w:rsidRPr="0068264D">
        <w:rPr>
          <w:rFonts w:ascii="Californian FB" w:hAnsi="Californian FB"/>
        </w:rPr>
        <w:t>ection</w:t>
      </w:r>
      <w:r w:rsidR="0068264D" w:rsidRPr="0068264D">
        <w:rPr>
          <w:rFonts w:ascii="Californian FB" w:hAnsi="Californian FB"/>
        </w:rPr>
        <w:t xml:space="preserve"> 177(1) H</w:t>
      </w:r>
      <w:r w:rsidR="00F07411">
        <w:rPr>
          <w:rFonts w:ascii="Californian FB" w:hAnsi="Californian FB"/>
        </w:rPr>
        <w:t xml:space="preserve">ousing </w:t>
      </w:r>
      <w:r w:rsidR="0068264D" w:rsidRPr="0068264D">
        <w:rPr>
          <w:rFonts w:ascii="Californian FB" w:hAnsi="Californian FB"/>
        </w:rPr>
        <w:t>A</w:t>
      </w:r>
      <w:r w:rsidR="00F07411">
        <w:rPr>
          <w:rFonts w:ascii="Californian FB" w:hAnsi="Californian FB"/>
        </w:rPr>
        <w:t>ct</w:t>
      </w:r>
      <w:r w:rsidR="0068264D" w:rsidRPr="0068264D">
        <w:rPr>
          <w:rFonts w:ascii="Californian FB" w:hAnsi="Californian FB"/>
        </w:rPr>
        <w:t xml:space="preserve"> 1996, one ground for this is that it is ‘probable that [staying in their current occupation] will lead to domestic violence or other violence.’</w:t>
      </w:r>
      <w:r w:rsidR="0068264D">
        <w:rPr>
          <w:rFonts w:ascii="Californian FB" w:hAnsi="Californian FB"/>
        </w:rPr>
        <w:t xml:space="preserve"> The </w:t>
      </w:r>
      <w:r w:rsidR="6A800456">
        <w:rPr>
          <w:rFonts w:ascii="Californian FB" w:hAnsi="Californian FB"/>
        </w:rPr>
        <w:t>l</w:t>
      </w:r>
      <w:r w:rsidR="0068264D">
        <w:rPr>
          <w:rFonts w:ascii="Californian FB" w:hAnsi="Californian FB"/>
        </w:rPr>
        <w:t xml:space="preserve">ocal authority had interpreted </w:t>
      </w:r>
      <w:r w:rsidR="005F4324" w:rsidRPr="4DFB507A">
        <w:rPr>
          <w:rFonts w:ascii="Californian FB" w:hAnsi="Californian FB"/>
        </w:rPr>
        <w:t>‘probable...domestic violence</w:t>
      </w:r>
      <w:r w:rsidR="00F35343">
        <w:rPr>
          <w:rFonts w:ascii="Californian FB" w:hAnsi="Californian FB"/>
        </w:rPr>
        <w:t>’</w:t>
      </w:r>
      <w:r w:rsidR="009117A4">
        <w:rPr>
          <w:rFonts w:ascii="Californian FB" w:hAnsi="Californian FB"/>
          <w:strike/>
        </w:rPr>
        <w:t xml:space="preserve"> </w:t>
      </w:r>
      <w:r w:rsidR="005F4324">
        <w:rPr>
          <w:rFonts w:ascii="Californian FB" w:hAnsi="Californian FB"/>
        </w:rPr>
        <w:t xml:space="preserve">narrowly as only including physical </w:t>
      </w:r>
      <w:r w:rsidR="00034288">
        <w:rPr>
          <w:rFonts w:ascii="Californian FB" w:hAnsi="Californian FB"/>
        </w:rPr>
        <w:t xml:space="preserve">harm or a threat of it. The Court </w:t>
      </w:r>
      <w:r w:rsidR="6957943F">
        <w:rPr>
          <w:rFonts w:ascii="Californian FB" w:hAnsi="Californian FB"/>
        </w:rPr>
        <w:t>was</w:t>
      </w:r>
      <w:r w:rsidR="00034288">
        <w:rPr>
          <w:rFonts w:ascii="Californian FB" w:hAnsi="Californian FB"/>
        </w:rPr>
        <w:t xml:space="preserve"> critical of this interpretation</w:t>
      </w:r>
      <w:r w:rsidR="5CE985D3">
        <w:rPr>
          <w:rFonts w:ascii="Californian FB" w:hAnsi="Californian FB"/>
        </w:rPr>
        <w:t>, highlighting</w:t>
      </w:r>
      <w:r w:rsidR="00034288">
        <w:rPr>
          <w:rFonts w:ascii="Californian FB" w:hAnsi="Californian FB"/>
        </w:rPr>
        <w:t xml:space="preserve"> that domestic violence did not just </w:t>
      </w:r>
      <w:r w:rsidRPr="00410B89">
        <w:rPr>
          <w:rFonts w:ascii="Californian FB" w:hAnsi="Californian FB"/>
        </w:rPr>
        <w:t>include physical violence</w:t>
      </w:r>
      <w:r w:rsidR="008378D6">
        <w:rPr>
          <w:rFonts w:ascii="Californian FB" w:hAnsi="Californian FB"/>
        </w:rPr>
        <w:t>,</w:t>
      </w:r>
      <w:r w:rsidRPr="00410B89">
        <w:rPr>
          <w:rFonts w:ascii="Californian FB" w:hAnsi="Californian FB"/>
        </w:rPr>
        <w:t xml:space="preserve"> but also verbal abuse and controlling behaviour</w:t>
      </w:r>
      <w:r w:rsidR="00273A58">
        <w:rPr>
          <w:rFonts w:ascii="Californian FB" w:hAnsi="Californian FB"/>
        </w:rPr>
        <w:t>. As such</w:t>
      </w:r>
      <w:r w:rsidR="008378D6">
        <w:rPr>
          <w:rFonts w:ascii="Californian FB" w:hAnsi="Californian FB"/>
        </w:rPr>
        <w:t>,</w:t>
      </w:r>
      <w:r w:rsidR="00273A58">
        <w:rPr>
          <w:rFonts w:ascii="Californian FB" w:hAnsi="Californian FB"/>
        </w:rPr>
        <w:t xml:space="preserve"> the Court found </w:t>
      </w:r>
      <w:r w:rsidR="1CACC691">
        <w:rPr>
          <w:rFonts w:ascii="Californian FB" w:hAnsi="Californian FB"/>
        </w:rPr>
        <w:t xml:space="preserve">that </w:t>
      </w:r>
      <w:r w:rsidR="00273A58">
        <w:rPr>
          <w:rFonts w:ascii="Californian FB" w:hAnsi="Californian FB"/>
        </w:rPr>
        <w:t>t</w:t>
      </w:r>
      <w:r w:rsidR="001B740C">
        <w:rPr>
          <w:rFonts w:ascii="Californian FB" w:hAnsi="Californian FB"/>
        </w:rPr>
        <w:t>he wife</w:t>
      </w:r>
      <w:r w:rsidR="001B740C" w:rsidRPr="001B740C">
        <w:rPr>
          <w:rFonts w:ascii="Californian FB" w:hAnsi="Californian FB"/>
        </w:rPr>
        <w:t xml:space="preserve"> </w:t>
      </w:r>
      <w:r w:rsidR="3393E69D">
        <w:rPr>
          <w:rFonts w:ascii="Californian FB" w:hAnsi="Californian FB"/>
        </w:rPr>
        <w:t>was</w:t>
      </w:r>
      <w:r w:rsidR="001B740C" w:rsidRPr="001B740C">
        <w:rPr>
          <w:rFonts w:ascii="Californian FB" w:hAnsi="Californian FB"/>
        </w:rPr>
        <w:t xml:space="preserve"> </w:t>
      </w:r>
      <w:proofErr w:type="gramStart"/>
      <w:r w:rsidR="001B740C" w:rsidRPr="00410B89">
        <w:rPr>
          <w:rFonts w:ascii="Californian FB" w:hAnsi="Californian FB"/>
        </w:rPr>
        <w:t>homeless, and</w:t>
      </w:r>
      <w:proofErr w:type="gramEnd"/>
      <w:r w:rsidR="001B740C" w:rsidRPr="00410B89">
        <w:rPr>
          <w:rFonts w:ascii="Californian FB" w:hAnsi="Californian FB"/>
        </w:rPr>
        <w:t xml:space="preserve"> requir</w:t>
      </w:r>
      <w:r w:rsidR="241C1FF5" w:rsidRPr="00410B89">
        <w:rPr>
          <w:rFonts w:ascii="Californian FB" w:hAnsi="Californian FB"/>
        </w:rPr>
        <w:t>ed</w:t>
      </w:r>
      <w:r w:rsidR="001B740C" w:rsidRPr="00410B89">
        <w:rPr>
          <w:rFonts w:ascii="Californian FB" w:hAnsi="Californian FB"/>
        </w:rPr>
        <w:t xml:space="preserve"> support from housing officers. </w:t>
      </w:r>
      <w:r w:rsidR="005476AE">
        <w:rPr>
          <w:rFonts w:ascii="Californian FB" w:hAnsi="Californian FB"/>
        </w:rPr>
        <w:t xml:space="preserve">This change </w:t>
      </w:r>
      <w:r w:rsidR="008378D6">
        <w:rPr>
          <w:rFonts w:ascii="Californian FB" w:hAnsi="Californian FB"/>
        </w:rPr>
        <w:t>ensures the</w:t>
      </w:r>
      <w:r w:rsidR="005B4F1C">
        <w:rPr>
          <w:rFonts w:ascii="Californian FB" w:hAnsi="Californian FB"/>
        </w:rPr>
        <w:t xml:space="preserve"> protect</w:t>
      </w:r>
      <w:r w:rsidR="008378D6">
        <w:rPr>
          <w:rFonts w:ascii="Californian FB" w:hAnsi="Californian FB"/>
        </w:rPr>
        <w:t>ion of</w:t>
      </w:r>
      <w:r w:rsidR="005B4F1C">
        <w:rPr>
          <w:rFonts w:ascii="Californian FB" w:hAnsi="Californian FB"/>
        </w:rPr>
        <w:t xml:space="preserve"> more victims in the future and reflects </w:t>
      </w:r>
      <w:r w:rsidR="00933966">
        <w:rPr>
          <w:rFonts w:ascii="Californian FB" w:hAnsi="Californian FB"/>
        </w:rPr>
        <w:t xml:space="preserve">the recognition that abuse need </w:t>
      </w:r>
      <w:proofErr w:type="gramStart"/>
      <w:r w:rsidR="00933966">
        <w:rPr>
          <w:rFonts w:ascii="Californian FB" w:hAnsi="Californian FB"/>
        </w:rPr>
        <w:t>not only be</w:t>
      </w:r>
      <w:proofErr w:type="gramEnd"/>
      <w:r w:rsidR="00933966">
        <w:rPr>
          <w:rFonts w:ascii="Californian FB" w:hAnsi="Californian FB"/>
        </w:rPr>
        <w:t xml:space="preserve"> physical. </w:t>
      </w:r>
      <w:r w:rsidR="001B740C" w:rsidRPr="00410B89">
        <w:rPr>
          <w:rFonts w:ascii="Californian FB" w:hAnsi="Californian FB"/>
        </w:rPr>
        <w:t>This change has now been reflected in the legislation</w:t>
      </w:r>
      <w:r w:rsidR="001B740C">
        <w:rPr>
          <w:rFonts w:ascii="Californian FB" w:hAnsi="Californian FB"/>
        </w:rPr>
        <w:t xml:space="preserve"> with an </w:t>
      </w:r>
      <w:r w:rsidR="00273A58" w:rsidRPr="4DFB507A">
        <w:rPr>
          <w:rFonts w:ascii="Californian FB" w:hAnsi="Californian FB"/>
        </w:rPr>
        <w:t>amendment to s</w:t>
      </w:r>
      <w:r w:rsidR="001B740C">
        <w:rPr>
          <w:rFonts w:ascii="Californian FB" w:hAnsi="Californian FB"/>
        </w:rPr>
        <w:t>ection</w:t>
      </w:r>
      <w:r w:rsidR="00273A58" w:rsidRPr="4DFB507A">
        <w:rPr>
          <w:rFonts w:ascii="Californian FB" w:hAnsi="Californian FB"/>
        </w:rPr>
        <w:t xml:space="preserve"> 177(1) in 2021 </w:t>
      </w:r>
      <w:r w:rsidR="001B740C">
        <w:rPr>
          <w:rFonts w:ascii="Californian FB" w:hAnsi="Californian FB"/>
        </w:rPr>
        <w:t>which replaced</w:t>
      </w:r>
      <w:r w:rsidR="00273A58" w:rsidRPr="4DFB507A">
        <w:rPr>
          <w:rFonts w:ascii="Californian FB" w:hAnsi="Californian FB"/>
        </w:rPr>
        <w:t xml:space="preserve"> the terms ‘domestic violence or other violence’ with ‘violence or domestic abuse’.</w:t>
      </w:r>
      <w:r w:rsidR="001B740C">
        <w:rPr>
          <w:rFonts w:ascii="Californian FB" w:hAnsi="Californian FB"/>
        </w:rPr>
        <w:t xml:space="preserve"> </w:t>
      </w:r>
    </w:p>
    <w:p w14:paraId="643D196D" w14:textId="06E62CA2" w:rsidR="00D87519" w:rsidRDefault="00DC45C7" w:rsidP="00DC45C7">
      <w:pPr>
        <w:jc w:val="both"/>
        <w:rPr>
          <w:rFonts w:ascii="Californian FB" w:hAnsi="Californian FB"/>
        </w:rPr>
      </w:pPr>
      <w:r w:rsidRPr="00410B89">
        <w:rPr>
          <w:rFonts w:ascii="Californian FB" w:hAnsi="Californian FB"/>
        </w:rPr>
        <w:t xml:space="preserve">In a </w:t>
      </w:r>
      <w:r w:rsidR="00933966">
        <w:rPr>
          <w:rFonts w:ascii="Californian FB" w:hAnsi="Californian FB"/>
        </w:rPr>
        <w:t>somewhat</w:t>
      </w:r>
      <w:r w:rsidRPr="00410B89">
        <w:rPr>
          <w:rFonts w:ascii="Californian FB" w:hAnsi="Californian FB"/>
        </w:rPr>
        <w:t xml:space="preserve"> similar vein, in </w:t>
      </w:r>
      <w:r w:rsidRPr="00410B89">
        <w:rPr>
          <w:rFonts w:ascii="Californian FB" w:hAnsi="Californian FB"/>
          <w:i/>
          <w:iCs/>
        </w:rPr>
        <w:t>Fearn</w:t>
      </w:r>
      <w:r w:rsidRPr="00410B89">
        <w:rPr>
          <w:rFonts w:ascii="Californian FB" w:hAnsi="Californian FB"/>
          <w:i/>
        </w:rPr>
        <w:t xml:space="preserve"> </w:t>
      </w:r>
      <w:r w:rsidRPr="00410B89">
        <w:rPr>
          <w:rFonts w:ascii="Californian FB" w:hAnsi="Californian FB"/>
        </w:rPr>
        <w:t xml:space="preserve">the </w:t>
      </w:r>
      <w:r w:rsidR="433E44A4" w:rsidRPr="10E55573">
        <w:rPr>
          <w:rFonts w:ascii="Californian FB" w:hAnsi="Californian FB"/>
        </w:rPr>
        <w:t>C</w:t>
      </w:r>
      <w:r w:rsidRPr="10E55573">
        <w:rPr>
          <w:rFonts w:ascii="Californian FB" w:hAnsi="Californian FB"/>
        </w:rPr>
        <w:t>ourt</w:t>
      </w:r>
      <w:r w:rsidRPr="00410B89">
        <w:rPr>
          <w:rFonts w:ascii="Californian FB" w:hAnsi="Californian FB"/>
        </w:rPr>
        <w:t xml:space="preserve"> modernised the law by allowing privacy to be protected through </w:t>
      </w:r>
      <w:r w:rsidR="00205156">
        <w:rPr>
          <w:rFonts w:ascii="Californian FB" w:hAnsi="Californian FB"/>
        </w:rPr>
        <w:t>the tort of</w:t>
      </w:r>
      <w:r w:rsidRPr="00410B89">
        <w:rPr>
          <w:rFonts w:ascii="Californian FB" w:hAnsi="Californian FB"/>
        </w:rPr>
        <w:t xml:space="preserve"> private nuisance</w:t>
      </w:r>
      <w:r w:rsidR="00933966">
        <w:rPr>
          <w:rFonts w:ascii="Californian FB" w:hAnsi="Californian FB"/>
        </w:rPr>
        <w:t xml:space="preserve">. </w:t>
      </w:r>
      <w:r w:rsidR="00E928F4">
        <w:rPr>
          <w:rFonts w:ascii="Californian FB" w:hAnsi="Californian FB"/>
        </w:rPr>
        <w:t>The question for the Court was whether visual intrusion or intrusion of privacy</w:t>
      </w:r>
      <w:r w:rsidR="003316B7">
        <w:rPr>
          <w:rFonts w:ascii="Californian FB" w:hAnsi="Californian FB"/>
        </w:rPr>
        <w:t xml:space="preserve"> caused by visitors peering into their flats and taking videos</w:t>
      </w:r>
      <w:r w:rsidR="00D47C0C">
        <w:rPr>
          <w:rFonts w:ascii="Californian FB" w:hAnsi="Californian FB"/>
        </w:rPr>
        <w:t xml:space="preserve"> and </w:t>
      </w:r>
      <w:r w:rsidR="003316B7">
        <w:rPr>
          <w:rFonts w:ascii="Californian FB" w:hAnsi="Californian FB"/>
        </w:rPr>
        <w:t>photos</w:t>
      </w:r>
      <w:r w:rsidR="00E928F4">
        <w:rPr>
          <w:rFonts w:ascii="Californian FB" w:hAnsi="Californian FB"/>
        </w:rPr>
        <w:t xml:space="preserve"> fell within private nuisance. </w:t>
      </w:r>
      <w:r w:rsidR="00900060">
        <w:rPr>
          <w:rFonts w:ascii="Californian FB" w:hAnsi="Californian FB"/>
        </w:rPr>
        <w:t>In contrast to the Court of Appeal, the Supreme Court held unanimously that invasions of privacy could be a nuisance, and by majority</w:t>
      </w:r>
      <w:r w:rsidR="00877B1A">
        <w:rPr>
          <w:rFonts w:ascii="Californian FB" w:hAnsi="Californian FB"/>
        </w:rPr>
        <w:t xml:space="preserve"> (3:2)</w:t>
      </w:r>
      <w:r w:rsidR="00900060">
        <w:rPr>
          <w:rFonts w:ascii="Californian FB" w:hAnsi="Californian FB"/>
        </w:rPr>
        <w:t>, that</w:t>
      </w:r>
      <w:r w:rsidR="00877B1A">
        <w:rPr>
          <w:rFonts w:ascii="Californian FB" w:hAnsi="Californian FB"/>
        </w:rPr>
        <w:t xml:space="preserve"> in this case it was, in fact, a private nuisance. The </w:t>
      </w:r>
      <w:r w:rsidRPr="00410B89">
        <w:rPr>
          <w:rFonts w:ascii="Californian FB" w:hAnsi="Californian FB"/>
        </w:rPr>
        <w:t xml:space="preserve">implication </w:t>
      </w:r>
      <w:r w:rsidR="00877B1A">
        <w:rPr>
          <w:rFonts w:ascii="Californian FB" w:hAnsi="Californian FB"/>
        </w:rPr>
        <w:t>is</w:t>
      </w:r>
      <w:r w:rsidRPr="00410B89">
        <w:rPr>
          <w:rFonts w:ascii="Californian FB" w:hAnsi="Californian FB"/>
        </w:rPr>
        <w:t xml:space="preserve"> that protection from visual intrusion is now an aspect of property rights or ownership that </w:t>
      </w:r>
      <w:r w:rsidR="004D365A">
        <w:rPr>
          <w:rFonts w:ascii="Californian FB" w:hAnsi="Californian FB"/>
        </w:rPr>
        <w:t>can be protected</w:t>
      </w:r>
      <w:r w:rsidRPr="00410B89">
        <w:rPr>
          <w:rFonts w:ascii="Californian FB" w:hAnsi="Californian FB"/>
        </w:rPr>
        <w:t xml:space="preserve"> by the law. </w:t>
      </w:r>
      <w:r w:rsidR="00877B1A">
        <w:rPr>
          <w:rFonts w:ascii="Californian FB" w:hAnsi="Californian FB"/>
        </w:rPr>
        <w:t xml:space="preserve">This is particularly interesting </w:t>
      </w:r>
      <w:r w:rsidR="00CB1597">
        <w:rPr>
          <w:rFonts w:ascii="Californian FB" w:hAnsi="Californian FB"/>
        </w:rPr>
        <w:t>as</w:t>
      </w:r>
      <w:r w:rsidR="598E02B9">
        <w:rPr>
          <w:rFonts w:ascii="Californian FB" w:hAnsi="Californian FB"/>
        </w:rPr>
        <w:t>,</w:t>
      </w:r>
      <w:r w:rsidR="00CB1597">
        <w:rPr>
          <w:rFonts w:ascii="Californian FB" w:hAnsi="Californian FB"/>
        </w:rPr>
        <w:t xml:space="preserve"> before the decision</w:t>
      </w:r>
      <w:r w:rsidR="0F510BF8">
        <w:rPr>
          <w:rFonts w:ascii="Californian FB" w:hAnsi="Californian FB"/>
        </w:rPr>
        <w:t xml:space="preserve"> was </w:t>
      </w:r>
      <w:r w:rsidR="00CB1597">
        <w:rPr>
          <w:rFonts w:ascii="Californian FB" w:hAnsi="Californian FB"/>
        </w:rPr>
        <w:t>handed down</w:t>
      </w:r>
      <w:r w:rsidR="0F510BF8">
        <w:rPr>
          <w:rFonts w:ascii="Californian FB" w:hAnsi="Californian FB"/>
        </w:rPr>
        <w:t>,</w:t>
      </w:r>
      <w:r w:rsidR="00CB1597">
        <w:rPr>
          <w:rFonts w:ascii="Californian FB" w:hAnsi="Californian FB"/>
        </w:rPr>
        <w:t xml:space="preserve"> commentators had questioned the Court of </w:t>
      </w:r>
      <w:r w:rsidR="003B3113">
        <w:rPr>
          <w:rFonts w:ascii="Californian FB" w:hAnsi="Californian FB"/>
        </w:rPr>
        <w:t>Appeal’s</w:t>
      </w:r>
      <w:r w:rsidR="00CB1597">
        <w:rPr>
          <w:rFonts w:ascii="Californian FB" w:hAnsi="Californian FB"/>
        </w:rPr>
        <w:t xml:space="preserve"> conclusion that visual intrusion was not capable of being </w:t>
      </w:r>
      <w:r w:rsidR="7FDC5B19">
        <w:rPr>
          <w:rFonts w:ascii="Californian FB" w:hAnsi="Californian FB"/>
        </w:rPr>
        <w:t>nuisance,</w:t>
      </w:r>
      <w:r w:rsidR="00CB1597">
        <w:rPr>
          <w:rFonts w:ascii="Californian FB" w:hAnsi="Californian FB"/>
        </w:rPr>
        <w:t xml:space="preserve"> with Emma Lee</w:t>
      </w:r>
      <w:r w:rsidR="000050CA">
        <w:rPr>
          <w:rFonts w:ascii="Californian FB" w:hAnsi="Californian FB"/>
        </w:rPr>
        <w:t>s</w:t>
      </w:r>
      <w:r w:rsidR="00CB1597">
        <w:rPr>
          <w:rFonts w:ascii="Californian FB" w:hAnsi="Californian FB"/>
        </w:rPr>
        <w:t xml:space="preserve"> suggesting that</w:t>
      </w:r>
      <w:r w:rsidR="0090620D">
        <w:rPr>
          <w:rFonts w:ascii="Californian FB" w:hAnsi="Californian FB"/>
        </w:rPr>
        <w:t xml:space="preserve"> the</w:t>
      </w:r>
      <w:r w:rsidR="00CB1597">
        <w:rPr>
          <w:rFonts w:ascii="Californian FB" w:hAnsi="Californian FB"/>
        </w:rPr>
        <w:t xml:space="preserve"> </w:t>
      </w:r>
      <w:r w:rsidR="0090620D" w:rsidRPr="0090620D">
        <w:rPr>
          <w:rFonts w:ascii="Californian FB" w:hAnsi="Californian FB"/>
        </w:rPr>
        <w:t>‘conclusion that one's ownership rights do not encompass the ability to provide oneself with a safe and private space is problematic</w:t>
      </w:r>
      <w:r w:rsidR="41E2828B" w:rsidRPr="0090620D">
        <w:rPr>
          <w:rFonts w:ascii="Californian FB" w:hAnsi="Californian FB"/>
        </w:rPr>
        <w:t>.</w:t>
      </w:r>
      <w:r w:rsidR="0090620D" w:rsidRPr="0090620D">
        <w:rPr>
          <w:rFonts w:ascii="Californian FB" w:hAnsi="Californian FB"/>
        </w:rPr>
        <w:t>’</w:t>
      </w:r>
      <w:bookmarkStart w:id="21" w:name="_Ref165645984"/>
      <w:r w:rsidR="0090620D" w:rsidRPr="0090620D">
        <w:rPr>
          <w:rFonts w:ascii="Californian FB" w:hAnsi="Californian FB"/>
          <w:vertAlign w:val="superscript"/>
        </w:rPr>
        <w:footnoteReference w:id="146"/>
      </w:r>
      <w:bookmarkEnd w:id="21"/>
      <w:r w:rsidR="0090620D" w:rsidRPr="003B0505">
        <w:rPr>
          <w:rFonts w:ascii="Californian FB" w:hAnsi="Californian FB"/>
          <w:vertAlign w:val="superscript"/>
        </w:rPr>
        <w:t xml:space="preserve"> </w:t>
      </w:r>
      <w:r w:rsidR="003B3113">
        <w:rPr>
          <w:rFonts w:ascii="Californian FB" w:hAnsi="Californian FB"/>
        </w:rPr>
        <w:t xml:space="preserve">The Supreme </w:t>
      </w:r>
      <w:r w:rsidR="00124EF1">
        <w:rPr>
          <w:rFonts w:ascii="Californian FB" w:hAnsi="Californian FB"/>
        </w:rPr>
        <w:t>Court’s</w:t>
      </w:r>
      <w:r w:rsidR="003B3113">
        <w:rPr>
          <w:rFonts w:ascii="Californian FB" w:hAnsi="Californian FB"/>
        </w:rPr>
        <w:t xml:space="preserve"> decision has now made it so</w:t>
      </w:r>
      <w:r w:rsidR="00124EF1">
        <w:rPr>
          <w:rFonts w:ascii="Californian FB" w:hAnsi="Californian FB"/>
        </w:rPr>
        <w:t xml:space="preserve"> that ownership does include this kind of protection, </w:t>
      </w:r>
      <w:r w:rsidR="001C5F11" w:rsidRPr="001C5F11">
        <w:rPr>
          <w:rFonts w:ascii="Californian FB" w:hAnsi="Californian FB"/>
        </w:rPr>
        <w:t>reflecting</w:t>
      </w:r>
      <w:r w:rsidR="00124EF1">
        <w:rPr>
          <w:rFonts w:ascii="Californian FB" w:hAnsi="Californian FB"/>
        </w:rPr>
        <w:t xml:space="preserve"> a </w:t>
      </w:r>
      <w:r w:rsidR="001C5F11" w:rsidRPr="001C5F11">
        <w:rPr>
          <w:rFonts w:ascii="Californian FB" w:hAnsi="Californian FB"/>
        </w:rPr>
        <w:t xml:space="preserve">developing and, indeed, </w:t>
      </w:r>
      <w:r w:rsidR="00124EF1">
        <w:rPr>
          <w:rFonts w:ascii="Californian FB" w:hAnsi="Californian FB"/>
        </w:rPr>
        <w:t xml:space="preserve">modern idea of property ownership. </w:t>
      </w:r>
    </w:p>
    <w:p w14:paraId="4474DC71" w14:textId="209DB037" w:rsidR="00D87519" w:rsidRDefault="00DC45C7" w:rsidP="00DC45C7">
      <w:pPr>
        <w:jc w:val="both"/>
        <w:rPr>
          <w:rFonts w:ascii="Californian FB" w:eastAsia="Californian FB" w:hAnsi="Californian FB" w:cs="Californian FB"/>
          <w:color w:val="000000" w:themeColor="text1"/>
          <w:lang w:val="en-US"/>
        </w:rPr>
      </w:pPr>
      <w:r w:rsidRPr="00410B89">
        <w:rPr>
          <w:rFonts w:ascii="Californian FB" w:hAnsi="Californian FB"/>
          <w:i/>
          <w:iCs/>
        </w:rPr>
        <w:t>Jones v Kernott</w:t>
      </w:r>
      <w:r w:rsidRPr="00410B89">
        <w:rPr>
          <w:rFonts w:ascii="Californian FB" w:hAnsi="Californian FB"/>
        </w:rPr>
        <w:t xml:space="preserve"> </w:t>
      </w:r>
      <w:r w:rsidR="008014E0">
        <w:rPr>
          <w:rFonts w:ascii="Californian FB" w:hAnsi="Californian FB"/>
        </w:rPr>
        <w:t>also reflects</w:t>
      </w:r>
      <w:r w:rsidRPr="00410B89">
        <w:rPr>
          <w:rFonts w:ascii="Californian FB" w:hAnsi="Californian FB"/>
        </w:rPr>
        <w:t xml:space="preserve"> a modern outlook on how property should be divided on breakups. There are many other cases which seek to improve the position for those that are cohabiting but choose not to marry</w:t>
      </w:r>
      <w:r w:rsidRPr="00410B89" w:rsidDel="00962F56">
        <w:rPr>
          <w:rFonts w:ascii="Californian FB" w:hAnsi="Californian FB"/>
        </w:rPr>
        <w:t xml:space="preserve">, </w:t>
      </w:r>
      <w:r w:rsidR="00962F56">
        <w:rPr>
          <w:rFonts w:ascii="Californian FB" w:hAnsi="Californian FB"/>
        </w:rPr>
        <w:t>such as</w:t>
      </w:r>
      <w:r w:rsidRPr="00410B89">
        <w:rPr>
          <w:rFonts w:ascii="Californian FB" w:hAnsi="Californian FB"/>
        </w:rPr>
        <w:t xml:space="preserve"> </w:t>
      </w:r>
      <w:r w:rsidRPr="00410B89">
        <w:rPr>
          <w:rFonts w:ascii="Californian FB" w:eastAsia="Californian FB" w:hAnsi="Californian FB" w:cs="Californian FB"/>
          <w:i/>
          <w:iCs/>
          <w:color w:val="000000" w:themeColor="text1"/>
        </w:rPr>
        <w:t>Re an application by Denise Brewster for JR,</w:t>
      </w:r>
      <w:r w:rsidRPr="00410B89">
        <w:rPr>
          <w:rStyle w:val="FootnoteReference"/>
          <w:rFonts w:ascii="Californian FB" w:eastAsia="Californian FB" w:hAnsi="Californian FB" w:cs="Californian FB"/>
          <w:color w:val="000000" w:themeColor="text1"/>
        </w:rPr>
        <w:footnoteReference w:id="147"/>
      </w:r>
      <w:r w:rsidR="000050CA">
        <w:rPr>
          <w:rFonts w:ascii="Californian FB" w:eastAsia="Californian FB" w:hAnsi="Californian FB" w:cs="Californian FB"/>
          <w:i/>
          <w:iCs/>
          <w:color w:val="000000" w:themeColor="text1"/>
        </w:rPr>
        <w:t xml:space="preserve"> </w:t>
      </w:r>
      <w:r w:rsidRPr="00410B89">
        <w:rPr>
          <w:rFonts w:ascii="Californian FB" w:eastAsia="Californian FB" w:hAnsi="Californian FB" w:cs="Californian FB"/>
          <w:color w:val="000000" w:themeColor="text1"/>
        </w:rPr>
        <w:t>and</w:t>
      </w:r>
      <w:r w:rsidRPr="00410B89">
        <w:rPr>
          <w:rFonts w:ascii="Californian FB" w:eastAsia="Californian FB" w:hAnsi="Californian FB" w:cs="Californian FB"/>
          <w:i/>
          <w:iCs/>
          <w:color w:val="000000" w:themeColor="text1"/>
        </w:rPr>
        <w:t xml:space="preserve"> </w:t>
      </w:r>
      <w:r w:rsidRPr="00410B89">
        <w:rPr>
          <w:rFonts w:ascii="Californian FB" w:eastAsia="Californian FB" w:hAnsi="Californian FB" w:cs="Californian FB"/>
          <w:i/>
          <w:iCs/>
          <w:color w:val="000000" w:themeColor="text1"/>
          <w:lang w:val="en-US"/>
        </w:rPr>
        <w:t>Re an app by Siobhan McLaughlin for JR</w:t>
      </w:r>
      <w:r w:rsidR="007519E8">
        <w:rPr>
          <w:rFonts w:ascii="Californian FB" w:eastAsia="Californian FB" w:hAnsi="Californian FB" w:cs="Californian FB"/>
          <w:color w:val="000000" w:themeColor="text1"/>
          <w:lang w:val="en-US"/>
        </w:rPr>
        <w:t>,</w:t>
      </w:r>
      <w:r w:rsidR="001F629F" w:rsidRPr="001F629F">
        <w:rPr>
          <w:rStyle w:val="FootnoteReference"/>
          <w:rFonts w:ascii="Californian FB" w:eastAsia="Californian FB" w:hAnsi="Californian FB" w:cs="Californian FB"/>
          <w:color w:val="000000" w:themeColor="text1"/>
          <w:lang w:val="en-US"/>
        </w:rPr>
        <w:footnoteReference w:id="148"/>
      </w:r>
      <w:r w:rsidR="00703F61" w:rsidRPr="001F629F">
        <w:rPr>
          <w:rFonts w:ascii="Californian FB" w:eastAsia="Californian FB" w:hAnsi="Californian FB" w:cs="Californian FB"/>
          <w:color w:val="000000" w:themeColor="text1"/>
          <w:lang w:val="en-US"/>
        </w:rPr>
        <w:t xml:space="preserve"> </w:t>
      </w:r>
      <w:r w:rsidR="00E70B7B">
        <w:rPr>
          <w:rFonts w:ascii="Californian FB" w:eastAsia="Californian FB" w:hAnsi="Californian FB" w:cs="Californian FB"/>
          <w:color w:val="000000" w:themeColor="text1"/>
          <w:lang w:val="en-US"/>
        </w:rPr>
        <w:t xml:space="preserve">dealing respectively with </w:t>
      </w:r>
      <w:r w:rsidR="004B648D" w:rsidRPr="002C3DBF">
        <w:rPr>
          <w:rFonts w:ascii="Californian FB" w:hAnsi="Californian FB"/>
        </w:rPr>
        <w:t>the refusal of pension payments to non-married cohabitees</w:t>
      </w:r>
      <w:r w:rsidR="004B648D">
        <w:rPr>
          <w:rFonts w:ascii="Californian FB" w:hAnsi="Californian FB"/>
        </w:rPr>
        <w:t xml:space="preserve"> </w:t>
      </w:r>
      <w:r w:rsidR="00801DA3">
        <w:rPr>
          <w:rFonts w:ascii="Californian FB" w:hAnsi="Californian FB"/>
        </w:rPr>
        <w:t xml:space="preserve">in respect </w:t>
      </w:r>
      <w:r w:rsidR="4B5797BD">
        <w:rPr>
          <w:rFonts w:ascii="Californian FB" w:hAnsi="Californian FB"/>
        </w:rPr>
        <w:t>of their</w:t>
      </w:r>
      <w:r w:rsidR="00801DA3">
        <w:rPr>
          <w:rFonts w:ascii="Californian FB" w:hAnsi="Californian FB"/>
        </w:rPr>
        <w:t xml:space="preserve"> A</w:t>
      </w:r>
      <w:r w:rsidR="31CBFE35">
        <w:rPr>
          <w:rFonts w:ascii="Californian FB" w:hAnsi="Californian FB"/>
        </w:rPr>
        <w:t>1</w:t>
      </w:r>
      <w:r w:rsidR="4FFD8188">
        <w:rPr>
          <w:rFonts w:ascii="Californian FB" w:hAnsi="Californian FB"/>
        </w:rPr>
        <w:t>P</w:t>
      </w:r>
      <w:r w:rsidR="00801DA3">
        <w:rPr>
          <w:rFonts w:ascii="Californian FB" w:hAnsi="Californian FB"/>
        </w:rPr>
        <w:t xml:space="preserve">1 </w:t>
      </w:r>
      <w:r w:rsidR="03843CC0">
        <w:rPr>
          <w:rFonts w:ascii="Californian FB" w:hAnsi="Californian FB"/>
        </w:rPr>
        <w:t>rights</w:t>
      </w:r>
      <w:r w:rsidR="00801DA3">
        <w:rPr>
          <w:rFonts w:ascii="Californian FB" w:hAnsi="Californian FB"/>
        </w:rPr>
        <w:t xml:space="preserve">, </w:t>
      </w:r>
      <w:proofErr w:type="gramStart"/>
      <w:r w:rsidR="004B648D">
        <w:rPr>
          <w:rFonts w:ascii="Californian FB" w:hAnsi="Californian FB"/>
        </w:rPr>
        <w:t xml:space="preserve">and </w:t>
      </w:r>
      <w:r w:rsidR="00E70B7B">
        <w:rPr>
          <w:rFonts w:ascii="Californian FB" w:hAnsi="Californian FB"/>
        </w:rPr>
        <w:t xml:space="preserve"> the</w:t>
      </w:r>
      <w:proofErr w:type="gramEnd"/>
      <w:r w:rsidR="00E70B7B">
        <w:rPr>
          <w:rFonts w:ascii="Californian FB" w:hAnsi="Californian FB"/>
        </w:rPr>
        <w:t xml:space="preserve"> entitlement of cohabitees to</w:t>
      </w:r>
      <w:r w:rsidR="009304DC" w:rsidRPr="002C3DBF" w:rsidDel="00BA2D85">
        <w:rPr>
          <w:rFonts w:ascii="Californian FB" w:hAnsi="Californian FB"/>
        </w:rPr>
        <w:t xml:space="preserve"> </w:t>
      </w:r>
      <w:r w:rsidR="009304DC" w:rsidRPr="002C3DBF">
        <w:rPr>
          <w:rFonts w:ascii="Californian FB" w:hAnsi="Californian FB"/>
        </w:rPr>
        <w:t xml:space="preserve">widowed </w:t>
      </w:r>
      <w:r w:rsidR="009304DC">
        <w:rPr>
          <w:rFonts w:ascii="Californian FB" w:hAnsi="Californian FB"/>
        </w:rPr>
        <w:t>parents'</w:t>
      </w:r>
      <w:r w:rsidR="009304DC" w:rsidRPr="002C3DBF">
        <w:rPr>
          <w:rFonts w:ascii="Californian FB" w:hAnsi="Californian FB"/>
        </w:rPr>
        <w:t xml:space="preserve"> allowance</w:t>
      </w:r>
      <w:r w:rsidR="00A221FB">
        <w:rPr>
          <w:rFonts w:ascii="Californian FB" w:hAnsi="Californian FB"/>
        </w:rPr>
        <w:t>.</w:t>
      </w:r>
      <w:r w:rsidR="00D45E82">
        <w:rPr>
          <w:rFonts w:ascii="Californian FB" w:hAnsi="Californian FB"/>
        </w:rPr>
        <w:t xml:space="preserve"> In </w:t>
      </w:r>
      <w:r w:rsidR="00E70B7B">
        <w:rPr>
          <w:rFonts w:ascii="Californian FB" w:hAnsi="Californian FB"/>
          <w:i/>
          <w:iCs/>
        </w:rPr>
        <w:t>McLaughlin</w:t>
      </w:r>
      <w:r w:rsidR="0F9DD3F3">
        <w:rPr>
          <w:rFonts w:ascii="Californian FB" w:hAnsi="Californian FB"/>
        </w:rPr>
        <w:t>,</w:t>
      </w:r>
      <w:r w:rsidR="00C35188">
        <w:rPr>
          <w:rFonts w:ascii="Californian FB" w:hAnsi="Californian FB"/>
        </w:rPr>
        <w:t xml:space="preserve"> </w:t>
      </w:r>
      <w:r w:rsidR="00C35188" w:rsidRPr="002C3DBF">
        <w:rPr>
          <w:rFonts w:ascii="Californian FB" w:eastAsia="Californian FB" w:hAnsi="Californian FB" w:cs="Californian FB"/>
          <w:color w:val="000000" w:themeColor="text1"/>
          <w:lang w:val="en-US"/>
        </w:rPr>
        <w:t xml:space="preserve">Lady Hale pointed out that the allowance was in place to protect the children in the home, and </w:t>
      </w:r>
      <w:r w:rsidR="00E70B7B">
        <w:rPr>
          <w:rFonts w:ascii="Californian FB" w:eastAsia="Californian FB" w:hAnsi="Californian FB" w:cs="Californian FB"/>
          <w:color w:val="000000" w:themeColor="text1"/>
          <w:lang w:val="en-US"/>
        </w:rPr>
        <w:t>their</w:t>
      </w:r>
      <w:r w:rsidR="00C35188" w:rsidRPr="002C3DBF">
        <w:rPr>
          <w:rFonts w:ascii="Californian FB" w:eastAsia="Californian FB" w:hAnsi="Californian FB" w:cs="Californian FB"/>
          <w:color w:val="000000" w:themeColor="text1"/>
          <w:lang w:val="en-US"/>
        </w:rPr>
        <w:t xml:space="preserve"> situation </w:t>
      </w:r>
      <w:r w:rsidR="00C35188" w:rsidRPr="002C3DBF">
        <w:rPr>
          <w:rFonts w:ascii="Californian FB" w:eastAsia="Californian FB" w:hAnsi="Californian FB" w:cs="Californian FB"/>
          <w:color w:val="000000" w:themeColor="text1"/>
          <w:lang w:val="en-US"/>
        </w:rPr>
        <w:lastRenderedPageBreak/>
        <w:t xml:space="preserve">would be the same </w:t>
      </w:r>
      <w:proofErr w:type="gramStart"/>
      <w:r w:rsidR="00C35188" w:rsidRPr="002C3DBF">
        <w:rPr>
          <w:rFonts w:ascii="Californian FB" w:eastAsia="Californian FB" w:hAnsi="Californian FB" w:cs="Californian FB"/>
          <w:color w:val="000000" w:themeColor="text1"/>
          <w:lang w:val="en-US"/>
        </w:rPr>
        <w:t>whether</w:t>
      </w:r>
      <w:r w:rsidR="00E70B7B">
        <w:rPr>
          <w:rFonts w:ascii="Californian FB" w:eastAsia="Californian FB" w:hAnsi="Californian FB" w:cs="Californian FB"/>
          <w:color w:val="000000" w:themeColor="text1"/>
          <w:lang w:val="en-US"/>
        </w:rPr>
        <w:t xml:space="preserve"> or not</w:t>
      </w:r>
      <w:proofErr w:type="gramEnd"/>
      <w:r w:rsidR="00C35188" w:rsidRPr="002C3DBF">
        <w:rPr>
          <w:rFonts w:ascii="Californian FB" w:eastAsia="Californian FB" w:hAnsi="Californian FB" w:cs="Californian FB"/>
          <w:color w:val="000000" w:themeColor="text1"/>
          <w:lang w:val="en-US"/>
        </w:rPr>
        <w:t xml:space="preserve"> their parents were married, so </w:t>
      </w:r>
      <w:r w:rsidR="00E70B7B">
        <w:rPr>
          <w:rFonts w:ascii="Californian FB" w:eastAsia="Californian FB" w:hAnsi="Californian FB" w:cs="Californian FB"/>
          <w:color w:val="000000" w:themeColor="text1"/>
          <w:lang w:val="en-US"/>
        </w:rPr>
        <w:t>they</w:t>
      </w:r>
      <w:r w:rsidR="00C35188" w:rsidRPr="002C3DBF">
        <w:rPr>
          <w:rFonts w:ascii="Californian FB" w:eastAsia="Californian FB" w:hAnsi="Californian FB" w:cs="Californian FB"/>
          <w:color w:val="000000" w:themeColor="text1"/>
          <w:lang w:val="en-US"/>
        </w:rPr>
        <w:t xml:space="preserve"> </w:t>
      </w:r>
      <w:r w:rsidR="00E70B7B">
        <w:rPr>
          <w:rFonts w:ascii="Californian FB" w:eastAsia="Californian FB" w:hAnsi="Californian FB" w:cs="Californian FB"/>
          <w:color w:val="000000" w:themeColor="text1"/>
          <w:lang w:val="en-US"/>
        </w:rPr>
        <w:t>‘</w:t>
      </w:r>
      <w:r w:rsidR="00C35188" w:rsidRPr="002C3DBF">
        <w:rPr>
          <w:rFonts w:ascii="Californian FB" w:eastAsia="Californian FB" w:hAnsi="Californian FB" w:cs="Californian FB"/>
          <w:color w:val="000000" w:themeColor="text1"/>
          <w:lang w:val="en-US"/>
        </w:rPr>
        <w:t>should not suffer this disadvantage because their parents chose not to marry.’</w:t>
      </w:r>
      <w:r w:rsidR="00C35188" w:rsidRPr="00495232">
        <w:rPr>
          <w:rStyle w:val="FootnoteReference"/>
          <w:rFonts w:ascii="Californian FB" w:eastAsia="Californian FB" w:hAnsi="Californian FB" w:cs="Californian FB"/>
          <w:color w:val="000000" w:themeColor="text1"/>
          <w:lang w:val="en-US"/>
        </w:rPr>
        <w:footnoteReference w:id="149"/>
      </w:r>
      <w:r w:rsidR="00D87519">
        <w:rPr>
          <w:rFonts w:ascii="Californian FB" w:eastAsia="Californian FB" w:hAnsi="Californian FB" w:cs="Californian FB"/>
          <w:color w:val="000000" w:themeColor="text1"/>
          <w:lang w:val="en-US"/>
        </w:rPr>
        <w:t xml:space="preserve"> </w:t>
      </w:r>
    </w:p>
    <w:p w14:paraId="1887E2FA" w14:textId="5E43AE61" w:rsidR="00DC45C7" w:rsidRDefault="00DC45C7" w:rsidP="00DC45C7">
      <w:pPr>
        <w:jc w:val="both"/>
        <w:rPr>
          <w:rFonts w:ascii="Californian FB" w:hAnsi="Californian FB"/>
        </w:rPr>
      </w:pPr>
      <w:proofErr w:type="gramStart"/>
      <w:r w:rsidRPr="00410B89">
        <w:rPr>
          <w:rFonts w:ascii="Californian FB" w:hAnsi="Californian FB"/>
        </w:rPr>
        <w:t>All of</w:t>
      </w:r>
      <w:proofErr w:type="gramEnd"/>
      <w:r w:rsidRPr="00410B89">
        <w:rPr>
          <w:rFonts w:ascii="Californian FB" w:hAnsi="Californian FB"/>
        </w:rPr>
        <w:t xml:space="preserve"> these</w:t>
      </w:r>
      <w:r w:rsidR="00801DA3">
        <w:rPr>
          <w:rFonts w:ascii="Californian FB" w:hAnsi="Californian FB"/>
        </w:rPr>
        <w:t xml:space="preserve"> decisions</w:t>
      </w:r>
      <w:r w:rsidRPr="00410B89">
        <w:rPr>
          <w:rFonts w:ascii="Californian FB" w:hAnsi="Californian FB"/>
        </w:rPr>
        <w:t xml:space="preserve"> </w:t>
      </w:r>
      <w:r w:rsidR="007C3C98">
        <w:rPr>
          <w:rFonts w:ascii="Californian FB" w:hAnsi="Californian FB"/>
        </w:rPr>
        <w:t>are concerned with ensuring that</w:t>
      </w:r>
      <w:r w:rsidRPr="00410B89">
        <w:rPr>
          <w:rFonts w:ascii="Californian FB" w:hAnsi="Californian FB"/>
        </w:rPr>
        <w:t xml:space="preserve"> the law surrounding and interacting with property is up to date with the twenty-first century. </w:t>
      </w:r>
      <w:r w:rsidR="004F1CE0">
        <w:rPr>
          <w:rFonts w:ascii="Californian FB" w:hAnsi="Californian FB"/>
        </w:rPr>
        <w:t>The Supreme Court, therefore</w:t>
      </w:r>
      <w:r w:rsidR="004F1CE0" w:rsidDel="00F95829">
        <w:rPr>
          <w:rFonts w:ascii="Californian FB" w:hAnsi="Californian FB"/>
        </w:rPr>
        <w:t xml:space="preserve">, </w:t>
      </w:r>
      <w:r w:rsidR="00F95829">
        <w:rPr>
          <w:rFonts w:ascii="Californian FB" w:hAnsi="Californian FB"/>
        </w:rPr>
        <w:t>not only shapes property</w:t>
      </w:r>
      <w:r w:rsidR="00E03258">
        <w:rPr>
          <w:rFonts w:ascii="Californian FB" w:hAnsi="Californian FB"/>
        </w:rPr>
        <w:t xml:space="preserve">, but </w:t>
      </w:r>
      <w:r w:rsidR="007C3C98">
        <w:rPr>
          <w:rFonts w:ascii="Californian FB" w:hAnsi="Californian FB"/>
        </w:rPr>
        <w:t xml:space="preserve">does so in a way that </w:t>
      </w:r>
      <w:r w:rsidR="00D966F9">
        <w:rPr>
          <w:rFonts w:ascii="Californian FB" w:hAnsi="Californian FB"/>
        </w:rPr>
        <w:t>tries to reflect</w:t>
      </w:r>
      <w:r w:rsidR="007C3C98">
        <w:rPr>
          <w:rFonts w:ascii="Californian FB" w:hAnsi="Californian FB"/>
        </w:rPr>
        <w:t xml:space="preserve"> </w:t>
      </w:r>
      <w:proofErr w:type="gramStart"/>
      <w:r w:rsidR="007C3C98" w:rsidRPr="00410B89">
        <w:rPr>
          <w:rFonts w:ascii="Californian FB" w:hAnsi="Californian FB"/>
        </w:rPr>
        <w:t>currently</w:t>
      </w:r>
      <w:r w:rsidR="007C3C98">
        <w:rPr>
          <w:rFonts w:ascii="Californian FB" w:hAnsi="Californian FB"/>
        </w:rPr>
        <w:t>-</w:t>
      </w:r>
      <w:r w:rsidR="007C3C98" w:rsidRPr="00410B89">
        <w:rPr>
          <w:rFonts w:ascii="Californian FB" w:hAnsi="Californian FB"/>
        </w:rPr>
        <w:t>held</w:t>
      </w:r>
      <w:proofErr w:type="gramEnd"/>
      <w:r w:rsidR="007C3C98" w:rsidRPr="00410B89">
        <w:rPr>
          <w:rFonts w:ascii="Californian FB" w:hAnsi="Californian FB"/>
        </w:rPr>
        <w:t xml:space="preserve"> views of what is important</w:t>
      </w:r>
      <w:r w:rsidR="007C3C98">
        <w:rPr>
          <w:rFonts w:ascii="Californian FB" w:hAnsi="Californian FB"/>
        </w:rPr>
        <w:t xml:space="preserve"> about property</w:t>
      </w:r>
      <w:r w:rsidR="007C3C98" w:rsidRPr="00410B89">
        <w:rPr>
          <w:rFonts w:ascii="Californian FB" w:hAnsi="Californian FB"/>
        </w:rPr>
        <w:t>.</w:t>
      </w:r>
    </w:p>
    <w:p w14:paraId="25595845" w14:textId="77777777" w:rsidR="00DC45C7" w:rsidRDefault="00DC45C7" w:rsidP="00DC45C7">
      <w:pPr>
        <w:pStyle w:val="Heading1"/>
      </w:pPr>
      <w:r>
        <w:t>CONCLUSION</w:t>
      </w:r>
    </w:p>
    <w:p w14:paraId="0FB3E0DA" w14:textId="27E20520" w:rsidR="0B084924" w:rsidRDefault="00877D65" w:rsidP="4459B43A">
      <w:pPr>
        <w:jc w:val="both"/>
        <w:rPr>
          <w:rFonts w:ascii="Californian FB" w:hAnsi="Californian FB"/>
        </w:rPr>
      </w:pPr>
      <w:r w:rsidRPr="4DFB507A">
        <w:rPr>
          <w:rFonts w:ascii="Californian FB" w:hAnsi="Californian FB"/>
        </w:rPr>
        <w:t xml:space="preserve">This </w:t>
      </w:r>
      <w:r>
        <w:rPr>
          <w:rFonts w:ascii="Californian FB" w:hAnsi="Californian FB"/>
        </w:rPr>
        <w:t>paper</w:t>
      </w:r>
      <w:r w:rsidRPr="4DFB507A">
        <w:rPr>
          <w:rFonts w:ascii="Californian FB" w:hAnsi="Californian FB"/>
        </w:rPr>
        <w:t xml:space="preserve"> has explored how the Supreme Court has shaped property through its decisions, in exploring the </w:t>
      </w:r>
      <w:r>
        <w:rPr>
          <w:rFonts w:ascii="Californian FB" w:hAnsi="Californian FB"/>
        </w:rPr>
        <w:t>remaining eight</w:t>
      </w:r>
      <w:r w:rsidRPr="4DFB507A">
        <w:rPr>
          <w:rFonts w:ascii="Californian FB" w:hAnsi="Californian FB"/>
        </w:rPr>
        <w:t xml:space="preserve"> themes which arose from our thematic analysis. </w:t>
      </w:r>
      <w:r>
        <w:rPr>
          <w:rFonts w:ascii="Californian FB" w:hAnsi="Californian FB"/>
        </w:rPr>
        <w:t>The identification of the themes is</w:t>
      </w:r>
      <w:proofErr w:type="gramStart"/>
      <w:r>
        <w:rPr>
          <w:rFonts w:ascii="Californian FB" w:hAnsi="Californian FB"/>
        </w:rPr>
        <w:t>, in itself,</w:t>
      </w:r>
      <w:r w:rsidRPr="4DFB507A">
        <w:rPr>
          <w:rFonts w:ascii="Californian FB" w:hAnsi="Californian FB"/>
        </w:rPr>
        <w:t xml:space="preserve"> one</w:t>
      </w:r>
      <w:proofErr w:type="gramEnd"/>
      <w:r w:rsidRPr="4DFB507A">
        <w:rPr>
          <w:rFonts w:ascii="Californian FB" w:hAnsi="Californian FB"/>
        </w:rPr>
        <w:t xml:space="preserve"> of the</w:t>
      </w:r>
      <w:r w:rsidR="002F7219">
        <w:rPr>
          <w:rFonts w:ascii="Californian FB" w:hAnsi="Californian FB"/>
        </w:rPr>
        <w:t xml:space="preserve"> paper’s</w:t>
      </w:r>
      <w:r w:rsidRPr="4DFB507A">
        <w:rPr>
          <w:rFonts w:ascii="Californian FB" w:hAnsi="Californian FB"/>
        </w:rPr>
        <w:t xml:space="preserve"> core contributions</w:t>
      </w:r>
      <w:r>
        <w:rPr>
          <w:rFonts w:ascii="Californian FB" w:hAnsi="Californian FB"/>
        </w:rPr>
        <w:t xml:space="preserve">. A further key contribution is that, </w:t>
      </w:r>
      <w:r w:rsidRPr="4DFB507A">
        <w:rPr>
          <w:rFonts w:ascii="Californian FB" w:hAnsi="Californian FB"/>
        </w:rPr>
        <w:t xml:space="preserve">by grouping and theming the decisions in this way, the research has allowed for new reflections on cases to emerge, showing some cases in a new light and allowing for comparisons between cases not previously linked. </w:t>
      </w:r>
      <w:r w:rsidR="0090095C">
        <w:rPr>
          <w:rFonts w:ascii="Californian FB" w:hAnsi="Californian FB"/>
        </w:rPr>
        <w:t xml:space="preserve">One </w:t>
      </w:r>
      <w:r w:rsidR="056D661C">
        <w:rPr>
          <w:rFonts w:ascii="Californian FB" w:hAnsi="Californian FB"/>
        </w:rPr>
        <w:t xml:space="preserve">example is the </w:t>
      </w:r>
      <w:r w:rsidR="7E0AF6A6" w:rsidRPr="6A7B6D33">
        <w:rPr>
          <w:rFonts w:ascii="Californian FB" w:hAnsi="Californian FB"/>
        </w:rPr>
        <w:t>willingness of</w:t>
      </w:r>
      <w:r w:rsidR="2CCFFCB4">
        <w:rPr>
          <w:rFonts w:ascii="Californian FB" w:hAnsi="Californian FB"/>
        </w:rPr>
        <w:t xml:space="preserve"> </w:t>
      </w:r>
      <w:r w:rsidR="7E0AF6A6" w:rsidRPr="36CC314F">
        <w:rPr>
          <w:rFonts w:ascii="Californian FB" w:hAnsi="Californian FB"/>
        </w:rPr>
        <w:t xml:space="preserve">some </w:t>
      </w:r>
      <w:r w:rsidR="7E0AF6A6" w:rsidRPr="326C1558">
        <w:rPr>
          <w:rFonts w:ascii="Californian FB" w:hAnsi="Californian FB"/>
        </w:rPr>
        <w:t xml:space="preserve">Justices to adopt an </w:t>
      </w:r>
      <w:r w:rsidR="7E0AF6A6" w:rsidRPr="5D3FA7A5">
        <w:rPr>
          <w:rFonts w:ascii="Californian FB" w:hAnsi="Californian FB"/>
        </w:rPr>
        <w:t xml:space="preserve">expansive </w:t>
      </w:r>
      <w:r w:rsidR="7E0AF6A6" w:rsidRPr="5833B86D">
        <w:rPr>
          <w:rFonts w:ascii="Californian FB" w:hAnsi="Californian FB"/>
        </w:rPr>
        <w:t xml:space="preserve">view of </w:t>
      </w:r>
      <w:r w:rsidR="7E0AF6A6" w:rsidRPr="4B36D978">
        <w:rPr>
          <w:rFonts w:ascii="Californian FB" w:hAnsi="Californian FB"/>
        </w:rPr>
        <w:t xml:space="preserve">what domestic </w:t>
      </w:r>
      <w:r w:rsidR="4BB20B5D" w:rsidRPr="4B6EFF5B">
        <w:rPr>
          <w:rFonts w:ascii="Californian FB" w:hAnsi="Californian FB"/>
        </w:rPr>
        <w:t xml:space="preserve">property-related </w:t>
      </w:r>
      <w:r w:rsidR="7E0AF6A6" w:rsidRPr="4B6EFF5B">
        <w:rPr>
          <w:rFonts w:ascii="Californian FB" w:hAnsi="Californian FB"/>
        </w:rPr>
        <w:t>law</w:t>
      </w:r>
      <w:r w:rsidR="7E0AF6A6" w:rsidRPr="4B36D978">
        <w:rPr>
          <w:rFonts w:ascii="Californian FB" w:hAnsi="Californian FB"/>
        </w:rPr>
        <w:t xml:space="preserve"> </w:t>
      </w:r>
      <w:r w:rsidR="7E0AF6A6" w:rsidRPr="70D67482">
        <w:rPr>
          <w:rFonts w:ascii="Californian FB" w:hAnsi="Californian FB"/>
        </w:rPr>
        <w:t>can protect (</w:t>
      </w:r>
      <w:r w:rsidR="7E0AF6A6" w:rsidRPr="70D31BD2">
        <w:rPr>
          <w:rFonts w:ascii="Californian FB" w:hAnsi="Californian FB"/>
        </w:rPr>
        <w:t>through PEA</w:t>
      </w:r>
      <w:r w:rsidR="7E0AF6A6" w:rsidRPr="58A10FC9">
        <w:rPr>
          <w:rFonts w:ascii="Californian FB" w:hAnsi="Californian FB"/>
        </w:rPr>
        <w:t xml:space="preserve">, </w:t>
      </w:r>
      <w:r w:rsidR="7E0AF6A6" w:rsidRPr="4D66C670">
        <w:rPr>
          <w:rFonts w:ascii="Californian FB" w:hAnsi="Californian FB"/>
        </w:rPr>
        <w:t xml:space="preserve">when looking at </w:t>
      </w:r>
      <w:r w:rsidR="7E0AF6A6" w:rsidRPr="403B47E9">
        <w:rPr>
          <w:rFonts w:ascii="Californian FB" w:hAnsi="Californian FB"/>
        </w:rPr>
        <w:t xml:space="preserve">the </w:t>
      </w:r>
      <w:r w:rsidR="7E0AF6A6" w:rsidRPr="4459B43A">
        <w:rPr>
          <w:rFonts w:ascii="Californian FB" w:hAnsi="Californian FB"/>
          <w:i/>
          <w:iCs/>
        </w:rPr>
        <w:t>ZH</w:t>
      </w:r>
      <w:r w:rsidR="7E0AF6A6" w:rsidRPr="403B47E9">
        <w:rPr>
          <w:rFonts w:ascii="Californian FB" w:hAnsi="Californian FB"/>
        </w:rPr>
        <w:t xml:space="preserve"> dissents and the </w:t>
      </w:r>
      <w:r w:rsidR="7E0AF6A6" w:rsidRPr="4459B43A">
        <w:rPr>
          <w:rFonts w:ascii="Californian FB" w:hAnsi="Californian FB"/>
          <w:i/>
          <w:iCs/>
        </w:rPr>
        <w:t>McDonald</w:t>
      </w:r>
      <w:r w:rsidR="7E0AF6A6" w:rsidRPr="29A2038B">
        <w:rPr>
          <w:rFonts w:ascii="Californian FB" w:hAnsi="Californian FB"/>
        </w:rPr>
        <w:t xml:space="preserve"> majority </w:t>
      </w:r>
      <w:r w:rsidR="7E0AF6A6" w:rsidRPr="070CF32E">
        <w:rPr>
          <w:rFonts w:ascii="Californian FB" w:hAnsi="Californian FB"/>
        </w:rPr>
        <w:t>together,</w:t>
      </w:r>
      <w:r w:rsidR="7E0AF6A6" w:rsidRPr="69EE4BC9">
        <w:rPr>
          <w:rFonts w:ascii="Californian FB" w:hAnsi="Californian FB"/>
        </w:rPr>
        <w:t xml:space="preserve"> and through </w:t>
      </w:r>
      <w:r w:rsidR="7E0AF6A6" w:rsidRPr="62045E87">
        <w:rPr>
          <w:rFonts w:ascii="Californian FB" w:hAnsi="Californian FB"/>
        </w:rPr>
        <w:t xml:space="preserve">property </w:t>
      </w:r>
      <w:r w:rsidR="7E0AF6A6" w:rsidRPr="4BC49520">
        <w:rPr>
          <w:rFonts w:ascii="Californian FB" w:hAnsi="Californian FB"/>
        </w:rPr>
        <w:t>torts,</w:t>
      </w:r>
      <w:r w:rsidR="06A8DA06" w:rsidRPr="4BC49520">
        <w:rPr>
          <w:rFonts w:ascii="Californian FB" w:hAnsi="Californian FB"/>
        </w:rPr>
        <w:t xml:space="preserve"> </w:t>
      </w:r>
      <w:r w:rsidR="06A8DA06" w:rsidRPr="78764FFA">
        <w:rPr>
          <w:rFonts w:ascii="Californian FB" w:hAnsi="Californian FB"/>
        </w:rPr>
        <w:t xml:space="preserve">when looking at </w:t>
      </w:r>
      <w:r w:rsidR="06A8DA06" w:rsidRPr="4459B43A">
        <w:rPr>
          <w:rFonts w:ascii="Californian FB" w:hAnsi="Californian FB"/>
          <w:i/>
          <w:iCs/>
        </w:rPr>
        <w:t>Fearn</w:t>
      </w:r>
      <w:r w:rsidR="06A8DA06" w:rsidRPr="4BED9DB3">
        <w:rPr>
          <w:rFonts w:ascii="Californian FB" w:hAnsi="Californian FB"/>
        </w:rPr>
        <w:t>)</w:t>
      </w:r>
      <w:r w:rsidR="4A79A299" w:rsidRPr="4BED9DB3">
        <w:rPr>
          <w:rFonts w:ascii="Californian FB" w:hAnsi="Californian FB"/>
        </w:rPr>
        <w:t>,</w:t>
      </w:r>
      <w:r w:rsidR="4A79A299" w:rsidRPr="7F136DD2">
        <w:rPr>
          <w:rFonts w:ascii="Californian FB" w:hAnsi="Californian FB"/>
        </w:rPr>
        <w:t xml:space="preserve"> which </w:t>
      </w:r>
      <w:r w:rsidR="4A79A299" w:rsidRPr="3BF4F08A">
        <w:rPr>
          <w:rFonts w:ascii="Californian FB" w:hAnsi="Californian FB"/>
        </w:rPr>
        <w:t xml:space="preserve">in turn </w:t>
      </w:r>
      <w:r w:rsidR="4A79A299" w:rsidRPr="50FBA27E">
        <w:rPr>
          <w:rFonts w:ascii="Californian FB" w:hAnsi="Californian FB"/>
        </w:rPr>
        <w:t xml:space="preserve">seems to </w:t>
      </w:r>
      <w:r w:rsidR="4A79A299" w:rsidRPr="30BD8D66">
        <w:rPr>
          <w:rFonts w:ascii="Californian FB" w:hAnsi="Californian FB"/>
        </w:rPr>
        <w:t xml:space="preserve">obviate the </w:t>
      </w:r>
      <w:r w:rsidR="4A79A299" w:rsidRPr="597A519D">
        <w:rPr>
          <w:rFonts w:ascii="Californian FB" w:hAnsi="Californian FB"/>
        </w:rPr>
        <w:t xml:space="preserve">need to develop </w:t>
      </w:r>
      <w:r w:rsidR="2F3A7A86" w:rsidRPr="38E4DB2D">
        <w:rPr>
          <w:rFonts w:ascii="Californian FB" w:hAnsi="Californian FB"/>
        </w:rPr>
        <w:t xml:space="preserve">Convention </w:t>
      </w:r>
      <w:r w:rsidR="4A79A299" w:rsidRPr="38E4DB2D">
        <w:rPr>
          <w:rFonts w:ascii="Californian FB" w:hAnsi="Californian FB"/>
        </w:rPr>
        <w:t>property</w:t>
      </w:r>
      <w:r w:rsidR="4A79A299" w:rsidRPr="32C8E98E">
        <w:rPr>
          <w:rFonts w:ascii="Californian FB" w:hAnsi="Californian FB"/>
        </w:rPr>
        <w:t xml:space="preserve">-related </w:t>
      </w:r>
      <w:r w:rsidR="4A79A299" w:rsidRPr="50432C4C">
        <w:rPr>
          <w:rFonts w:ascii="Californian FB" w:hAnsi="Californian FB"/>
        </w:rPr>
        <w:t>rights.</w:t>
      </w:r>
      <w:r w:rsidR="4A79A299" w:rsidRPr="17B8AD2E">
        <w:rPr>
          <w:rFonts w:ascii="Californian FB" w:hAnsi="Californian FB"/>
        </w:rPr>
        <w:t xml:space="preserve"> </w:t>
      </w:r>
      <w:r w:rsidR="4A79A299" w:rsidRPr="5A98C25B">
        <w:rPr>
          <w:rFonts w:ascii="Californian FB" w:hAnsi="Californian FB"/>
        </w:rPr>
        <w:t xml:space="preserve">While this trend </w:t>
      </w:r>
      <w:r w:rsidR="4A79A299" w:rsidRPr="06C9D7C0">
        <w:rPr>
          <w:rFonts w:ascii="Californian FB" w:hAnsi="Californian FB"/>
        </w:rPr>
        <w:t xml:space="preserve">across different cases </w:t>
      </w:r>
      <w:r w:rsidR="4A79A299" w:rsidRPr="0208175A">
        <w:rPr>
          <w:rFonts w:ascii="Californian FB" w:hAnsi="Californian FB"/>
        </w:rPr>
        <w:t>seems to be consistent, w</w:t>
      </w:r>
      <w:r w:rsidR="25ABC730" w:rsidRPr="0208175A">
        <w:rPr>
          <w:rFonts w:ascii="Californian FB" w:hAnsi="Californian FB"/>
        </w:rPr>
        <w:t xml:space="preserve">e can </w:t>
      </w:r>
      <w:r w:rsidR="25ABC730" w:rsidRPr="1844CC40">
        <w:rPr>
          <w:rFonts w:ascii="Californian FB" w:hAnsi="Californian FB"/>
        </w:rPr>
        <w:t>ask whether it is going in the right</w:t>
      </w:r>
      <w:r w:rsidR="25ABC730" w:rsidRPr="08ED866E">
        <w:rPr>
          <w:rFonts w:ascii="Californian FB" w:hAnsi="Californian FB"/>
        </w:rPr>
        <w:t xml:space="preserve"> direction</w:t>
      </w:r>
      <w:r w:rsidR="25ABC730" w:rsidRPr="52B933DB">
        <w:rPr>
          <w:rFonts w:ascii="Californian FB" w:hAnsi="Californian FB"/>
        </w:rPr>
        <w:t>.</w:t>
      </w:r>
      <w:r w:rsidR="25ABC730" w:rsidRPr="100D797A">
        <w:rPr>
          <w:rFonts w:ascii="Californian FB" w:hAnsi="Californian FB"/>
        </w:rPr>
        <w:t xml:space="preserve"> </w:t>
      </w:r>
      <w:r w:rsidR="25ABC730" w:rsidRPr="3B46C9FD">
        <w:rPr>
          <w:rFonts w:ascii="Californian FB" w:hAnsi="Californian FB"/>
        </w:rPr>
        <w:t xml:space="preserve">Meanwhile, </w:t>
      </w:r>
      <w:r w:rsidR="25ABC730" w:rsidRPr="3F74840F">
        <w:rPr>
          <w:rFonts w:ascii="Californian FB" w:hAnsi="Californian FB"/>
        </w:rPr>
        <w:t xml:space="preserve">A1P1 and </w:t>
      </w:r>
      <w:r w:rsidR="25ABC730" w:rsidRPr="234F1118">
        <w:rPr>
          <w:rFonts w:ascii="Californian FB" w:hAnsi="Californian FB"/>
        </w:rPr>
        <w:t xml:space="preserve">A8 arguments have </w:t>
      </w:r>
      <w:r w:rsidR="25ABC730" w:rsidRPr="6D6C0364">
        <w:rPr>
          <w:rFonts w:ascii="Californian FB" w:hAnsi="Californian FB"/>
        </w:rPr>
        <w:t xml:space="preserve">been more likely </w:t>
      </w:r>
      <w:r w:rsidR="25ABC730" w:rsidRPr="594575A5">
        <w:rPr>
          <w:rFonts w:ascii="Californian FB" w:hAnsi="Californian FB"/>
        </w:rPr>
        <w:t xml:space="preserve">to succeed when combined </w:t>
      </w:r>
      <w:r w:rsidR="25ABC730" w:rsidRPr="3269E692">
        <w:rPr>
          <w:rFonts w:ascii="Californian FB" w:hAnsi="Californian FB"/>
        </w:rPr>
        <w:t xml:space="preserve">with A14 </w:t>
      </w:r>
      <w:r w:rsidR="25ABC730" w:rsidRPr="7CB70EE2">
        <w:rPr>
          <w:rFonts w:ascii="Californian FB" w:hAnsi="Californian FB"/>
        </w:rPr>
        <w:t>arguments</w:t>
      </w:r>
      <w:r w:rsidR="44C90E20" w:rsidRPr="7CB70EE2">
        <w:rPr>
          <w:rFonts w:ascii="Californian FB" w:hAnsi="Californian FB"/>
        </w:rPr>
        <w:t>, with</w:t>
      </w:r>
      <w:r w:rsidR="5BF05BC0" w:rsidRPr="57BC2897">
        <w:rPr>
          <w:rFonts w:ascii="Californian FB" w:hAnsi="Californian FB"/>
        </w:rPr>
        <w:t xml:space="preserve"> cases that recognised</w:t>
      </w:r>
      <w:r w:rsidR="72983F7D" w:rsidRPr="609CDB28">
        <w:rPr>
          <w:rFonts w:ascii="Californian FB" w:hAnsi="Californian FB"/>
        </w:rPr>
        <w:t xml:space="preserve">, for </w:t>
      </w:r>
      <w:r w:rsidR="72983F7D" w:rsidRPr="061DAFF9">
        <w:rPr>
          <w:rFonts w:ascii="Californian FB" w:hAnsi="Californian FB"/>
        </w:rPr>
        <w:t xml:space="preserve">instance, </w:t>
      </w:r>
      <w:r w:rsidR="7DCE3171" w:rsidRPr="4459B43A">
        <w:rPr>
          <w:rFonts w:ascii="Californian FB" w:hAnsi="Californian FB"/>
        </w:rPr>
        <w:t xml:space="preserve">equal </w:t>
      </w:r>
      <w:r w:rsidR="5BF05BC0" w:rsidRPr="061DAFF9">
        <w:rPr>
          <w:rFonts w:ascii="Californian FB" w:hAnsi="Californian FB"/>
        </w:rPr>
        <w:t>pension</w:t>
      </w:r>
      <w:r w:rsidR="5BF05BC0" w:rsidRPr="12EDFF55">
        <w:rPr>
          <w:rFonts w:ascii="Californian FB" w:hAnsi="Californian FB"/>
        </w:rPr>
        <w:t xml:space="preserve"> entitlements</w:t>
      </w:r>
      <w:r w:rsidR="5BF05BC0" w:rsidRPr="25D09974">
        <w:rPr>
          <w:rFonts w:ascii="Californian FB" w:hAnsi="Californian FB"/>
        </w:rPr>
        <w:t xml:space="preserve"> </w:t>
      </w:r>
      <w:r w:rsidR="03212D17" w:rsidRPr="25D09974">
        <w:rPr>
          <w:rFonts w:ascii="Californian FB" w:hAnsi="Californian FB"/>
        </w:rPr>
        <w:t>for</w:t>
      </w:r>
      <w:r w:rsidR="5BF05BC0" w:rsidRPr="25D09974">
        <w:rPr>
          <w:rFonts w:ascii="Californian FB" w:hAnsi="Californian FB"/>
        </w:rPr>
        <w:t xml:space="preserve"> unmarried </w:t>
      </w:r>
      <w:r w:rsidR="5BF05BC0" w:rsidRPr="69A58A48">
        <w:rPr>
          <w:rFonts w:ascii="Californian FB" w:hAnsi="Californian FB"/>
        </w:rPr>
        <w:t>partners</w:t>
      </w:r>
      <w:r w:rsidR="5BF05BC0" w:rsidRPr="1B1F2633">
        <w:rPr>
          <w:rFonts w:ascii="Californian FB" w:hAnsi="Californian FB"/>
        </w:rPr>
        <w:t>.</w:t>
      </w:r>
      <w:r w:rsidR="25ABC730" w:rsidRPr="57BC2897">
        <w:rPr>
          <w:rFonts w:ascii="Californian FB" w:hAnsi="Californian FB"/>
        </w:rPr>
        <w:t xml:space="preserve"> </w:t>
      </w:r>
      <w:r w:rsidR="52B1B32C" w:rsidRPr="5C72578C">
        <w:rPr>
          <w:rFonts w:ascii="Californian FB" w:hAnsi="Californian FB"/>
        </w:rPr>
        <w:t>Th</w:t>
      </w:r>
      <w:r w:rsidR="2F3162F4" w:rsidRPr="5C72578C">
        <w:rPr>
          <w:rFonts w:ascii="Californian FB" w:hAnsi="Californian FB"/>
        </w:rPr>
        <w:t xml:space="preserve">e increasing willingness </w:t>
      </w:r>
      <w:r w:rsidR="2F3162F4" w:rsidRPr="30B2ED7D">
        <w:rPr>
          <w:rFonts w:ascii="Californian FB" w:hAnsi="Californian FB"/>
        </w:rPr>
        <w:t xml:space="preserve">to offer </w:t>
      </w:r>
      <w:r w:rsidR="2F3162F4" w:rsidRPr="5A20ABEA">
        <w:rPr>
          <w:rFonts w:ascii="Californian FB" w:hAnsi="Californian FB"/>
        </w:rPr>
        <w:t>spouse-</w:t>
      </w:r>
      <w:r w:rsidR="2F3162F4" w:rsidRPr="4459B43A">
        <w:rPr>
          <w:rFonts w:ascii="Californian FB" w:hAnsi="Californian FB"/>
          <w:i/>
          <w:iCs/>
        </w:rPr>
        <w:t xml:space="preserve">like </w:t>
      </w:r>
      <w:r w:rsidR="2F3162F4" w:rsidRPr="5A20ABEA">
        <w:rPr>
          <w:rFonts w:ascii="Californian FB" w:hAnsi="Californian FB"/>
        </w:rPr>
        <w:t xml:space="preserve">protection </w:t>
      </w:r>
      <w:r w:rsidR="2F3162F4" w:rsidRPr="4D189D4A">
        <w:rPr>
          <w:rFonts w:ascii="Californian FB" w:hAnsi="Californian FB"/>
        </w:rPr>
        <w:t xml:space="preserve">for such </w:t>
      </w:r>
      <w:r w:rsidR="2F3162F4" w:rsidRPr="13545559">
        <w:rPr>
          <w:rFonts w:ascii="Californian FB" w:hAnsi="Californian FB"/>
        </w:rPr>
        <w:t xml:space="preserve">relationships is reflected </w:t>
      </w:r>
      <w:r w:rsidR="2F3162F4" w:rsidRPr="509F344C">
        <w:rPr>
          <w:rFonts w:ascii="Californian FB" w:hAnsi="Californian FB"/>
        </w:rPr>
        <w:t xml:space="preserve">in </w:t>
      </w:r>
      <w:r w:rsidR="2F3162F4" w:rsidRPr="4459B43A">
        <w:rPr>
          <w:rFonts w:ascii="Californian FB" w:hAnsi="Californian FB"/>
          <w:i/>
          <w:iCs/>
        </w:rPr>
        <w:t>Jones</w:t>
      </w:r>
      <w:r w:rsidR="359E386A" w:rsidRPr="113F0A48">
        <w:rPr>
          <w:rFonts w:ascii="Californian FB" w:hAnsi="Californian FB"/>
        </w:rPr>
        <w:t xml:space="preserve">, where a message was </w:t>
      </w:r>
      <w:r w:rsidR="359E386A" w:rsidRPr="37D78DC2">
        <w:rPr>
          <w:rFonts w:ascii="Californian FB" w:hAnsi="Californian FB"/>
        </w:rPr>
        <w:t xml:space="preserve">sent to the legislature to do </w:t>
      </w:r>
      <w:r w:rsidR="359E386A" w:rsidRPr="4FBA00A9">
        <w:rPr>
          <w:rFonts w:ascii="Californian FB" w:hAnsi="Californian FB"/>
        </w:rPr>
        <w:t xml:space="preserve">better - </w:t>
      </w:r>
      <w:r w:rsidR="359E386A" w:rsidRPr="65AF0C5B">
        <w:rPr>
          <w:rFonts w:ascii="Californian FB" w:hAnsi="Californian FB"/>
        </w:rPr>
        <w:t>effectively to</w:t>
      </w:r>
      <w:r w:rsidR="359E386A" w:rsidRPr="4FBA00A9">
        <w:rPr>
          <w:rFonts w:ascii="Californian FB" w:hAnsi="Californian FB"/>
        </w:rPr>
        <w:t xml:space="preserve"> </w:t>
      </w:r>
      <w:r w:rsidR="359E386A" w:rsidRPr="4459B43A">
        <w:rPr>
          <w:rFonts w:ascii="Californian FB" w:hAnsi="Californian FB"/>
          <w:i/>
          <w:iCs/>
        </w:rPr>
        <w:t>modernise</w:t>
      </w:r>
      <w:r w:rsidR="359E386A" w:rsidRPr="24EA64E2">
        <w:rPr>
          <w:rFonts w:ascii="Californian FB" w:hAnsi="Californian FB"/>
        </w:rPr>
        <w:t xml:space="preserve"> the law</w:t>
      </w:r>
      <w:r w:rsidR="2F3162F4" w:rsidRPr="24EA64E2">
        <w:rPr>
          <w:rFonts w:ascii="Californian FB" w:hAnsi="Californian FB"/>
        </w:rPr>
        <w:t>.</w:t>
      </w:r>
      <w:r w:rsidR="2F3162F4" w:rsidRPr="7C42EB1D">
        <w:rPr>
          <w:rFonts w:ascii="Californian FB" w:hAnsi="Californian FB"/>
        </w:rPr>
        <w:t xml:space="preserve"> </w:t>
      </w:r>
      <w:r w:rsidR="42E8D0BD" w:rsidRPr="7C42EB1D">
        <w:rPr>
          <w:rFonts w:ascii="Californian FB" w:hAnsi="Californian FB"/>
        </w:rPr>
        <w:t xml:space="preserve">Perhaps because of the limits it sees on its role, the Court </w:t>
      </w:r>
      <w:r w:rsidR="007076FC">
        <w:rPr>
          <w:rFonts w:ascii="Californian FB" w:hAnsi="Californian FB"/>
        </w:rPr>
        <w:t>sometimes</w:t>
      </w:r>
      <w:r w:rsidR="42E8D0BD" w:rsidRPr="7C42EB1D">
        <w:rPr>
          <w:rFonts w:ascii="Californian FB" w:hAnsi="Californian FB"/>
        </w:rPr>
        <w:t xml:space="preserve"> innovates through the back door, as we saw in </w:t>
      </w:r>
      <w:r w:rsidR="42E8D0BD" w:rsidRPr="1F77EC8B">
        <w:rPr>
          <w:rFonts w:ascii="Californian FB" w:hAnsi="Californian FB"/>
          <w:i/>
          <w:iCs/>
        </w:rPr>
        <w:t xml:space="preserve">Austin </w:t>
      </w:r>
      <w:r w:rsidR="42E8D0BD" w:rsidRPr="1F77EC8B">
        <w:rPr>
          <w:rFonts w:ascii="Californian FB" w:hAnsi="Californian FB"/>
        </w:rPr>
        <w:t xml:space="preserve">and </w:t>
      </w:r>
      <w:r w:rsidR="42E8D0BD" w:rsidRPr="1F77EC8B">
        <w:rPr>
          <w:rFonts w:ascii="Californian FB" w:hAnsi="Californian FB"/>
          <w:i/>
          <w:iCs/>
        </w:rPr>
        <w:t>Berrisford</w:t>
      </w:r>
      <w:r w:rsidR="42E8D0BD" w:rsidRPr="1F77EC8B">
        <w:rPr>
          <w:rFonts w:ascii="Californian FB" w:hAnsi="Californian FB"/>
        </w:rPr>
        <w:t xml:space="preserve">. </w:t>
      </w:r>
      <w:r w:rsidR="2219D458" w:rsidRPr="4BF2E811">
        <w:rPr>
          <w:rFonts w:ascii="Californian FB" w:hAnsi="Californian FB"/>
        </w:rPr>
        <w:t xml:space="preserve">These links between </w:t>
      </w:r>
      <w:r w:rsidR="2219D458" w:rsidRPr="4920491B">
        <w:rPr>
          <w:rFonts w:ascii="Californian FB" w:hAnsi="Californian FB"/>
        </w:rPr>
        <w:t xml:space="preserve">human rights, </w:t>
      </w:r>
      <w:r w:rsidR="2219D458" w:rsidRPr="3E29E657">
        <w:rPr>
          <w:rFonts w:ascii="Californian FB" w:hAnsi="Californian FB"/>
        </w:rPr>
        <w:t>modernisation</w:t>
      </w:r>
      <w:r w:rsidR="2219D458" w:rsidRPr="55DD32AA">
        <w:rPr>
          <w:rFonts w:ascii="Californian FB" w:hAnsi="Californian FB"/>
        </w:rPr>
        <w:t>, and the court’s</w:t>
      </w:r>
      <w:r w:rsidR="2219D458" w:rsidRPr="16F09EAE">
        <w:rPr>
          <w:rFonts w:ascii="Californian FB" w:hAnsi="Californian FB"/>
        </w:rPr>
        <w:t xml:space="preserve"> role </w:t>
      </w:r>
      <w:r w:rsidR="2219D458" w:rsidRPr="12DD13A0">
        <w:rPr>
          <w:rFonts w:ascii="Californian FB" w:hAnsi="Californian FB"/>
        </w:rPr>
        <w:t>suggest that the Supreme Court</w:t>
      </w:r>
      <w:r w:rsidR="05DFBDF3" w:rsidRPr="4459B43A">
        <w:rPr>
          <w:rFonts w:ascii="Californian FB" w:hAnsi="Californian FB"/>
        </w:rPr>
        <w:t xml:space="preserve">, within its (self-imposed?) limits, has been </w:t>
      </w:r>
      <w:r w:rsidR="1204911E" w:rsidRPr="4459B43A">
        <w:rPr>
          <w:rFonts w:ascii="Californian FB" w:hAnsi="Californian FB"/>
        </w:rPr>
        <w:t xml:space="preserve">allowing itself to pursue a social agenda, even if, as in </w:t>
      </w:r>
      <w:r w:rsidR="1204911E" w:rsidRPr="4459B43A">
        <w:rPr>
          <w:rFonts w:ascii="Californian FB" w:hAnsi="Californian FB"/>
          <w:i/>
          <w:iCs/>
        </w:rPr>
        <w:t>Carmichael</w:t>
      </w:r>
      <w:r w:rsidR="1204911E" w:rsidRPr="4459B43A">
        <w:rPr>
          <w:rFonts w:ascii="Californian FB" w:hAnsi="Californian FB"/>
        </w:rPr>
        <w:t>, it is not in</w:t>
      </w:r>
      <w:r w:rsidR="001E2B5D">
        <w:rPr>
          <w:rFonts w:ascii="Californian FB" w:hAnsi="Californian FB"/>
        </w:rPr>
        <w:t xml:space="preserve"> internal</w:t>
      </w:r>
      <w:r w:rsidR="1204911E" w:rsidRPr="4459B43A">
        <w:rPr>
          <w:rFonts w:ascii="Californian FB" w:hAnsi="Californian FB"/>
        </w:rPr>
        <w:t xml:space="preserve"> agre</w:t>
      </w:r>
      <w:r w:rsidR="0B63E968" w:rsidRPr="4459B43A">
        <w:rPr>
          <w:rFonts w:ascii="Californian FB" w:hAnsi="Californian FB"/>
        </w:rPr>
        <w:t xml:space="preserve">ement </w:t>
      </w:r>
      <w:r w:rsidR="001E2B5D">
        <w:rPr>
          <w:rFonts w:ascii="Californian FB" w:hAnsi="Californian FB"/>
        </w:rPr>
        <w:t>about</w:t>
      </w:r>
      <w:r w:rsidR="0B63E968" w:rsidRPr="4459B43A">
        <w:rPr>
          <w:rFonts w:ascii="Californian FB" w:hAnsi="Californian FB"/>
        </w:rPr>
        <w:t xml:space="preserve"> what that agenda should be.</w:t>
      </w:r>
    </w:p>
    <w:p w14:paraId="191290A2" w14:textId="4327920F" w:rsidR="00CA1A40" w:rsidRDefault="00CA1A40" w:rsidP="66EAE848">
      <w:pPr>
        <w:jc w:val="both"/>
        <w:rPr>
          <w:rFonts w:ascii="Californian FB" w:hAnsi="Californian FB"/>
        </w:rPr>
      </w:pPr>
      <w:r w:rsidRPr="66EAE848">
        <w:rPr>
          <w:rFonts w:ascii="Californian FB" w:hAnsi="Californian FB"/>
        </w:rPr>
        <w:t xml:space="preserve">Our research shows that this </w:t>
      </w:r>
      <w:r w:rsidRPr="66EAE848">
        <w:rPr>
          <w:rFonts w:ascii="Californian FB" w:hAnsi="Californian FB"/>
          <w:i/>
          <w:iCs/>
        </w:rPr>
        <w:t>genera</w:t>
      </w:r>
      <w:r w:rsidR="1CF19371" w:rsidRPr="66EAE848">
        <w:rPr>
          <w:rFonts w:ascii="Californian FB" w:hAnsi="Californian FB"/>
          <w:i/>
          <w:iCs/>
        </w:rPr>
        <w:t>l</w:t>
      </w:r>
      <w:r w:rsidR="1CF19371" w:rsidRPr="66EAE848">
        <w:rPr>
          <w:rFonts w:ascii="Californian FB" w:hAnsi="Californian FB"/>
        </w:rPr>
        <w:t xml:space="preserve"> reluctance to ‘rock the boat’ and enact excessive change is </w:t>
      </w:r>
      <w:r w:rsidR="30C0FB27" w:rsidRPr="66EAE848">
        <w:rPr>
          <w:rFonts w:ascii="Californian FB" w:hAnsi="Californian FB"/>
        </w:rPr>
        <w:t>consistent over the years</w:t>
      </w:r>
      <w:r w:rsidRPr="66EAE848">
        <w:rPr>
          <w:rFonts w:ascii="Californian FB" w:hAnsi="Californian FB"/>
        </w:rPr>
        <w:t>.</w:t>
      </w:r>
      <w:r w:rsidR="73BFA5D1" w:rsidRPr="66EAE848">
        <w:rPr>
          <w:rFonts w:ascii="Californian FB" w:hAnsi="Californian FB"/>
        </w:rPr>
        <w:t xml:space="preserve"> One cannot ignore the </w:t>
      </w:r>
      <w:r w:rsidR="3C7E4EE5" w:rsidRPr="66EAE848">
        <w:rPr>
          <w:rFonts w:ascii="Californian FB" w:hAnsi="Californian FB"/>
        </w:rPr>
        <w:t xml:space="preserve">economic difficulties that have </w:t>
      </w:r>
      <w:r w:rsidR="322B8CF9" w:rsidRPr="66EAE848">
        <w:rPr>
          <w:rFonts w:ascii="Californian FB" w:hAnsi="Californian FB"/>
        </w:rPr>
        <w:t xml:space="preserve">overshadowed </w:t>
      </w:r>
      <w:r w:rsidR="3C7E4EE5" w:rsidRPr="66EAE848">
        <w:rPr>
          <w:rFonts w:ascii="Californian FB" w:hAnsi="Californian FB"/>
        </w:rPr>
        <w:t>these 15 years</w:t>
      </w:r>
      <w:r w:rsidR="73BFA5D1" w:rsidRPr="66EAE848">
        <w:rPr>
          <w:rFonts w:ascii="Californian FB" w:hAnsi="Californian FB"/>
        </w:rPr>
        <w:t xml:space="preserve">: the </w:t>
      </w:r>
      <w:r w:rsidR="4C039D4D" w:rsidRPr="66EAE848">
        <w:rPr>
          <w:rFonts w:ascii="Californian FB" w:hAnsi="Californian FB"/>
        </w:rPr>
        <w:t xml:space="preserve">very </w:t>
      </w:r>
      <w:r w:rsidR="73BFA5D1" w:rsidRPr="66EAE848">
        <w:rPr>
          <w:rFonts w:ascii="Californian FB" w:hAnsi="Californian FB"/>
        </w:rPr>
        <w:t xml:space="preserve">first line in the Court’s first decided case </w:t>
      </w:r>
      <w:r w:rsidR="5A7D33B1" w:rsidRPr="66EAE848">
        <w:rPr>
          <w:rFonts w:ascii="Californian FB" w:hAnsi="Californian FB"/>
        </w:rPr>
        <w:t>even r</w:t>
      </w:r>
      <w:r w:rsidR="73BFA5D1" w:rsidRPr="66EAE848">
        <w:rPr>
          <w:rFonts w:ascii="Californian FB" w:hAnsi="Californian FB"/>
        </w:rPr>
        <w:t>efers to ‘victims of the current financial crisis.’</w:t>
      </w:r>
      <w:r w:rsidRPr="66EAE848">
        <w:rPr>
          <w:rStyle w:val="FootnoteReference"/>
          <w:rFonts w:ascii="Californian FB" w:hAnsi="Californian FB"/>
        </w:rPr>
        <w:footnoteReference w:id="150"/>
      </w:r>
      <w:r w:rsidR="73BFA5D1" w:rsidRPr="66EAE848">
        <w:rPr>
          <w:rFonts w:ascii="Californian FB" w:hAnsi="Californian FB"/>
        </w:rPr>
        <w:t xml:space="preserve"> </w:t>
      </w:r>
      <w:r w:rsidR="3491E71B" w:rsidRPr="66EAE848">
        <w:rPr>
          <w:rFonts w:ascii="Californian FB" w:hAnsi="Californian FB"/>
        </w:rPr>
        <w:t>L</w:t>
      </w:r>
      <w:r w:rsidRPr="66EAE848">
        <w:rPr>
          <w:rFonts w:ascii="Californian FB" w:hAnsi="Californian FB"/>
        </w:rPr>
        <w:t>enders</w:t>
      </w:r>
      <w:r w:rsidR="75BF5F09" w:rsidRPr="66EAE848">
        <w:rPr>
          <w:rFonts w:ascii="Californian FB" w:hAnsi="Californian FB"/>
        </w:rPr>
        <w:t xml:space="preserve"> have often been favoured in disputes</w:t>
      </w:r>
      <w:r w:rsidRPr="66EAE848">
        <w:rPr>
          <w:rFonts w:ascii="Californian FB" w:hAnsi="Californian FB"/>
        </w:rPr>
        <w:t xml:space="preserve">, to the extent that we highlighted this as a </w:t>
      </w:r>
      <w:proofErr w:type="gramStart"/>
      <w:r w:rsidRPr="66EAE848">
        <w:rPr>
          <w:rFonts w:ascii="Californian FB" w:hAnsi="Californian FB"/>
        </w:rPr>
        <w:t>theme in itself</w:t>
      </w:r>
      <w:proofErr w:type="gramEnd"/>
      <w:r w:rsidR="11F66ED3" w:rsidRPr="66EAE848">
        <w:rPr>
          <w:rFonts w:ascii="Californian FB" w:hAnsi="Californian FB"/>
        </w:rPr>
        <w:t>. A</w:t>
      </w:r>
      <w:r w:rsidRPr="66EAE848">
        <w:rPr>
          <w:rFonts w:ascii="Californian FB" w:hAnsi="Californian FB"/>
        </w:rPr>
        <w:t xml:space="preserve"> similar preference</w:t>
      </w:r>
      <w:r w:rsidR="36FF9DD4" w:rsidRPr="66EAE848">
        <w:rPr>
          <w:rFonts w:ascii="Californian FB" w:hAnsi="Californian FB"/>
        </w:rPr>
        <w:t xml:space="preserve"> </w:t>
      </w:r>
      <w:r w:rsidR="00B078BC">
        <w:rPr>
          <w:rFonts w:ascii="Californian FB" w:hAnsi="Californian FB"/>
        </w:rPr>
        <w:t>exists</w:t>
      </w:r>
      <w:r w:rsidR="36FF9DD4" w:rsidRPr="66EAE848">
        <w:rPr>
          <w:rFonts w:ascii="Californian FB" w:hAnsi="Californian FB"/>
        </w:rPr>
        <w:t xml:space="preserve"> </w:t>
      </w:r>
      <w:r w:rsidR="00B078BC">
        <w:rPr>
          <w:rFonts w:ascii="Californian FB" w:hAnsi="Californian FB"/>
        </w:rPr>
        <w:t>for</w:t>
      </w:r>
      <w:r w:rsidR="36FF9DD4" w:rsidRPr="66EAE848">
        <w:rPr>
          <w:rFonts w:ascii="Californian FB" w:hAnsi="Californian FB"/>
        </w:rPr>
        <w:t xml:space="preserve"> landlords</w:t>
      </w:r>
      <w:r w:rsidR="506C0BDB" w:rsidRPr="66EAE848">
        <w:rPr>
          <w:rFonts w:ascii="Californian FB" w:hAnsi="Californian FB"/>
        </w:rPr>
        <w:t>, which</w:t>
      </w:r>
      <w:r w:rsidR="00B078BC">
        <w:rPr>
          <w:rFonts w:ascii="Californian FB" w:hAnsi="Californian FB"/>
        </w:rPr>
        <w:t xml:space="preserve"> comes</w:t>
      </w:r>
      <w:r w:rsidR="506C0BDB" w:rsidRPr="66EAE848">
        <w:rPr>
          <w:rFonts w:ascii="Californian FB" w:hAnsi="Californian FB"/>
        </w:rPr>
        <w:t xml:space="preserve"> </w:t>
      </w:r>
      <w:r w:rsidR="36FF9DD4" w:rsidRPr="66EAE848">
        <w:rPr>
          <w:rFonts w:ascii="Californian FB" w:hAnsi="Californian FB"/>
        </w:rPr>
        <w:t xml:space="preserve">through most strongly </w:t>
      </w:r>
      <w:r w:rsidR="00B078BC">
        <w:rPr>
          <w:rFonts w:ascii="Californian FB" w:hAnsi="Californian FB"/>
        </w:rPr>
        <w:t>in</w:t>
      </w:r>
      <w:r w:rsidR="36FF9DD4" w:rsidRPr="66EAE848">
        <w:rPr>
          <w:rFonts w:ascii="Californian FB" w:hAnsi="Californian FB"/>
        </w:rPr>
        <w:t xml:space="preserve"> cases where the Court </w:t>
      </w:r>
      <w:r w:rsidR="1583C03C" w:rsidRPr="66EAE848">
        <w:rPr>
          <w:rFonts w:ascii="Californian FB" w:hAnsi="Californian FB"/>
        </w:rPr>
        <w:t>appeared reluctant to overrule</w:t>
      </w:r>
      <w:r w:rsidR="36FF9DD4" w:rsidRPr="66EAE848">
        <w:rPr>
          <w:rFonts w:ascii="Californian FB" w:hAnsi="Californian FB"/>
        </w:rPr>
        <w:t xml:space="preserve"> previous decisions because of the impact </w:t>
      </w:r>
      <w:r w:rsidR="00B078BC">
        <w:rPr>
          <w:rFonts w:ascii="Californian FB" w:hAnsi="Californian FB"/>
        </w:rPr>
        <w:t>this</w:t>
      </w:r>
      <w:r w:rsidR="36FF9DD4" w:rsidRPr="66EAE848">
        <w:rPr>
          <w:rFonts w:ascii="Californian FB" w:hAnsi="Californian FB"/>
        </w:rPr>
        <w:t xml:space="preserve"> could have on landlords.</w:t>
      </w:r>
      <w:r w:rsidR="5F029AA3" w:rsidRPr="66EAE848">
        <w:rPr>
          <w:rFonts w:ascii="Californian FB" w:hAnsi="Californian FB"/>
        </w:rPr>
        <w:t xml:space="preserve"> </w:t>
      </w:r>
      <w:r w:rsidR="7E6FAA83" w:rsidRPr="66EAE848">
        <w:rPr>
          <w:rFonts w:ascii="Californian FB" w:hAnsi="Californian FB"/>
        </w:rPr>
        <w:t>This idea is supported even further by the emphasis on decisions aligning with ‘business sense’</w:t>
      </w:r>
      <w:r w:rsidR="00E66CEE">
        <w:rPr>
          <w:rFonts w:ascii="Californian FB" w:hAnsi="Californian FB"/>
        </w:rPr>
        <w:t>,</w:t>
      </w:r>
      <w:r w:rsidR="7E6FAA83" w:rsidRPr="66EAE848">
        <w:rPr>
          <w:rFonts w:ascii="Californian FB" w:hAnsi="Californian FB"/>
        </w:rPr>
        <w:t xml:space="preserve"> which came</w:t>
      </w:r>
      <w:r w:rsidR="00E66CEE">
        <w:rPr>
          <w:rFonts w:ascii="Californian FB" w:hAnsi="Californian FB"/>
        </w:rPr>
        <w:t xml:space="preserve"> through</w:t>
      </w:r>
      <w:r w:rsidR="7E6FAA83" w:rsidRPr="66EAE848">
        <w:rPr>
          <w:rFonts w:ascii="Californian FB" w:hAnsi="Californian FB"/>
        </w:rPr>
        <w:t xml:space="preserve"> across the themes which dealt with the power of the court, public policy and interpretation. The Court has been </w:t>
      </w:r>
      <w:r w:rsidR="1E027AA4" w:rsidRPr="66EAE848">
        <w:rPr>
          <w:rFonts w:ascii="Californian FB" w:hAnsi="Californian FB"/>
        </w:rPr>
        <w:t xml:space="preserve">developing </w:t>
      </w:r>
      <w:r w:rsidR="7E6FAA83" w:rsidRPr="66EAE848">
        <w:rPr>
          <w:rFonts w:ascii="Californian FB" w:hAnsi="Californian FB"/>
        </w:rPr>
        <w:t xml:space="preserve">its role (as it perceives it to be) and </w:t>
      </w:r>
      <w:r w:rsidR="00CF2D81">
        <w:rPr>
          <w:rFonts w:ascii="Californian FB" w:hAnsi="Californian FB"/>
        </w:rPr>
        <w:t xml:space="preserve">using </w:t>
      </w:r>
      <w:r w:rsidR="7E6FAA83" w:rsidRPr="66EAE848">
        <w:rPr>
          <w:rFonts w:ascii="Californian FB" w:hAnsi="Californian FB"/>
        </w:rPr>
        <w:t>its awareness of broader economic and political factors to shape property law</w:t>
      </w:r>
      <w:r w:rsidR="1278D2AC" w:rsidRPr="66EAE848">
        <w:rPr>
          <w:rFonts w:ascii="Californian FB" w:hAnsi="Californian FB"/>
        </w:rPr>
        <w:t>.</w:t>
      </w:r>
      <w:r w:rsidR="318E65D0" w:rsidRPr="66EAE848">
        <w:rPr>
          <w:rFonts w:ascii="Californian FB" w:hAnsi="Californian FB"/>
        </w:rPr>
        <w:t xml:space="preserve"> In</w:t>
      </w:r>
      <w:r w:rsidR="2E712FB0" w:rsidRPr="66EAE848">
        <w:rPr>
          <w:rFonts w:ascii="Californian FB" w:hAnsi="Californian FB"/>
        </w:rPr>
        <w:t xml:space="preserve">deed, </w:t>
      </w:r>
      <w:r w:rsidR="7B465EF3" w:rsidRPr="66EAE848">
        <w:rPr>
          <w:rFonts w:ascii="Californian FB" w:hAnsi="Californian FB"/>
        </w:rPr>
        <w:t xml:space="preserve">we can say that, </w:t>
      </w:r>
      <w:r w:rsidR="2E712FB0" w:rsidRPr="66EAE848">
        <w:rPr>
          <w:rFonts w:ascii="Californian FB" w:hAnsi="Californian FB"/>
        </w:rPr>
        <w:t>in</w:t>
      </w:r>
      <w:r w:rsidR="318E65D0" w:rsidRPr="66EAE848">
        <w:rPr>
          <w:rFonts w:ascii="Californian FB" w:hAnsi="Californian FB"/>
        </w:rPr>
        <w:t xml:space="preserve"> shaping property, the Court has </w:t>
      </w:r>
      <w:r w:rsidR="63EE34EC" w:rsidRPr="66EAE848">
        <w:rPr>
          <w:rFonts w:ascii="Californian FB" w:hAnsi="Californian FB"/>
        </w:rPr>
        <w:t>ended up s</w:t>
      </w:r>
      <w:r w:rsidR="318E65D0" w:rsidRPr="66EAE848">
        <w:rPr>
          <w:rFonts w:ascii="Californian FB" w:hAnsi="Californian FB"/>
        </w:rPr>
        <w:t>hap</w:t>
      </w:r>
      <w:r w:rsidR="16E1949F" w:rsidRPr="66EAE848">
        <w:rPr>
          <w:rFonts w:ascii="Californian FB" w:hAnsi="Californian FB"/>
        </w:rPr>
        <w:t>ing</w:t>
      </w:r>
      <w:r w:rsidR="318E65D0" w:rsidRPr="66EAE848">
        <w:rPr>
          <w:rFonts w:ascii="Californian FB" w:hAnsi="Californian FB"/>
        </w:rPr>
        <w:t xml:space="preserve"> its own role.</w:t>
      </w:r>
    </w:p>
    <w:p w14:paraId="4FCAB9BE" w14:textId="7539D6D9" w:rsidR="00AA4F18" w:rsidRPr="00DC45C7" w:rsidRDefault="00532631" w:rsidP="00DC45C7">
      <w:pPr>
        <w:jc w:val="both"/>
        <w:rPr>
          <w:rFonts w:ascii="Californian FB" w:hAnsi="Californian FB"/>
        </w:rPr>
      </w:pPr>
      <w:r w:rsidRPr="4DFB507A">
        <w:rPr>
          <w:rFonts w:ascii="Californian FB" w:hAnsi="Californian FB"/>
        </w:rPr>
        <w:t xml:space="preserve"> </w:t>
      </w:r>
    </w:p>
    <w:sectPr w:rsidR="00AA4F18" w:rsidRPr="00DC45C7" w:rsidSect="00D80339">
      <w:footnotePr>
        <w:numRestart w:val="eachSec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0044C" w14:textId="77777777" w:rsidR="00F45006" w:rsidRDefault="00F45006" w:rsidP="00DC45C7">
      <w:pPr>
        <w:spacing w:after="0" w:line="240" w:lineRule="auto"/>
      </w:pPr>
      <w:r>
        <w:separator/>
      </w:r>
    </w:p>
  </w:endnote>
  <w:endnote w:type="continuationSeparator" w:id="0">
    <w:p w14:paraId="0D321726" w14:textId="77777777" w:rsidR="00F45006" w:rsidRDefault="00F45006" w:rsidP="00DC45C7">
      <w:pPr>
        <w:spacing w:after="0" w:line="240" w:lineRule="auto"/>
      </w:pPr>
      <w:r>
        <w:continuationSeparator/>
      </w:r>
    </w:p>
  </w:endnote>
  <w:endnote w:type="continuationNotice" w:id="1">
    <w:p w14:paraId="2A221234" w14:textId="77777777" w:rsidR="00F45006" w:rsidRDefault="00F45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altName w:val="Cambria"/>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fornian FB" w:hAnsi="Californian FB"/>
      </w:rPr>
      <w:id w:val="-1606262927"/>
      <w:docPartObj>
        <w:docPartGallery w:val="Page Numbers (Bottom of Page)"/>
        <w:docPartUnique/>
      </w:docPartObj>
    </w:sdtPr>
    <w:sdtEndPr>
      <w:rPr>
        <w:noProof/>
      </w:rPr>
    </w:sdtEndPr>
    <w:sdtContent>
      <w:p w14:paraId="45ABBE40" w14:textId="77777777" w:rsidR="00636EF4" w:rsidRPr="009D7755" w:rsidRDefault="00636EF4">
        <w:pPr>
          <w:pStyle w:val="Footer"/>
          <w:jc w:val="center"/>
          <w:rPr>
            <w:rFonts w:ascii="Californian FB" w:hAnsi="Californian FB"/>
          </w:rPr>
        </w:pPr>
        <w:r w:rsidRPr="009D7755">
          <w:rPr>
            <w:rFonts w:ascii="Californian FB" w:hAnsi="Californian FB"/>
          </w:rPr>
          <w:fldChar w:fldCharType="begin"/>
        </w:r>
        <w:r w:rsidRPr="009D7755">
          <w:rPr>
            <w:rFonts w:ascii="Californian FB" w:hAnsi="Californian FB"/>
          </w:rPr>
          <w:instrText xml:space="preserve"> PAGE   \* MERGEFORMAT </w:instrText>
        </w:r>
        <w:r w:rsidRPr="009D7755">
          <w:rPr>
            <w:rFonts w:ascii="Californian FB" w:hAnsi="Californian FB"/>
          </w:rPr>
          <w:fldChar w:fldCharType="separate"/>
        </w:r>
        <w:r w:rsidRPr="009D7755">
          <w:rPr>
            <w:rFonts w:ascii="Californian FB" w:hAnsi="Californian FB"/>
            <w:noProof/>
          </w:rPr>
          <w:t>2</w:t>
        </w:r>
        <w:r w:rsidRPr="009D7755">
          <w:rPr>
            <w:rFonts w:ascii="Californian FB" w:hAnsi="Californian FB"/>
            <w:noProof/>
          </w:rPr>
          <w:fldChar w:fldCharType="end"/>
        </w:r>
      </w:p>
    </w:sdtContent>
  </w:sdt>
  <w:p w14:paraId="68AE6A33" w14:textId="77777777" w:rsidR="00636EF4" w:rsidRPr="009D7755" w:rsidRDefault="00636EF4">
    <w:pPr>
      <w:pStyle w:val="Footer"/>
      <w:rPr>
        <w:rFonts w:ascii="Californian FB" w:hAnsi="Californian F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8E75E" w14:textId="77777777" w:rsidR="00F45006" w:rsidRDefault="00F45006" w:rsidP="00DC45C7">
      <w:pPr>
        <w:spacing w:after="0" w:line="240" w:lineRule="auto"/>
      </w:pPr>
      <w:r>
        <w:separator/>
      </w:r>
    </w:p>
  </w:footnote>
  <w:footnote w:type="continuationSeparator" w:id="0">
    <w:p w14:paraId="778C31FA" w14:textId="77777777" w:rsidR="00F45006" w:rsidRDefault="00F45006" w:rsidP="00DC45C7">
      <w:pPr>
        <w:spacing w:after="0" w:line="240" w:lineRule="auto"/>
      </w:pPr>
      <w:r>
        <w:continuationSeparator/>
      </w:r>
    </w:p>
  </w:footnote>
  <w:footnote w:type="continuationNotice" w:id="1">
    <w:p w14:paraId="643B83B8" w14:textId="77777777" w:rsidR="00F45006" w:rsidRDefault="00F45006">
      <w:pPr>
        <w:spacing w:after="0" w:line="240" w:lineRule="auto"/>
      </w:pPr>
    </w:p>
  </w:footnote>
  <w:footnote w:id="2">
    <w:p w14:paraId="4CA67CAA" w14:textId="360DE878" w:rsidR="00D80339" w:rsidRPr="00191567" w:rsidRDefault="00D80339" w:rsidP="00D80339">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Both authors are Lecturers at the Dickson Poon School of Law at King’s College London. Correspondence emails: </w:t>
      </w:r>
      <w:hyperlink r:id="rId1" w:history="1">
        <w:r w:rsidRPr="00191567">
          <w:rPr>
            <w:rStyle w:val="Hyperlink"/>
            <w:rFonts w:ascii="Californian FB" w:hAnsi="Californian FB"/>
          </w:rPr>
          <w:t>catherine.de_contreras@kcl.ac.uk</w:t>
        </w:r>
      </w:hyperlink>
      <w:r w:rsidRPr="00191567">
        <w:rPr>
          <w:rFonts w:ascii="Californian FB" w:hAnsi="Californian FB"/>
        </w:rPr>
        <w:t xml:space="preserve">; </w:t>
      </w:r>
      <w:hyperlink r:id="rId2" w:history="1">
        <w:r w:rsidRPr="00191567">
          <w:rPr>
            <w:rStyle w:val="Hyperlink"/>
            <w:rFonts w:ascii="Californian FB" w:hAnsi="Californian FB"/>
          </w:rPr>
          <w:t>vicki.evans@kcl.ac.uk</w:t>
        </w:r>
      </w:hyperlink>
      <w:r w:rsidRPr="00191567">
        <w:rPr>
          <w:rFonts w:ascii="Californian FB" w:hAnsi="Californian FB"/>
        </w:rPr>
        <w:t>. The authors are very grateful to their colleagues at KCL who gave feedback on early iterations of this project at the Staff Seminar Series and the King’s Private Law Forum. We would also like to thank the organisers and attendees at Modern Studies in Property Law at Cambridge and the Association of Law</w:t>
      </w:r>
      <w:r w:rsidR="00272AA8">
        <w:rPr>
          <w:rFonts w:ascii="Californian FB" w:hAnsi="Californian FB"/>
        </w:rPr>
        <w:t>,</w:t>
      </w:r>
      <w:r w:rsidRPr="00191567">
        <w:rPr>
          <w:rFonts w:ascii="Californian FB" w:hAnsi="Californian FB"/>
        </w:rPr>
        <w:t xml:space="preserve"> Property and Society Conference at Pepperdine University for the opportunity to present this paper and for their helpful comments on earlier drafts. We would like to thank our research assistant, Lee Curran, who was a vital part of this research: thanks also to the KURF scheme (King’s Undergraduate Research Fund) and the Dickson Poon School of Law for the funding to hire Lee. Without this (and him), the research would not have been possible.  </w:t>
      </w:r>
    </w:p>
  </w:footnote>
  <w:footnote w:id="3">
    <w:p w14:paraId="58E9998E" w14:textId="77777777" w:rsidR="00E14E14" w:rsidRPr="00191567" w:rsidRDefault="00E14E14" w:rsidP="00E14E1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Hereafter referred to as the Supreme Court or the Court.</w:t>
      </w:r>
    </w:p>
  </w:footnote>
  <w:footnote w:id="4">
    <w:p w14:paraId="14B4B108" w14:textId="77777777" w:rsidR="00E14E14" w:rsidRPr="00191567" w:rsidRDefault="00E14E14" w:rsidP="00E14E1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‘Significance of the Supreme Court’ &lt;https://www.supremecourt.uk/about/significance-to-the-uk.html&gt; accessed 1st July 2024. </w:t>
      </w:r>
    </w:p>
  </w:footnote>
  <w:footnote w:id="5">
    <w:p w14:paraId="4D9B7F0A" w14:textId="2183FD32" w:rsidR="00093FFD" w:rsidRPr="00191567" w:rsidRDefault="00093FFD" w:rsidP="00093FF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This included those that focused purely </w:t>
      </w:r>
      <w:r w:rsidR="00F55203">
        <w:rPr>
          <w:rFonts w:ascii="Californian FB" w:hAnsi="Californian FB"/>
        </w:rPr>
        <w:t>(or primarily)</w:t>
      </w:r>
      <w:r w:rsidRPr="00191567">
        <w:rPr>
          <w:rFonts w:ascii="Californian FB" w:hAnsi="Californian FB"/>
        </w:rPr>
        <w:t xml:space="preserve"> on intellectual property rights, criminal law </w:t>
      </w:r>
      <w:r w:rsidR="00F55203">
        <w:rPr>
          <w:rFonts w:ascii="Californian FB" w:hAnsi="Californian FB"/>
        </w:rPr>
        <w:t>and the</w:t>
      </w:r>
      <w:r w:rsidRPr="00191567">
        <w:rPr>
          <w:rFonts w:ascii="Californian FB" w:hAnsi="Californian FB"/>
        </w:rPr>
        <w:t xml:space="preserve"> Proceeds of Crime legislation, </w:t>
      </w:r>
      <w:r w:rsidR="00F55203">
        <w:rPr>
          <w:rFonts w:ascii="Californian FB" w:hAnsi="Californian FB"/>
        </w:rPr>
        <w:t>or</w:t>
      </w:r>
      <w:r w:rsidRPr="00191567">
        <w:rPr>
          <w:rFonts w:ascii="Californian FB" w:hAnsi="Californian FB"/>
        </w:rPr>
        <w:t xml:space="preserve"> cases which could be considered part of family law, tax decisions, etc. </w:t>
      </w:r>
    </w:p>
  </w:footnote>
  <w:footnote w:id="6">
    <w:p w14:paraId="61658610" w14:textId="2CD29818" w:rsidR="00093FFD" w:rsidRPr="00191567" w:rsidRDefault="00093FFD" w:rsidP="00093FF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We kept cases related to land law (e.g. proprietary estoppel, leases, covenants, easements, co-ownership etc.), other property law cases (e.g. those relating to chattels, anything relating to the property torts e.g. trespass (to land and goods) and private nuisance), and equity and trusts cases (e.g. those relating to wills, trusts, and insolvency). This is what we consider the ‘core’ of ‘property’. Judgment calls were made in this process. </w:t>
      </w:r>
    </w:p>
  </w:footnote>
  <w:footnote w:id="7">
    <w:p w14:paraId="19E48EE3" w14:textId="77777777" w:rsidR="00093FFD" w:rsidRPr="00191567" w:rsidRDefault="00093FFD" w:rsidP="00093FF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Virginia Braun and Victoria Clarke, ‘Using Thematic Analysis in Psychology’ (2006) 3 </w:t>
      </w:r>
      <w:r w:rsidRPr="00CD3AB0">
        <w:rPr>
          <w:rFonts w:ascii="Californian FB" w:hAnsi="Californian FB"/>
          <w:i/>
          <w:iCs/>
        </w:rPr>
        <w:t>Qualitative Research in Psychology</w:t>
      </w:r>
      <w:r w:rsidRPr="00191567">
        <w:rPr>
          <w:rFonts w:ascii="Californian FB" w:hAnsi="Californian FB"/>
        </w:rPr>
        <w:t xml:space="preserve"> 77, 79. Inspiration of how this can work as a method within property law was gained through consideration of Emily Walsh, ‘Security of Tenure in the Private Rented Sector in England: Balancing the Competing Property Rights of Landlords and Tenants’ in Ben McFarlane and Sinead Agnew (eds) </w:t>
      </w:r>
      <w:r w:rsidRPr="00191567">
        <w:rPr>
          <w:rFonts w:ascii="Californian FB" w:hAnsi="Californian FB"/>
          <w:i/>
          <w:iCs/>
        </w:rPr>
        <w:t>Modern Studies in Property Law</w:t>
      </w:r>
      <w:r w:rsidRPr="00191567">
        <w:rPr>
          <w:rFonts w:ascii="Californian FB" w:hAnsi="Californian FB"/>
        </w:rPr>
        <w:t xml:space="preserve"> (Volume 10, Hart 2019).</w:t>
      </w:r>
    </w:p>
  </w:footnote>
  <w:footnote w:id="8">
    <w:p w14:paraId="704A4BEA" w14:textId="77777777" w:rsidR="00093FFD" w:rsidRPr="00191567" w:rsidRDefault="00093FFD" w:rsidP="00093FF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ibid 83.</w:t>
      </w:r>
    </w:p>
  </w:footnote>
  <w:footnote w:id="9">
    <w:p w14:paraId="6D4F4BB6" w14:textId="701C326E" w:rsidR="00093FFD" w:rsidRPr="00191567" w:rsidRDefault="00093FFD" w:rsidP="00093FF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ibid 79 for the process adopted. This process </w:t>
      </w:r>
      <w:r w:rsidR="00475804">
        <w:rPr>
          <w:rFonts w:ascii="Californian FB" w:hAnsi="Californian FB"/>
        </w:rPr>
        <w:t xml:space="preserve">was </w:t>
      </w:r>
      <w:r w:rsidRPr="00191567">
        <w:rPr>
          <w:rFonts w:ascii="Californian FB" w:hAnsi="Californian FB"/>
        </w:rPr>
        <w:t xml:space="preserve">used by Walsh (n </w:t>
      </w:r>
      <w:r w:rsidR="00A05DB0" w:rsidRPr="00C62318">
        <w:rPr>
          <w:rFonts w:ascii="Californian FB" w:hAnsi="Californian FB"/>
        </w:rPr>
        <w:fldChar w:fldCharType="begin"/>
      </w:r>
      <w:r w:rsidR="00A05DB0" w:rsidRPr="00C62318">
        <w:rPr>
          <w:rFonts w:ascii="Californian FB" w:hAnsi="Californian FB"/>
        </w:rPr>
        <w:instrText xml:space="preserve"> NOTEREF _Ref174695990 \h </w:instrText>
      </w:r>
      <w:r w:rsidR="00C62318">
        <w:rPr>
          <w:rFonts w:ascii="Californian FB" w:hAnsi="Californian FB"/>
        </w:rPr>
        <w:instrText xml:space="preserve"> \* MERGEFORMAT </w:instrText>
      </w:r>
      <w:r w:rsidR="00A05DB0" w:rsidRPr="00C62318">
        <w:rPr>
          <w:rFonts w:ascii="Californian FB" w:hAnsi="Californian FB"/>
        </w:rPr>
      </w:r>
      <w:r w:rsidR="00A05DB0" w:rsidRPr="00C62318">
        <w:rPr>
          <w:rFonts w:ascii="Californian FB" w:hAnsi="Californian FB"/>
        </w:rPr>
        <w:fldChar w:fldCharType="separate"/>
      </w:r>
      <w:r w:rsidR="00F07C1B">
        <w:rPr>
          <w:rFonts w:ascii="Californian FB" w:hAnsi="Californian FB"/>
        </w:rPr>
        <w:t>5</w:t>
      </w:r>
      <w:r w:rsidR="00A05DB0" w:rsidRPr="00C62318">
        <w:rPr>
          <w:rFonts w:ascii="Californian FB" w:hAnsi="Californian FB"/>
        </w:rPr>
        <w:fldChar w:fldCharType="end"/>
      </w:r>
      <w:r w:rsidRPr="00920640">
        <w:rPr>
          <w:rFonts w:ascii="Californian FB" w:hAnsi="Californian FB"/>
        </w:rPr>
        <w:t xml:space="preserve">). </w:t>
      </w:r>
    </w:p>
  </w:footnote>
  <w:footnote w:id="10">
    <w:p w14:paraId="16188120" w14:textId="6D419566" w:rsidR="00093FFD" w:rsidRPr="00191567" w:rsidRDefault="00093FFD" w:rsidP="00093FF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As opposed to using a qualitative data analysis software package </w:t>
      </w:r>
      <w:r w:rsidR="00061FBC">
        <w:rPr>
          <w:rFonts w:ascii="Californian FB" w:hAnsi="Californian FB"/>
        </w:rPr>
        <w:t>(</w:t>
      </w:r>
      <w:r w:rsidRPr="00191567">
        <w:rPr>
          <w:rFonts w:ascii="Californian FB" w:hAnsi="Californian FB"/>
        </w:rPr>
        <w:t>NVivo</w:t>
      </w:r>
      <w:r w:rsidR="00061FBC">
        <w:rPr>
          <w:rFonts w:ascii="Californian FB" w:hAnsi="Californian FB"/>
        </w:rPr>
        <w:t>)</w:t>
      </w:r>
      <w:r w:rsidRPr="00191567">
        <w:rPr>
          <w:rFonts w:ascii="Californian FB" w:hAnsi="Californian FB"/>
        </w:rPr>
        <w:t>.</w:t>
      </w:r>
    </w:p>
  </w:footnote>
  <w:footnote w:id="11">
    <w:p w14:paraId="451E73C7" w14:textId="1005C4C7" w:rsidR="00093FFD" w:rsidRPr="00191567" w:rsidRDefault="00093FFD" w:rsidP="00093FFD">
      <w:pPr>
        <w:pStyle w:val="FootnoteText"/>
        <w:rPr>
          <w:rFonts w:ascii="Californian FB" w:hAnsi="Californian FB"/>
        </w:rPr>
      </w:pPr>
      <w:r w:rsidRPr="00191567">
        <w:rPr>
          <w:rStyle w:val="FootnoteReference"/>
          <w:rFonts w:ascii="Californian FB" w:hAnsi="Californian FB"/>
        </w:rPr>
        <w:footnoteRef/>
      </w:r>
      <w:r w:rsidRPr="00C62318">
        <w:rPr>
          <w:rFonts w:ascii="Californian FB" w:hAnsi="Californian FB"/>
        </w:rPr>
        <w:t xml:space="preserve"> Braun and Clarke (n</w:t>
      </w:r>
      <w:r w:rsidR="00A05DB0" w:rsidRPr="00C62318">
        <w:rPr>
          <w:rFonts w:ascii="Californian FB" w:hAnsi="Californian FB"/>
        </w:rPr>
        <w:t xml:space="preserve"> </w:t>
      </w:r>
      <w:r w:rsidR="00A05DB0" w:rsidRPr="00C62318">
        <w:rPr>
          <w:rFonts w:ascii="Californian FB" w:hAnsi="Californian FB"/>
        </w:rPr>
        <w:fldChar w:fldCharType="begin"/>
      </w:r>
      <w:r w:rsidR="00A05DB0" w:rsidRPr="00C62318">
        <w:rPr>
          <w:rFonts w:ascii="Californian FB" w:hAnsi="Californian FB"/>
        </w:rPr>
        <w:instrText xml:space="preserve"> NOTEREF _Ref174695990 \h </w:instrText>
      </w:r>
      <w:r w:rsidR="00C62318">
        <w:rPr>
          <w:rFonts w:ascii="Californian FB" w:hAnsi="Californian FB"/>
        </w:rPr>
        <w:instrText xml:space="preserve"> \* MERGEFORMAT </w:instrText>
      </w:r>
      <w:r w:rsidR="00A05DB0" w:rsidRPr="00C62318">
        <w:rPr>
          <w:rFonts w:ascii="Californian FB" w:hAnsi="Californian FB"/>
        </w:rPr>
      </w:r>
      <w:r w:rsidR="00A05DB0" w:rsidRPr="00C62318">
        <w:rPr>
          <w:rFonts w:ascii="Californian FB" w:hAnsi="Californian FB"/>
        </w:rPr>
        <w:fldChar w:fldCharType="separate"/>
      </w:r>
      <w:r w:rsidR="00F07C1B">
        <w:rPr>
          <w:rFonts w:ascii="Californian FB" w:hAnsi="Californian FB"/>
        </w:rPr>
        <w:t>5</w:t>
      </w:r>
      <w:r w:rsidR="00A05DB0" w:rsidRPr="00C62318">
        <w:rPr>
          <w:rFonts w:ascii="Californian FB" w:hAnsi="Californian FB"/>
        </w:rPr>
        <w:fldChar w:fldCharType="end"/>
      </w:r>
      <w:r w:rsidRPr="00C62318">
        <w:rPr>
          <w:rFonts w:ascii="Californian FB" w:hAnsi="Californian FB"/>
        </w:rPr>
        <w:t>) 82.</w:t>
      </w:r>
    </w:p>
  </w:footnote>
  <w:footnote w:id="12">
    <w:p w14:paraId="05AE7E29" w14:textId="41FB5686" w:rsidR="00762CCF" w:rsidRPr="00191567" w:rsidRDefault="00762CCF">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BE666A" w:rsidRPr="00191567">
        <w:rPr>
          <w:rFonts w:ascii="Californian FB" w:hAnsi="Californian FB"/>
        </w:rPr>
        <w:t>[2011] UKSC 53.</w:t>
      </w:r>
    </w:p>
  </w:footnote>
  <w:footnote w:id="13">
    <w:p w14:paraId="267AB0F4" w14:textId="5EF18E36" w:rsidR="00071B6E" w:rsidRPr="00191567" w:rsidRDefault="00071B6E">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EF1466" w:rsidRPr="00191567">
        <w:rPr>
          <w:rFonts w:ascii="Californian FB" w:hAnsi="Californian FB"/>
        </w:rPr>
        <w:t>[2007] 2 AC 432</w:t>
      </w:r>
      <w:r w:rsidR="00B92FB5" w:rsidRPr="00191567">
        <w:rPr>
          <w:rFonts w:ascii="Californian FB" w:hAnsi="Californian FB"/>
        </w:rPr>
        <w:t>.</w:t>
      </w:r>
    </w:p>
  </w:footnote>
  <w:footnote w:id="14">
    <w:p w14:paraId="24B44C4E" w14:textId="52AD7AEB" w:rsidR="00F4044A" w:rsidRPr="00191567" w:rsidRDefault="00F4044A">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5865BD" w:rsidRPr="00191567">
        <w:rPr>
          <w:rFonts w:ascii="Californian FB" w:hAnsi="Californian FB"/>
        </w:rPr>
        <w:t xml:space="preserve">ibid </w:t>
      </w:r>
      <w:r w:rsidRPr="00191567">
        <w:rPr>
          <w:rFonts w:ascii="Californian FB" w:hAnsi="Californian FB"/>
        </w:rPr>
        <w:t>[69]</w:t>
      </w:r>
      <w:r w:rsidR="003C07A9">
        <w:rPr>
          <w:rFonts w:ascii="Californian FB" w:hAnsi="Californian FB"/>
        </w:rPr>
        <w:t>.</w:t>
      </w:r>
    </w:p>
  </w:footnote>
  <w:footnote w:id="15">
    <w:p w14:paraId="6467BFFC" w14:textId="0A36F50A"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For instance, see B</w:t>
      </w:r>
      <w:r w:rsidR="00A8474F" w:rsidRPr="00191567">
        <w:rPr>
          <w:rFonts w:ascii="Californian FB" w:hAnsi="Californian FB"/>
        </w:rPr>
        <w:t>rian</w:t>
      </w:r>
      <w:r w:rsidRPr="00191567">
        <w:rPr>
          <w:rFonts w:ascii="Californian FB" w:hAnsi="Californian FB"/>
        </w:rPr>
        <w:t xml:space="preserve"> Sloan</w:t>
      </w:r>
      <w:r w:rsidR="006F318E" w:rsidRPr="00191567">
        <w:rPr>
          <w:rFonts w:ascii="Californian FB" w:hAnsi="Californian FB"/>
        </w:rPr>
        <w:t>, ‘Keeping up with the Jones Case: Establishing Constructive Trusts in ‘Sole Legal Owner’ Scenarios’ (</w:t>
      </w:r>
      <w:r w:rsidRPr="00191567">
        <w:rPr>
          <w:rFonts w:ascii="Californian FB" w:hAnsi="Californian FB"/>
        </w:rPr>
        <w:t>2015</w:t>
      </w:r>
      <w:r w:rsidR="006F318E" w:rsidRPr="00191567">
        <w:rPr>
          <w:rFonts w:ascii="Californian FB" w:hAnsi="Californian FB"/>
        </w:rPr>
        <w:t>) 35 Legal Studies 226</w:t>
      </w:r>
      <w:r w:rsidRPr="00191567">
        <w:rPr>
          <w:rFonts w:ascii="Californian FB" w:hAnsi="Californian FB"/>
        </w:rPr>
        <w:t xml:space="preserve"> on the extent to which Stack influenced those post-</w:t>
      </w:r>
      <w:r w:rsidRPr="00191567">
        <w:rPr>
          <w:rFonts w:ascii="Californian FB" w:hAnsi="Californian FB"/>
          <w:i/>
          <w:iCs/>
        </w:rPr>
        <w:t>Stack</w:t>
      </w:r>
      <w:r w:rsidRPr="00191567">
        <w:rPr>
          <w:rFonts w:ascii="Californian FB" w:hAnsi="Californian FB"/>
        </w:rPr>
        <w:t xml:space="preserve"> decisions which involved sole-name cases.</w:t>
      </w:r>
    </w:p>
  </w:footnote>
  <w:footnote w:id="16">
    <w:p w14:paraId="7AB770BA" w14:textId="5BEAC6EC" w:rsidR="00C524C4" w:rsidRPr="00191567" w:rsidRDefault="00C524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C41DA2" w:rsidRPr="00191567">
        <w:rPr>
          <w:rFonts w:ascii="Californian FB" w:hAnsi="Californian FB"/>
        </w:rPr>
        <w:t xml:space="preserve">Law Com No 307, </w:t>
      </w:r>
      <w:r w:rsidR="00C41DA2" w:rsidRPr="00191567">
        <w:rPr>
          <w:rFonts w:ascii="Californian FB" w:hAnsi="Californian FB"/>
          <w:i/>
        </w:rPr>
        <w:t>Cohabitation: The Financial Consequences of Relationship Breakdown</w:t>
      </w:r>
      <w:r w:rsidR="00C1151B" w:rsidRPr="00191567">
        <w:rPr>
          <w:rFonts w:ascii="Californian FB" w:hAnsi="Californian FB"/>
        </w:rPr>
        <w:t xml:space="preserve"> (2007).</w:t>
      </w:r>
    </w:p>
  </w:footnote>
  <w:footnote w:id="17">
    <w:p w14:paraId="7B3D0C85" w14:textId="5A5F1A34"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90063D" w:rsidRPr="00191567">
        <w:rPr>
          <w:rFonts w:ascii="Californian FB" w:hAnsi="Californian FB"/>
          <w:i/>
          <w:iCs/>
        </w:rPr>
        <w:t>Jone</w:t>
      </w:r>
      <w:r w:rsidR="006F7E6D" w:rsidRPr="00191567">
        <w:rPr>
          <w:rFonts w:ascii="Californian FB" w:hAnsi="Californian FB"/>
          <w:i/>
          <w:iCs/>
        </w:rPr>
        <w:t>s</w:t>
      </w:r>
      <w:r w:rsidR="0090063D" w:rsidRPr="00191567">
        <w:rPr>
          <w:rFonts w:ascii="Californian FB" w:hAnsi="Californian FB"/>
        </w:rPr>
        <w:t xml:space="preserve"> (n </w:t>
      </w:r>
      <w:r w:rsidR="0090063D" w:rsidRPr="00191567">
        <w:rPr>
          <w:rFonts w:ascii="Californian FB" w:hAnsi="Californian FB"/>
        </w:rPr>
        <w:fldChar w:fldCharType="begin"/>
      </w:r>
      <w:r w:rsidR="0090063D" w:rsidRPr="00191567">
        <w:rPr>
          <w:rFonts w:ascii="Californian FB" w:hAnsi="Californian FB"/>
        </w:rPr>
        <w:instrText xml:space="preserve"> NOTEREF _Ref173152264 \h </w:instrText>
      </w:r>
      <w:r w:rsidR="00A8474F" w:rsidRPr="00191567">
        <w:rPr>
          <w:rFonts w:ascii="Californian FB" w:hAnsi="Californian FB"/>
        </w:rPr>
        <w:instrText xml:space="preserve"> \* MERGEFORMAT </w:instrText>
      </w:r>
      <w:r w:rsidR="0090063D" w:rsidRPr="00191567">
        <w:rPr>
          <w:rFonts w:ascii="Californian FB" w:hAnsi="Californian FB"/>
        </w:rPr>
      </w:r>
      <w:r w:rsidR="0090063D" w:rsidRPr="00191567">
        <w:rPr>
          <w:rFonts w:ascii="Californian FB" w:hAnsi="Californian FB"/>
        </w:rPr>
        <w:fldChar w:fldCharType="separate"/>
      </w:r>
      <w:r w:rsidR="00F07C1B">
        <w:rPr>
          <w:rFonts w:ascii="Californian FB" w:hAnsi="Californian FB"/>
        </w:rPr>
        <w:t>10</w:t>
      </w:r>
      <w:r w:rsidR="0090063D" w:rsidRPr="00191567">
        <w:rPr>
          <w:rFonts w:ascii="Californian FB" w:hAnsi="Californian FB"/>
        </w:rPr>
        <w:fldChar w:fldCharType="end"/>
      </w:r>
      <w:r w:rsidR="0090063D" w:rsidRPr="00191567">
        <w:rPr>
          <w:rFonts w:ascii="Californian FB" w:hAnsi="Californian FB"/>
        </w:rPr>
        <w:t>)</w:t>
      </w:r>
      <w:r w:rsidRPr="00191567">
        <w:rPr>
          <w:rFonts w:ascii="Californian FB" w:hAnsi="Californian FB"/>
        </w:rPr>
        <w:t xml:space="preserve"> </w:t>
      </w:r>
      <w:r w:rsidR="0090063D" w:rsidRPr="00191567">
        <w:rPr>
          <w:rFonts w:ascii="Californian FB" w:hAnsi="Californian FB"/>
        </w:rPr>
        <w:t>[</w:t>
      </w:r>
      <w:r w:rsidRPr="00191567">
        <w:rPr>
          <w:rFonts w:ascii="Californian FB" w:hAnsi="Californian FB"/>
        </w:rPr>
        <w:t>35</w:t>
      </w:r>
      <w:r w:rsidR="0090063D" w:rsidRPr="00191567">
        <w:rPr>
          <w:rFonts w:ascii="Californian FB" w:hAnsi="Californian FB"/>
        </w:rPr>
        <w:t>]</w:t>
      </w:r>
      <w:r w:rsidRPr="00191567">
        <w:rPr>
          <w:rFonts w:ascii="Californian FB" w:hAnsi="Californian FB"/>
        </w:rPr>
        <w:t>.</w:t>
      </w:r>
    </w:p>
  </w:footnote>
  <w:footnote w:id="18">
    <w:p w14:paraId="701652AF" w14:textId="77777777"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citation omitted.</w:t>
      </w:r>
    </w:p>
  </w:footnote>
  <w:footnote w:id="19">
    <w:p w14:paraId="236EF3E5" w14:textId="1641EE8D"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6F7E6D" w:rsidRPr="00191567">
        <w:rPr>
          <w:rFonts w:ascii="Californian FB" w:hAnsi="Californian FB"/>
          <w:i/>
          <w:iCs/>
        </w:rPr>
        <w:t>Jones</w:t>
      </w:r>
      <w:r w:rsidR="006F7E6D" w:rsidRPr="00191567">
        <w:rPr>
          <w:rFonts w:ascii="Californian FB" w:hAnsi="Californian FB"/>
        </w:rPr>
        <w:t xml:space="preserve"> (n </w:t>
      </w:r>
      <w:r w:rsidR="006F7E6D" w:rsidRPr="00191567">
        <w:rPr>
          <w:rFonts w:ascii="Californian FB" w:hAnsi="Californian FB"/>
        </w:rPr>
        <w:fldChar w:fldCharType="begin"/>
      </w:r>
      <w:r w:rsidR="006F7E6D" w:rsidRPr="00191567">
        <w:rPr>
          <w:rFonts w:ascii="Californian FB" w:hAnsi="Californian FB"/>
        </w:rPr>
        <w:instrText xml:space="preserve"> NOTEREF _Ref173152264 \h </w:instrText>
      </w:r>
      <w:r w:rsidR="00A8474F" w:rsidRPr="00191567">
        <w:rPr>
          <w:rFonts w:ascii="Californian FB" w:hAnsi="Californian FB"/>
        </w:rPr>
        <w:instrText xml:space="preserve"> \* MERGEFORMAT </w:instrText>
      </w:r>
      <w:r w:rsidR="006F7E6D" w:rsidRPr="00191567">
        <w:rPr>
          <w:rFonts w:ascii="Californian FB" w:hAnsi="Californian FB"/>
        </w:rPr>
      </w:r>
      <w:r w:rsidR="006F7E6D" w:rsidRPr="00191567">
        <w:rPr>
          <w:rFonts w:ascii="Californian FB" w:hAnsi="Californian FB"/>
        </w:rPr>
        <w:fldChar w:fldCharType="separate"/>
      </w:r>
      <w:r w:rsidR="00F07C1B">
        <w:rPr>
          <w:rFonts w:ascii="Californian FB" w:hAnsi="Californian FB"/>
        </w:rPr>
        <w:t>10</w:t>
      </w:r>
      <w:r w:rsidR="006F7E6D" w:rsidRPr="00191567">
        <w:rPr>
          <w:rFonts w:ascii="Californian FB" w:hAnsi="Californian FB"/>
        </w:rPr>
        <w:fldChar w:fldCharType="end"/>
      </w:r>
      <w:r w:rsidR="006F7E6D" w:rsidRPr="00191567">
        <w:rPr>
          <w:rFonts w:ascii="Californian FB" w:hAnsi="Californian FB"/>
        </w:rPr>
        <w:t>) [</w:t>
      </w:r>
      <w:r w:rsidRPr="00191567">
        <w:rPr>
          <w:rFonts w:ascii="Californian FB" w:hAnsi="Californian FB"/>
        </w:rPr>
        <w:t>36</w:t>
      </w:r>
      <w:r w:rsidR="006F7E6D" w:rsidRPr="00191567">
        <w:rPr>
          <w:rFonts w:ascii="Californian FB" w:hAnsi="Californian FB"/>
        </w:rPr>
        <w:t>]</w:t>
      </w:r>
      <w:r w:rsidRPr="00191567">
        <w:rPr>
          <w:rFonts w:ascii="Californian FB" w:hAnsi="Californian FB"/>
        </w:rPr>
        <w:t>.</w:t>
      </w:r>
    </w:p>
  </w:footnote>
  <w:footnote w:id="20">
    <w:p w14:paraId="4CE49B0E" w14:textId="73E99670" w:rsidR="0090063D" w:rsidRPr="00191567" w:rsidRDefault="0090063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A8474F" w:rsidRPr="00191567">
        <w:rPr>
          <w:rFonts w:ascii="Californian FB" w:hAnsi="Californian FB"/>
        </w:rPr>
        <w:t>[2017] UKSC 17</w:t>
      </w:r>
      <w:r w:rsidR="00B92FB5" w:rsidRPr="00191567">
        <w:rPr>
          <w:rFonts w:ascii="Californian FB" w:hAnsi="Californian FB"/>
        </w:rPr>
        <w:t>.</w:t>
      </w:r>
    </w:p>
  </w:footnote>
  <w:footnote w:id="21">
    <w:p w14:paraId="5B2ED74B" w14:textId="5AB5A33D" w:rsidR="005B7A79" w:rsidRPr="00191567" w:rsidRDefault="005B7A79">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Sections 1</w:t>
      </w:r>
      <w:r w:rsidR="003D08E5" w:rsidRPr="00191567">
        <w:rPr>
          <w:rFonts w:ascii="Californian FB" w:hAnsi="Californian FB"/>
        </w:rPr>
        <w:t>-3.</w:t>
      </w:r>
    </w:p>
  </w:footnote>
  <w:footnote w:id="22">
    <w:p w14:paraId="790961A1" w14:textId="3788627D" w:rsidR="00B97E04" w:rsidRPr="00191567" w:rsidRDefault="00B97E0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4950EC" w:rsidRPr="00191567">
        <w:rPr>
          <w:rFonts w:ascii="Californian FB" w:hAnsi="Californian FB"/>
          <w:i/>
          <w:iCs/>
        </w:rPr>
        <w:t>Ilott</w:t>
      </w:r>
      <w:r w:rsidR="004950EC" w:rsidRPr="00191567">
        <w:rPr>
          <w:rFonts w:ascii="Californian FB" w:hAnsi="Californian FB"/>
        </w:rPr>
        <w:t xml:space="preserve"> (n </w:t>
      </w:r>
      <w:r w:rsidR="004950EC" w:rsidRPr="00191567">
        <w:rPr>
          <w:rFonts w:ascii="Californian FB" w:hAnsi="Californian FB"/>
        </w:rPr>
        <w:fldChar w:fldCharType="begin"/>
      </w:r>
      <w:r w:rsidR="004950EC" w:rsidRPr="00191567">
        <w:rPr>
          <w:rFonts w:ascii="Californian FB" w:hAnsi="Californian FB"/>
        </w:rPr>
        <w:instrText xml:space="preserve"> NOTEREF _Ref173321108 \h </w:instrText>
      </w:r>
      <w:r w:rsidR="00A46FBA" w:rsidRPr="00191567">
        <w:rPr>
          <w:rFonts w:ascii="Californian FB" w:hAnsi="Californian FB"/>
        </w:rPr>
        <w:instrText xml:space="preserve"> \* MERGEFORMAT </w:instrText>
      </w:r>
      <w:r w:rsidR="004950EC" w:rsidRPr="00191567">
        <w:rPr>
          <w:rFonts w:ascii="Californian FB" w:hAnsi="Californian FB"/>
        </w:rPr>
      </w:r>
      <w:r w:rsidR="004950EC" w:rsidRPr="00191567">
        <w:rPr>
          <w:rFonts w:ascii="Californian FB" w:hAnsi="Californian FB"/>
        </w:rPr>
        <w:fldChar w:fldCharType="separate"/>
      </w:r>
      <w:r w:rsidR="00F07C1B">
        <w:rPr>
          <w:rFonts w:ascii="Californian FB" w:hAnsi="Californian FB"/>
        </w:rPr>
        <w:t>18</w:t>
      </w:r>
      <w:r w:rsidR="004950EC" w:rsidRPr="00191567">
        <w:rPr>
          <w:rFonts w:ascii="Californian FB" w:hAnsi="Californian FB"/>
        </w:rPr>
        <w:fldChar w:fldCharType="end"/>
      </w:r>
      <w:r w:rsidR="004950EC" w:rsidRPr="00191567">
        <w:rPr>
          <w:rFonts w:ascii="Californian FB" w:hAnsi="Californian FB"/>
        </w:rPr>
        <w:t>) [58].</w:t>
      </w:r>
    </w:p>
  </w:footnote>
  <w:footnote w:id="23">
    <w:p w14:paraId="728F5674" w14:textId="25A41FE4"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11309F">
        <w:rPr>
          <w:rFonts w:ascii="Californian FB" w:hAnsi="Californian FB"/>
        </w:rPr>
        <w:t>ib</w:t>
      </w:r>
      <w:r w:rsidR="00DF0C88">
        <w:rPr>
          <w:rFonts w:ascii="Californian FB" w:hAnsi="Californian FB"/>
        </w:rPr>
        <w:t>id</w:t>
      </w:r>
      <w:r w:rsidR="0011309F">
        <w:rPr>
          <w:rFonts w:ascii="Californian FB" w:hAnsi="Californian FB"/>
        </w:rPr>
        <w:t>.</w:t>
      </w:r>
    </w:p>
  </w:footnote>
  <w:footnote w:id="24">
    <w:p w14:paraId="7FF49E2B" w14:textId="414A610D"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[2022] UKSC 27</w:t>
      </w:r>
      <w:r w:rsidR="000C0B44" w:rsidRPr="00191567">
        <w:rPr>
          <w:rFonts w:ascii="Californian FB" w:hAnsi="Californian FB"/>
        </w:rPr>
        <w:t>.</w:t>
      </w:r>
    </w:p>
  </w:footnote>
  <w:footnote w:id="25">
    <w:p w14:paraId="0EF8DBBB" w14:textId="68C061C4" w:rsidR="00F00030" w:rsidRPr="00191567" w:rsidRDefault="00F00030">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3A6D62" w:rsidRPr="00191567">
        <w:rPr>
          <w:rFonts w:ascii="Californian FB" w:hAnsi="Californian FB"/>
        </w:rPr>
        <w:t>[2015] UKSC 66.</w:t>
      </w:r>
    </w:p>
  </w:footnote>
  <w:footnote w:id="26">
    <w:p w14:paraId="3733EB36" w14:textId="04B33FAB" w:rsidR="00F00030" w:rsidRPr="00191567" w:rsidRDefault="00F00030">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F4075D" w:rsidRPr="00191567">
        <w:rPr>
          <w:rFonts w:ascii="Californian FB" w:hAnsi="Californian FB" w:cs="Segoe UI"/>
        </w:rPr>
        <w:t>[2014] UKSC 52.</w:t>
      </w:r>
    </w:p>
  </w:footnote>
  <w:footnote w:id="27">
    <w:p w14:paraId="66506767" w14:textId="00B6C1FB" w:rsidR="00906DAE" w:rsidRPr="00191567" w:rsidRDefault="00906DAE">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545320" w:rsidRPr="00191567">
        <w:rPr>
          <w:rFonts w:ascii="Californian FB" w:hAnsi="Californian FB"/>
        </w:rPr>
        <w:t>[2016] UKSC 47.</w:t>
      </w:r>
    </w:p>
  </w:footnote>
  <w:footnote w:id="28">
    <w:p w14:paraId="6A3715A3" w14:textId="07499865" w:rsidR="05D69193" w:rsidRPr="00191567" w:rsidRDefault="05D69193" w:rsidP="05D69193">
      <w:pPr>
        <w:pStyle w:val="FootnoteText"/>
        <w:rPr>
          <w:rFonts w:ascii="Californian FB" w:hAnsi="Californian FB"/>
        </w:rPr>
      </w:pPr>
      <w:r w:rsidRPr="00191567">
        <w:rPr>
          <w:rStyle w:val="FootnoteReference"/>
          <w:rFonts w:ascii="Californian FB" w:hAnsi="Californian FB"/>
        </w:rPr>
        <w:footnoteRef/>
      </w:r>
      <w:r w:rsidR="00906A42" w:rsidRPr="00191567">
        <w:rPr>
          <w:rFonts w:ascii="Californian FB" w:hAnsi="Californian FB"/>
        </w:rPr>
        <w:t xml:space="preserve"> </w:t>
      </w:r>
      <w:r w:rsidR="0090281B" w:rsidRPr="00191567">
        <w:rPr>
          <w:rFonts w:ascii="Californian FB" w:hAnsi="Californian FB"/>
        </w:rPr>
        <w:t>ibid</w:t>
      </w:r>
      <w:r w:rsidR="00083C3F" w:rsidRPr="00191567">
        <w:rPr>
          <w:rFonts w:ascii="Californian FB" w:hAnsi="Californian FB"/>
        </w:rPr>
        <w:t xml:space="preserve"> </w:t>
      </w:r>
      <w:r w:rsidR="007D72B7" w:rsidRPr="00191567">
        <w:rPr>
          <w:rFonts w:ascii="Californian FB" w:hAnsi="Californian FB"/>
        </w:rPr>
        <w:t>[</w:t>
      </w:r>
      <w:r w:rsidRPr="00191567">
        <w:rPr>
          <w:rFonts w:ascii="Californian FB" w:hAnsi="Californian FB"/>
        </w:rPr>
        <w:t>27</w:t>
      </w:r>
      <w:r w:rsidR="007D72B7" w:rsidRPr="00191567">
        <w:rPr>
          <w:rFonts w:ascii="Californian FB" w:hAnsi="Californian FB"/>
        </w:rPr>
        <w:t>]</w:t>
      </w:r>
      <w:r w:rsidR="00802576" w:rsidRPr="00191567">
        <w:rPr>
          <w:rFonts w:ascii="Californian FB" w:hAnsi="Californian FB"/>
        </w:rPr>
        <w:t>.</w:t>
      </w:r>
    </w:p>
  </w:footnote>
  <w:footnote w:id="29">
    <w:p w14:paraId="6D7A037E" w14:textId="3541E671" w:rsidR="05D69193" w:rsidRPr="00191567" w:rsidRDefault="05D69193" w:rsidP="05D69193">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083C3F" w:rsidRPr="00191567">
        <w:rPr>
          <w:rFonts w:ascii="Californian FB" w:hAnsi="Californian FB"/>
        </w:rPr>
        <w:t xml:space="preserve">ibid </w:t>
      </w:r>
      <w:r w:rsidR="00802576" w:rsidRPr="00191567">
        <w:rPr>
          <w:rFonts w:ascii="Californian FB" w:hAnsi="Californian FB"/>
        </w:rPr>
        <w:t>[26]</w:t>
      </w:r>
      <w:r w:rsidR="00572228" w:rsidRPr="00191567">
        <w:rPr>
          <w:rFonts w:ascii="Californian FB" w:hAnsi="Californian FB"/>
        </w:rPr>
        <w:t>, citing Goode, ‘Ownership and Obligation in Commercial Transactions’ (1987) 103 LQR 433, 444.</w:t>
      </w:r>
    </w:p>
  </w:footnote>
  <w:footnote w:id="30">
    <w:p w14:paraId="47C353E4" w14:textId="08A5C8E6" w:rsidR="00484E3A" w:rsidRPr="00DC6EE6" w:rsidRDefault="00484E3A">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BB7A66">
        <w:rPr>
          <w:rFonts w:ascii="Californian FB" w:hAnsi="Californian FB"/>
        </w:rPr>
        <w:t xml:space="preserve">See </w:t>
      </w:r>
      <w:r w:rsidR="00DC6EE6">
        <w:rPr>
          <w:rFonts w:ascii="Californian FB" w:hAnsi="Californian FB"/>
          <w:i/>
          <w:iCs/>
        </w:rPr>
        <w:t>Re Polly Peck International plc (No 2)</w:t>
      </w:r>
      <w:r w:rsidR="00DC6EE6">
        <w:rPr>
          <w:rFonts w:ascii="Californian FB" w:hAnsi="Californian FB"/>
        </w:rPr>
        <w:t xml:space="preserve"> [1998] 3 All ER 812 (CA)</w:t>
      </w:r>
      <w:r w:rsidR="002A40C4">
        <w:rPr>
          <w:rFonts w:ascii="Californian FB" w:hAnsi="Californian FB"/>
        </w:rPr>
        <w:t xml:space="preserve">. See also criticism </w:t>
      </w:r>
      <w:r w:rsidR="00A97E74">
        <w:rPr>
          <w:rFonts w:ascii="Californian FB" w:hAnsi="Californian FB"/>
        </w:rPr>
        <w:t>by</w:t>
      </w:r>
      <w:r w:rsidR="002A40C4">
        <w:rPr>
          <w:rFonts w:ascii="Californian FB" w:hAnsi="Californian FB"/>
        </w:rPr>
        <w:t xml:space="preserve"> Webb, ‘The myth of the remedial constructive trust’ </w:t>
      </w:r>
      <w:r w:rsidR="00D67B49">
        <w:rPr>
          <w:rFonts w:ascii="Californian FB" w:hAnsi="Californian FB"/>
        </w:rPr>
        <w:t>(2016) 69 CLP 353.</w:t>
      </w:r>
    </w:p>
  </w:footnote>
  <w:footnote w:id="31">
    <w:p w14:paraId="639579FD" w14:textId="32CAEA60" w:rsidR="05D69193" w:rsidRPr="00191567" w:rsidRDefault="05D69193" w:rsidP="05D69193">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D6224C" w:rsidRPr="00191567">
        <w:rPr>
          <w:rFonts w:ascii="Californian FB" w:hAnsi="Californian FB"/>
        </w:rPr>
        <w:t>[2014] UKSC 45.</w:t>
      </w:r>
    </w:p>
  </w:footnote>
  <w:footnote w:id="32">
    <w:p w14:paraId="2355B393" w14:textId="511E0524" w:rsidR="05D69193" w:rsidRPr="00191567" w:rsidRDefault="05D69193" w:rsidP="05D69193">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960B61" w:rsidRPr="00191567">
        <w:rPr>
          <w:rFonts w:ascii="Californian FB" w:hAnsi="Californian FB"/>
        </w:rPr>
        <w:t xml:space="preserve">[2013] EWCA </w:t>
      </w:r>
      <w:proofErr w:type="spellStart"/>
      <w:r w:rsidR="00960B61" w:rsidRPr="00191567">
        <w:rPr>
          <w:rFonts w:ascii="Californian FB" w:hAnsi="Californian FB"/>
        </w:rPr>
        <w:t>Civ</w:t>
      </w:r>
      <w:proofErr w:type="spellEnd"/>
      <w:r w:rsidR="00960B61" w:rsidRPr="00191567">
        <w:rPr>
          <w:rFonts w:ascii="Californian FB" w:hAnsi="Californian FB"/>
        </w:rPr>
        <w:t xml:space="preserve"> 17</w:t>
      </w:r>
      <w:r w:rsidRPr="00191567">
        <w:rPr>
          <w:rFonts w:ascii="Californian FB" w:hAnsi="Californian FB"/>
        </w:rPr>
        <w:t xml:space="preserve"> </w:t>
      </w:r>
      <w:r w:rsidR="00960B61" w:rsidRPr="00191567">
        <w:rPr>
          <w:rFonts w:ascii="Californian FB" w:hAnsi="Californian FB"/>
        </w:rPr>
        <w:t>[</w:t>
      </w:r>
      <w:r w:rsidRPr="00191567">
        <w:rPr>
          <w:rFonts w:ascii="Californian FB" w:hAnsi="Californian FB"/>
        </w:rPr>
        <w:t>14</w:t>
      </w:r>
      <w:r w:rsidR="00960B61" w:rsidRPr="00191567">
        <w:rPr>
          <w:rFonts w:ascii="Californian FB" w:hAnsi="Californian FB"/>
        </w:rPr>
        <w:t>]</w:t>
      </w:r>
      <w:r w:rsidRPr="00191567">
        <w:rPr>
          <w:rFonts w:ascii="Californian FB" w:hAnsi="Californian FB"/>
        </w:rPr>
        <w:t xml:space="preserve"> (Lewison LJ).</w:t>
      </w:r>
    </w:p>
  </w:footnote>
  <w:footnote w:id="33">
    <w:p w14:paraId="2E5B41B0" w14:textId="3C324B47" w:rsidR="00370A82" w:rsidRPr="00191567" w:rsidRDefault="00370A82">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667B87" w:rsidRPr="00191567">
        <w:rPr>
          <w:rFonts w:ascii="Californian FB" w:hAnsi="Californian FB"/>
        </w:rPr>
        <w:t xml:space="preserve">[2011] EWCA </w:t>
      </w:r>
      <w:proofErr w:type="spellStart"/>
      <w:r w:rsidR="00667B87" w:rsidRPr="00191567">
        <w:rPr>
          <w:rFonts w:ascii="Californian FB" w:hAnsi="Californian FB"/>
        </w:rPr>
        <w:t>Civ</w:t>
      </w:r>
      <w:proofErr w:type="spellEnd"/>
      <w:r w:rsidR="00667B87" w:rsidRPr="00191567">
        <w:rPr>
          <w:rFonts w:ascii="Californian FB" w:hAnsi="Californian FB"/>
        </w:rPr>
        <w:t xml:space="preserve"> 347</w:t>
      </w:r>
      <w:r w:rsidR="00FA1076">
        <w:rPr>
          <w:rFonts w:ascii="Californian FB" w:hAnsi="Californian FB"/>
        </w:rPr>
        <w:t>.</w:t>
      </w:r>
    </w:p>
  </w:footnote>
  <w:footnote w:id="34">
    <w:p w14:paraId="45284952" w14:textId="0D9E019E" w:rsidR="10E55573" w:rsidRPr="00191567" w:rsidRDefault="10E55573" w:rsidP="10E55573">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822813" w:rsidRPr="00191567">
        <w:rPr>
          <w:rFonts w:ascii="Californian FB" w:hAnsi="Californian FB"/>
          <w:i/>
          <w:iCs/>
        </w:rPr>
        <w:t xml:space="preserve">FHR </w:t>
      </w:r>
      <w:r w:rsidR="00822813" w:rsidRPr="00191567">
        <w:rPr>
          <w:rFonts w:ascii="Californian FB" w:hAnsi="Californian FB"/>
        </w:rPr>
        <w:t>(SC)</w:t>
      </w:r>
      <w:r w:rsidR="009A6FD4" w:rsidRPr="00191567">
        <w:rPr>
          <w:rFonts w:ascii="Californian FB" w:hAnsi="Californian FB"/>
        </w:rPr>
        <w:t xml:space="preserve"> (n </w:t>
      </w:r>
      <w:r w:rsidR="00083C3F" w:rsidRPr="00191567">
        <w:rPr>
          <w:rFonts w:ascii="Californian FB" w:hAnsi="Californian FB"/>
        </w:rPr>
        <w:fldChar w:fldCharType="begin"/>
      </w:r>
      <w:r w:rsidR="00083C3F" w:rsidRPr="00191567">
        <w:rPr>
          <w:rFonts w:ascii="Californian FB" w:hAnsi="Californian FB"/>
        </w:rPr>
        <w:instrText xml:space="preserve"> NOTEREF _Ref173321058 \h </w:instrText>
      </w:r>
      <w:r w:rsidR="00A46FBA" w:rsidRPr="00191567">
        <w:rPr>
          <w:rFonts w:ascii="Californian FB" w:hAnsi="Californian FB"/>
        </w:rPr>
        <w:instrText xml:space="preserve"> \* MERGEFORMAT </w:instrText>
      </w:r>
      <w:r w:rsidR="00083C3F" w:rsidRPr="00191567">
        <w:rPr>
          <w:rFonts w:ascii="Californian FB" w:hAnsi="Californian FB"/>
        </w:rPr>
      </w:r>
      <w:r w:rsidR="00083C3F" w:rsidRPr="00191567">
        <w:rPr>
          <w:rFonts w:ascii="Californian FB" w:hAnsi="Californian FB"/>
        </w:rPr>
        <w:fldChar w:fldCharType="separate"/>
      </w:r>
      <w:r w:rsidR="00BA7AC9">
        <w:rPr>
          <w:rFonts w:ascii="Californian FB" w:hAnsi="Californian FB"/>
        </w:rPr>
        <w:t>29</w:t>
      </w:r>
      <w:r w:rsidR="00083C3F" w:rsidRPr="00191567">
        <w:rPr>
          <w:rFonts w:ascii="Californian FB" w:hAnsi="Californian FB"/>
        </w:rPr>
        <w:fldChar w:fldCharType="end"/>
      </w:r>
      <w:r w:rsidR="009A6FD4" w:rsidRPr="00191567">
        <w:rPr>
          <w:rFonts w:ascii="Californian FB" w:hAnsi="Californian FB"/>
        </w:rPr>
        <w:t xml:space="preserve">) </w:t>
      </w:r>
      <w:r w:rsidR="00095B0B" w:rsidRPr="00191567">
        <w:rPr>
          <w:rFonts w:ascii="Californian FB" w:hAnsi="Californian FB"/>
        </w:rPr>
        <w:t>[12].</w:t>
      </w:r>
    </w:p>
  </w:footnote>
  <w:footnote w:id="35">
    <w:p w14:paraId="366C66D2" w14:textId="72CD5EED" w:rsidR="00313451" w:rsidRPr="0028761E" w:rsidRDefault="00313451" w:rsidP="00313451">
      <w:pPr>
        <w:pStyle w:val="FootnoteText"/>
        <w:rPr>
          <w:rFonts w:ascii="Californian FB" w:hAnsi="Californian FB"/>
        </w:rPr>
      </w:pPr>
      <w:r w:rsidRPr="0028761E">
        <w:rPr>
          <w:rStyle w:val="FootnoteReference"/>
          <w:rFonts w:ascii="Californian FB" w:hAnsi="Californian FB"/>
        </w:rPr>
        <w:footnoteRef/>
      </w:r>
      <w:r w:rsidRPr="0028761E">
        <w:rPr>
          <w:rFonts w:ascii="Californian FB" w:hAnsi="Californian FB"/>
        </w:rPr>
        <w:t xml:space="preserve"> </w:t>
      </w:r>
      <w:r w:rsidR="0028761E" w:rsidRPr="0028761E">
        <w:rPr>
          <w:rFonts w:ascii="Californian FB" w:hAnsi="Californian FB"/>
        </w:rPr>
        <w:t xml:space="preserve">See discussion in </w:t>
      </w:r>
      <w:r w:rsidRPr="0028761E">
        <w:rPr>
          <w:rFonts w:ascii="Californian FB" w:hAnsi="Californian FB"/>
        </w:rPr>
        <w:t xml:space="preserve">Webb (n </w:t>
      </w:r>
      <w:r w:rsidR="00C85D0F" w:rsidRPr="0028761E">
        <w:rPr>
          <w:rFonts w:ascii="Californian FB" w:hAnsi="Californian FB"/>
        </w:rPr>
        <w:fldChar w:fldCharType="begin"/>
      </w:r>
      <w:r w:rsidR="00C85D0F" w:rsidRPr="0028761E">
        <w:rPr>
          <w:rFonts w:ascii="Californian FB" w:hAnsi="Californian FB"/>
        </w:rPr>
        <w:instrText xml:space="preserve"> NOTEREF _Ref174714302 \h </w:instrText>
      </w:r>
      <w:r w:rsidR="0028761E">
        <w:rPr>
          <w:rFonts w:ascii="Californian FB" w:hAnsi="Californian FB"/>
        </w:rPr>
        <w:instrText xml:space="preserve"> \* MERGEFORMAT </w:instrText>
      </w:r>
      <w:r w:rsidR="00C85D0F" w:rsidRPr="0028761E">
        <w:rPr>
          <w:rFonts w:ascii="Californian FB" w:hAnsi="Californian FB"/>
        </w:rPr>
      </w:r>
      <w:r w:rsidR="00C85D0F" w:rsidRPr="0028761E">
        <w:rPr>
          <w:rFonts w:ascii="Californian FB" w:hAnsi="Californian FB"/>
        </w:rPr>
        <w:fldChar w:fldCharType="separate"/>
      </w:r>
      <w:r w:rsidR="00BA7AC9">
        <w:rPr>
          <w:rFonts w:ascii="Californian FB" w:hAnsi="Californian FB"/>
        </w:rPr>
        <w:t>28</w:t>
      </w:r>
      <w:r w:rsidR="00C85D0F" w:rsidRPr="0028761E">
        <w:rPr>
          <w:rFonts w:ascii="Californian FB" w:hAnsi="Californian FB"/>
        </w:rPr>
        <w:fldChar w:fldCharType="end"/>
      </w:r>
      <w:r w:rsidRPr="0028761E">
        <w:rPr>
          <w:rFonts w:ascii="Californian FB" w:hAnsi="Californian FB"/>
        </w:rPr>
        <w:t>) 359.</w:t>
      </w:r>
    </w:p>
  </w:footnote>
  <w:footnote w:id="36">
    <w:p w14:paraId="61A2BE97" w14:textId="58A44B31" w:rsidR="00C75A97" w:rsidRPr="00191567" w:rsidRDefault="00C75A9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8400BB" w:rsidRPr="00191567">
        <w:rPr>
          <w:rFonts w:ascii="Californian FB" w:hAnsi="Californian FB"/>
        </w:rPr>
        <w:t>[2022] UKSC 27.</w:t>
      </w:r>
    </w:p>
  </w:footnote>
  <w:footnote w:id="37">
    <w:p w14:paraId="7963AE53" w14:textId="11124A61" w:rsidR="00261338" w:rsidRPr="00191567" w:rsidRDefault="00261338">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F97DC5" w:rsidRPr="00191567">
        <w:rPr>
          <w:rFonts w:ascii="Californian FB" w:hAnsi="Californian FB"/>
          <w:i/>
          <w:iCs/>
        </w:rPr>
        <w:t xml:space="preserve">Jones </w:t>
      </w:r>
      <w:r w:rsidR="00F97DC5" w:rsidRPr="00191567">
        <w:rPr>
          <w:rFonts w:ascii="Californian FB" w:hAnsi="Californian FB"/>
        </w:rPr>
        <w:t xml:space="preserve">(n </w:t>
      </w:r>
      <w:r w:rsidR="00521CE6" w:rsidRPr="00191567">
        <w:rPr>
          <w:rFonts w:ascii="Californian FB" w:hAnsi="Californian FB"/>
        </w:rPr>
        <w:fldChar w:fldCharType="begin"/>
      </w:r>
      <w:r w:rsidR="00521CE6" w:rsidRPr="00191567">
        <w:rPr>
          <w:rFonts w:ascii="Californian FB" w:hAnsi="Californian FB"/>
        </w:rPr>
        <w:instrText xml:space="preserve"> NOTEREF _Ref173152264 \h </w:instrText>
      </w:r>
      <w:r w:rsidR="00A46FBA" w:rsidRPr="00191567">
        <w:rPr>
          <w:rFonts w:ascii="Californian FB" w:hAnsi="Californian FB"/>
        </w:rPr>
        <w:instrText xml:space="preserve"> \* MERGEFORMAT </w:instrText>
      </w:r>
      <w:r w:rsidR="00521CE6" w:rsidRPr="00191567">
        <w:rPr>
          <w:rFonts w:ascii="Californian FB" w:hAnsi="Californian FB"/>
        </w:rPr>
      </w:r>
      <w:r w:rsidR="00521CE6" w:rsidRPr="00191567">
        <w:rPr>
          <w:rFonts w:ascii="Californian FB" w:hAnsi="Californian FB"/>
        </w:rPr>
        <w:fldChar w:fldCharType="separate"/>
      </w:r>
      <w:r w:rsidR="00F07C1B">
        <w:rPr>
          <w:rFonts w:ascii="Californian FB" w:hAnsi="Californian FB"/>
        </w:rPr>
        <w:t>10</w:t>
      </w:r>
      <w:r w:rsidR="00521CE6" w:rsidRPr="00191567">
        <w:rPr>
          <w:rFonts w:ascii="Californian FB" w:hAnsi="Californian FB"/>
        </w:rPr>
        <w:fldChar w:fldCharType="end"/>
      </w:r>
      <w:r w:rsidR="00F97DC5" w:rsidRPr="00191567">
        <w:rPr>
          <w:rFonts w:ascii="Californian FB" w:hAnsi="Californian FB"/>
        </w:rPr>
        <w:t>) [51]</w:t>
      </w:r>
      <w:r w:rsidR="0007738B">
        <w:rPr>
          <w:rFonts w:ascii="Californian FB" w:hAnsi="Californian FB"/>
        </w:rPr>
        <w:t>.</w:t>
      </w:r>
    </w:p>
  </w:footnote>
  <w:footnote w:id="38">
    <w:p w14:paraId="6EDE6DB2" w14:textId="37CABE73" w:rsidR="00D8549B" w:rsidRPr="00191567" w:rsidRDefault="00D8549B" w:rsidP="00D8549B">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[2010] UKSC 8</w:t>
      </w:r>
      <w:r w:rsidR="0007738B">
        <w:rPr>
          <w:rFonts w:ascii="Californian FB" w:hAnsi="Californian FB"/>
        </w:rPr>
        <w:t>.</w:t>
      </w:r>
    </w:p>
  </w:footnote>
  <w:footnote w:id="39">
    <w:p w14:paraId="1967CCB7" w14:textId="77F919D1"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[2003] 2 AC 430</w:t>
      </w:r>
      <w:r w:rsidR="0007738B">
        <w:rPr>
          <w:rFonts w:ascii="Californian FB" w:hAnsi="Californian FB"/>
        </w:rPr>
        <w:t>.</w:t>
      </w:r>
    </w:p>
  </w:footnote>
  <w:footnote w:id="40">
    <w:p w14:paraId="39EC4477" w14:textId="6FD11D44"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[2011] UKSC 8</w:t>
      </w:r>
      <w:r w:rsidR="00822813" w:rsidRPr="00191567">
        <w:rPr>
          <w:rFonts w:ascii="Californian FB" w:hAnsi="Californian FB"/>
        </w:rPr>
        <w:t>.</w:t>
      </w:r>
    </w:p>
  </w:footnote>
  <w:footnote w:id="41">
    <w:p w14:paraId="5E906C91" w14:textId="6C91C29E" w:rsidR="00E06345" w:rsidRPr="00191567" w:rsidRDefault="00E06345" w:rsidP="00E06345">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w:t>
      </w:r>
      <w:r w:rsidR="00822813" w:rsidRPr="00191567">
        <w:rPr>
          <w:rFonts w:ascii="Californian FB" w:hAnsi="Californian FB"/>
        </w:rPr>
        <w:t>0</w:t>
      </w:r>
      <w:r w:rsidRPr="00191567">
        <w:rPr>
          <w:rFonts w:ascii="Californian FB" w:hAnsi="Californian FB"/>
        </w:rPr>
        <w:t xml:space="preserve">] </w:t>
      </w:r>
      <w:r w:rsidRPr="00191567">
        <w:rPr>
          <w:rFonts w:ascii="Californian FB" w:eastAsia="Californian FB" w:hAnsi="Californian FB" w:cs="Californian FB"/>
          <w:color w:val="000000" w:themeColor="text1"/>
        </w:rPr>
        <w:t>UKSC45.</w:t>
      </w:r>
    </w:p>
  </w:footnote>
  <w:footnote w:id="42">
    <w:p w14:paraId="24B9DFAF" w14:textId="3CA0516E"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[2009] UKSC 11</w:t>
      </w:r>
      <w:r w:rsidR="00B51214" w:rsidRPr="00191567">
        <w:rPr>
          <w:rFonts w:ascii="Californian FB" w:hAnsi="Californian FB"/>
        </w:rPr>
        <w:t>.</w:t>
      </w:r>
    </w:p>
  </w:footnote>
  <w:footnote w:id="43">
    <w:p w14:paraId="34BF98D4" w14:textId="6D60B1F0" w:rsidR="00B7684D" w:rsidRPr="00191567" w:rsidRDefault="00B7684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0C6934" w:rsidRPr="00191567">
        <w:rPr>
          <w:rFonts w:ascii="Californian FB" w:hAnsi="Californian FB"/>
        </w:rPr>
        <w:t>[2004] 1 WLR 1906</w:t>
      </w:r>
      <w:r w:rsidR="00B51214" w:rsidRPr="00191567">
        <w:rPr>
          <w:rFonts w:ascii="Californian FB" w:hAnsi="Californian FB"/>
        </w:rPr>
        <w:t>.</w:t>
      </w:r>
    </w:p>
  </w:footnote>
  <w:footnote w:id="44">
    <w:p w14:paraId="6B3D6A69" w14:textId="1BCB117A" w:rsidR="00AC77D1" w:rsidRPr="00191567" w:rsidRDefault="00AC77D1">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DB1967" w:rsidRPr="00191567">
        <w:rPr>
          <w:rFonts w:ascii="Californian FB" w:hAnsi="Californian FB"/>
          <w:i/>
          <w:iCs/>
        </w:rPr>
        <w:t>Meier</w:t>
      </w:r>
      <w:r w:rsidR="00B51214" w:rsidRPr="00191567">
        <w:rPr>
          <w:rFonts w:ascii="Californian FB" w:hAnsi="Californian FB"/>
          <w:i/>
          <w:iCs/>
        </w:rPr>
        <w:t xml:space="preserve"> </w:t>
      </w:r>
      <w:r w:rsidR="00B51214" w:rsidRPr="00191567">
        <w:rPr>
          <w:rFonts w:ascii="Californian FB" w:hAnsi="Californian FB"/>
        </w:rPr>
        <w:t xml:space="preserve">(n </w:t>
      </w:r>
      <w:r w:rsidR="0069698C" w:rsidRPr="00191567">
        <w:rPr>
          <w:rFonts w:ascii="Californian FB" w:hAnsi="Californian FB"/>
        </w:rPr>
        <w:fldChar w:fldCharType="begin"/>
      </w:r>
      <w:r w:rsidR="0069698C" w:rsidRPr="00191567">
        <w:rPr>
          <w:rFonts w:ascii="Californian FB" w:hAnsi="Californian FB"/>
        </w:rPr>
        <w:instrText xml:space="preserve"> NOTEREF _Ref173158391 \h </w:instrText>
      </w:r>
      <w:r w:rsidR="00A46FBA" w:rsidRPr="00191567">
        <w:rPr>
          <w:rFonts w:ascii="Californian FB" w:hAnsi="Californian FB"/>
        </w:rPr>
        <w:instrText xml:space="preserve"> \* MERGEFORMAT </w:instrText>
      </w:r>
      <w:r w:rsidR="0069698C" w:rsidRPr="00191567">
        <w:rPr>
          <w:rFonts w:ascii="Californian FB" w:hAnsi="Californian FB"/>
        </w:rPr>
      </w:r>
      <w:r w:rsidR="0069698C" w:rsidRPr="00191567">
        <w:rPr>
          <w:rFonts w:ascii="Californian FB" w:hAnsi="Californian FB"/>
        </w:rPr>
        <w:fldChar w:fldCharType="separate"/>
      </w:r>
      <w:r w:rsidR="00BA7AC9">
        <w:rPr>
          <w:rFonts w:ascii="Californian FB" w:hAnsi="Californian FB"/>
        </w:rPr>
        <w:t>40</w:t>
      </w:r>
      <w:r w:rsidR="0069698C" w:rsidRPr="00191567">
        <w:rPr>
          <w:rFonts w:ascii="Californian FB" w:hAnsi="Californian FB"/>
        </w:rPr>
        <w:fldChar w:fldCharType="end"/>
      </w:r>
      <w:r w:rsidR="0069698C" w:rsidRPr="00191567">
        <w:rPr>
          <w:rFonts w:ascii="Californian FB" w:hAnsi="Californian FB"/>
        </w:rPr>
        <w:t>)</w:t>
      </w:r>
      <w:r w:rsidR="007A7603" w:rsidRPr="00191567">
        <w:rPr>
          <w:rFonts w:ascii="Californian FB" w:hAnsi="Californian FB"/>
          <w:i/>
          <w:iCs/>
        </w:rPr>
        <w:t xml:space="preserve"> </w:t>
      </w:r>
      <w:r w:rsidR="007A7603" w:rsidRPr="00191567">
        <w:rPr>
          <w:rFonts w:ascii="Californian FB" w:hAnsi="Californian FB"/>
        </w:rPr>
        <w:t>[5]</w:t>
      </w:r>
      <w:r w:rsidR="0069698C" w:rsidRPr="00191567">
        <w:rPr>
          <w:rFonts w:ascii="Californian FB" w:hAnsi="Californian FB"/>
        </w:rPr>
        <w:t>,</w:t>
      </w:r>
      <w:r w:rsidR="007A7603" w:rsidRPr="00191567">
        <w:rPr>
          <w:rFonts w:ascii="Californian FB" w:hAnsi="Californian FB"/>
        </w:rPr>
        <w:t xml:space="preserve"> [20]</w:t>
      </w:r>
      <w:r w:rsidR="0069698C" w:rsidRPr="00191567">
        <w:rPr>
          <w:rFonts w:ascii="Californian FB" w:hAnsi="Californian FB"/>
        </w:rPr>
        <w:t>,</w:t>
      </w:r>
      <w:r w:rsidR="000A68E5" w:rsidRPr="00191567">
        <w:rPr>
          <w:rFonts w:ascii="Californian FB" w:hAnsi="Californian FB"/>
        </w:rPr>
        <w:t xml:space="preserve"> </w:t>
      </w:r>
      <w:r w:rsidR="0085300A" w:rsidRPr="00191567">
        <w:rPr>
          <w:rFonts w:ascii="Californian FB" w:hAnsi="Californian FB"/>
        </w:rPr>
        <w:t>[40]</w:t>
      </w:r>
      <w:r w:rsidR="0069698C" w:rsidRPr="00191567">
        <w:rPr>
          <w:rFonts w:ascii="Californian FB" w:hAnsi="Californian FB"/>
        </w:rPr>
        <w:t>.</w:t>
      </w:r>
    </w:p>
  </w:footnote>
  <w:footnote w:id="45">
    <w:p w14:paraId="197049FA" w14:textId="3E4FA4AE" w:rsidR="009D2A94" w:rsidRPr="00191567" w:rsidRDefault="009D2A9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B60674" w:rsidRPr="00B60674">
        <w:rPr>
          <w:rFonts w:ascii="Californian FB" w:hAnsi="Californian FB"/>
        </w:rPr>
        <w:t>ibid</w:t>
      </w:r>
      <w:r w:rsidRPr="00191567">
        <w:rPr>
          <w:rFonts w:ascii="Californian FB" w:hAnsi="Californian FB"/>
        </w:rPr>
        <w:t xml:space="preserve"> [59].</w:t>
      </w:r>
    </w:p>
  </w:footnote>
  <w:footnote w:id="46">
    <w:p w14:paraId="09C6FAD8" w14:textId="106D8553"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Pr="00191567">
        <w:rPr>
          <w:rFonts w:ascii="Californian FB" w:eastAsia="Californian FB" w:hAnsi="Californian FB" w:cs="Californian FB"/>
          <w:color w:val="000000" w:themeColor="text1"/>
        </w:rPr>
        <w:t>[2016] UKSC 47</w:t>
      </w:r>
      <w:r w:rsidR="00B60674">
        <w:rPr>
          <w:rFonts w:ascii="Californian FB" w:eastAsia="Californian FB" w:hAnsi="Californian FB" w:cs="Californian FB"/>
          <w:color w:val="000000" w:themeColor="text1"/>
        </w:rPr>
        <w:t>.</w:t>
      </w:r>
    </w:p>
  </w:footnote>
  <w:footnote w:id="47">
    <w:p w14:paraId="1501E8D1" w14:textId="0A10A65A" w:rsidR="003D41ED" w:rsidRPr="00191567" w:rsidRDefault="003D41E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3D42DA" w:rsidRPr="00191567">
        <w:rPr>
          <w:rFonts w:ascii="Californian FB" w:hAnsi="Californian FB"/>
        </w:rPr>
        <w:t>[1983] 2 Lloyd’s Rep 658 (Ch).</w:t>
      </w:r>
    </w:p>
  </w:footnote>
  <w:footnote w:id="48">
    <w:p w14:paraId="4F3F2FAE" w14:textId="77777777" w:rsidR="00CF04D7" w:rsidRPr="00191567" w:rsidRDefault="00CF04D7" w:rsidP="00CF04D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Pr="00191567">
        <w:rPr>
          <w:rFonts w:ascii="Californian FB" w:hAnsi="Californian FB"/>
          <w:i/>
        </w:rPr>
        <w:t>Story’s Commentaries on Equity Jurisprudence</w:t>
      </w:r>
      <w:r w:rsidRPr="00191567">
        <w:rPr>
          <w:rFonts w:ascii="Californian FB" w:hAnsi="Californian FB"/>
        </w:rPr>
        <w:t xml:space="preserve"> (2</w:t>
      </w:r>
      <w:r w:rsidRPr="00191567">
        <w:rPr>
          <w:rFonts w:ascii="Californian FB" w:hAnsi="Californian FB"/>
          <w:vertAlign w:val="superscript"/>
        </w:rPr>
        <w:t>nd</w:t>
      </w:r>
      <w:r w:rsidRPr="00191567">
        <w:rPr>
          <w:rFonts w:ascii="Californian FB" w:hAnsi="Californian FB"/>
        </w:rPr>
        <w:t xml:space="preserve"> edn, 1892) [1255].</w:t>
      </w:r>
    </w:p>
  </w:footnote>
  <w:footnote w:id="49">
    <w:p w14:paraId="000BECA4" w14:textId="7BF98849" w:rsidR="10E55573" w:rsidRPr="00191567" w:rsidRDefault="10E55573" w:rsidP="10E55573">
      <w:pPr>
        <w:pStyle w:val="FootnoteText"/>
        <w:rPr>
          <w:rFonts w:ascii="Californian FB" w:hAnsi="Californian FB"/>
        </w:rPr>
      </w:pPr>
      <w:r w:rsidRPr="00191567">
        <w:rPr>
          <w:rStyle w:val="FootnoteReference"/>
          <w:rFonts w:ascii="Californian FB" w:hAnsi="Californian FB"/>
        </w:rPr>
        <w:footnoteRef/>
      </w:r>
      <w:r w:rsidR="0006429B" w:rsidRPr="00191567">
        <w:rPr>
          <w:rFonts w:ascii="Californian FB" w:hAnsi="Californian FB"/>
        </w:rPr>
        <w:t xml:space="preserve"> </w:t>
      </w:r>
      <w:r w:rsidR="0006429B" w:rsidRPr="00191567">
        <w:rPr>
          <w:rFonts w:ascii="Californian FB" w:hAnsi="Californian FB"/>
          <w:i/>
          <w:iCs/>
        </w:rPr>
        <w:t>Bailey</w:t>
      </w:r>
      <w:r w:rsidR="0006429B" w:rsidRPr="00191567">
        <w:rPr>
          <w:rFonts w:ascii="Californian FB" w:hAnsi="Californian FB"/>
        </w:rPr>
        <w:t xml:space="preserve"> (n </w:t>
      </w:r>
      <w:r w:rsidR="0006429B" w:rsidRPr="00191567">
        <w:rPr>
          <w:rFonts w:ascii="Californian FB" w:hAnsi="Californian FB"/>
        </w:rPr>
        <w:fldChar w:fldCharType="begin"/>
      </w:r>
      <w:r w:rsidR="0006429B" w:rsidRPr="00191567">
        <w:rPr>
          <w:rFonts w:ascii="Californian FB" w:hAnsi="Californian FB"/>
        </w:rPr>
        <w:instrText xml:space="preserve"> NOTEREF _Ref173321017 \h </w:instrText>
      </w:r>
      <w:r w:rsidR="00A46FBA" w:rsidRPr="00191567">
        <w:rPr>
          <w:rFonts w:ascii="Californian FB" w:hAnsi="Californian FB"/>
        </w:rPr>
        <w:instrText xml:space="preserve"> \* MERGEFORMAT </w:instrText>
      </w:r>
      <w:r w:rsidR="0006429B" w:rsidRPr="00191567">
        <w:rPr>
          <w:rFonts w:ascii="Californian FB" w:hAnsi="Californian FB"/>
        </w:rPr>
      </w:r>
      <w:r w:rsidR="0006429B" w:rsidRPr="00191567">
        <w:rPr>
          <w:rFonts w:ascii="Californian FB" w:hAnsi="Californian FB"/>
        </w:rPr>
        <w:fldChar w:fldCharType="separate"/>
      </w:r>
      <w:r w:rsidR="00BA7AC9">
        <w:rPr>
          <w:rFonts w:ascii="Californian FB" w:hAnsi="Californian FB"/>
        </w:rPr>
        <w:t>25</w:t>
      </w:r>
      <w:r w:rsidR="0006429B" w:rsidRPr="00191567">
        <w:rPr>
          <w:rFonts w:ascii="Californian FB" w:hAnsi="Californian FB"/>
        </w:rPr>
        <w:fldChar w:fldCharType="end"/>
      </w:r>
      <w:r w:rsidR="0006429B" w:rsidRPr="00191567">
        <w:rPr>
          <w:rFonts w:ascii="Californian FB" w:hAnsi="Californian FB"/>
        </w:rPr>
        <w:t>)</w:t>
      </w:r>
      <w:r w:rsidRPr="00191567">
        <w:rPr>
          <w:rFonts w:ascii="Californian FB" w:hAnsi="Californian FB"/>
        </w:rPr>
        <w:t xml:space="preserve"> [28].</w:t>
      </w:r>
    </w:p>
  </w:footnote>
  <w:footnote w:id="50">
    <w:p w14:paraId="3191E1C6" w14:textId="1EB8DCFD"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[2010] UKSC 28</w:t>
      </w:r>
      <w:r w:rsidR="0080260E" w:rsidRPr="00191567">
        <w:rPr>
          <w:rFonts w:ascii="Californian FB" w:hAnsi="Californian FB"/>
        </w:rPr>
        <w:t>.</w:t>
      </w:r>
    </w:p>
  </w:footnote>
  <w:footnote w:id="51">
    <w:p w14:paraId="098B4A32" w14:textId="74C75C36" w:rsidR="00CE24D5" w:rsidRPr="00191567" w:rsidRDefault="00CE24D5">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06429B" w:rsidRPr="00191567">
        <w:rPr>
          <w:rFonts w:ascii="Californian FB" w:hAnsi="Californian FB"/>
        </w:rPr>
        <w:t>ibid</w:t>
      </w:r>
      <w:r w:rsidR="004C26AE" w:rsidRPr="00191567">
        <w:rPr>
          <w:rFonts w:ascii="Californian FB" w:hAnsi="Californian FB"/>
        </w:rPr>
        <w:t xml:space="preserve"> [28].</w:t>
      </w:r>
    </w:p>
  </w:footnote>
  <w:footnote w:id="52">
    <w:p w14:paraId="448F3056" w14:textId="5F56C462"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[2011] UKSC 52</w:t>
      </w:r>
      <w:r w:rsidR="0080260E" w:rsidRPr="00191567">
        <w:rPr>
          <w:rFonts w:ascii="Californian FB" w:hAnsi="Californian FB"/>
        </w:rPr>
        <w:t>.</w:t>
      </w:r>
    </w:p>
  </w:footnote>
  <w:footnote w:id="53">
    <w:p w14:paraId="0AC4EAC4" w14:textId="7296D957" w:rsidR="0020788A" w:rsidRPr="00191567" w:rsidRDefault="0020788A">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[1992] 2 AC 386</w:t>
      </w:r>
      <w:r w:rsidR="0006429B" w:rsidRPr="00191567">
        <w:rPr>
          <w:rFonts w:ascii="Californian FB" w:hAnsi="Californian FB"/>
        </w:rPr>
        <w:t xml:space="preserve"> (HL)</w:t>
      </w:r>
      <w:r w:rsidR="00B60674">
        <w:rPr>
          <w:rFonts w:ascii="Californian FB" w:hAnsi="Californian FB"/>
        </w:rPr>
        <w:t>.</w:t>
      </w:r>
    </w:p>
  </w:footnote>
  <w:footnote w:id="54">
    <w:p w14:paraId="5603FD6A" w14:textId="094FDD10" w:rsidR="000F1B83" w:rsidRPr="00191567" w:rsidRDefault="000F1B83">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4D5853" w:rsidRPr="00191567">
        <w:rPr>
          <w:rFonts w:ascii="Californian FB" w:hAnsi="Californian FB"/>
          <w:i/>
          <w:iCs/>
        </w:rPr>
        <w:t>Berrisford</w:t>
      </w:r>
      <w:r w:rsidR="004D5853" w:rsidRPr="00191567">
        <w:rPr>
          <w:rFonts w:ascii="Californian FB" w:hAnsi="Californian FB"/>
        </w:rPr>
        <w:t xml:space="preserve"> (n </w:t>
      </w:r>
      <w:r w:rsidR="0080260E" w:rsidRPr="00191567">
        <w:rPr>
          <w:rFonts w:ascii="Californian FB" w:hAnsi="Californian FB"/>
        </w:rPr>
        <w:fldChar w:fldCharType="begin"/>
      </w:r>
      <w:r w:rsidR="0080260E" w:rsidRPr="00191567">
        <w:rPr>
          <w:rFonts w:ascii="Californian FB" w:hAnsi="Californian FB"/>
        </w:rPr>
        <w:instrText xml:space="preserve"> NOTEREF _Ref173321280 \h </w:instrText>
      </w:r>
      <w:r w:rsidR="00A46FBA" w:rsidRPr="00191567">
        <w:rPr>
          <w:rFonts w:ascii="Californian FB" w:hAnsi="Californian FB"/>
        </w:rPr>
        <w:instrText xml:space="preserve"> \* MERGEFORMAT </w:instrText>
      </w:r>
      <w:r w:rsidR="0080260E" w:rsidRPr="00191567">
        <w:rPr>
          <w:rFonts w:ascii="Californian FB" w:hAnsi="Californian FB"/>
        </w:rPr>
      </w:r>
      <w:r w:rsidR="0080260E" w:rsidRPr="00191567">
        <w:rPr>
          <w:rFonts w:ascii="Californian FB" w:hAnsi="Californian FB"/>
        </w:rPr>
        <w:fldChar w:fldCharType="separate"/>
      </w:r>
      <w:r w:rsidR="00BA7AC9">
        <w:rPr>
          <w:rFonts w:ascii="Californian FB" w:hAnsi="Californian FB"/>
        </w:rPr>
        <w:t>50</w:t>
      </w:r>
      <w:r w:rsidR="0080260E" w:rsidRPr="00191567">
        <w:rPr>
          <w:rFonts w:ascii="Californian FB" w:hAnsi="Californian FB"/>
        </w:rPr>
        <w:fldChar w:fldCharType="end"/>
      </w:r>
      <w:r w:rsidR="004D5853" w:rsidRPr="00191567">
        <w:rPr>
          <w:rFonts w:ascii="Californian FB" w:hAnsi="Californian FB"/>
        </w:rPr>
        <w:t>) [37]</w:t>
      </w:r>
      <w:r w:rsidR="0080260E" w:rsidRPr="00191567">
        <w:rPr>
          <w:rFonts w:ascii="Californian FB" w:hAnsi="Californian FB"/>
        </w:rPr>
        <w:t>.</w:t>
      </w:r>
    </w:p>
  </w:footnote>
  <w:footnote w:id="55">
    <w:p w14:paraId="303FD31E" w14:textId="1F2969BF"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[2009] UKSC 2</w:t>
      </w:r>
      <w:r w:rsidR="0006429B" w:rsidRPr="00191567">
        <w:rPr>
          <w:rFonts w:ascii="Californian FB" w:hAnsi="Californian FB"/>
        </w:rPr>
        <w:t>.</w:t>
      </w:r>
    </w:p>
  </w:footnote>
  <w:footnote w:id="56">
    <w:p w14:paraId="1B92F1CE" w14:textId="751A31A7"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0006429B" w:rsidRPr="00191567">
        <w:rPr>
          <w:rFonts w:ascii="Californian FB" w:hAnsi="Californian FB"/>
        </w:rPr>
        <w:t xml:space="preserve"> ibid</w:t>
      </w:r>
      <w:r w:rsidRPr="00191567">
        <w:rPr>
          <w:rFonts w:ascii="Californian FB" w:hAnsi="Californian FB"/>
        </w:rPr>
        <w:t xml:space="preserve"> [12]</w:t>
      </w:r>
      <w:r w:rsidR="0006429B" w:rsidRPr="00191567">
        <w:rPr>
          <w:rFonts w:ascii="Californian FB" w:hAnsi="Californian FB"/>
        </w:rPr>
        <w:t>,</w:t>
      </w:r>
      <w:r w:rsidRPr="00191567">
        <w:rPr>
          <w:rFonts w:ascii="Californian FB" w:hAnsi="Californian FB"/>
        </w:rPr>
        <w:t xml:space="preserve"> [98]</w:t>
      </w:r>
      <w:r w:rsidR="0006429B" w:rsidRPr="00191567">
        <w:rPr>
          <w:rFonts w:ascii="Californian FB" w:hAnsi="Californian FB"/>
        </w:rPr>
        <w:t>.</w:t>
      </w:r>
    </w:p>
  </w:footnote>
  <w:footnote w:id="57">
    <w:p w14:paraId="6F531F62" w14:textId="58BCD290"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06429B" w:rsidRPr="00191567">
        <w:rPr>
          <w:rFonts w:ascii="Californian FB" w:hAnsi="Californian FB"/>
        </w:rPr>
        <w:t xml:space="preserve">ibid </w:t>
      </w:r>
      <w:r w:rsidRPr="00191567">
        <w:rPr>
          <w:rFonts w:ascii="Californian FB" w:hAnsi="Californian FB"/>
        </w:rPr>
        <w:t>[12]</w:t>
      </w:r>
      <w:r w:rsidR="0006429B" w:rsidRPr="00191567">
        <w:rPr>
          <w:rFonts w:ascii="Californian FB" w:hAnsi="Californian FB"/>
        </w:rPr>
        <w:t>.</w:t>
      </w:r>
    </w:p>
  </w:footnote>
  <w:footnote w:id="58">
    <w:p w14:paraId="62E7F19A" w14:textId="745F88DF"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[2010] UKSC 47</w:t>
      </w:r>
      <w:r w:rsidR="0006429B" w:rsidRPr="00191567">
        <w:rPr>
          <w:rFonts w:ascii="Californian FB" w:hAnsi="Californian FB"/>
        </w:rPr>
        <w:t>.</w:t>
      </w:r>
    </w:p>
  </w:footnote>
  <w:footnote w:id="59">
    <w:p w14:paraId="772C9CA6" w14:textId="68DAF501"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06429B" w:rsidRPr="00191567">
        <w:rPr>
          <w:rFonts w:ascii="Californian FB" w:hAnsi="Californian FB"/>
        </w:rPr>
        <w:t xml:space="preserve">ibid </w:t>
      </w:r>
      <w:r w:rsidRPr="00191567">
        <w:rPr>
          <w:rFonts w:ascii="Californian FB" w:hAnsi="Californian FB"/>
        </w:rPr>
        <w:t>[16]</w:t>
      </w:r>
      <w:r w:rsidR="0006429B" w:rsidRPr="00191567">
        <w:rPr>
          <w:rFonts w:ascii="Californian FB" w:hAnsi="Californian FB"/>
        </w:rPr>
        <w:t>.</w:t>
      </w:r>
    </w:p>
  </w:footnote>
  <w:footnote w:id="60">
    <w:p w14:paraId="0582883D" w14:textId="6B80137B"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0006429B" w:rsidRPr="00191567">
        <w:rPr>
          <w:rFonts w:ascii="Californian FB" w:hAnsi="Californian FB"/>
        </w:rPr>
        <w:t xml:space="preserve"> ibid</w:t>
      </w:r>
      <w:r w:rsidRPr="00191567">
        <w:rPr>
          <w:rFonts w:ascii="Californian FB" w:hAnsi="Californian FB"/>
        </w:rPr>
        <w:t xml:space="preserve"> [23]</w:t>
      </w:r>
      <w:r w:rsidR="0006429B" w:rsidRPr="00191567">
        <w:rPr>
          <w:rFonts w:ascii="Californian FB" w:hAnsi="Californian FB"/>
        </w:rPr>
        <w:t>.</w:t>
      </w:r>
    </w:p>
  </w:footnote>
  <w:footnote w:id="61">
    <w:p w14:paraId="7BB1506B" w14:textId="061BD24D"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[2011] UKSC 56</w:t>
      </w:r>
      <w:r w:rsidR="0006429B" w:rsidRPr="00191567">
        <w:rPr>
          <w:rFonts w:ascii="Californian FB" w:hAnsi="Californian FB"/>
        </w:rPr>
        <w:t>.</w:t>
      </w:r>
    </w:p>
  </w:footnote>
  <w:footnote w:id="62">
    <w:p w14:paraId="5C6704EB" w14:textId="3C75FA1E"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06429B" w:rsidRPr="00191567">
        <w:rPr>
          <w:rFonts w:ascii="Californian FB" w:hAnsi="Californian FB"/>
        </w:rPr>
        <w:t xml:space="preserve">ibid </w:t>
      </w:r>
      <w:r w:rsidRPr="00191567">
        <w:rPr>
          <w:rFonts w:ascii="Californian FB" w:hAnsi="Californian FB"/>
        </w:rPr>
        <w:t>[23]</w:t>
      </w:r>
      <w:r w:rsidR="0006429B" w:rsidRPr="00191567">
        <w:rPr>
          <w:rFonts w:ascii="Californian FB" w:hAnsi="Californian FB"/>
        </w:rPr>
        <w:t>.</w:t>
      </w:r>
    </w:p>
  </w:footnote>
  <w:footnote w:id="63">
    <w:p w14:paraId="77348282" w14:textId="449E4076"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[2020] UKSC 18</w:t>
      </w:r>
      <w:r w:rsidR="0006429B" w:rsidRPr="00191567">
        <w:rPr>
          <w:rFonts w:ascii="Californian FB" w:hAnsi="Californian FB"/>
        </w:rPr>
        <w:t>.</w:t>
      </w:r>
    </w:p>
  </w:footnote>
  <w:footnote w:id="64">
    <w:p w14:paraId="347FBEF2" w14:textId="4B8B5AC6" w:rsidR="0033699C" w:rsidRPr="00191567" w:rsidRDefault="0033699C" w:rsidP="0033699C">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06429B" w:rsidRPr="00191567">
        <w:rPr>
          <w:rFonts w:ascii="Californian FB" w:hAnsi="Californian FB"/>
        </w:rPr>
        <w:t xml:space="preserve">ibid </w:t>
      </w:r>
      <w:r w:rsidRPr="00191567">
        <w:rPr>
          <w:rFonts w:ascii="Californian FB" w:hAnsi="Californian FB"/>
        </w:rPr>
        <w:t>[25]</w:t>
      </w:r>
      <w:r w:rsidR="0006429B" w:rsidRPr="00191567">
        <w:rPr>
          <w:rFonts w:ascii="Californian FB" w:hAnsi="Californian FB"/>
        </w:rPr>
        <w:t>.</w:t>
      </w:r>
    </w:p>
  </w:footnote>
  <w:footnote w:id="65">
    <w:p w14:paraId="66A1BEA3" w14:textId="5B6094CA"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Or, at least, the ‘right to fish’: </w:t>
      </w:r>
      <w:r w:rsidR="00BE22C2" w:rsidRPr="00191567">
        <w:rPr>
          <w:rFonts w:ascii="Californian FB" w:hAnsi="Californian FB"/>
          <w:i/>
          <w:iCs/>
        </w:rPr>
        <w:t>R (Mott) v Environmental Agency</w:t>
      </w:r>
      <w:r w:rsidR="00BE22C2" w:rsidRPr="00191567">
        <w:rPr>
          <w:rFonts w:ascii="Californian FB" w:hAnsi="Californian FB"/>
        </w:rPr>
        <w:t xml:space="preserve"> [2018] UKSC 10</w:t>
      </w:r>
      <w:r w:rsidRPr="00191567">
        <w:rPr>
          <w:rFonts w:ascii="Californian FB" w:hAnsi="Californian FB"/>
        </w:rPr>
        <w:t xml:space="preserve"> [17].</w:t>
      </w:r>
    </w:p>
  </w:footnote>
  <w:footnote w:id="66">
    <w:p w14:paraId="661B645B" w14:textId="26421AC4"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sidDel="00C3018D">
        <w:rPr>
          <w:rFonts w:ascii="Californian FB" w:hAnsi="Californian FB"/>
        </w:rPr>
        <w:t xml:space="preserve"> </w:t>
      </w:r>
      <w:r w:rsidR="00C3018D">
        <w:rPr>
          <w:rFonts w:ascii="Californian FB" w:hAnsi="Californian FB"/>
        </w:rPr>
        <w:t>ECHR jurisprudence</w:t>
      </w:r>
      <w:r w:rsidR="00C3018D" w:rsidRPr="00191567">
        <w:rPr>
          <w:rFonts w:ascii="Californian FB" w:hAnsi="Californian FB"/>
        </w:rPr>
        <w:t xml:space="preserve"> </w:t>
      </w:r>
      <w:r w:rsidRPr="00191567">
        <w:rPr>
          <w:rFonts w:ascii="Californian FB" w:hAnsi="Californian FB"/>
        </w:rPr>
        <w:t xml:space="preserve">separates A1P1 into three ‘rules’: the enunciation of the principle, the rule on deprivation of possessions, and the right of the state to control use of property in accordance with the public interest: </w:t>
      </w:r>
      <w:proofErr w:type="spellStart"/>
      <w:r w:rsidRPr="00191567">
        <w:rPr>
          <w:rFonts w:ascii="Californian FB" w:hAnsi="Californian FB"/>
          <w:i/>
          <w:iCs/>
        </w:rPr>
        <w:t>Sporrong</w:t>
      </w:r>
      <w:proofErr w:type="spellEnd"/>
      <w:r w:rsidRPr="00191567">
        <w:rPr>
          <w:rFonts w:ascii="Californian FB" w:hAnsi="Californian FB"/>
          <w:i/>
          <w:iCs/>
        </w:rPr>
        <w:t xml:space="preserve"> and </w:t>
      </w:r>
      <w:proofErr w:type="spellStart"/>
      <w:r w:rsidRPr="00191567">
        <w:rPr>
          <w:rFonts w:ascii="Californian FB" w:hAnsi="Californian FB"/>
          <w:i/>
          <w:iCs/>
        </w:rPr>
        <w:t>Loennroth</w:t>
      </w:r>
      <w:proofErr w:type="spellEnd"/>
      <w:r w:rsidRPr="00191567">
        <w:rPr>
          <w:rFonts w:ascii="Californian FB" w:hAnsi="Californian FB"/>
          <w:i/>
          <w:iCs/>
        </w:rPr>
        <w:t xml:space="preserve"> v Sweden </w:t>
      </w:r>
      <w:r w:rsidRPr="00191567">
        <w:rPr>
          <w:rFonts w:ascii="Californian FB" w:hAnsi="Californian FB"/>
        </w:rPr>
        <w:t xml:space="preserve">(1982) 5 EHRR 35, </w:t>
      </w:r>
      <w:r w:rsidRPr="00191567">
        <w:rPr>
          <w:rFonts w:ascii="Californian FB" w:hAnsi="Californian FB"/>
          <w:i/>
          <w:iCs/>
        </w:rPr>
        <w:t>Back v Finland</w:t>
      </w:r>
      <w:r w:rsidRPr="00191567">
        <w:rPr>
          <w:rFonts w:ascii="Californian FB" w:hAnsi="Californian FB"/>
        </w:rPr>
        <w:t xml:space="preserve"> (2004) 40 EHRR 48 (summarised in </w:t>
      </w:r>
      <w:r w:rsidRPr="00191567">
        <w:rPr>
          <w:rFonts w:ascii="Californian FB" w:hAnsi="Californian FB"/>
          <w:i/>
          <w:iCs/>
        </w:rPr>
        <w:t>AXA General Insurance Ltd v HM Advocate</w:t>
      </w:r>
      <w:r w:rsidRPr="00191567">
        <w:rPr>
          <w:rFonts w:ascii="Californian FB" w:hAnsi="Californian FB"/>
        </w:rPr>
        <w:t xml:space="preserve"> [2011] UKSC 46 [107]-[108] (Lord Reed)), </w:t>
      </w:r>
      <w:proofErr w:type="spellStart"/>
      <w:r w:rsidRPr="00191567">
        <w:rPr>
          <w:rFonts w:ascii="Californian FB" w:hAnsi="Californian FB"/>
          <w:i/>
          <w:iCs/>
        </w:rPr>
        <w:t>Depalle</w:t>
      </w:r>
      <w:proofErr w:type="spellEnd"/>
      <w:r w:rsidRPr="00191567">
        <w:rPr>
          <w:rFonts w:ascii="Californian FB" w:hAnsi="Californian FB"/>
          <w:i/>
          <w:iCs/>
        </w:rPr>
        <w:t xml:space="preserve"> v France</w:t>
      </w:r>
      <w:r w:rsidRPr="00191567">
        <w:rPr>
          <w:rFonts w:ascii="Californian FB" w:hAnsi="Californian FB"/>
        </w:rPr>
        <w:t xml:space="preserve"> (2010) 54 EHRR 535.</w:t>
      </w:r>
    </w:p>
  </w:footnote>
  <w:footnote w:id="67">
    <w:p w14:paraId="551DA953" w14:textId="570A9856" w:rsidR="00400359" w:rsidRPr="00191567" w:rsidRDefault="00400359">
      <w:pPr>
        <w:pStyle w:val="FootnoteText"/>
        <w:rPr>
          <w:rFonts w:ascii="Californian FB" w:hAnsi="Californian FB"/>
        </w:rPr>
      </w:pPr>
      <w:r w:rsidRPr="00191567">
        <w:rPr>
          <w:rStyle w:val="FootnoteReference"/>
          <w:rFonts w:ascii="Californian FB" w:hAnsi="Californian FB"/>
        </w:rPr>
        <w:footnoteRef/>
      </w:r>
      <w:r w:rsidR="00BE22C2" w:rsidRPr="00191567">
        <w:rPr>
          <w:rFonts w:ascii="Californian FB" w:hAnsi="Californian FB"/>
        </w:rPr>
        <w:t xml:space="preserve"> </w:t>
      </w:r>
      <w:r w:rsidR="00BE22C2" w:rsidRPr="00191567">
        <w:rPr>
          <w:rFonts w:ascii="Californian FB" w:hAnsi="Californian FB"/>
          <w:i/>
          <w:iCs/>
        </w:rPr>
        <w:t>Mott</w:t>
      </w:r>
      <w:r w:rsidR="00BE22C2" w:rsidRPr="00191567">
        <w:rPr>
          <w:rFonts w:ascii="Californian FB" w:hAnsi="Californian FB"/>
        </w:rPr>
        <w:t xml:space="preserve"> (n </w:t>
      </w:r>
      <w:r w:rsidR="00BE22C2" w:rsidRPr="00191567">
        <w:rPr>
          <w:rFonts w:ascii="Californian FB" w:hAnsi="Californian FB"/>
        </w:rPr>
        <w:fldChar w:fldCharType="begin"/>
      </w:r>
      <w:r w:rsidR="00BE22C2" w:rsidRPr="00191567">
        <w:rPr>
          <w:rFonts w:ascii="Californian FB" w:hAnsi="Californian FB"/>
        </w:rPr>
        <w:instrText xml:space="preserve"> NOTEREF _Ref173321590 \h </w:instrText>
      </w:r>
      <w:r w:rsidR="00A46FBA" w:rsidRPr="00191567">
        <w:rPr>
          <w:rFonts w:ascii="Californian FB" w:hAnsi="Californian FB"/>
        </w:rPr>
        <w:instrText xml:space="preserve"> \* MERGEFORMAT </w:instrText>
      </w:r>
      <w:r w:rsidR="00BE22C2" w:rsidRPr="00191567">
        <w:rPr>
          <w:rFonts w:ascii="Californian FB" w:hAnsi="Californian FB"/>
        </w:rPr>
      </w:r>
      <w:r w:rsidR="00BE22C2" w:rsidRPr="00191567">
        <w:rPr>
          <w:rFonts w:ascii="Californian FB" w:hAnsi="Californian FB"/>
        </w:rPr>
        <w:fldChar w:fldCharType="separate"/>
      </w:r>
      <w:r w:rsidR="00BA7AC9">
        <w:rPr>
          <w:rFonts w:ascii="Californian FB" w:hAnsi="Californian FB"/>
        </w:rPr>
        <w:t>63</w:t>
      </w:r>
      <w:r w:rsidR="00BE22C2" w:rsidRPr="00191567">
        <w:rPr>
          <w:rFonts w:ascii="Californian FB" w:hAnsi="Californian FB"/>
        </w:rPr>
        <w:fldChar w:fldCharType="end"/>
      </w:r>
      <w:r w:rsidR="00BE22C2" w:rsidRPr="00191567">
        <w:rPr>
          <w:rFonts w:ascii="Californian FB" w:hAnsi="Californian FB"/>
        </w:rPr>
        <w:t>)</w:t>
      </w:r>
      <w:r w:rsidRPr="00191567">
        <w:rPr>
          <w:rFonts w:ascii="Californian FB" w:hAnsi="Californian FB"/>
        </w:rPr>
        <w:t xml:space="preserve"> </w:t>
      </w:r>
      <w:r w:rsidR="00B83960" w:rsidRPr="00191567">
        <w:rPr>
          <w:rFonts w:ascii="Californian FB" w:hAnsi="Californian FB"/>
        </w:rPr>
        <w:t>[35]</w:t>
      </w:r>
      <w:r w:rsidR="004812B0">
        <w:rPr>
          <w:rFonts w:ascii="Californian FB" w:hAnsi="Californian FB"/>
        </w:rPr>
        <w:t xml:space="preserve">: but the distinction is not ‘clear-cut’ </w:t>
      </w:r>
      <w:r w:rsidR="004812B0" w:rsidRPr="00191567">
        <w:rPr>
          <w:rFonts w:ascii="Californian FB" w:hAnsi="Californian FB"/>
        </w:rPr>
        <w:t>[32].</w:t>
      </w:r>
    </w:p>
  </w:footnote>
  <w:footnote w:id="68">
    <w:p w14:paraId="55281BEF" w14:textId="59E3B710"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As highlighted by Neuberger</w:t>
      </w:r>
      <w:r w:rsidR="00F4547A" w:rsidRPr="00191567">
        <w:rPr>
          <w:rFonts w:ascii="Californian FB" w:hAnsi="Californian FB"/>
        </w:rPr>
        <w:t xml:space="preserve"> LJ, as he then was, in </w:t>
      </w:r>
      <w:r w:rsidR="00F4547A" w:rsidRPr="00191567">
        <w:rPr>
          <w:rFonts w:ascii="Californian FB" w:hAnsi="Californian FB"/>
          <w:i/>
          <w:iCs/>
        </w:rPr>
        <w:t>R (Trailer and Marina (Leven) Ltd) v Secretary of State for the Environment, Food and Rural Affairs</w:t>
      </w:r>
      <w:r w:rsidR="00F4547A" w:rsidRPr="00191567">
        <w:rPr>
          <w:rFonts w:ascii="Californian FB" w:hAnsi="Californian FB"/>
        </w:rPr>
        <w:t xml:space="preserve"> [2005] 1 WLR 1267</w:t>
      </w:r>
      <w:r w:rsidR="00B9448F" w:rsidRPr="00191567">
        <w:rPr>
          <w:rFonts w:ascii="Californian FB" w:hAnsi="Californian FB"/>
        </w:rPr>
        <w:t xml:space="preserve">, cited in </w:t>
      </w:r>
      <w:r w:rsidR="00B9448F" w:rsidRPr="00191567">
        <w:rPr>
          <w:rFonts w:ascii="Californian FB" w:hAnsi="Californian FB"/>
          <w:i/>
          <w:iCs/>
        </w:rPr>
        <w:t xml:space="preserve">Mott </w:t>
      </w:r>
      <w:r w:rsidR="00B9448F" w:rsidRPr="00191567">
        <w:rPr>
          <w:rFonts w:ascii="Californian FB" w:hAnsi="Californian FB"/>
        </w:rPr>
        <w:t xml:space="preserve">(n </w:t>
      </w:r>
      <w:r w:rsidR="0095653E" w:rsidRPr="00191567">
        <w:rPr>
          <w:rFonts w:ascii="Californian FB" w:hAnsi="Californian FB"/>
        </w:rPr>
        <w:fldChar w:fldCharType="begin"/>
      </w:r>
      <w:r w:rsidR="0095653E" w:rsidRPr="00191567">
        <w:rPr>
          <w:rFonts w:ascii="Californian FB" w:hAnsi="Californian FB"/>
        </w:rPr>
        <w:instrText xml:space="preserve"> NOTEREF _Ref173321590 \h </w:instrText>
      </w:r>
      <w:r w:rsidR="00A46FBA" w:rsidRPr="00191567">
        <w:rPr>
          <w:rFonts w:ascii="Californian FB" w:hAnsi="Californian FB"/>
        </w:rPr>
        <w:instrText xml:space="preserve"> \* MERGEFORMAT </w:instrText>
      </w:r>
      <w:r w:rsidR="0095653E" w:rsidRPr="00191567">
        <w:rPr>
          <w:rFonts w:ascii="Californian FB" w:hAnsi="Californian FB"/>
        </w:rPr>
      </w:r>
      <w:r w:rsidR="0095653E" w:rsidRPr="00191567">
        <w:rPr>
          <w:rFonts w:ascii="Californian FB" w:hAnsi="Californian FB"/>
        </w:rPr>
        <w:fldChar w:fldCharType="separate"/>
      </w:r>
      <w:r w:rsidR="00BA7AC9">
        <w:rPr>
          <w:rFonts w:ascii="Californian FB" w:hAnsi="Californian FB"/>
        </w:rPr>
        <w:t>63</w:t>
      </w:r>
      <w:r w:rsidR="0095653E" w:rsidRPr="00191567">
        <w:rPr>
          <w:rFonts w:ascii="Californian FB" w:hAnsi="Californian FB"/>
        </w:rPr>
        <w:fldChar w:fldCharType="end"/>
      </w:r>
      <w:r w:rsidR="00B9448F" w:rsidRPr="00191567">
        <w:rPr>
          <w:rFonts w:ascii="Californian FB" w:hAnsi="Californian FB"/>
        </w:rPr>
        <w:t xml:space="preserve">) at </w:t>
      </w:r>
      <w:r w:rsidR="00F666BA" w:rsidRPr="00191567">
        <w:rPr>
          <w:rFonts w:ascii="Californian FB" w:hAnsi="Californian FB"/>
        </w:rPr>
        <w:t>[20].</w:t>
      </w:r>
    </w:p>
  </w:footnote>
  <w:footnote w:id="69">
    <w:p w14:paraId="59FCAE20" w14:textId="701FF11E" w:rsidR="00D64256" w:rsidRPr="00C62318" w:rsidRDefault="00D64256">
      <w:pPr>
        <w:pStyle w:val="FootnoteText"/>
        <w:rPr>
          <w:rFonts w:ascii="Californian FB" w:hAnsi="Californian FB"/>
        </w:rPr>
      </w:pPr>
      <w:r w:rsidRPr="00C62318">
        <w:rPr>
          <w:rStyle w:val="FootnoteReference"/>
          <w:rFonts w:ascii="Californian FB" w:hAnsi="Californian FB"/>
        </w:rPr>
        <w:footnoteRef/>
      </w:r>
      <w:r w:rsidRPr="00C62318">
        <w:rPr>
          <w:rFonts w:ascii="Californian FB" w:hAnsi="Californian FB"/>
        </w:rPr>
        <w:t xml:space="preserve"> </w:t>
      </w:r>
      <w:r w:rsidR="0053412D" w:rsidRPr="00191567">
        <w:rPr>
          <w:rFonts w:ascii="Californian FB" w:hAnsi="Californian FB"/>
          <w:i/>
          <w:iCs/>
        </w:rPr>
        <w:t>Mott</w:t>
      </w:r>
      <w:r w:rsidR="0053412D" w:rsidRPr="00191567">
        <w:rPr>
          <w:rFonts w:ascii="Californian FB" w:hAnsi="Californian FB"/>
        </w:rPr>
        <w:t xml:space="preserve"> (n </w:t>
      </w:r>
      <w:r w:rsidR="0053412D" w:rsidRPr="00191567">
        <w:rPr>
          <w:rFonts w:ascii="Californian FB" w:hAnsi="Californian FB"/>
        </w:rPr>
        <w:fldChar w:fldCharType="begin"/>
      </w:r>
      <w:r w:rsidR="0053412D" w:rsidRPr="00191567">
        <w:rPr>
          <w:rFonts w:ascii="Californian FB" w:hAnsi="Californian FB"/>
        </w:rPr>
        <w:instrText xml:space="preserve"> NOTEREF _Ref173321590 \h  \* MERGEFORMAT </w:instrText>
      </w:r>
      <w:r w:rsidR="0053412D" w:rsidRPr="00191567">
        <w:rPr>
          <w:rFonts w:ascii="Californian FB" w:hAnsi="Californian FB"/>
        </w:rPr>
      </w:r>
      <w:r w:rsidR="0053412D" w:rsidRPr="00191567">
        <w:rPr>
          <w:rFonts w:ascii="Californian FB" w:hAnsi="Californian FB"/>
        </w:rPr>
        <w:fldChar w:fldCharType="separate"/>
      </w:r>
      <w:r w:rsidR="00BA7AC9">
        <w:rPr>
          <w:rFonts w:ascii="Californian FB" w:hAnsi="Californian FB"/>
        </w:rPr>
        <w:t>63</w:t>
      </w:r>
      <w:r w:rsidR="0053412D" w:rsidRPr="00191567">
        <w:rPr>
          <w:rFonts w:ascii="Californian FB" w:hAnsi="Californian FB"/>
        </w:rPr>
        <w:fldChar w:fldCharType="end"/>
      </w:r>
      <w:r w:rsidR="0053412D" w:rsidRPr="00191567">
        <w:rPr>
          <w:rFonts w:ascii="Californian FB" w:hAnsi="Californian FB"/>
        </w:rPr>
        <w:t>)</w:t>
      </w:r>
      <w:r w:rsidR="0053412D">
        <w:rPr>
          <w:rFonts w:ascii="Californian FB" w:hAnsi="Californian FB"/>
        </w:rPr>
        <w:t>.</w:t>
      </w:r>
    </w:p>
  </w:footnote>
  <w:footnote w:id="70">
    <w:p w14:paraId="318930C4" w14:textId="2E66439A" w:rsidR="00BA7472" w:rsidRPr="007F3E48" w:rsidRDefault="00BA7472">
      <w:pPr>
        <w:pStyle w:val="FootnoteText"/>
        <w:rPr>
          <w:rFonts w:ascii="Californian FB" w:hAnsi="Californian FB"/>
        </w:rPr>
      </w:pPr>
      <w:r w:rsidRPr="00C62318">
        <w:rPr>
          <w:rStyle w:val="FootnoteReference"/>
          <w:rFonts w:ascii="Californian FB" w:hAnsi="Californian FB"/>
        </w:rPr>
        <w:footnoteRef/>
      </w:r>
      <w:r w:rsidRPr="00C62318">
        <w:rPr>
          <w:rFonts w:ascii="Californian FB" w:hAnsi="Californian FB"/>
        </w:rPr>
        <w:t xml:space="preserve"> </w:t>
      </w:r>
      <w:r w:rsidR="007F3E48">
        <w:rPr>
          <w:rFonts w:ascii="Californian FB" w:hAnsi="Californian FB"/>
        </w:rPr>
        <w:t>ibid [32].</w:t>
      </w:r>
    </w:p>
  </w:footnote>
  <w:footnote w:id="71">
    <w:p w14:paraId="0C7C9758" w14:textId="12D874EB" w:rsidR="00BA7472" w:rsidRPr="0095771C" w:rsidRDefault="00BA7472">
      <w:pPr>
        <w:pStyle w:val="FootnoteText"/>
        <w:rPr>
          <w:rFonts w:ascii="Californian FB" w:hAnsi="Californian FB"/>
        </w:rPr>
      </w:pPr>
      <w:r w:rsidRPr="00C62318">
        <w:rPr>
          <w:rStyle w:val="FootnoteReference"/>
          <w:rFonts w:ascii="Californian FB" w:hAnsi="Californian FB"/>
        </w:rPr>
        <w:footnoteRef/>
      </w:r>
      <w:r w:rsidRPr="00C62318">
        <w:rPr>
          <w:rFonts w:ascii="Californian FB" w:hAnsi="Californian FB"/>
        </w:rPr>
        <w:t xml:space="preserve"> </w:t>
      </w:r>
      <w:r w:rsidR="00A70769" w:rsidRPr="0095771C">
        <w:rPr>
          <w:rFonts w:ascii="Californian FB" w:hAnsi="Californian FB"/>
        </w:rPr>
        <w:t>ibid [36]-[37].</w:t>
      </w:r>
    </w:p>
  </w:footnote>
  <w:footnote w:id="72">
    <w:p w14:paraId="0F372566" w14:textId="1C7A5498" w:rsidR="00BA7472" w:rsidRPr="0095771C" w:rsidRDefault="00BA7472">
      <w:pPr>
        <w:pStyle w:val="FootnoteText"/>
        <w:rPr>
          <w:rFonts w:ascii="Californian FB" w:hAnsi="Californian FB"/>
        </w:rPr>
      </w:pPr>
      <w:r w:rsidRPr="0095771C">
        <w:rPr>
          <w:rStyle w:val="FootnoteReference"/>
          <w:rFonts w:ascii="Californian FB" w:hAnsi="Californian FB"/>
        </w:rPr>
        <w:footnoteRef/>
      </w:r>
      <w:r w:rsidRPr="0095771C">
        <w:rPr>
          <w:rFonts w:ascii="Californian FB" w:hAnsi="Californian FB"/>
        </w:rPr>
        <w:t xml:space="preserve"> </w:t>
      </w:r>
      <w:r w:rsidR="00C62318" w:rsidRPr="0095771C">
        <w:rPr>
          <w:rFonts w:ascii="Californian FB" w:hAnsi="Californian FB"/>
        </w:rPr>
        <w:t>[2013] UKSC 40.</w:t>
      </w:r>
    </w:p>
  </w:footnote>
  <w:footnote w:id="73">
    <w:p w14:paraId="76BC5F07" w14:textId="32F2570C" w:rsidR="00DB459C" w:rsidRPr="0095771C" w:rsidRDefault="00DB459C">
      <w:pPr>
        <w:pStyle w:val="FootnoteText"/>
        <w:rPr>
          <w:rFonts w:ascii="Californian FB" w:hAnsi="Californian FB"/>
        </w:rPr>
      </w:pPr>
      <w:r w:rsidRPr="0095771C">
        <w:rPr>
          <w:rStyle w:val="FootnoteReference"/>
          <w:rFonts w:ascii="Californian FB" w:hAnsi="Californian FB"/>
        </w:rPr>
        <w:footnoteRef/>
      </w:r>
      <w:r w:rsidRPr="0095771C">
        <w:rPr>
          <w:rFonts w:ascii="Californian FB" w:hAnsi="Californian FB"/>
        </w:rPr>
        <w:t xml:space="preserve"> </w:t>
      </w:r>
      <w:r w:rsidR="0095771C">
        <w:rPr>
          <w:rFonts w:ascii="Californian FB" w:hAnsi="Californian FB"/>
        </w:rPr>
        <w:t>i</w:t>
      </w:r>
      <w:r w:rsidR="0095771C" w:rsidRPr="0095771C">
        <w:rPr>
          <w:rFonts w:ascii="Californian FB" w:hAnsi="Californian FB"/>
        </w:rPr>
        <w:t xml:space="preserve">bid [69]. </w:t>
      </w:r>
    </w:p>
  </w:footnote>
  <w:footnote w:id="74">
    <w:p w14:paraId="630C11CC" w14:textId="6C859B97" w:rsidR="008E4BC4" w:rsidRPr="0095771C" w:rsidRDefault="008E4BC4" w:rsidP="008E4BC4">
      <w:pPr>
        <w:pStyle w:val="FootnoteText"/>
        <w:rPr>
          <w:rFonts w:ascii="Californian FB" w:hAnsi="Californian FB"/>
        </w:rPr>
      </w:pPr>
      <w:r w:rsidRPr="0095771C">
        <w:rPr>
          <w:rStyle w:val="FootnoteReference"/>
          <w:rFonts w:ascii="Californian FB" w:hAnsi="Californian FB"/>
        </w:rPr>
        <w:footnoteRef/>
      </w:r>
      <w:r w:rsidRPr="0095771C">
        <w:rPr>
          <w:rFonts w:ascii="Californian FB" w:hAnsi="Californian FB"/>
        </w:rPr>
        <w:t xml:space="preserve"> [201</w:t>
      </w:r>
      <w:r w:rsidR="00D31F04" w:rsidRPr="0095771C">
        <w:rPr>
          <w:rFonts w:ascii="Californian FB" w:hAnsi="Californian FB"/>
        </w:rPr>
        <w:t>7</w:t>
      </w:r>
      <w:r w:rsidRPr="0095771C">
        <w:rPr>
          <w:rFonts w:ascii="Californian FB" w:hAnsi="Californian FB"/>
        </w:rPr>
        <w:t>] UKSC</w:t>
      </w:r>
      <w:r w:rsidR="00D31F04" w:rsidRPr="0095771C">
        <w:rPr>
          <w:rFonts w:ascii="Californian FB" w:hAnsi="Californian FB"/>
        </w:rPr>
        <w:t xml:space="preserve"> 52.</w:t>
      </w:r>
      <w:r w:rsidRPr="0095771C">
        <w:rPr>
          <w:rFonts w:ascii="Californian FB" w:hAnsi="Californian FB"/>
        </w:rPr>
        <w:t xml:space="preserve"> </w:t>
      </w:r>
    </w:p>
  </w:footnote>
  <w:footnote w:id="75">
    <w:p w14:paraId="3AE0C7CA" w14:textId="665A5067" w:rsidR="00D31F04" w:rsidRPr="0095771C" w:rsidRDefault="00D31F04">
      <w:pPr>
        <w:pStyle w:val="FootnoteText"/>
        <w:rPr>
          <w:rFonts w:ascii="Californian FB" w:hAnsi="Californian FB"/>
        </w:rPr>
      </w:pPr>
      <w:r w:rsidRPr="0095771C">
        <w:rPr>
          <w:rStyle w:val="FootnoteReference"/>
          <w:rFonts w:ascii="Californian FB" w:hAnsi="Californian FB"/>
        </w:rPr>
        <w:footnoteRef/>
      </w:r>
      <w:r w:rsidRPr="0095771C">
        <w:rPr>
          <w:rFonts w:ascii="Californian FB" w:hAnsi="Californian FB"/>
        </w:rPr>
        <w:t xml:space="preserve"> </w:t>
      </w:r>
      <w:r w:rsidR="005A1718" w:rsidRPr="0095771C">
        <w:rPr>
          <w:rFonts w:ascii="Californian FB" w:hAnsi="Californian FB"/>
        </w:rPr>
        <w:t>[2013] UKSC 22.</w:t>
      </w:r>
    </w:p>
  </w:footnote>
  <w:footnote w:id="76">
    <w:p w14:paraId="13FB311C" w14:textId="6F1834FA" w:rsidR="009F3274" w:rsidRPr="00C62318" w:rsidRDefault="009F3274">
      <w:pPr>
        <w:pStyle w:val="FootnoteText"/>
        <w:rPr>
          <w:rFonts w:ascii="Californian FB" w:hAnsi="Californian FB"/>
        </w:rPr>
      </w:pPr>
      <w:r w:rsidRPr="0095771C">
        <w:rPr>
          <w:rStyle w:val="FootnoteReference"/>
          <w:rFonts w:ascii="Californian FB" w:hAnsi="Californian FB"/>
        </w:rPr>
        <w:footnoteRef/>
      </w:r>
      <w:r w:rsidRPr="0095771C">
        <w:rPr>
          <w:rFonts w:ascii="Californian FB" w:hAnsi="Californian FB"/>
        </w:rPr>
        <w:t xml:space="preserve"> Ss 72-73 of the Agricultural</w:t>
      </w:r>
      <w:r w:rsidRPr="00C62318">
        <w:rPr>
          <w:rFonts w:ascii="Californian FB" w:hAnsi="Californian FB"/>
        </w:rPr>
        <w:t xml:space="preserve"> Holdings (Scotland) Act 2003.</w:t>
      </w:r>
    </w:p>
  </w:footnote>
  <w:footnote w:id="77">
    <w:p w14:paraId="4F43DFDF" w14:textId="14720DAD" w:rsidR="009F3274" w:rsidRPr="00191567" w:rsidRDefault="009F3274" w:rsidP="009F3274">
      <w:pPr>
        <w:pStyle w:val="FootnoteText"/>
        <w:rPr>
          <w:rFonts w:ascii="Californian FB" w:hAnsi="Californian FB"/>
        </w:rPr>
      </w:pPr>
      <w:r w:rsidRPr="00191567">
        <w:rPr>
          <w:rStyle w:val="FootnoteReference"/>
          <w:rFonts w:ascii="Californian FB" w:hAnsi="Californian FB"/>
        </w:rPr>
        <w:footnoteRef/>
      </w:r>
      <w:r w:rsidRPr="00920640">
        <w:rPr>
          <w:rFonts w:ascii="Californian FB" w:hAnsi="Californian FB"/>
        </w:rPr>
        <w:t xml:space="preserve"> </w:t>
      </w:r>
      <w:r w:rsidR="009B3EEF" w:rsidRPr="00920640">
        <w:rPr>
          <w:rFonts w:ascii="Californian FB" w:eastAsia="Californian FB" w:hAnsi="Californian FB" w:cs="Californian FB"/>
          <w:i/>
          <w:iCs/>
          <w:color w:val="000000" w:themeColor="text1"/>
        </w:rPr>
        <w:t>Salvesen</w:t>
      </w:r>
      <w:r w:rsidR="009B3EEF" w:rsidRPr="00920640">
        <w:rPr>
          <w:rFonts w:ascii="Californian FB" w:hAnsi="Californian FB"/>
        </w:rPr>
        <w:t xml:space="preserve"> (n </w:t>
      </w:r>
      <w:r w:rsidR="009B3EEF" w:rsidRPr="00920640">
        <w:rPr>
          <w:rFonts w:ascii="Californian FB" w:hAnsi="Californian FB"/>
        </w:rPr>
        <w:fldChar w:fldCharType="begin"/>
      </w:r>
      <w:r w:rsidR="009B3EEF" w:rsidRPr="00920640">
        <w:rPr>
          <w:rFonts w:ascii="Californian FB" w:hAnsi="Californian FB"/>
        </w:rPr>
        <w:instrText xml:space="preserve"> NOTEREF _Ref174707960 \h </w:instrText>
      </w:r>
      <w:r w:rsidR="00920640">
        <w:rPr>
          <w:rFonts w:ascii="Californian FB" w:hAnsi="Californian FB"/>
        </w:rPr>
        <w:instrText xml:space="preserve"> \* MERGEFORMAT </w:instrText>
      </w:r>
      <w:r w:rsidR="009B3EEF" w:rsidRPr="00920640">
        <w:rPr>
          <w:rFonts w:ascii="Californian FB" w:hAnsi="Californian FB"/>
        </w:rPr>
      </w:r>
      <w:r w:rsidR="009B3EEF" w:rsidRPr="00920640">
        <w:rPr>
          <w:rFonts w:ascii="Californian FB" w:hAnsi="Californian FB"/>
        </w:rPr>
        <w:fldChar w:fldCharType="separate"/>
      </w:r>
      <w:r w:rsidR="00BA7AC9">
        <w:rPr>
          <w:rFonts w:ascii="Californian FB" w:hAnsi="Californian FB"/>
        </w:rPr>
        <w:t>73</w:t>
      </w:r>
      <w:r w:rsidR="009B3EEF" w:rsidRPr="00920640">
        <w:rPr>
          <w:rFonts w:ascii="Californian FB" w:hAnsi="Californian FB"/>
        </w:rPr>
        <w:fldChar w:fldCharType="end"/>
      </w:r>
      <w:r w:rsidR="009B3EEF" w:rsidRPr="00920640">
        <w:rPr>
          <w:rFonts w:ascii="Californian FB" w:hAnsi="Californian FB"/>
        </w:rPr>
        <w:t>)</w:t>
      </w:r>
      <w:r w:rsidRPr="00920640">
        <w:rPr>
          <w:rFonts w:ascii="Californian FB" w:hAnsi="Californian FB"/>
        </w:rPr>
        <w:t>[42].</w:t>
      </w:r>
    </w:p>
  </w:footnote>
  <w:footnote w:id="78">
    <w:p w14:paraId="0ED8604F" w14:textId="77777777" w:rsidR="003B0208" w:rsidRPr="00191567" w:rsidRDefault="003B0208" w:rsidP="003B0208">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[2014] UKSC 63.</w:t>
      </w:r>
    </w:p>
  </w:footnote>
  <w:footnote w:id="79">
    <w:p w14:paraId="1DF3630F" w14:textId="4FE55229" w:rsidR="003B0208" w:rsidRPr="00191567" w:rsidRDefault="003B0208" w:rsidP="003B0208">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[1992] 1 AC 478</w:t>
      </w:r>
      <w:r w:rsidRPr="00C62318">
        <w:rPr>
          <w:rFonts w:ascii="Californian FB" w:hAnsi="Californian FB"/>
        </w:rPr>
        <w:t>.</w:t>
      </w:r>
    </w:p>
  </w:footnote>
  <w:footnote w:id="80">
    <w:p w14:paraId="1D2BFE4F" w14:textId="76837066" w:rsidR="003B0208" w:rsidRPr="00191567" w:rsidRDefault="003B0208" w:rsidP="003B0208">
      <w:pPr>
        <w:pStyle w:val="FootnoteText"/>
        <w:rPr>
          <w:rFonts w:ascii="Californian FB" w:hAnsi="Californian FB"/>
        </w:rPr>
      </w:pPr>
      <w:r w:rsidRPr="00191567">
        <w:rPr>
          <w:rStyle w:val="FootnoteReference"/>
          <w:rFonts w:ascii="Californian FB" w:hAnsi="Californian FB"/>
        </w:rPr>
        <w:footnoteRef/>
      </w:r>
      <w:r w:rsidRPr="00920640">
        <w:rPr>
          <w:rFonts w:ascii="Californian FB" w:hAnsi="Californian FB"/>
        </w:rPr>
        <w:t xml:space="preserve"> </w:t>
      </w:r>
      <w:r w:rsidR="007B6647" w:rsidRPr="00920640">
        <w:rPr>
          <w:rFonts w:ascii="Californian FB" w:hAnsi="Californian FB"/>
          <w:i/>
          <w:iCs/>
        </w:rPr>
        <w:t>Sims</w:t>
      </w:r>
      <w:r w:rsidR="007B6647" w:rsidRPr="00920640">
        <w:rPr>
          <w:rFonts w:ascii="Californian FB" w:hAnsi="Californian FB"/>
        </w:rPr>
        <w:t xml:space="preserve"> (n </w:t>
      </w:r>
      <w:r w:rsidR="007B6647" w:rsidRPr="00920640">
        <w:rPr>
          <w:rFonts w:ascii="Californian FB" w:hAnsi="Californian FB"/>
        </w:rPr>
        <w:fldChar w:fldCharType="begin"/>
      </w:r>
      <w:r w:rsidR="007B6647" w:rsidRPr="00920640">
        <w:rPr>
          <w:rFonts w:ascii="Californian FB" w:hAnsi="Californian FB"/>
        </w:rPr>
        <w:instrText xml:space="preserve"> NOTEREF _Ref174708231 \h </w:instrText>
      </w:r>
      <w:r w:rsidR="00920640">
        <w:rPr>
          <w:rFonts w:ascii="Californian FB" w:hAnsi="Californian FB"/>
        </w:rPr>
        <w:instrText xml:space="preserve"> \* MERGEFORMAT </w:instrText>
      </w:r>
      <w:r w:rsidR="007B6647" w:rsidRPr="00920640">
        <w:rPr>
          <w:rFonts w:ascii="Californian FB" w:hAnsi="Californian FB"/>
        </w:rPr>
      </w:r>
      <w:r w:rsidR="007B6647" w:rsidRPr="00920640">
        <w:rPr>
          <w:rFonts w:ascii="Californian FB" w:hAnsi="Californian FB"/>
        </w:rPr>
        <w:fldChar w:fldCharType="separate"/>
      </w:r>
      <w:r w:rsidR="00BA7AC9">
        <w:rPr>
          <w:rFonts w:ascii="Californian FB" w:hAnsi="Californian FB"/>
        </w:rPr>
        <w:t>76</w:t>
      </w:r>
      <w:r w:rsidR="007B6647" w:rsidRPr="00920640">
        <w:rPr>
          <w:rFonts w:ascii="Californian FB" w:hAnsi="Californian FB"/>
        </w:rPr>
        <w:fldChar w:fldCharType="end"/>
      </w:r>
      <w:r w:rsidR="007B6647" w:rsidRPr="00920640">
        <w:rPr>
          <w:rFonts w:ascii="Californian FB" w:hAnsi="Californian FB"/>
        </w:rPr>
        <w:t xml:space="preserve">) </w:t>
      </w:r>
      <w:r w:rsidRPr="00920640">
        <w:rPr>
          <w:rFonts w:ascii="Californian FB" w:hAnsi="Californian FB"/>
        </w:rPr>
        <w:t>[15].</w:t>
      </w:r>
    </w:p>
  </w:footnote>
  <w:footnote w:id="81">
    <w:p w14:paraId="3BC7D798" w14:textId="4B0EAB5D" w:rsidR="003B0208" w:rsidRPr="00191567" w:rsidRDefault="003B0208" w:rsidP="003B0208">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Quoted at </w:t>
      </w:r>
      <w:r w:rsidR="007B6647">
        <w:rPr>
          <w:rFonts w:ascii="Californian FB" w:hAnsi="Californian FB"/>
        </w:rPr>
        <w:t xml:space="preserve">ibid </w:t>
      </w:r>
      <w:r w:rsidRPr="00191567">
        <w:rPr>
          <w:rFonts w:ascii="Californian FB" w:hAnsi="Californian FB"/>
        </w:rPr>
        <w:t>[15].</w:t>
      </w:r>
    </w:p>
  </w:footnote>
  <w:footnote w:id="82">
    <w:p w14:paraId="1602DF61" w14:textId="041C3D0B" w:rsidR="00C161FF" w:rsidRPr="00191567" w:rsidRDefault="00C161FF" w:rsidP="00C161FF">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This reflects how the HRA operates, with greater scrutiny of the actions of the legislature.</w:t>
      </w:r>
    </w:p>
  </w:footnote>
  <w:footnote w:id="83">
    <w:p w14:paraId="50330446" w14:textId="7777777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[2014] UKSC 16.</w:t>
      </w:r>
    </w:p>
  </w:footnote>
  <w:footnote w:id="84">
    <w:p w14:paraId="7AC1FF93" w14:textId="1571840B"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C62318">
        <w:rPr>
          <w:rFonts w:ascii="Californian FB" w:hAnsi="Californian FB"/>
        </w:rPr>
        <w:t xml:space="preserve"> </w:t>
      </w:r>
      <w:r w:rsidR="007B6647">
        <w:rPr>
          <w:rFonts w:ascii="Californian FB" w:hAnsi="Californian FB"/>
        </w:rPr>
        <w:t>ibid</w:t>
      </w:r>
      <w:r w:rsidRPr="00191567">
        <w:rPr>
          <w:rFonts w:ascii="Californian FB" w:hAnsi="Californian FB"/>
        </w:rPr>
        <w:t xml:space="preserve"> [66].</w:t>
      </w:r>
    </w:p>
  </w:footnote>
  <w:footnote w:id="85">
    <w:p w14:paraId="7F76B385" w14:textId="3D48B7F2"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C62318">
        <w:rPr>
          <w:rFonts w:ascii="Californian FB" w:hAnsi="Californian FB"/>
        </w:rPr>
        <w:t xml:space="preserve"> </w:t>
      </w:r>
      <w:r w:rsidR="007B6647">
        <w:rPr>
          <w:rFonts w:ascii="Californian FB" w:hAnsi="Californian FB"/>
        </w:rPr>
        <w:t>ibid</w:t>
      </w:r>
      <w:r w:rsidRPr="00191567">
        <w:rPr>
          <w:rFonts w:ascii="Californian FB" w:hAnsi="Californian FB"/>
        </w:rPr>
        <w:t xml:space="preserve"> [76].</w:t>
      </w:r>
    </w:p>
  </w:footnote>
  <w:footnote w:id="86">
    <w:p w14:paraId="07D1DEBF" w14:textId="7777777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[2016] UKSC 58. </w:t>
      </w:r>
    </w:p>
  </w:footnote>
  <w:footnote w:id="87">
    <w:p w14:paraId="195AE862" w14:textId="52A1BD31"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920640">
        <w:rPr>
          <w:rFonts w:ascii="Californian FB" w:hAnsi="Californian FB"/>
        </w:rPr>
        <w:t xml:space="preserve"> </w:t>
      </w:r>
      <w:r w:rsidR="00920640" w:rsidRPr="00920640">
        <w:rPr>
          <w:rFonts w:ascii="Californian FB" w:hAnsi="Californian FB"/>
        </w:rPr>
        <w:t>ibid</w:t>
      </w:r>
      <w:r w:rsidRPr="00191567">
        <w:rPr>
          <w:rFonts w:ascii="Californian FB" w:hAnsi="Californian FB"/>
        </w:rPr>
        <w:t xml:space="preserve"> [49].</w:t>
      </w:r>
    </w:p>
  </w:footnote>
  <w:footnote w:id="88">
    <w:p w14:paraId="4F91A468" w14:textId="5FCE72C6"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920640">
        <w:rPr>
          <w:rFonts w:ascii="Californian FB" w:hAnsi="Californian FB"/>
        </w:rPr>
        <w:t xml:space="preserve"> </w:t>
      </w:r>
      <w:r w:rsidR="00920640" w:rsidRPr="00920640">
        <w:rPr>
          <w:rFonts w:ascii="Californian FB" w:hAnsi="Californian FB"/>
        </w:rPr>
        <w:t>ibid</w:t>
      </w:r>
      <w:r w:rsidRPr="00191567">
        <w:rPr>
          <w:rFonts w:ascii="Californian FB" w:hAnsi="Californian FB"/>
        </w:rPr>
        <w:t xml:space="preserve"> [56].</w:t>
      </w:r>
    </w:p>
  </w:footnote>
  <w:footnote w:id="89">
    <w:p w14:paraId="5AB268EA" w14:textId="476B43D6" w:rsidR="00830C58" w:rsidRPr="00920640" w:rsidRDefault="00830C58">
      <w:pPr>
        <w:pStyle w:val="FootnoteText"/>
        <w:rPr>
          <w:rFonts w:ascii="Californian FB" w:hAnsi="Californian FB"/>
        </w:rPr>
      </w:pPr>
      <w:r w:rsidRPr="00920640">
        <w:rPr>
          <w:rStyle w:val="FootnoteReference"/>
          <w:rFonts w:ascii="Californian FB" w:hAnsi="Californian FB"/>
        </w:rPr>
        <w:footnoteRef/>
      </w:r>
      <w:r w:rsidRPr="00920640">
        <w:rPr>
          <w:rFonts w:ascii="Californian FB" w:hAnsi="Californian FB"/>
        </w:rPr>
        <w:t xml:space="preserve"> In contrast</w:t>
      </w:r>
      <w:r w:rsidR="00F60AE7">
        <w:rPr>
          <w:rFonts w:ascii="Californian FB" w:hAnsi="Californian FB"/>
        </w:rPr>
        <w:t>,</w:t>
      </w:r>
      <w:r w:rsidRPr="00920640">
        <w:rPr>
          <w:rFonts w:ascii="Californian FB" w:hAnsi="Californian FB"/>
        </w:rPr>
        <w:t xml:space="preserve"> Lord </w:t>
      </w:r>
      <w:r w:rsidRPr="42D18D7A">
        <w:rPr>
          <w:rFonts w:ascii="Californian FB" w:eastAsia="Californian FB" w:hAnsi="Californian FB" w:cs="Californian FB"/>
          <w:color w:val="000000" w:themeColor="text1"/>
          <w:lang w:val="en-US"/>
        </w:rPr>
        <w:t xml:space="preserve">Toulson viewed the issue as more appropriately dealt with through the discretionary housing payment </w:t>
      </w:r>
      <w:r w:rsidRPr="00F024F4">
        <w:rPr>
          <w:rFonts w:ascii="Californian FB" w:eastAsia="Californian FB" w:hAnsi="Californian FB" w:cs="Californian FB"/>
          <w:color w:val="000000" w:themeColor="text1"/>
          <w:lang w:val="en-US"/>
        </w:rPr>
        <w:t>scheme</w:t>
      </w:r>
      <w:r w:rsidR="00F60AE7">
        <w:rPr>
          <w:rFonts w:ascii="Californian FB" w:eastAsia="Californian FB" w:hAnsi="Californian FB" w:cs="Californian FB"/>
          <w:color w:val="000000" w:themeColor="text1"/>
          <w:lang w:val="en-US"/>
        </w:rPr>
        <w:t>:</w:t>
      </w:r>
      <w:r w:rsidR="00FE5C23">
        <w:rPr>
          <w:rFonts w:ascii="Californian FB" w:eastAsia="Californian FB" w:hAnsi="Californian FB" w:cs="Californian FB"/>
          <w:color w:val="000000" w:themeColor="text1"/>
          <w:lang w:val="en-US"/>
        </w:rPr>
        <w:t xml:space="preserve"> ibi</w:t>
      </w:r>
      <w:r w:rsidR="007C1717">
        <w:rPr>
          <w:rFonts w:ascii="Californian FB" w:eastAsia="Californian FB" w:hAnsi="Californian FB" w:cs="Californian FB"/>
          <w:color w:val="000000" w:themeColor="text1"/>
          <w:lang w:val="en-US"/>
        </w:rPr>
        <w:t>d [63].</w:t>
      </w:r>
    </w:p>
  </w:footnote>
  <w:footnote w:id="90">
    <w:p w14:paraId="7DA150F1" w14:textId="7A545753"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920640">
        <w:rPr>
          <w:rFonts w:ascii="Californian FB" w:hAnsi="Californian FB"/>
        </w:rPr>
        <w:t xml:space="preserve"> </w:t>
      </w:r>
      <w:r w:rsidR="00F97DEB">
        <w:rPr>
          <w:rFonts w:ascii="Californian FB" w:hAnsi="Californian FB"/>
        </w:rPr>
        <w:t>ibid</w:t>
      </w:r>
      <w:r w:rsidRPr="00191567">
        <w:rPr>
          <w:rFonts w:ascii="Californian FB" w:hAnsi="Californian FB"/>
        </w:rPr>
        <w:t xml:space="preserve"> [73].</w:t>
      </w:r>
    </w:p>
  </w:footnote>
  <w:footnote w:id="91">
    <w:p w14:paraId="30AB2630" w14:textId="7777777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[2019] UKSC 52.</w:t>
      </w:r>
    </w:p>
  </w:footnote>
  <w:footnote w:id="92">
    <w:p w14:paraId="388655DE" w14:textId="7777777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[2017] UKSC 8.</w:t>
      </w:r>
    </w:p>
  </w:footnote>
  <w:footnote w:id="93">
    <w:p w14:paraId="4D93C450" w14:textId="7C834E3A"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920640">
        <w:rPr>
          <w:rFonts w:ascii="Californian FB" w:hAnsi="Californian FB"/>
        </w:rPr>
        <w:t xml:space="preserve"> </w:t>
      </w:r>
      <w:r w:rsidR="00F97DEB">
        <w:rPr>
          <w:rFonts w:ascii="Californian FB" w:hAnsi="Californian FB"/>
        </w:rPr>
        <w:t>ibid</w:t>
      </w:r>
      <w:r w:rsidRPr="00191567">
        <w:rPr>
          <w:rFonts w:ascii="Californian FB" w:hAnsi="Californian FB"/>
        </w:rPr>
        <w:t xml:space="preserve"> [41].</w:t>
      </w:r>
    </w:p>
  </w:footnote>
  <w:footnote w:id="94">
    <w:p w14:paraId="4C5A369F" w14:textId="34B696AC" w:rsidR="007B03A0" w:rsidRPr="00B143C5" w:rsidRDefault="007B03A0" w:rsidP="007B03A0">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CC2075">
        <w:rPr>
          <w:rFonts w:ascii="Californian FB" w:hAnsi="Californian FB"/>
        </w:rPr>
        <w:t xml:space="preserve">This can be seen in </w:t>
      </w:r>
      <w:r w:rsidR="00CC2075" w:rsidRPr="4E5106A0">
        <w:rPr>
          <w:rFonts w:ascii="Californian FB" w:eastAsiaTheme="majorEastAsia" w:hAnsi="Californian FB" w:cstheme="majorBidi"/>
          <w:i/>
          <w:iCs/>
        </w:rPr>
        <w:t>Akerman-Livingstone v Aster Communities Ltd</w:t>
      </w:r>
      <w:r w:rsidR="00CC2075" w:rsidRPr="00191567">
        <w:rPr>
          <w:rFonts w:ascii="Californian FB" w:hAnsi="Californian FB"/>
        </w:rPr>
        <w:t xml:space="preserve"> </w:t>
      </w:r>
      <w:r w:rsidRPr="00191567">
        <w:rPr>
          <w:rFonts w:ascii="Californian FB" w:hAnsi="Californian FB"/>
        </w:rPr>
        <w:t>[2015] UKSC 15</w:t>
      </w:r>
      <w:r w:rsidR="00FE4264">
        <w:rPr>
          <w:rFonts w:ascii="Californian FB" w:hAnsi="Californian FB"/>
        </w:rPr>
        <w:t>.</w:t>
      </w:r>
    </w:p>
  </w:footnote>
  <w:footnote w:id="95">
    <w:p w14:paraId="38DF1312" w14:textId="4C8C5C84"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C66867" w:rsidRPr="007741F8">
        <w:rPr>
          <w:rFonts w:ascii="Californian FB" w:eastAsia="Californian FB" w:hAnsi="Californian FB" w:cs="Californian FB"/>
          <w:i/>
          <w:iCs/>
          <w:color w:val="000000" w:themeColor="text1"/>
          <w:lang w:val="en-US"/>
        </w:rPr>
        <w:t>Denise Brewster</w:t>
      </w:r>
      <w:r w:rsidR="00C66867" w:rsidRPr="007741F8">
        <w:rPr>
          <w:rFonts w:ascii="Californian FB" w:hAnsi="Californian FB"/>
        </w:rPr>
        <w:t xml:space="preserve"> (n </w:t>
      </w:r>
      <w:r w:rsidR="00773894" w:rsidRPr="007741F8">
        <w:rPr>
          <w:rFonts w:ascii="Californian FB" w:hAnsi="Californian FB"/>
        </w:rPr>
        <w:fldChar w:fldCharType="begin"/>
      </w:r>
      <w:r w:rsidR="00773894" w:rsidRPr="007741F8">
        <w:rPr>
          <w:rFonts w:ascii="Californian FB" w:hAnsi="Californian FB"/>
        </w:rPr>
        <w:instrText xml:space="preserve"> NOTEREF _Ref174709617 \h </w:instrText>
      </w:r>
      <w:r w:rsidR="007741F8">
        <w:rPr>
          <w:rFonts w:ascii="Californian FB" w:hAnsi="Californian FB"/>
        </w:rPr>
        <w:instrText xml:space="preserve"> \* MERGEFORMAT </w:instrText>
      </w:r>
      <w:r w:rsidR="00773894" w:rsidRPr="007741F8">
        <w:rPr>
          <w:rFonts w:ascii="Californian FB" w:hAnsi="Californian FB"/>
        </w:rPr>
      </w:r>
      <w:r w:rsidR="00773894" w:rsidRPr="007741F8">
        <w:rPr>
          <w:rFonts w:ascii="Californian FB" w:hAnsi="Californian FB"/>
        </w:rPr>
        <w:fldChar w:fldCharType="separate"/>
      </w:r>
      <w:r w:rsidR="00BA7AC9">
        <w:rPr>
          <w:rFonts w:ascii="Californian FB" w:hAnsi="Californian FB"/>
        </w:rPr>
        <w:t>90</w:t>
      </w:r>
      <w:r w:rsidR="00773894" w:rsidRPr="007741F8">
        <w:rPr>
          <w:rFonts w:ascii="Californian FB" w:hAnsi="Californian FB"/>
        </w:rPr>
        <w:fldChar w:fldCharType="end"/>
      </w:r>
      <w:r w:rsidR="00C66867" w:rsidRPr="007741F8">
        <w:rPr>
          <w:rFonts w:ascii="Californian FB" w:hAnsi="Californian FB"/>
        </w:rPr>
        <w:t>)</w:t>
      </w:r>
      <w:r w:rsidRPr="007741F8">
        <w:rPr>
          <w:rFonts w:ascii="Californian FB" w:hAnsi="Californian FB"/>
        </w:rPr>
        <w:t>[48].</w:t>
      </w:r>
    </w:p>
  </w:footnote>
  <w:footnote w:id="96">
    <w:p w14:paraId="60EB637E" w14:textId="6CE9D9FE"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4C436E" w:rsidRPr="00191567">
        <w:rPr>
          <w:rFonts w:ascii="Californian FB" w:hAnsi="Californian FB"/>
        </w:rPr>
        <w:t>[2003] UKHL 43.</w:t>
      </w:r>
    </w:p>
  </w:footnote>
  <w:footnote w:id="97">
    <w:p w14:paraId="53213911" w14:textId="77777777" w:rsidR="00196351" w:rsidRPr="00191567" w:rsidRDefault="00196351" w:rsidP="00196351">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[2010] UKSC 45.</w:t>
      </w:r>
    </w:p>
  </w:footnote>
  <w:footnote w:id="98">
    <w:p w14:paraId="4154BD54" w14:textId="2C7091E5" w:rsidR="008E4BC4" w:rsidRPr="00191567" w:rsidRDefault="008E4BC4" w:rsidP="008E4BC4">
      <w:pPr>
        <w:pStyle w:val="FootnoteText"/>
        <w:rPr>
          <w:rFonts w:ascii="Californian FB" w:eastAsiaTheme="minorEastAsia" w:hAnsi="Californian FB"/>
          <w:lang w:val="en-US"/>
        </w:rPr>
      </w:pPr>
      <w:r w:rsidRPr="00191567">
        <w:rPr>
          <w:rStyle w:val="FootnoteReference"/>
          <w:rFonts w:ascii="Californian FB" w:hAnsi="Californian FB"/>
        </w:rPr>
        <w:footnoteRef/>
      </w:r>
      <w:r w:rsidRPr="007741F8">
        <w:rPr>
          <w:rFonts w:ascii="Californian FB" w:hAnsi="Californian FB"/>
        </w:rPr>
        <w:t xml:space="preserve"> </w:t>
      </w:r>
      <w:r w:rsidRPr="007741F8">
        <w:rPr>
          <w:rFonts w:ascii="Californian FB" w:hAnsi="Californian FB"/>
          <w:i/>
        </w:rPr>
        <w:t>McDonald</w:t>
      </w:r>
      <w:r w:rsidRPr="007741F8">
        <w:rPr>
          <w:rFonts w:ascii="Californian FB" w:hAnsi="Californian FB"/>
        </w:rPr>
        <w:t xml:space="preserve"> </w:t>
      </w:r>
      <w:r w:rsidR="00BC0026" w:rsidRPr="007741F8">
        <w:rPr>
          <w:rFonts w:ascii="Californian FB" w:hAnsi="Californian FB"/>
        </w:rPr>
        <w:t xml:space="preserve">(n </w:t>
      </w:r>
      <w:r w:rsidR="00A67916" w:rsidRPr="007741F8">
        <w:rPr>
          <w:rFonts w:ascii="Californian FB" w:hAnsi="Californian FB"/>
        </w:rPr>
        <w:fldChar w:fldCharType="begin"/>
      </w:r>
      <w:r w:rsidR="00A67916" w:rsidRPr="007741F8">
        <w:rPr>
          <w:rFonts w:ascii="Californian FB" w:hAnsi="Californian FB"/>
        </w:rPr>
        <w:instrText xml:space="preserve"> NOTEREF _Ref174709699 \h </w:instrText>
      </w:r>
      <w:r w:rsidR="007741F8">
        <w:rPr>
          <w:rFonts w:ascii="Californian FB" w:hAnsi="Californian FB"/>
        </w:rPr>
        <w:instrText xml:space="preserve"> \* MERGEFORMAT </w:instrText>
      </w:r>
      <w:r w:rsidR="00A67916" w:rsidRPr="007741F8">
        <w:rPr>
          <w:rFonts w:ascii="Californian FB" w:hAnsi="Californian FB"/>
        </w:rPr>
      </w:r>
      <w:r w:rsidR="00A67916" w:rsidRPr="007741F8">
        <w:rPr>
          <w:rFonts w:ascii="Californian FB" w:hAnsi="Californian FB"/>
        </w:rPr>
        <w:fldChar w:fldCharType="separate"/>
      </w:r>
      <w:r w:rsidR="00BA7AC9">
        <w:rPr>
          <w:rFonts w:ascii="Californian FB" w:hAnsi="Californian FB"/>
        </w:rPr>
        <w:t>72</w:t>
      </w:r>
      <w:r w:rsidR="00A67916" w:rsidRPr="007741F8">
        <w:rPr>
          <w:rFonts w:ascii="Californian FB" w:hAnsi="Californian FB"/>
        </w:rPr>
        <w:fldChar w:fldCharType="end"/>
      </w:r>
      <w:r w:rsidR="00BC0026" w:rsidRPr="007741F8">
        <w:rPr>
          <w:rFonts w:ascii="Californian FB" w:hAnsi="Californian FB"/>
        </w:rPr>
        <w:t>)</w:t>
      </w:r>
      <w:r w:rsidR="00A67916" w:rsidRPr="007741F8">
        <w:rPr>
          <w:rFonts w:ascii="Californian FB" w:hAnsi="Californian FB"/>
        </w:rPr>
        <w:t xml:space="preserve"> </w:t>
      </w:r>
      <w:r w:rsidRPr="007741F8">
        <w:rPr>
          <w:rFonts w:ascii="Californian FB" w:hAnsi="Californian FB"/>
        </w:rPr>
        <w:t>[34].</w:t>
      </w:r>
    </w:p>
  </w:footnote>
  <w:footnote w:id="99">
    <w:p w14:paraId="16AAD983" w14:textId="25920FAA"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6FCE">
        <w:rPr>
          <w:rFonts w:ascii="Californian FB" w:hAnsi="Californian FB"/>
          <w:i/>
          <w:iCs/>
        </w:rPr>
        <w:t xml:space="preserve"> </w:t>
      </w:r>
      <w:r w:rsidR="00776FCE" w:rsidRPr="00776FCE">
        <w:rPr>
          <w:rFonts w:ascii="Californian FB" w:hAnsi="Californian FB"/>
          <w:i/>
          <w:iCs/>
        </w:rPr>
        <w:t>Pinnock</w:t>
      </w:r>
      <w:r w:rsidR="00776FCE">
        <w:rPr>
          <w:rFonts w:ascii="Californian FB" w:hAnsi="Californian FB"/>
        </w:rPr>
        <w:t xml:space="preserve"> (n </w:t>
      </w:r>
      <w:r w:rsidR="00D7571B" w:rsidRPr="007741F8">
        <w:rPr>
          <w:rFonts w:ascii="Californian FB" w:hAnsi="Californian FB"/>
        </w:rPr>
        <w:fldChar w:fldCharType="begin"/>
      </w:r>
      <w:r w:rsidR="00D7571B" w:rsidRPr="007741F8">
        <w:rPr>
          <w:rFonts w:ascii="Californian FB" w:hAnsi="Californian FB"/>
        </w:rPr>
        <w:instrText xml:space="preserve"> NOTEREF _Ref174709749 \h </w:instrText>
      </w:r>
      <w:r w:rsidR="007741F8">
        <w:rPr>
          <w:rFonts w:ascii="Californian FB" w:hAnsi="Californian FB"/>
        </w:rPr>
        <w:instrText xml:space="preserve"> \* MERGEFORMAT </w:instrText>
      </w:r>
      <w:r w:rsidR="00D7571B" w:rsidRPr="007741F8">
        <w:rPr>
          <w:rFonts w:ascii="Californian FB" w:hAnsi="Californian FB"/>
        </w:rPr>
      </w:r>
      <w:r w:rsidR="00D7571B" w:rsidRPr="007741F8">
        <w:rPr>
          <w:rFonts w:ascii="Californian FB" w:hAnsi="Californian FB"/>
        </w:rPr>
        <w:fldChar w:fldCharType="separate"/>
      </w:r>
      <w:r w:rsidR="00BA7AC9">
        <w:rPr>
          <w:rFonts w:ascii="Californian FB" w:hAnsi="Californian FB"/>
        </w:rPr>
        <w:t>95</w:t>
      </w:r>
      <w:r w:rsidR="00D7571B" w:rsidRPr="007741F8">
        <w:rPr>
          <w:rFonts w:ascii="Californian FB" w:hAnsi="Californian FB"/>
        </w:rPr>
        <w:fldChar w:fldCharType="end"/>
      </w:r>
      <w:r w:rsidR="00776FCE">
        <w:rPr>
          <w:rFonts w:ascii="Californian FB" w:hAnsi="Californian FB"/>
        </w:rPr>
        <w:t>)</w:t>
      </w:r>
      <w:r w:rsidRPr="00191567">
        <w:rPr>
          <w:rFonts w:ascii="Californian FB" w:hAnsi="Californian FB"/>
        </w:rPr>
        <w:t xml:space="preserve"> See [4] and [50], expressly stating that the judgment was not intended to have any bearing where the person seeking an order for possession was a private landlord.</w:t>
      </w:r>
    </w:p>
  </w:footnote>
  <w:footnote w:id="100">
    <w:p w14:paraId="33672DAA" w14:textId="51FA4BC5"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Having read the statutory provision, section 143</w:t>
      </w:r>
      <w:proofErr w:type="gramStart"/>
      <w:r w:rsidRPr="00191567">
        <w:rPr>
          <w:rFonts w:ascii="Californian FB" w:hAnsi="Californian FB"/>
        </w:rPr>
        <w:t>D(</w:t>
      </w:r>
      <w:proofErr w:type="gramEnd"/>
      <w:r w:rsidRPr="00191567">
        <w:rPr>
          <w:rFonts w:ascii="Californian FB" w:hAnsi="Californian FB"/>
        </w:rPr>
        <w:t xml:space="preserve">2) HA 1996, compatibly with A8 under section 3 HRA: see </w:t>
      </w:r>
      <w:r w:rsidR="006F521B">
        <w:rPr>
          <w:rFonts w:ascii="Californian FB" w:hAnsi="Californian FB"/>
        </w:rPr>
        <w:t xml:space="preserve">ibid </w:t>
      </w:r>
      <w:r w:rsidRPr="00191567">
        <w:rPr>
          <w:rFonts w:ascii="Californian FB" w:hAnsi="Californian FB"/>
        </w:rPr>
        <w:t>[70] and [79]-[88].</w:t>
      </w:r>
    </w:p>
  </w:footnote>
  <w:footnote w:id="101">
    <w:p w14:paraId="184F99A5" w14:textId="13ECFF55"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920640">
        <w:rPr>
          <w:rFonts w:ascii="Californian FB" w:hAnsi="Californian FB"/>
        </w:rPr>
        <w:t xml:space="preserve"> </w:t>
      </w:r>
      <w:r w:rsidR="006F521B">
        <w:rPr>
          <w:rFonts w:ascii="Californian FB" w:hAnsi="Californian FB"/>
        </w:rPr>
        <w:t xml:space="preserve">ibid </w:t>
      </w:r>
      <w:r w:rsidRPr="00920640">
        <w:rPr>
          <w:rFonts w:ascii="Californian FB" w:hAnsi="Californian FB"/>
        </w:rPr>
        <w:t xml:space="preserve">[54]. See also </w:t>
      </w:r>
      <w:r w:rsidR="008F57D5" w:rsidRPr="00920640">
        <w:rPr>
          <w:rFonts w:ascii="Californian FB" w:hAnsi="Californian FB"/>
          <w:i/>
          <w:iCs/>
        </w:rPr>
        <w:t>R (ZH and CN) v London Borough of Newham and London Borough of Lewisham </w:t>
      </w:r>
      <w:r w:rsidR="008F57D5" w:rsidRPr="00920640">
        <w:rPr>
          <w:rFonts w:ascii="Californian FB" w:hAnsi="Californian FB"/>
        </w:rPr>
        <w:t>[2014] UKSC 62</w:t>
      </w:r>
      <w:r w:rsidRPr="00920640">
        <w:rPr>
          <w:rFonts w:ascii="Californian FB" w:hAnsi="Californian FB"/>
        </w:rPr>
        <w:t xml:space="preserve"> [65].</w:t>
      </w:r>
    </w:p>
  </w:footnote>
  <w:footnote w:id="102">
    <w:p w14:paraId="7408DFE9" w14:textId="2ACFD389" w:rsidR="001A55A6" w:rsidRPr="00191567" w:rsidRDefault="001A55A6">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607140" w:rsidRPr="007741F8">
        <w:rPr>
          <w:rFonts w:ascii="Californian FB" w:hAnsi="Californian FB"/>
          <w:i/>
          <w:iCs/>
        </w:rPr>
        <w:t>ZH</w:t>
      </w:r>
      <w:r w:rsidR="00AE1558">
        <w:rPr>
          <w:rFonts w:ascii="Californian FB" w:hAnsi="Californian FB"/>
          <w:i/>
          <w:iCs/>
        </w:rPr>
        <w:t xml:space="preserve"> </w:t>
      </w:r>
      <w:r w:rsidR="008F57D5" w:rsidRPr="007741F8">
        <w:rPr>
          <w:rFonts w:ascii="Californian FB" w:hAnsi="Californian FB"/>
        </w:rPr>
        <w:t xml:space="preserve">(n </w:t>
      </w:r>
      <w:r w:rsidR="008F57D5" w:rsidRPr="007741F8">
        <w:rPr>
          <w:rFonts w:ascii="Californian FB" w:hAnsi="Californian FB"/>
        </w:rPr>
        <w:fldChar w:fldCharType="begin"/>
      </w:r>
      <w:r w:rsidR="008F57D5" w:rsidRPr="007741F8">
        <w:rPr>
          <w:rFonts w:ascii="Californian FB" w:hAnsi="Californian FB"/>
        </w:rPr>
        <w:instrText xml:space="preserve"> NOTEREF _Ref174709847 \h </w:instrText>
      </w:r>
      <w:r w:rsidR="007741F8">
        <w:rPr>
          <w:rFonts w:ascii="Californian FB" w:hAnsi="Californian FB"/>
        </w:rPr>
        <w:instrText xml:space="preserve"> \* MERGEFORMAT </w:instrText>
      </w:r>
      <w:r w:rsidR="008F57D5" w:rsidRPr="007741F8">
        <w:rPr>
          <w:rFonts w:ascii="Californian FB" w:hAnsi="Californian FB"/>
        </w:rPr>
      </w:r>
      <w:r w:rsidR="008F57D5" w:rsidRPr="007741F8">
        <w:rPr>
          <w:rFonts w:ascii="Californian FB" w:hAnsi="Californian FB"/>
        </w:rPr>
        <w:fldChar w:fldCharType="separate"/>
      </w:r>
      <w:r w:rsidR="00BA7AC9">
        <w:rPr>
          <w:rFonts w:ascii="Californian FB" w:hAnsi="Californian FB"/>
        </w:rPr>
        <w:t>99</w:t>
      </w:r>
      <w:r w:rsidR="008F57D5" w:rsidRPr="007741F8">
        <w:rPr>
          <w:rFonts w:ascii="Californian FB" w:hAnsi="Californian FB"/>
        </w:rPr>
        <w:fldChar w:fldCharType="end"/>
      </w:r>
      <w:r w:rsidR="008F57D5" w:rsidRPr="007741F8">
        <w:rPr>
          <w:rFonts w:ascii="Californian FB" w:hAnsi="Californian FB"/>
        </w:rPr>
        <w:t>)</w:t>
      </w:r>
      <w:r w:rsidR="00607140" w:rsidRPr="007741F8">
        <w:rPr>
          <w:rFonts w:ascii="Californian FB" w:hAnsi="Californian FB"/>
        </w:rPr>
        <w:t>.</w:t>
      </w:r>
    </w:p>
  </w:footnote>
  <w:footnote w:id="103">
    <w:p w14:paraId="327CEE41" w14:textId="7833B5A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A011E3">
        <w:rPr>
          <w:rFonts w:ascii="Californian FB" w:hAnsi="Californian FB"/>
        </w:rPr>
        <w:t>ibid</w:t>
      </w:r>
      <w:r w:rsidRPr="00191567">
        <w:rPr>
          <w:rFonts w:ascii="Californian FB" w:hAnsi="Californian FB"/>
        </w:rPr>
        <w:t xml:space="preserve"> [60].</w:t>
      </w:r>
    </w:p>
  </w:footnote>
  <w:footnote w:id="104">
    <w:p w14:paraId="7DCCFB51" w14:textId="18FDAE6F"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A011E3">
        <w:rPr>
          <w:rFonts w:ascii="Californian FB" w:hAnsi="Californian FB"/>
        </w:rPr>
        <w:t>ibid</w:t>
      </w:r>
      <w:r w:rsidRPr="00191567">
        <w:rPr>
          <w:rFonts w:ascii="Californian FB" w:hAnsi="Californian FB"/>
        </w:rPr>
        <w:t xml:space="preserve"> [61].</w:t>
      </w:r>
    </w:p>
  </w:footnote>
  <w:footnote w:id="105">
    <w:p w14:paraId="3BD24C1C" w14:textId="5714727A"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A011E3">
        <w:rPr>
          <w:rFonts w:ascii="Californian FB" w:hAnsi="Californian FB"/>
        </w:rPr>
        <w:t>ibid</w:t>
      </w:r>
      <w:r w:rsidRPr="00191567">
        <w:rPr>
          <w:rFonts w:ascii="Californian FB" w:hAnsi="Californian FB"/>
        </w:rPr>
        <w:t xml:space="preserve"> [64].</w:t>
      </w:r>
    </w:p>
  </w:footnote>
  <w:footnote w:id="106">
    <w:p w14:paraId="66294DCB" w14:textId="138D78C8"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4B194D">
        <w:rPr>
          <w:rFonts w:ascii="Californian FB" w:hAnsi="Californian FB"/>
        </w:rPr>
        <w:t>ibid</w:t>
      </w:r>
      <w:r w:rsidRPr="00191567">
        <w:rPr>
          <w:rFonts w:ascii="Californian FB" w:hAnsi="Californian FB"/>
        </w:rPr>
        <w:t xml:space="preserve"> [71].</w:t>
      </w:r>
    </w:p>
  </w:footnote>
  <w:footnote w:id="107">
    <w:p w14:paraId="599A5F1A" w14:textId="6267A84F"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4B194D" w:rsidRPr="004B194D">
        <w:rPr>
          <w:rFonts w:ascii="Californian FB" w:hAnsi="Californian FB"/>
          <w:i/>
          <w:iCs/>
        </w:rPr>
        <w:t>Sims</w:t>
      </w:r>
      <w:r w:rsidR="004B194D">
        <w:rPr>
          <w:rFonts w:ascii="Californian FB" w:hAnsi="Californian FB"/>
        </w:rPr>
        <w:t xml:space="preserve"> (n </w:t>
      </w:r>
      <w:r w:rsidR="00BD1734">
        <w:rPr>
          <w:rFonts w:ascii="Californian FB" w:hAnsi="Californian FB"/>
        </w:rPr>
        <w:fldChar w:fldCharType="begin"/>
      </w:r>
      <w:r w:rsidR="00BD1734">
        <w:rPr>
          <w:rFonts w:ascii="Californian FB" w:hAnsi="Californian FB"/>
        </w:rPr>
        <w:instrText xml:space="preserve"> NOTEREF _Ref174708231 \h </w:instrText>
      </w:r>
      <w:r w:rsidR="00BD1734">
        <w:rPr>
          <w:rFonts w:ascii="Californian FB" w:hAnsi="Californian FB"/>
        </w:rPr>
      </w:r>
      <w:r w:rsidR="00BD1734">
        <w:rPr>
          <w:rFonts w:ascii="Californian FB" w:hAnsi="Californian FB"/>
        </w:rPr>
        <w:fldChar w:fldCharType="separate"/>
      </w:r>
      <w:r w:rsidR="00BA7AC9">
        <w:rPr>
          <w:rFonts w:ascii="Californian FB" w:hAnsi="Californian FB"/>
        </w:rPr>
        <w:t>76</w:t>
      </w:r>
      <w:r w:rsidR="00BD1734">
        <w:rPr>
          <w:rFonts w:ascii="Californian FB" w:hAnsi="Californian FB"/>
        </w:rPr>
        <w:fldChar w:fldCharType="end"/>
      </w:r>
      <w:r w:rsidR="004B194D">
        <w:rPr>
          <w:rFonts w:ascii="Californian FB" w:hAnsi="Californian FB"/>
        </w:rPr>
        <w:t>)</w:t>
      </w:r>
      <w:r w:rsidRPr="007741F8">
        <w:rPr>
          <w:rFonts w:ascii="Californian FB" w:hAnsi="Californian FB"/>
        </w:rPr>
        <w:t>[23].</w:t>
      </w:r>
    </w:p>
  </w:footnote>
  <w:footnote w:id="108">
    <w:p w14:paraId="123F5A0A" w14:textId="046ED13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A177A4">
        <w:rPr>
          <w:rFonts w:ascii="Californian FB" w:hAnsi="Californian FB"/>
        </w:rPr>
        <w:t>ibid</w:t>
      </w:r>
      <w:r w:rsidRPr="007741F8">
        <w:rPr>
          <w:rFonts w:ascii="Californian FB" w:hAnsi="Californian FB"/>
        </w:rPr>
        <w:t>.</w:t>
      </w:r>
    </w:p>
  </w:footnote>
  <w:footnote w:id="109">
    <w:p w14:paraId="236DF332" w14:textId="430887C0"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6B3C89" w:rsidRPr="006B3C89">
        <w:rPr>
          <w:rFonts w:ascii="Californian FB" w:hAnsi="Californian FB"/>
          <w:i/>
          <w:iCs/>
        </w:rPr>
        <w:t>McDonald</w:t>
      </w:r>
      <w:r w:rsidR="006B3C89">
        <w:rPr>
          <w:rFonts w:ascii="Californian FB" w:hAnsi="Californian FB"/>
        </w:rPr>
        <w:t xml:space="preserve"> (n </w:t>
      </w:r>
      <w:r w:rsidR="006B3C89">
        <w:rPr>
          <w:rFonts w:ascii="Californian FB" w:hAnsi="Californian FB"/>
        </w:rPr>
        <w:fldChar w:fldCharType="begin"/>
      </w:r>
      <w:r w:rsidR="006B3C89">
        <w:rPr>
          <w:rFonts w:ascii="Californian FB" w:hAnsi="Californian FB"/>
        </w:rPr>
        <w:instrText xml:space="preserve"> NOTEREF _Ref174709699 \h </w:instrText>
      </w:r>
      <w:r w:rsidR="006B3C89">
        <w:rPr>
          <w:rFonts w:ascii="Californian FB" w:hAnsi="Californian FB"/>
        </w:rPr>
      </w:r>
      <w:r w:rsidR="006B3C89">
        <w:rPr>
          <w:rFonts w:ascii="Californian FB" w:hAnsi="Californian FB"/>
        </w:rPr>
        <w:fldChar w:fldCharType="separate"/>
      </w:r>
      <w:r w:rsidR="00BA7AC9">
        <w:rPr>
          <w:rFonts w:ascii="Californian FB" w:hAnsi="Californian FB"/>
        </w:rPr>
        <w:t>72</w:t>
      </w:r>
      <w:r w:rsidR="006B3C89">
        <w:rPr>
          <w:rFonts w:ascii="Californian FB" w:hAnsi="Californian FB"/>
        </w:rPr>
        <w:fldChar w:fldCharType="end"/>
      </w:r>
      <w:r w:rsidR="006B3C89">
        <w:rPr>
          <w:rFonts w:ascii="Californian FB" w:hAnsi="Californian FB"/>
        </w:rPr>
        <w:t>)</w:t>
      </w:r>
      <w:r w:rsidR="00A177A4">
        <w:rPr>
          <w:rFonts w:ascii="Californian FB" w:hAnsi="Californian FB"/>
        </w:rPr>
        <w:t xml:space="preserve"> </w:t>
      </w:r>
      <w:r w:rsidRPr="007741F8">
        <w:rPr>
          <w:rFonts w:ascii="Californian FB" w:hAnsi="Californian FB"/>
        </w:rPr>
        <w:t>[40].</w:t>
      </w:r>
    </w:p>
  </w:footnote>
  <w:footnote w:id="110">
    <w:p w14:paraId="4C179C88" w14:textId="0EFEC00A"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5C488D">
        <w:rPr>
          <w:rFonts w:ascii="Californian FB" w:hAnsi="Californian FB"/>
        </w:rPr>
        <w:t>ibid.</w:t>
      </w:r>
    </w:p>
  </w:footnote>
  <w:footnote w:id="111">
    <w:p w14:paraId="746F7B44" w14:textId="7D9827E9"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6B3C89">
        <w:rPr>
          <w:rFonts w:ascii="Californian FB" w:hAnsi="Californian FB"/>
        </w:rPr>
        <w:t>ibid</w:t>
      </w:r>
      <w:r w:rsidRPr="00191567">
        <w:rPr>
          <w:rFonts w:ascii="Californian FB" w:hAnsi="Californian FB"/>
        </w:rPr>
        <w:t xml:space="preserve"> [74].</w:t>
      </w:r>
    </w:p>
  </w:footnote>
  <w:footnote w:id="112">
    <w:p w14:paraId="73D8C7ED" w14:textId="4F023FF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Pr="007741F8">
        <w:rPr>
          <w:rFonts w:ascii="Californian FB" w:hAnsi="Californian FB"/>
          <w:i/>
        </w:rPr>
        <w:t>Pinnock</w:t>
      </w:r>
      <w:r w:rsidRPr="007741F8">
        <w:rPr>
          <w:rFonts w:ascii="Californian FB" w:hAnsi="Californian FB"/>
        </w:rPr>
        <w:t xml:space="preserve"> </w:t>
      </w:r>
      <w:r w:rsidR="005C488D">
        <w:rPr>
          <w:rFonts w:ascii="Californian FB" w:hAnsi="Californian FB"/>
        </w:rPr>
        <w:t xml:space="preserve">(n </w:t>
      </w:r>
      <w:r w:rsidR="006B3C89">
        <w:rPr>
          <w:rFonts w:ascii="Californian FB" w:hAnsi="Californian FB"/>
        </w:rPr>
        <w:fldChar w:fldCharType="begin"/>
      </w:r>
      <w:r w:rsidR="006B3C89">
        <w:rPr>
          <w:rFonts w:ascii="Californian FB" w:hAnsi="Californian FB"/>
        </w:rPr>
        <w:instrText xml:space="preserve"> NOTEREF _Ref174709749 \h </w:instrText>
      </w:r>
      <w:r w:rsidR="006B3C89">
        <w:rPr>
          <w:rFonts w:ascii="Californian FB" w:hAnsi="Californian FB"/>
        </w:rPr>
      </w:r>
      <w:r w:rsidR="006B3C89">
        <w:rPr>
          <w:rFonts w:ascii="Californian FB" w:hAnsi="Californian FB"/>
        </w:rPr>
        <w:fldChar w:fldCharType="separate"/>
      </w:r>
      <w:r w:rsidR="00BA7AC9">
        <w:rPr>
          <w:rFonts w:ascii="Californian FB" w:hAnsi="Californian FB"/>
        </w:rPr>
        <w:t>95</w:t>
      </w:r>
      <w:r w:rsidR="006B3C89">
        <w:rPr>
          <w:rFonts w:ascii="Californian FB" w:hAnsi="Californian FB"/>
        </w:rPr>
        <w:fldChar w:fldCharType="end"/>
      </w:r>
      <w:r w:rsidR="005C488D">
        <w:rPr>
          <w:rFonts w:ascii="Californian FB" w:hAnsi="Californian FB"/>
        </w:rPr>
        <w:t>)</w:t>
      </w:r>
      <w:r w:rsidRPr="007741F8">
        <w:rPr>
          <w:rFonts w:ascii="Californian FB" w:hAnsi="Californian FB"/>
        </w:rPr>
        <w:t xml:space="preserve"> [50].</w:t>
      </w:r>
    </w:p>
  </w:footnote>
  <w:footnote w:id="113">
    <w:p w14:paraId="5E7AC269" w14:textId="7777777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As pointed out by Boddy and Graham, ‘FJM v United Kingdom: the taming of article 8?’ [2019] Conv 166, 167, borrowing the applicability/compatibility language from Goymour, ‘Property and Housing’ in Hoffmann (ed), </w:t>
      </w:r>
      <w:r w:rsidRPr="00191567">
        <w:rPr>
          <w:rFonts w:ascii="Californian FB" w:hAnsi="Californian FB"/>
          <w:i/>
          <w:iCs/>
        </w:rPr>
        <w:t>The Impact of the UK Human Rights Act on Private Law</w:t>
      </w:r>
      <w:r w:rsidRPr="00191567">
        <w:rPr>
          <w:rFonts w:ascii="Californian FB" w:hAnsi="Californian FB"/>
        </w:rPr>
        <w:t xml:space="preserve"> (CUP 2011) 251. </w:t>
      </w:r>
    </w:p>
  </w:footnote>
  <w:footnote w:id="114">
    <w:p w14:paraId="268124F7" w14:textId="7777777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ibid.</w:t>
      </w:r>
    </w:p>
  </w:footnote>
  <w:footnote w:id="115">
    <w:p w14:paraId="4FFEF71E" w14:textId="7777777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(2019) 68 EHRR SE5.</w:t>
      </w:r>
    </w:p>
  </w:footnote>
  <w:footnote w:id="116">
    <w:p w14:paraId="035B244D" w14:textId="14CD58CB" w:rsidR="008E4BC4" w:rsidRPr="00191567" w:rsidRDefault="008E4BC4" w:rsidP="008E4BC4">
      <w:pPr>
        <w:pStyle w:val="FootnoteText"/>
        <w:rPr>
          <w:rFonts w:ascii="Californian FB" w:hAnsi="Californian FB"/>
          <w:i/>
        </w:rPr>
      </w:pPr>
      <w:r w:rsidRPr="00191567">
        <w:rPr>
          <w:rStyle w:val="FootnoteReference"/>
          <w:rFonts w:ascii="Californian FB" w:hAnsi="Californian FB"/>
        </w:rPr>
        <w:footnoteRef/>
      </w:r>
      <w:r w:rsidRPr="007741F8">
        <w:rPr>
          <w:rFonts w:ascii="Californian FB" w:hAnsi="Californian FB"/>
        </w:rPr>
        <w:t xml:space="preserve"> Boddy and Graham</w:t>
      </w:r>
      <w:r w:rsidR="00287C0E">
        <w:rPr>
          <w:rFonts w:ascii="Californian FB" w:hAnsi="Californian FB"/>
        </w:rPr>
        <w:t xml:space="preserve"> (n </w:t>
      </w:r>
      <w:r w:rsidR="00287C0E">
        <w:rPr>
          <w:rFonts w:ascii="Californian FB" w:hAnsi="Californian FB"/>
        </w:rPr>
        <w:fldChar w:fldCharType="begin"/>
      </w:r>
      <w:r w:rsidR="00287C0E">
        <w:rPr>
          <w:rFonts w:ascii="Californian FB" w:hAnsi="Californian FB"/>
        </w:rPr>
        <w:instrText xml:space="preserve"> NOTEREF _Ref174710967 \h </w:instrText>
      </w:r>
      <w:r w:rsidR="00287C0E">
        <w:rPr>
          <w:rFonts w:ascii="Californian FB" w:hAnsi="Californian FB"/>
        </w:rPr>
      </w:r>
      <w:r w:rsidR="00287C0E">
        <w:rPr>
          <w:rFonts w:ascii="Californian FB" w:hAnsi="Californian FB"/>
        </w:rPr>
        <w:fldChar w:fldCharType="separate"/>
      </w:r>
      <w:r w:rsidR="00BA7AC9">
        <w:rPr>
          <w:rFonts w:ascii="Californian FB" w:hAnsi="Californian FB"/>
        </w:rPr>
        <w:t>111</w:t>
      </w:r>
      <w:r w:rsidR="00287C0E">
        <w:rPr>
          <w:rFonts w:ascii="Californian FB" w:hAnsi="Californian FB"/>
        </w:rPr>
        <w:fldChar w:fldCharType="end"/>
      </w:r>
      <w:r w:rsidR="00287C0E">
        <w:rPr>
          <w:rFonts w:ascii="Californian FB" w:hAnsi="Californian FB"/>
        </w:rPr>
        <w:t xml:space="preserve">) </w:t>
      </w:r>
      <w:r w:rsidRPr="007741F8">
        <w:rPr>
          <w:rFonts w:ascii="Californian FB" w:hAnsi="Californian FB"/>
        </w:rPr>
        <w:t>170-171.</w:t>
      </w:r>
    </w:p>
  </w:footnote>
  <w:footnote w:id="117">
    <w:p w14:paraId="5A8C4EC0" w14:textId="77777777"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[2023] UKSC 4.</w:t>
      </w:r>
    </w:p>
  </w:footnote>
  <w:footnote w:id="118">
    <w:p w14:paraId="53B5FF1B" w14:textId="5234BFA6"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287C0E">
        <w:rPr>
          <w:rFonts w:ascii="Californian FB" w:hAnsi="Californian FB"/>
        </w:rPr>
        <w:t>ibid</w:t>
      </w:r>
      <w:r w:rsidRPr="00191567">
        <w:rPr>
          <w:rFonts w:ascii="Californian FB" w:hAnsi="Californian FB"/>
        </w:rPr>
        <w:t xml:space="preserve"> [113].</w:t>
      </w:r>
    </w:p>
  </w:footnote>
  <w:footnote w:id="119">
    <w:p w14:paraId="0808831B" w14:textId="3F9ECBFD" w:rsidR="008E4BC4" w:rsidRPr="00191567" w:rsidRDefault="008E4BC4" w:rsidP="008E4BC4">
      <w:pPr>
        <w:pStyle w:val="FootnoteText"/>
        <w:rPr>
          <w:rFonts w:ascii="Californian FB" w:hAnsi="Californian FB"/>
        </w:rPr>
      </w:pPr>
      <w:r w:rsidRPr="00191567">
        <w:rPr>
          <w:rStyle w:val="FootnoteReference"/>
          <w:rFonts w:ascii="Californian FB" w:hAnsi="Californian FB"/>
        </w:rPr>
        <w:footnoteRef/>
      </w:r>
      <w:r w:rsidRPr="007741F8">
        <w:rPr>
          <w:rFonts w:ascii="Californian FB" w:hAnsi="Californian FB"/>
        </w:rPr>
        <w:t xml:space="preserve"> </w:t>
      </w:r>
      <w:r w:rsidR="00287C0E">
        <w:rPr>
          <w:rFonts w:ascii="Californian FB" w:hAnsi="Californian FB"/>
        </w:rPr>
        <w:t>ibid</w:t>
      </w:r>
      <w:r w:rsidRPr="00191567">
        <w:rPr>
          <w:rFonts w:ascii="Californian FB" w:hAnsi="Californian FB"/>
        </w:rPr>
        <w:t xml:space="preserve"> [112].</w:t>
      </w:r>
    </w:p>
  </w:footnote>
  <w:footnote w:id="120">
    <w:p w14:paraId="53913F98" w14:textId="073F7E59" w:rsidR="00274CF6" w:rsidRPr="00191567" w:rsidRDefault="00274CF6">
      <w:pPr>
        <w:pStyle w:val="FootnoteText"/>
        <w:rPr>
          <w:rFonts w:ascii="Californian FB" w:hAnsi="Californian FB"/>
        </w:rPr>
      </w:pPr>
      <w:r w:rsidRPr="00191567">
        <w:rPr>
          <w:rStyle w:val="FootnoteReference"/>
          <w:rFonts w:ascii="Californian FB" w:hAnsi="Californian FB"/>
        </w:rPr>
        <w:footnoteRef/>
      </w:r>
      <w:r w:rsidR="00DA0065" w:rsidRPr="00191567">
        <w:rPr>
          <w:rFonts w:ascii="Californian FB" w:hAnsi="Californian FB"/>
        </w:rPr>
        <w:t xml:space="preserve"> </w:t>
      </w:r>
      <w:r w:rsidR="004839E7" w:rsidRPr="00191567">
        <w:rPr>
          <w:rFonts w:ascii="Californian FB" w:hAnsi="Californian FB"/>
        </w:rPr>
        <w:t>[1994] 1 AC 324 (PC).</w:t>
      </w:r>
    </w:p>
  </w:footnote>
  <w:footnote w:id="121">
    <w:p w14:paraId="3562CD6F" w14:textId="77C254EB" w:rsidR="002B1671" w:rsidRPr="00191567" w:rsidRDefault="002B1671">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E34B84">
        <w:rPr>
          <w:rFonts w:ascii="Californian FB" w:hAnsi="Californian FB"/>
        </w:rPr>
        <w:t>ibid [</w:t>
      </w:r>
      <w:r w:rsidR="00210D59" w:rsidRPr="00191567">
        <w:rPr>
          <w:rFonts w:ascii="Californian FB" w:hAnsi="Californian FB"/>
        </w:rPr>
        <w:t>330</w:t>
      </w:r>
      <w:r w:rsidR="00E34B84">
        <w:rPr>
          <w:rFonts w:ascii="Californian FB" w:hAnsi="Californian FB"/>
        </w:rPr>
        <w:t>]</w:t>
      </w:r>
      <w:r w:rsidR="00210D59" w:rsidRPr="00191567">
        <w:rPr>
          <w:rFonts w:ascii="Californian FB" w:hAnsi="Californian FB"/>
        </w:rPr>
        <w:t xml:space="preserve"> (Lord Templeman), cited in </w:t>
      </w:r>
      <w:r w:rsidR="00210D59" w:rsidRPr="00191567">
        <w:rPr>
          <w:rFonts w:ascii="Californian FB" w:hAnsi="Californian FB"/>
          <w:i/>
          <w:iCs/>
        </w:rPr>
        <w:t>FHR</w:t>
      </w:r>
      <w:r w:rsidR="00210D59" w:rsidRPr="00191567">
        <w:rPr>
          <w:rFonts w:ascii="Californian FB" w:hAnsi="Californian FB"/>
        </w:rPr>
        <w:t xml:space="preserve"> </w:t>
      </w:r>
      <w:r w:rsidR="00BC7A64">
        <w:rPr>
          <w:rFonts w:ascii="Californian FB" w:hAnsi="Californian FB"/>
        </w:rPr>
        <w:t xml:space="preserve">(n </w:t>
      </w:r>
      <w:r w:rsidR="00BC7A64" w:rsidRPr="00C62318">
        <w:rPr>
          <w:rFonts w:ascii="Californian FB" w:hAnsi="Californian FB"/>
        </w:rPr>
        <w:fldChar w:fldCharType="begin"/>
      </w:r>
      <w:r w:rsidR="00BC7A64" w:rsidRPr="00C62318">
        <w:rPr>
          <w:rFonts w:ascii="Californian FB" w:hAnsi="Californian FB"/>
        </w:rPr>
        <w:instrText xml:space="preserve"> NOTEREF _Ref173321058 \h </w:instrText>
      </w:r>
      <w:r w:rsidR="00C62318">
        <w:rPr>
          <w:rFonts w:ascii="Californian FB" w:hAnsi="Californian FB"/>
        </w:rPr>
        <w:instrText xml:space="preserve"> \* MERGEFORMAT </w:instrText>
      </w:r>
      <w:r w:rsidR="00BC7A64" w:rsidRPr="00C62318">
        <w:rPr>
          <w:rFonts w:ascii="Californian FB" w:hAnsi="Californian FB"/>
        </w:rPr>
      </w:r>
      <w:r w:rsidR="00BC7A64" w:rsidRPr="00C62318">
        <w:rPr>
          <w:rFonts w:ascii="Californian FB" w:hAnsi="Californian FB"/>
        </w:rPr>
        <w:fldChar w:fldCharType="separate"/>
      </w:r>
      <w:r w:rsidR="00BA7AC9">
        <w:rPr>
          <w:rFonts w:ascii="Californian FB" w:hAnsi="Californian FB"/>
        </w:rPr>
        <w:t>29</w:t>
      </w:r>
      <w:r w:rsidR="00BC7A64" w:rsidRPr="00C62318">
        <w:rPr>
          <w:rFonts w:ascii="Californian FB" w:hAnsi="Californian FB"/>
        </w:rPr>
        <w:fldChar w:fldCharType="end"/>
      </w:r>
      <w:r w:rsidR="00BC7A64">
        <w:rPr>
          <w:rFonts w:ascii="Californian FB" w:hAnsi="Californian FB"/>
        </w:rPr>
        <w:t>)</w:t>
      </w:r>
      <w:r w:rsidR="00210D59" w:rsidRPr="00191567">
        <w:rPr>
          <w:rFonts w:ascii="Californian FB" w:hAnsi="Californian FB"/>
        </w:rPr>
        <w:t>[42] (Lord Neuberger).</w:t>
      </w:r>
    </w:p>
  </w:footnote>
  <w:footnote w:id="122">
    <w:p w14:paraId="268412BB" w14:textId="4F1B2B91" w:rsidR="00AB4A7D" w:rsidRPr="00191567" w:rsidRDefault="00AB4A7D">
      <w:pPr>
        <w:pStyle w:val="FootnoteText"/>
        <w:rPr>
          <w:rFonts w:ascii="Californian FB" w:hAnsi="Californian FB"/>
        </w:rPr>
      </w:pPr>
      <w:r w:rsidRPr="00191567">
        <w:rPr>
          <w:rStyle w:val="FootnoteReference"/>
          <w:rFonts w:ascii="Californian FB" w:hAnsi="Californian FB"/>
        </w:rPr>
        <w:footnoteRef/>
      </w:r>
      <w:r w:rsidRPr="00C62318">
        <w:rPr>
          <w:rFonts w:ascii="Californian FB" w:hAnsi="Californian FB"/>
        </w:rPr>
        <w:t xml:space="preserve"> </w:t>
      </w:r>
      <w:r w:rsidR="0066583B" w:rsidRPr="00C62318">
        <w:rPr>
          <w:rFonts w:ascii="Californian FB" w:hAnsi="Californian FB"/>
          <w:i/>
          <w:iCs/>
        </w:rPr>
        <w:t>FHR</w:t>
      </w:r>
      <w:r w:rsidR="0066583B" w:rsidRPr="00C62318">
        <w:rPr>
          <w:rFonts w:ascii="Californian FB" w:hAnsi="Californian FB"/>
        </w:rPr>
        <w:t xml:space="preserve"> </w:t>
      </w:r>
      <w:r w:rsidR="00BC3863" w:rsidRPr="00C62318">
        <w:rPr>
          <w:rFonts w:ascii="Californian FB" w:hAnsi="Californian FB"/>
        </w:rPr>
        <w:t xml:space="preserve">(n </w:t>
      </w:r>
      <w:r w:rsidR="00BC7A64" w:rsidRPr="00C62318">
        <w:rPr>
          <w:rFonts w:ascii="Californian FB" w:hAnsi="Californian FB"/>
        </w:rPr>
        <w:fldChar w:fldCharType="begin"/>
      </w:r>
      <w:r w:rsidR="00BC7A64" w:rsidRPr="00C62318">
        <w:rPr>
          <w:rFonts w:ascii="Californian FB" w:hAnsi="Californian FB"/>
        </w:rPr>
        <w:instrText xml:space="preserve"> NOTEREF _Ref173321058 \h </w:instrText>
      </w:r>
      <w:r w:rsidR="00C62318">
        <w:rPr>
          <w:rFonts w:ascii="Californian FB" w:hAnsi="Californian FB"/>
        </w:rPr>
        <w:instrText xml:space="preserve"> \* MERGEFORMAT </w:instrText>
      </w:r>
      <w:r w:rsidR="00BC7A64" w:rsidRPr="00C62318">
        <w:rPr>
          <w:rFonts w:ascii="Californian FB" w:hAnsi="Californian FB"/>
        </w:rPr>
      </w:r>
      <w:r w:rsidR="00BC7A64" w:rsidRPr="00C62318">
        <w:rPr>
          <w:rFonts w:ascii="Californian FB" w:hAnsi="Californian FB"/>
        </w:rPr>
        <w:fldChar w:fldCharType="separate"/>
      </w:r>
      <w:r w:rsidR="00BA7AC9">
        <w:rPr>
          <w:rFonts w:ascii="Californian FB" w:hAnsi="Californian FB"/>
        </w:rPr>
        <w:t>29</w:t>
      </w:r>
      <w:r w:rsidR="00BC7A64" w:rsidRPr="00C62318">
        <w:rPr>
          <w:rFonts w:ascii="Californian FB" w:hAnsi="Californian FB"/>
        </w:rPr>
        <w:fldChar w:fldCharType="end"/>
      </w:r>
      <w:r w:rsidR="00BC3863" w:rsidRPr="00C62318">
        <w:rPr>
          <w:rFonts w:ascii="Californian FB" w:hAnsi="Californian FB"/>
        </w:rPr>
        <w:t>)</w:t>
      </w:r>
      <w:r w:rsidR="0066583B" w:rsidRPr="00C62318">
        <w:rPr>
          <w:rFonts w:ascii="Californian FB" w:hAnsi="Californian FB"/>
        </w:rPr>
        <w:t>[44].</w:t>
      </w:r>
    </w:p>
  </w:footnote>
  <w:footnote w:id="123">
    <w:p w14:paraId="1FF984E2" w14:textId="3433567A" w:rsidR="00C47F34" w:rsidRPr="00191567" w:rsidRDefault="00C47F3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2A49A1" w:rsidRPr="00191567">
        <w:rPr>
          <w:rFonts w:ascii="Californian FB" w:hAnsi="Californian FB"/>
        </w:rPr>
        <w:t xml:space="preserve">[2011] 3 WLR </w:t>
      </w:r>
      <w:r w:rsidR="00C84A3E" w:rsidRPr="00191567">
        <w:rPr>
          <w:rFonts w:ascii="Californian FB" w:hAnsi="Californian FB"/>
        </w:rPr>
        <w:t>1153 (CA).</w:t>
      </w:r>
    </w:p>
  </w:footnote>
  <w:footnote w:id="124">
    <w:p w14:paraId="255D6D32" w14:textId="5235F787" w:rsidR="00BF0D44" w:rsidRPr="00191567" w:rsidRDefault="00BF0D4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[2020] UKSC </w:t>
      </w:r>
      <w:r w:rsidR="00584B3D" w:rsidRPr="00191567">
        <w:rPr>
          <w:rFonts w:ascii="Californian FB" w:hAnsi="Californian FB"/>
        </w:rPr>
        <w:t>45.</w:t>
      </w:r>
    </w:p>
  </w:footnote>
  <w:footnote w:id="125">
    <w:p w14:paraId="0977562C" w14:textId="29185D4D" w:rsidR="00C23D68" w:rsidRPr="00191567" w:rsidRDefault="00C23D68">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D41B0E">
        <w:rPr>
          <w:rFonts w:ascii="Californian FB" w:hAnsi="Californian FB"/>
        </w:rPr>
        <w:t>ibid</w:t>
      </w:r>
      <w:r w:rsidRPr="00191567">
        <w:rPr>
          <w:rFonts w:ascii="Californian FB" w:hAnsi="Californian FB"/>
        </w:rPr>
        <w:t xml:space="preserve"> </w:t>
      </w:r>
      <w:r w:rsidR="00333253" w:rsidRPr="00191567">
        <w:rPr>
          <w:rFonts w:ascii="Californian FB" w:hAnsi="Californian FB"/>
        </w:rPr>
        <w:t>[59].</w:t>
      </w:r>
    </w:p>
  </w:footnote>
  <w:footnote w:id="126">
    <w:p w14:paraId="31DE6B8D" w14:textId="1531B9E2" w:rsidR="0066583B" w:rsidRPr="00191567" w:rsidRDefault="0066583B">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7A0FDC" w:rsidRPr="00191567">
        <w:rPr>
          <w:rFonts w:ascii="Californian FB" w:hAnsi="Californian FB"/>
        </w:rPr>
        <w:t>[2020] UKSC 36.</w:t>
      </w:r>
    </w:p>
  </w:footnote>
  <w:footnote w:id="127">
    <w:p w14:paraId="01CE1487" w14:textId="40CEC578" w:rsidR="006141CB" w:rsidRPr="00191567" w:rsidRDefault="006141CB">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4556E0">
        <w:rPr>
          <w:rFonts w:ascii="Californian FB" w:hAnsi="Californian FB"/>
        </w:rPr>
        <w:t>ibid</w:t>
      </w:r>
      <w:r w:rsidRPr="00191567">
        <w:rPr>
          <w:rFonts w:ascii="Californian FB" w:hAnsi="Californian FB"/>
        </w:rPr>
        <w:t xml:space="preserve"> [44].</w:t>
      </w:r>
    </w:p>
  </w:footnote>
  <w:footnote w:id="128">
    <w:p w14:paraId="1E6AD993" w14:textId="63A2A87B" w:rsidR="00F532BD" w:rsidRPr="00191567" w:rsidRDefault="00F532BD">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4556E0">
        <w:rPr>
          <w:rFonts w:ascii="Californian FB" w:hAnsi="Californian FB"/>
        </w:rPr>
        <w:t>ibid.</w:t>
      </w:r>
    </w:p>
  </w:footnote>
  <w:footnote w:id="129">
    <w:p w14:paraId="340AE643" w14:textId="3682D2AE" w:rsidR="00D74121" w:rsidRPr="00191567" w:rsidRDefault="00D74121">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4556E0">
        <w:rPr>
          <w:rFonts w:ascii="Californian FB" w:hAnsi="Californian FB"/>
        </w:rPr>
        <w:t>ibid</w:t>
      </w:r>
      <w:r w:rsidRPr="00191567">
        <w:rPr>
          <w:rFonts w:ascii="Californian FB" w:hAnsi="Californian FB"/>
        </w:rPr>
        <w:t xml:space="preserve"> </w:t>
      </w:r>
      <w:r w:rsidR="000F5A99" w:rsidRPr="00191567">
        <w:rPr>
          <w:rFonts w:ascii="Californian FB" w:hAnsi="Californian FB"/>
        </w:rPr>
        <w:t>[46].</w:t>
      </w:r>
    </w:p>
  </w:footnote>
  <w:footnote w:id="130">
    <w:p w14:paraId="516CDC7A" w14:textId="74D1C8CB" w:rsidR="007E783A" w:rsidRPr="00191567" w:rsidRDefault="007E783A">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[2016] UKSC 42.</w:t>
      </w:r>
    </w:p>
  </w:footnote>
  <w:footnote w:id="131">
    <w:p w14:paraId="22CAD52E" w14:textId="50966EDA" w:rsidR="001646F4" w:rsidRPr="00191567" w:rsidRDefault="001646F4" w:rsidP="001646F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[1994] 1 AC 340.</w:t>
      </w:r>
    </w:p>
  </w:footnote>
  <w:footnote w:id="132">
    <w:p w14:paraId="5A611D60" w14:textId="15946B8E" w:rsidR="001646F4" w:rsidRPr="00191567" w:rsidRDefault="001646F4" w:rsidP="001646F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[2014] UKSC 47.</w:t>
      </w:r>
    </w:p>
  </w:footnote>
  <w:footnote w:id="133">
    <w:p w14:paraId="5AB0D9A5" w14:textId="77777777" w:rsidR="001646F4" w:rsidRPr="00191567" w:rsidRDefault="001646F4" w:rsidP="001646F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[2016] UKSC 42.</w:t>
      </w:r>
    </w:p>
  </w:footnote>
  <w:footnote w:id="134">
    <w:p w14:paraId="4D9A6CC0" w14:textId="59DD38BE" w:rsidR="001646F4" w:rsidRPr="00191567" w:rsidRDefault="001646F4" w:rsidP="001646F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[2016] QB 23.</w:t>
      </w:r>
    </w:p>
  </w:footnote>
  <w:footnote w:id="135">
    <w:p w14:paraId="384AEB7A" w14:textId="77777777" w:rsidR="001646F4" w:rsidRPr="00191567" w:rsidRDefault="001646F4" w:rsidP="001646F4">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[2020] UKSC 42.</w:t>
      </w:r>
    </w:p>
  </w:footnote>
  <w:footnote w:id="136">
    <w:p w14:paraId="035490CC" w14:textId="38D01A5E" w:rsidR="00932AFB" w:rsidRPr="00191567" w:rsidRDefault="00932AFB">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68523B" w:rsidRPr="00191567">
        <w:rPr>
          <w:rFonts w:ascii="Californian FB" w:hAnsi="Californian FB"/>
        </w:rPr>
        <w:t xml:space="preserve">[2016] QB 23 </w:t>
      </w:r>
      <w:r w:rsidR="004556E0">
        <w:rPr>
          <w:rFonts w:ascii="Californian FB" w:hAnsi="Californian FB"/>
        </w:rPr>
        <w:t>[</w:t>
      </w:r>
      <w:r w:rsidR="0068523B" w:rsidRPr="00191567">
        <w:rPr>
          <w:rFonts w:ascii="Californian FB" w:hAnsi="Californian FB"/>
        </w:rPr>
        <w:t>76</w:t>
      </w:r>
      <w:r w:rsidR="00834614">
        <w:rPr>
          <w:rFonts w:ascii="Californian FB" w:hAnsi="Californian FB"/>
        </w:rPr>
        <w:t>]</w:t>
      </w:r>
      <w:r w:rsidR="0068523B" w:rsidRPr="00191567">
        <w:rPr>
          <w:rFonts w:ascii="Californian FB" w:hAnsi="Californian FB"/>
        </w:rPr>
        <w:t>.</w:t>
      </w:r>
    </w:p>
  </w:footnote>
  <w:footnote w:id="137">
    <w:p w14:paraId="48EFD59A" w14:textId="04969844" w:rsidR="00D2062E" w:rsidRPr="00C62318" w:rsidRDefault="00D2062E">
      <w:pPr>
        <w:pStyle w:val="FootnoteText"/>
        <w:rPr>
          <w:rFonts w:ascii="Californian FB" w:hAnsi="Californian FB"/>
        </w:rPr>
      </w:pPr>
      <w:r w:rsidRPr="00C62318">
        <w:rPr>
          <w:rStyle w:val="FootnoteReference"/>
          <w:rFonts w:ascii="Californian FB" w:hAnsi="Californian FB"/>
        </w:rPr>
        <w:footnoteRef/>
      </w:r>
      <w:r w:rsidRPr="00C62318">
        <w:rPr>
          <w:rFonts w:ascii="Californian FB" w:hAnsi="Californian FB"/>
        </w:rPr>
        <w:t xml:space="preserve"> </w:t>
      </w:r>
      <w:r w:rsidR="00FC3473" w:rsidRPr="00191567">
        <w:rPr>
          <w:rFonts w:ascii="Californian FB" w:hAnsi="Californian FB"/>
        </w:rPr>
        <w:t>[2020] UKSC 42.</w:t>
      </w:r>
    </w:p>
  </w:footnote>
  <w:footnote w:id="138">
    <w:p w14:paraId="78CECC7C" w14:textId="5554E812" w:rsidR="00FC3473" w:rsidRPr="00C62318" w:rsidRDefault="00FC3473">
      <w:pPr>
        <w:pStyle w:val="FootnoteText"/>
        <w:rPr>
          <w:rFonts w:ascii="Californian FB" w:hAnsi="Californian FB"/>
        </w:rPr>
      </w:pPr>
      <w:r w:rsidRPr="00C62318">
        <w:rPr>
          <w:rStyle w:val="FootnoteReference"/>
          <w:rFonts w:ascii="Californian FB" w:hAnsi="Californian FB"/>
        </w:rPr>
        <w:footnoteRef/>
      </w:r>
      <w:r w:rsidRPr="00C62318">
        <w:rPr>
          <w:rFonts w:ascii="Californian FB" w:hAnsi="Californian FB"/>
        </w:rPr>
        <w:t xml:space="preserve"> </w:t>
      </w:r>
      <w:r w:rsidR="003607D8">
        <w:rPr>
          <w:rFonts w:ascii="Californian FB" w:hAnsi="Californian FB"/>
        </w:rPr>
        <w:t>ibid [26].</w:t>
      </w:r>
    </w:p>
  </w:footnote>
  <w:footnote w:id="139">
    <w:p w14:paraId="61BD6106" w14:textId="75E2552A"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C62318">
        <w:rPr>
          <w:rFonts w:ascii="Californian FB" w:hAnsi="Californian FB"/>
        </w:rPr>
        <w:t xml:space="preserve"> </w:t>
      </w:r>
      <w:r w:rsidR="003F0287" w:rsidRPr="00C62318">
        <w:rPr>
          <w:rFonts w:ascii="Californian FB" w:hAnsi="Californian FB"/>
          <w:i/>
          <w:iCs/>
        </w:rPr>
        <w:t>Scott</w:t>
      </w:r>
      <w:r w:rsidR="003F0287" w:rsidRPr="00C62318">
        <w:rPr>
          <w:rFonts w:ascii="Californian FB" w:hAnsi="Californian FB"/>
        </w:rPr>
        <w:t xml:space="preserve"> (n </w:t>
      </w:r>
      <w:r w:rsidR="003F0287" w:rsidRPr="00C62318">
        <w:rPr>
          <w:rFonts w:ascii="Californian FB" w:hAnsi="Californian FB"/>
        </w:rPr>
        <w:fldChar w:fldCharType="begin"/>
      </w:r>
      <w:r w:rsidR="003F0287" w:rsidRPr="00C62318">
        <w:rPr>
          <w:rFonts w:ascii="Californian FB" w:hAnsi="Californian FB"/>
        </w:rPr>
        <w:instrText xml:space="preserve"> NOTEREF _Ref174702333 \h </w:instrText>
      </w:r>
      <w:r w:rsidR="00C62318">
        <w:rPr>
          <w:rFonts w:ascii="Californian FB" w:hAnsi="Californian FB"/>
        </w:rPr>
        <w:instrText xml:space="preserve"> \* MERGEFORMAT </w:instrText>
      </w:r>
      <w:r w:rsidR="003F0287" w:rsidRPr="00C62318">
        <w:rPr>
          <w:rFonts w:ascii="Californian FB" w:hAnsi="Californian FB"/>
        </w:rPr>
      </w:r>
      <w:r w:rsidR="003F0287" w:rsidRPr="00C62318">
        <w:rPr>
          <w:rFonts w:ascii="Californian FB" w:hAnsi="Californian FB"/>
        </w:rPr>
        <w:fldChar w:fldCharType="separate"/>
      </w:r>
      <w:r w:rsidR="00BA7AC9">
        <w:rPr>
          <w:rFonts w:ascii="Californian FB" w:hAnsi="Californian FB"/>
        </w:rPr>
        <w:t>24</w:t>
      </w:r>
      <w:r w:rsidR="003F0287" w:rsidRPr="00C62318">
        <w:rPr>
          <w:rFonts w:ascii="Californian FB" w:hAnsi="Californian FB"/>
        </w:rPr>
        <w:fldChar w:fldCharType="end"/>
      </w:r>
      <w:r w:rsidR="003F0287" w:rsidRPr="00C62318">
        <w:rPr>
          <w:rFonts w:ascii="Californian FB" w:hAnsi="Californian FB"/>
        </w:rPr>
        <w:t>) [</w:t>
      </w:r>
      <w:r w:rsidRPr="00C62318">
        <w:rPr>
          <w:rFonts w:ascii="Californian FB" w:hAnsi="Californian FB"/>
        </w:rPr>
        <w:t>122]</w:t>
      </w:r>
      <w:r w:rsidR="009C6EE3">
        <w:rPr>
          <w:rFonts w:ascii="Californian FB" w:hAnsi="Californian FB"/>
        </w:rPr>
        <w:t>.</w:t>
      </w:r>
    </w:p>
  </w:footnote>
  <w:footnote w:id="140">
    <w:p w14:paraId="6B722597" w14:textId="62B4485D"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[2010] UKSC 32.</w:t>
      </w:r>
    </w:p>
  </w:footnote>
  <w:footnote w:id="141">
    <w:p w14:paraId="21BC974D" w14:textId="2576D1D3"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C62318">
        <w:rPr>
          <w:rFonts w:ascii="Californian FB" w:hAnsi="Californian FB"/>
        </w:rPr>
        <w:t xml:space="preserve"> </w:t>
      </w:r>
      <w:r w:rsidR="003F0287" w:rsidRPr="00C62318">
        <w:rPr>
          <w:rFonts w:ascii="Californian FB" w:hAnsi="Californian FB"/>
          <w:i/>
          <w:iCs/>
        </w:rPr>
        <w:t>Stoffel</w:t>
      </w:r>
      <w:r w:rsidR="003F0287" w:rsidRPr="00C62318">
        <w:rPr>
          <w:rFonts w:ascii="Californian FB" w:hAnsi="Californian FB"/>
        </w:rPr>
        <w:t xml:space="preserve"> (n </w:t>
      </w:r>
      <w:r w:rsidR="003F0287" w:rsidRPr="00C62318">
        <w:rPr>
          <w:rFonts w:ascii="Californian FB" w:hAnsi="Californian FB"/>
        </w:rPr>
        <w:fldChar w:fldCharType="begin"/>
      </w:r>
      <w:r w:rsidR="003F0287" w:rsidRPr="00C62318">
        <w:rPr>
          <w:rFonts w:ascii="Californian FB" w:hAnsi="Californian FB"/>
        </w:rPr>
        <w:instrText xml:space="preserve"> NOTEREF _Ref174702404 \h </w:instrText>
      </w:r>
      <w:r w:rsidR="00C62318">
        <w:rPr>
          <w:rFonts w:ascii="Californian FB" w:hAnsi="Californian FB"/>
        </w:rPr>
        <w:instrText xml:space="preserve"> \* MERGEFORMAT </w:instrText>
      </w:r>
      <w:r w:rsidR="003F0287" w:rsidRPr="00C62318">
        <w:rPr>
          <w:rFonts w:ascii="Californian FB" w:hAnsi="Californian FB"/>
        </w:rPr>
      </w:r>
      <w:r w:rsidR="003F0287" w:rsidRPr="00C62318">
        <w:rPr>
          <w:rFonts w:ascii="Californian FB" w:hAnsi="Californian FB"/>
        </w:rPr>
        <w:fldChar w:fldCharType="separate"/>
      </w:r>
      <w:r w:rsidR="00BA7AC9">
        <w:rPr>
          <w:rFonts w:ascii="Californian FB" w:hAnsi="Californian FB"/>
        </w:rPr>
        <w:t>135</w:t>
      </w:r>
      <w:r w:rsidR="003F0287" w:rsidRPr="00C62318">
        <w:rPr>
          <w:rFonts w:ascii="Californian FB" w:hAnsi="Californian FB"/>
        </w:rPr>
        <w:fldChar w:fldCharType="end"/>
      </w:r>
      <w:r w:rsidR="003F0287" w:rsidRPr="00C62318">
        <w:rPr>
          <w:rFonts w:ascii="Californian FB" w:hAnsi="Californian FB"/>
        </w:rPr>
        <w:t xml:space="preserve">) </w:t>
      </w:r>
      <w:r w:rsidRPr="00C62318">
        <w:rPr>
          <w:rFonts w:ascii="Californian FB" w:hAnsi="Californian FB"/>
        </w:rPr>
        <w:t>[31]</w:t>
      </w:r>
      <w:r w:rsidR="003F0287" w:rsidRPr="00C62318">
        <w:rPr>
          <w:rFonts w:ascii="Californian FB" w:hAnsi="Californian FB"/>
        </w:rPr>
        <w:t>.</w:t>
      </w:r>
    </w:p>
  </w:footnote>
  <w:footnote w:id="142">
    <w:p w14:paraId="5B052D0D" w14:textId="07A8C25C"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3F0287">
        <w:rPr>
          <w:rFonts w:ascii="Californian FB" w:hAnsi="Californian FB"/>
        </w:rPr>
        <w:t>ibid.</w:t>
      </w:r>
    </w:p>
  </w:footnote>
  <w:footnote w:id="143">
    <w:p w14:paraId="0152AC71" w14:textId="7B334E51" w:rsidR="10E55573" w:rsidRPr="00191567" w:rsidRDefault="10E55573" w:rsidP="10E55573">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0E105D">
        <w:rPr>
          <w:rFonts w:ascii="Californian FB" w:hAnsi="Californian FB"/>
        </w:rPr>
        <w:t>I</w:t>
      </w:r>
      <w:r w:rsidR="00DF23E1">
        <w:rPr>
          <w:rFonts w:ascii="Californian FB" w:hAnsi="Californian FB"/>
        </w:rPr>
        <w:t>bid</w:t>
      </w:r>
      <w:r w:rsidR="000E105D">
        <w:rPr>
          <w:rFonts w:ascii="Californian FB" w:hAnsi="Californian FB"/>
        </w:rPr>
        <w:t>.</w:t>
      </w:r>
    </w:p>
  </w:footnote>
  <w:footnote w:id="144">
    <w:p w14:paraId="709E41E2" w14:textId="77777777"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[2010] UKSC 50.</w:t>
      </w:r>
    </w:p>
  </w:footnote>
  <w:footnote w:id="145">
    <w:p w14:paraId="2AAF91BD" w14:textId="77777777" w:rsidR="00DC788F" w:rsidRPr="00191567" w:rsidRDefault="00DC788F" w:rsidP="00DC788F">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[2011] UKSC 3.</w:t>
      </w:r>
    </w:p>
  </w:footnote>
  <w:footnote w:id="146">
    <w:p w14:paraId="128CF12C" w14:textId="2460F373" w:rsidR="0090620D" w:rsidRPr="00191567" w:rsidRDefault="0090620D" w:rsidP="0090620D">
      <w:pPr>
        <w:pStyle w:val="FootnoteText"/>
        <w:rPr>
          <w:rFonts w:ascii="Californian FB" w:hAnsi="Californian FB"/>
        </w:rPr>
      </w:pPr>
      <w:r w:rsidRPr="00191567">
        <w:rPr>
          <w:rStyle w:val="FootnoteReference"/>
          <w:rFonts w:ascii="Californian FB" w:hAnsi="Californian FB"/>
        </w:rPr>
        <w:footnoteRef/>
      </w:r>
      <w:r w:rsidR="00E450AE" w:rsidRPr="00C62318">
        <w:rPr>
          <w:rFonts w:ascii="Californian FB" w:hAnsi="Californian FB"/>
          <w:i/>
          <w:iCs/>
        </w:rPr>
        <w:t xml:space="preserve">Fearn </w:t>
      </w:r>
      <w:r w:rsidR="00E450AE" w:rsidRPr="00C62318">
        <w:rPr>
          <w:rFonts w:ascii="Californian FB" w:hAnsi="Californian FB"/>
        </w:rPr>
        <w:t xml:space="preserve">(n </w:t>
      </w:r>
      <w:r w:rsidR="001B1765" w:rsidRPr="00C62318">
        <w:rPr>
          <w:rFonts w:ascii="Californian FB" w:hAnsi="Californian FB"/>
        </w:rPr>
        <w:fldChar w:fldCharType="begin"/>
      </w:r>
      <w:r w:rsidR="001B1765" w:rsidRPr="00C62318">
        <w:rPr>
          <w:rFonts w:ascii="Californian FB" w:hAnsi="Californian FB"/>
        </w:rPr>
        <w:instrText xml:space="preserve"> NOTEREF _Ref174702530 \h </w:instrText>
      </w:r>
      <w:r w:rsidR="00C62318">
        <w:rPr>
          <w:rFonts w:ascii="Californian FB" w:hAnsi="Californian FB"/>
        </w:rPr>
        <w:instrText xml:space="preserve"> \* MERGEFORMAT </w:instrText>
      </w:r>
      <w:r w:rsidR="001B1765" w:rsidRPr="00C62318">
        <w:rPr>
          <w:rFonts w:ascii="Californian FB" w:hAnsi="Californian FB"/>
        </w:rPr>
      </w:r>
      <w:r w:rsidR="001B1765" w:rsidRPr="00C62318">
        <w:rPr>
          <w:rFonts w:ascii="Californian FB" w:hAnsi="Californian FB"/>
        </w:rPr>
        <w:fldChar w:fldCharType="separate"/>
      </w:r>
      <w:r w:rsidR="00BA7AC9">
        <w:rPr>
          <w:rFonts w:ascii="Californian FB" w:hAnsi="Californian FB"/>
        </w:rPr>
        <w:t>115</w:t>
      </w:r>
      <w:r w:rsidR="001B1765" w:rsidRPr="00C62318">
        <w:rPr>
          <w:rFonts w:ascii="Californian FB" w:hAnsi="Californian FB"/>
        </w:rPr>
        <w:fldChar w:fldCharType="end"/>
      </w:r>
      <w:r w:rsidR="00E450AE" w:rsidRPr="00C62318">
        <w:rPr>
          <w:rFonts w:ascii="Californian FB" w:hAnsi="Californian FB"/>
        </w:rPr>
        <w:t xml:space="preserve">) </w:t>
      </w:r>
      <w:r w:rsidRPr="00C62318">
        <w:rPr>
          <w:rFonts w:ascii="Californian FB" w:hAnsi="Californian FB"/>
        </w:rPr>
        <w:t xml:space="preserve">54. </w:t>
      </w:r>
    </w:p>
  </w:footnote>
  <w:footnote w:id="147">
    <w:p w14:paraId="760C01BE" w14:textId="7919EBCD" w:rsidR="00DC45C7" w:rsidRPr="00191567" w:rsidRDefault="00DC45C7" w:rsidP="00DC45C7">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Pr="00191567">
        <w:rPr>
          <w:rFonts w:ascii="Californian FB" w:eastAsia="Californian FB" w:hAnsi="Californian FB" w:cs="Californian FB"/>
          <w:color w:val="000000" w:themeColor="text1"/>
        </w:rPr>
        <w:t>[2017] UKSC 8</w:t>
      </w:r>
      <w:r w:rsidR="005D7E49">
        <w:rPr>
          <w:rFonts w:ascii="Californian FB" w:eastAsia="Californian FB" w:hAnsi="Californian FB" w:cs="Californian FB"/>
          <w:color w:val="000000" w:themeColor="text1"/>
        </w:rPr>
        <w:t>.</w:t>
      </w:r>
    </w:p>
  </w:footnote>
  <w:footnote w:id="148">
    <w:p w14:paraId="4390BA8D" w14:textId="736B5E9F" w:rsidR="001F629F" w:rsidRPr="00191567" w:rsidRDefault="001F629F">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5D7E49">
        <w:rPr>
          <w:rFonts w:ascii="Californian FB" w:hAnsi="Californian FB"/>
        </w:rPr>
        <w:t>[2018] UKSC 48.</w:t>
      </w:r>
    </w:p>
  </w:footnote>
  <w:footnote w:id="149">
    <w:p w14:paraId="2E9D1A06" w14:textId="03A0A862" w:rsidR="00C35188" w:rsidRPr="00191567" w:rsidRDefault="00C35188" w:rsidP="00C35188">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007A4880">
        <w:rPr>
          <w:rFonts w:ascii="Californian FB" w:hAnsi="Californian FB"/>
        </w:rPr>
        <w:t>ibid</w:t>
      </w:r>
      <w:r w:rsidRPr="00191567">
        <w:rPr>
          <w:rFonts w:ascii="Californian FB" w:hAnsi="Californian FB"/>
        </w:rPr>
        <w:t xml:space="preserve"> [42]</w:t>
      </w:r>
      <w:r w:rsidR="005D7E49">
        <w:rPr>
          <w:rFonts w:ascii="Californian FB" w:hAnsi="Californian FB"/>
        </w:rPr>
        <w:t>.</w:t>
      </w:r>
    </w:p>
  </w:footnote>
  <w:footnote w:id="150">
    <w:p w14:paraId="00B1ADEE" w14:textId="378C3D85" w:rsidR="66EAE848" w:rsidRPr="00191567" w:rsidRDefault="66EAE848" w:rsidP="66EAE848">
      <w:pPr>
        <w:pStyle w:val="FootnoteText"/>
        <w:rPr>
          <w:rFonts w:ascii="Californian FB" w:hAnsi="Californian FB"/>
        </w:rPr>
      </w:pPr>
      <w:r w:rsidRPr="00191567">
        <w:rPr>
          <w:rStyle w:val="FootnoteReference"/>
          <w:rFonts w:ascii="Californian FB" w:hAnsi="Californian FB"/>
        </w:rPr>
        <w:footnoteRef/>
      </w:r>
      <w:r w:rsidRPr="00191567">
        <w:rPr>
          <w:rFonts w:ascii="Californian FB" w:hAnsi="Californian FB"/>
        </w:rPr>
        <w:t xml:space="preserve"> </w:t>
      </w:r>
      <w:r w:rsidRPr="00191567">
        <w:rPr>
          <w:rFonts w:ascii="Californian FB" w:hAnsi="Californian FB"/>
          <w:i/>
          <w:iCs/>
        </w:rPr>
        <w:t xml:space="preserve">In Re Sigma Finance Corporation </w:t>
      </w:r>
      <w:r w:rsidRPr="00191567">
        <w:rPr>
          <w:rFonts w:ascii="Californian FB" w:hAnsi="Californian FB"/>
        </w:rPr>
        <w:t>[2009] UKSC 2 [1]</w:t>
      </w:r>
      <w:r w:rsidR="0023647D">
        <w:rPr>
          <w:rFonts w:ascii="Californian FB" w:hAnsi="Californian F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10E"/>
    <w:multiLevelType w:val="hybridMultilevel"/>
    <w:tmpl w:val="9EA83332"/>
    <w:lvl w:ilvl="0" w:tplc="58EE353E">
      <w:start w:val="1"/>
      <w:numFmt w:val="upperRoman"/>
      <w:pStyle w:val="Heading1"/>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E0683"/>
    <w:multiLevelType w:val="multilevel"/>
    <w:tmpl w:val="4CEECEC4"/>
    <w:lvl w:ilvl="0">
      <w:start w:val="1"/>
      <w:numFmt w:val="decimal"/>
      <w:pStyle w:val="Heading3"/>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4B0A9AC"/>
    <w:multiLevelType w:val="hybridMultilevel"/>
    <w:tmpl w:val="549C7796"/>
    <w:lvl w:ilvl="0" w:tplc="33661D08">
      <w:start w:val="1"/>
      <w:numFmt w:val="lowerRoman"/>
      <w:lvlText w:val="(%1)"/>
      <w:lvlJc w:val="left"/>
      <w:pPr>
        <w:ind w:left="360" w:hanging="360"/>
      </w:pPr>
    </w:lvl>
    <w:lvl w:ilvl="1" w:tplc="29A62372">
      <w:start w:val="1"/>
      <w:numFmt w:val="lowerLetter"/>
      <w:lvlText w:val="%2."/>
      <w:lvlJc w:val="left"/>
      <w:pPr>
        <w:ind w:left="1080" w:hanging="360"/>
      </w:pPr>
    </w:lvl>
    <w:lvl w:ilvl="2" w:tplc="0FD47E68">
      <w:start w:val="1"/>
      <w:numFmt w:val="lowerRoman"/>
      <w:lvlText w:val="%3."/>
      <w:lvlJc w:val="right"/>
      <w:pPr>
        <w:ind w:left="1800" w:hanging="180"/>
      </w:pPr>
    </w:lvl>
    <w:lvl w:ilvl="3" w:tplc="D6F2BD08">
      <w:start w:val="1"/>
      <w:numFmt w:val="decimal"/>
      <w:lvlText w:val="%4."/>
      <w:lvlJc w:val="left"/>
      <w:pPr>
        <w:ind w:left="2520" w:hanging="360"/>
      </w:pPr>
    </w:lvl>
    <w:lvl w:ilvl="4" w:tplc="776CD306">
      <w:start w:val="1"/>
      <w:numFmt w:val="lowerLetter"/>
      <w:lvlText w:val="%5."/>
      <w:lvlJc w:val="left"/>
      <w:pPr>
        <w:ind w:left="3240" w:hanging="360"/>
      </w:pPr>
    </w:lvl>
    <w:lvl w:ilvl="5" w:tplc="291C822C">
      <w:start w:val="1"/>
      <w:numFmt w:val="lowerRoman"/>
      <w:lvlText w:val="%6."/>
      <w:lvlJc w:val="right"/>
      <w:pPr>
        <w:ind w:left="3960" w:hanging="180"/>
      </w:pPr>
    </w:lvl>
    <w:lvl w:ilvl="6" w:tplc="3246F66C">
      <w:start w:val="1"/>
      <w:numFmt w:val="decimal"/>
      <w:lvlText w:val="%7."/>
      <w:lvlJc w:val="left"/>
      <w:pPr>
        <w:ind w:left="4680" w:hanging="360"/>
      </w:pPr>
    </w:lvl>
    <w:lvl w:ilvl="7" w:tplc="1DB88662">
      <w:start w:val="1"/>
      <w:numFmt w:val="lowerLetter"/>
      <w:lvlText w:val="%8."/>
      <w:lvlJc w:val="left"/>
      <w:pPr>
        <w:ind w:left="5400" w:hanging="360"/>
      </w:pPr>
    </w:lvl>
    <w:lvl w:ilvl="8" w:tplc="C5142F96">
      <w:start w:val="1"/>
      <w:numFmt w:val="lowerRoman"/>
      <w:lvlText w:val="%9."/>
      <w:lvlJc w:val="right"/>
      <w:pPr>
        <w:ind w:left="6120" w:hanging="180"/>
      </w:pPr>
    </w:lvl>
  </w:abstractNum>
  <w:abstractNum w:abstractNumId="3" w15:restartNumberingAfterBreak="0">
    <w:nsid w:val="077E0853"/>
    <w:multiLevelType w:val="hybridMultilevel"/>
    <w:tmpl w:val="A470FEFA"/>
    <w:lvl w:ilvl="0" w:tplc="4C941E3A">
      <w:start w:val="1"/>
      <w:numFmt w:val="bullet"/>
      <w:lvlText w:val="-"/>
      <w:lvlJc w:val="left"/>
      <w:pPr>
        <w:ind w:left="720" w:hanging="360"/>
      </w:pPr>
      <w:rPr>
        <w:rFonts w:ascii="Aptos" w:hAnsi="Aptos" w:hint="default"/>
      </w:rPr>
    </w:lvl>
    <w:lvl w:ilvl="1" w:tplc="F612B7CA">
      <w:start w:val="1"/>
      <w:numFmt w:val="bullet"/>
      <w:lvlText w:val="o"/>
      <w:lvlJc w:val="left"/>
      <w:pPr>
        <w:ind w:left="1440" w:hanging="360"/>
      </w:pPr>
      <w:rPr>
        <w:rFonts w:ascii="Courier New" w:hAnsi="Courier New" w:hint="default"/>
      </w:rPr>
    </w:lvl>
    <w:lvl w:ilvl="2" w:tplc="4B684D0E">
      <w:start w:val="1"/>
      <w:numFmt w:val="bullet"/>
      <w:lvlText w:val=""/>
      <w:lvlJc w:val="left"/>
      <w:pPr>
        <w:ind w:left="2160" w:hanging="360"/>
      </w:pPr>
      <w:rPr>
        <w:rFonts w:ascii="Wingdings" w:hAnsi="Wingdings" w:hint="default"/>
      </w:rPr>
    </w:lvl>
    <w:lvl w:ilvl="3" w:tplc="85F45E2A">
      <w:start w:val="1"/>
      <w:numFmt w:val="bullet"/>
      <w:lvlText w:val=""/>
      <w:lvlJc w:val="left"/>
      <w:pPr>
        <w:ind w:left="2880" w:hanging="360"/>
      </w:pPr>
      <w:rPr>
        <w:rFonts w:ascii="Symbol" w:hAnsi="Symbol" w:hint="default"/>
      </w:rPr>
    </w:lvl>
    <w:lvl w:ilvl="4" w:tplc="0BD43BC8">
      <w:start w:val="1"/>
      <w:numFmt w:val="bullet"/>
      <w:lvlText w:val="o"/>
      <w:lvlJc w:val="left"/>
      <w:pPr>
        <w:ind w:left="3600" w:hanging="360"/>
      </w:pPr>
      <w:rPr>
        <w:rFonts w:ascii="Courier New" w:hAnsi="Courier New" w:hint="default"/>
      </w:rPr>
    </w:lvl>
    <w:lvl w:ilvl="5" w:tplc="CAB4DD22">
      <w:start w:val="1"/>
      <w:numFmt w:val="bullet"/>
      <w:lvlText w:val=""/>
      <w:lvlJc w:val="left"/>
      <w:pPr>
        <w:ind w:left="4320" w:hanging="360"/>
      </w:pPr>
      <w:rPr>
        <w:rFonts w:ascii="Wingdings" w:hAnsi="Wingdings" w:hint="default"/>
      </w:rPr>
    </w:lvl>
    <w:lvl w:ilvl="6" w:tplc="1E7CE036">
      <w:start w:val="1"/>
      <w:numFmt w:val="bullet"/>
      <w:lvlText w:val=""/>
      <w:lvlJc w:val="left"/>
      <w:pPr>
        <w:ind w:left="5040" w:hanging="360"/>
      </w:pPr>
      <w:rPr>
        <w:rFonts w:ascii="Symbol" w:hAnsi="Symbol" w:hint="default"/>
      </w:rPr>
    </w:lvl>
    <w:lvl w:ilvl="7" w:tplc="303CF2FC">
      <w:start w:val="1"/>
      <w:numFmt w:val="bullet"/>
      <w:lvlText w:val="o"/>
      <w:lvlJc w:val="left"/>
      <w:pPr>
        <w:ind w:left="5760" w:hanging="360"/>
      </w:pPr>
      <w:rPr>
        <w:rFonts w:ascii="Courier New" w:hAnsi="Courier New" w:hint="default"/>
      </w:rPr>
    </w:lvl>
    <w:lvl w:ilvl="8" w:tplc="687009EC">
      <w:start w:val="1"/>
      <w:numFmt w:val="bullet"/>
      <w:lvlText w:val=""/>
      <w:lvlJc w:val="left"/>
      <w:pPr>
        <w:ind w:left="6480" w:hanging="360"/>
      </w:pPr>
      <w:rPr>
        <w:rFonts w:ascii="Wingdings" w:hAnsi="Wingdings" w:hint="default"/>
      </w:rPr>
    </w:lvl>
  </w:abstractNum>
  <w:abstractNum w:abstractNumId="4" w15:restartNumberingAfterBreak="0">
    <w:nsid w:val="10BE0663"/>
    <w:multiLevelType w:val="hybridMultilevel"/>
    <w:tmpl w:val="976CB576"/>
    <w:lvl w:ilvl="0" w:tplc="1A6E66E4">
      <w:start w:val="1"/>
      <w:numFmt w:val="decimal"/>
      <w:lvlText w:val="%1."/>
      <w:lvlJc w:val="left"/>
      <w:pPr>
        <w:ind w:left="720" w:hanging="360"/>
      </w:pPr>
      <w:rPr>
        <w:rFonts w:ascii="Californian FB" w:hAnsi="Californian FB" w:hint="default"/>
      </w:rPr>
    </w:lvl>
    <w:lvl w:ilvl="1" w:tplc="D45E9698">
      <w:start w:val="1"/>
      <w:numFmt w:val="lowerLetter"/>
      <w:lvlText w:val="%2."/>
      <w:lvlJc w:val="left"/>
      <w:pPr>
        <w:ind w:left="1440" w:hanging="360"/>
      </w:pPr>
    </w:lvl>
    <w:lvl w:ilvl="2" w:tplc="CE56597A">
      <w:start w:val="1"/>
      <w:numFmt w:val="lowerRoman"/>
      <w:lvlText w:val="%3."/>
      <w:lvlJc w:val="right"/>
      <w:pPr>
        <w:ind w:left="2160" w:hanging="180"/>
      </w:pPr>
    </w:lvl>
    <w:lvl w:ilvl="3" w:tplc="1A50D4DA">
      <w:start w:val="1"/>
      <w:numFmt w:val="decimal"/>
      <w:lvlText w:val="%4."/>
      <w:lvlJc w:val="left"/>
      <w:pPr>
        <w:ind w:left="2880" w:hanging="360"/>
      </w:pPr>
    </w:lvl>
    <w:lvl w:ilvl="4" w:tplc="6A48DA28">
      <w:start w:val="1"/>
      <w:numFmt w:val="lowerLetter"/>
      <w:lvlText w:val="%5."/>
      <w:lvlJc w:val="left"/>
      <w:pPr>
        <w:ind w:left="3600" w:hanging="360"/>
      </w:pPr>
    </w:lvl>
    <w:lvl w:ilvl="5" w:tplc="CF986FDE">
      <w:start w:val="1"/>
      <w:numFmt w:val="lowerRoman"/>
      <w:lvlText w:val="%6."/>
      <w:lvlJc w:val="right"/>
      <w:pPr>
        <w:ind w:left="4320" w:hanging="180"/>
      </w:pPr>
    </w:lvl>
    <w:lvl w:ilvl="6" w:tplc="0BFC1C78">
      <w:start w:val="1"/>
      <w:numFmt w:val="decimal"/>
      <w:lvlText w:val="%7."/>
      <w:lvlJc w:val="left"/>
      <w:pPr>
        <w:ind w:left="5040" w:hanging="360"/>
      </w:pPr>
    </w:lvl>
    <w:lvl w:ilvl="7" w:tplc="8FD0A4F8">
      <w:start w:val="1"/>
      <w:numFmt w:val="lowerLetter"/>
      <w:lvlText w:val="%8."/>
      <w:lvlJc w:val="left"/>
      <w:pPr>
        <w:ind w:left="5760" w:hanging="360"/>
      </w:pPr>
    </w:lvl>
    <w:lvl w:ilvl="8" w:tplc="613CA312">
      <w:start w:val="1"/>
      <w:numFmt w:val="lowerRoman"/>
      <w:lvlText w:val="%9."/>
      <w:lvlJc w:val="right"/>
      <w:pPr>
        <w:ind w:left="6480" w:hanging="180"/>
      </w:pPr>
    </w:lvl>
  </w:abstractNum>
  <w:abstractNum w:abstractNumId="5" w15:restartNumberingAfterBreak="0">
    <w:nsid w:val="1237078A"/>
    <w:multiLevelType w:val="hybridMultilevel"/>
    <w:tmpl w:val="AEAA5120"/>
    <w:lvl w:ilvl="0" w:tplc="BF9A0B1C">
      <w:start w:val="2"/>
      <w:numFmt w:val="bullet"/>
      <w:lvlText w:val="-"/>
      <w:lvlJc w:val="left"/>
      <w:pPr>
        <w:ind w:left="720" w:hanging="360"/>
      </w:pPr>
      <w:rPr>
        <w:rFonts w:ascii="Californian FB" w:eastAsia="Californian FB" w:hAnsi="Californian FB" w:cs="Californian FB"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72E3D"/>
    <w:multiLevelType w:val="hybridMultilevel"/>
    <w:tmpl w:val="48044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4A1CD"/>
    <w:multiLevelType w:val="hybridMultilevel"/>
    <w:tmpl w:val="894A41EA"/>
    <w:lvl w:ilvl="0" w:tplc="0744F8C2">
      <w:start w:val="1"/>
      <w:numFmt w:val="decimal"/>
      <w:lvlText w:val="%1."/>
      <w:lvlJc w:val="left"/>
      <w:pPr>
        <w:ind w:left="720" w:hanging="360"/>
      </w:pPr>
      <w:rPr>
        <w:rFonts w:ascii="Californian FB" w:hAnsi="Californian FB" w:hint="default"/>
      </w:rPr>
    </w:lvl>
    <w:lvl w:ilvl="1" w:tplc="C854CC4E">
      <w:start w:val="1"/>
      <w:numFmt w:val="lowerLetter"/>
      <w:lvlText w:val="%2."/>
      <w:lvlJc w:val="left"/>
      <w:pPr>
        <w:ind w:left="1440" w:hanging="360"/>
      </w:pPr>
    </w:lvl>
    <w:lvl w:ilvl="2" w:tplc="52D64A0E">
      <w:start w:val="1"/>
      <w:numFmt w:val="lowerRoman"/>
      <w:lvlText w:val="%3."/>
      <w:lvlJc w:val="right"/>
      <w:pPr>
        <w:ind w:left="2160" w:hanging="180"/>
      </w:pPr>
    </w:lvl>
    <w:lvl w:ilvl="3" w:tplc="91806A94">
      <w:start w:val="1"/>
      <w:numFmt w:val="decimal"/>
      <w:lvlText w:val="%4."/>
      <w:lvlJc w:val="left"/>
      <w:pPr>
        <w:ind w:left="2880" w:hanging="360"/>
      </w:pPr>
    </w:lvl>
    <w:lvl w:ilvl="4" w:tplc="527E1FE8">
      <w:start w:val="1"/>
      <w:numFmt w:val="lowerLetter"/>
      <w:lvlText w:val="%5."/>
      <w:lvlJc w:val="left"/>
      <w:pPr>
        <w:ind w:left="3600" w:hanging="360"/>
      </w:pPr>
    </w:lvl>
    <w:lvl w:ilvl="5" w:tplc="6BAE6EC6">
      <w:start w:val="1"/>
      <w:numFmt w:val="lowerRoman"/>
      <w:lvlText w:val="%6."/>
      <w:lvlJc w:val="right"/>
      <w:pPr>
        <w:ind w:left="4320" w:hanging="180"/>
      </w:pPr>
    </w:lvl>
    <w:lvl w:ilvl="6" w:tplc="309AD652">
      <w:start w:val="1"/>
      <w:numFmt w:val="decimal"/>
      <w:lvlText w:val="%7."/>
      <w:lvlJc w:val="left"/>
      <w:pPr>
        <w:ind w:left="5040" w:hanging="360"/>
      </w:pPr>
    </w:lvl>
    <w:lvl w:ilvl="7" w:tplc="B06A4E62">
      <w:start w:val="1"/>
      <w:numFmt w:val="lowerLetter"/>
      <w:lvlText w:val="%8."/>
      <w:lvlJc w:val="left"/>
      <w:pPr>
        <w:ind w:left="5760" w:hanging="360"/>
      </w:pPr>
    </w:lvl>
    <w:lvl w:ilvl="8" w:tplc="661EFFF2">
      <w:start w:val="1"/>
      <w:numFmt w:val="lowerRoman"/>
      <w:lvlText w:val="%9."/>
      <w:lvlJc w:val="right"/>
      <w:pPr>
        <w:ind w:left="6480" w:hanging="180"/>
      </w:pPr>
    </w:lvl>
  </w:abstractNum>
  <w:abstractNum w:abstractNumId="8" w15:restartNumberingAfterBreak="0">
    <w:nsid w:val="30B1A87E"/>
    <w:multiLevelType w:val="hybridMultilevel"/>
    <w:tmpl w:val="AA1C96D8"/>
    <w:lvl w:ilvl="0" w:tplc="7E02B54E">
      <w:start w:val="1"/>
      <w:numFmt w:val="lowerLetter"/>
      <w:lvlText w:val="(%1)"/>
      <w:lvlJc w:val="left"/>
      <w:pPr>
        <w:ind w:left="720" w:hanging="360"/>
      </w:pPr>
      <w:rPr>
        <w:rFonts w:ascii="Californian FB" w:hAnsi="Californian FB" w:hint="default"/>
      </w:rPr>
    </w:lvl>
    <w:lvl w:ilvl="1" w:tplc="E3A8221C">
      <w:start w:val="1"/>
      <w:numFmt w:val="lowerLetter"/>
      <w:lvlText w:val="%2."/>
      <w:lvlJc w:val="left"/>
      <w:pPr>
        <w:ind w:left="1440" w:hanging="360"/>
      </w:pPr>
    </w:lvl>
    <w:lvl w:ilvl="2" w:tplc="D71E3D3E">
      <w:start w:val="1"/>
      <w:numFmt w:val="lowerRoman"/>
      <w:lvlText w:val="%3."/>
      <w:lvlJc w:val="right"/>
      <w:pPr>
        <w:ind w:left="2160" w:hanging="180"/>
      </w:pPr>
    </w:lvl>
    <w:lvl w:ilvl="3" w:tplc="05ACF9B6">
      <w:start w:val="1"/>
      <w:numFmt w:val="decimal"/>
      <w:lvlText w:val="%4."/>
      <w:lvlJc w:val="left"/>
      <w:pPr>
        <w:ind w:left="2880" w:hanging="360"/>
      </w:pPr>
    </w:lvl>
    <w:lvl w:ilvl="4" w:tplc="5FF23C56">
      <w:start w:val="1"/>
      <w:numFmt w:val="lowerLetter"/>
      <w:lvlText w:val="%5."/>
      <w:lvlJc w:val="left"/>
      <w:pPr>
        <w:ind w:left="3600" w:hanging="360"/>
      </w:pPr>
    </w:lvl>
    <w:lvl w:ilvl="5" w:tplc="31CEF156">
      <w:start w:val="1"/>
      <w:numFmt w:val="lowerRoman"/>
      <w:lvlText w:val="%6."/>
      <w:lvlJc w:val="right"/>
      <w:pPr>
        <w:ind w:left="4320" w:hanging="180"/>
      </w:pPr>
    </w:lvl>
    <w:lvl w:ilvl="6" w:tplc="F8D4653E">
      <w:start w:val="1"/>
      <w:numFmt w:val="decimal"/>
      <w:lvlText w:val="%7."/>
      <w:lvlJc w:val="left"/>
      <w:pPr>
        <w:ind w:left="5040" w:hanging="360"/>
      </w:pPr>
    </w:lvl>
    <w:lvl w:ilvl="7" w:tplc="5E4288AC">
      <w:start w:val="1"/>
      <w:numFmt w:val="lowerLetter"/>
      <w:lvlText w:val="%8."/>
      <w:lvlJc w:val="left"/>
      <w:pPr>
        <w:ind w:left="5760" w:hanging="360"/>
      </w:pPr>
    </w:lvl>
    <w:lvl w:ilvl="8" w:tplc="A7365BB8">
      <w:start w:val="1"/>
      <w:numFmt w:val="lowerRoman"/>
      <w:lvlText w:val="%9."/>
      <w:lvlJc w:val="right"/>
      <w:pPr>
        <w:ind w:left="6480" w:hanging="180"/>
      </w:pPr>
    </w:lvl>
  </w:abstractNum>
  <w:abstractNum w:abstractNumId="9" w15:restartNumberingAfterBreak="0">
    <w:nsid w:val="374C1A5B"/>
    <w:multiLevelType w:val="hybridMultilevel"/>
    <w:tmpl w:val="822EBF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9644F9"/>
    <w:multiLevelType w:val="multilevel"/>
    <w:tmpl w:val="38545DDC"/>
    <w:lvl w:ilvl="0">
      <w:start w:val="1"/>
      <w:numFmt w:val="decimal"/>
      <w:lvlText w:val="%1."/>
      <w:lvlJc w:val="left"/>
      <w:pPr>
        <w:ind w:left="0" w:firstLine="0"/>
      </w:pPr>
      <w:rPr>
        <w:b w:val="0"/>
        <w:bCs w:val="0"/>
        <w:i/>
        <w:iCs/>
      </w:r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D1713AD"/>
    <w:multiLevelType w:val="hybridMultilevel"/>
    <w:tmpl w:val="EA4AA4E0"/>
    <w:lvl w:ilvl="0" w:tplc="B4A22ED2">
      <w:start w:val="1"/>
      <w:numFmt w:val="decimal"/>
      <w:lvlText w:val="%1."/>
      <w:lvlJc w:val="left"/>
      <w:pPr>
        <w:ind w:left="720" w:hanging="360"/>
      </w:pPr>
      <w:rPr>
        <w:rFonts w:ascii="Californian FB" w:hAnsi="Californian FB" w:hint="default"/>
      </w:rPr>
    </w:lvl>
    <w:lvl w:ilvl="1" w:tplc="7B9A56AA">
      <w:start w:val="1"/>
      <w:numFmt w:val="lowerLetter"/>
      <w:lvlText w:val="%2."/>
      <w:lvlJc w:val="left"/>
      <w:pPr>
        <w:ind w:left="1440" w:hanging="360"/>
      </w:pPr>
    </w:lvl>
    <w:lvl w:ilvl="2" w:tplc="2D22CAF0">
      <w:start w:val="1"/>
      <w:numFmt w:val="lowerRoman"/>
      <w:lvlText w:val="%3."/>
      <w:lvlJc w:val="right"/>
      <w:pPr>
        <w:ind w:left="2160" w:hanging="180"/>
      </w:pPr>
    </w:lvl>
    <w:lvl w:ilvl="3" w:tplc="DA5A3788">
      <w:start w:val="1"/>
      <w:numFmt w:val="decimal"/>
      <w:lvlText w:val="%4."/>
      <w:lvlJc w:val="left"/>
      <w:pPr>
        <w:ind w:left="2880" w:hanging="360"/>
      </w:pPr>
    </w:lvl>
    <w:lvl w:ilvl="4" w:tplc="E9DA0B36">
      <w:start w:val="1"/>
      <w:numFmt w:val="lowerLetter"/>
      <w:lvlText w:val="%5."/>
      <w:lvlJc w:val="left"/>
      <w:pPr>
        <w:ind w:left="3600" w:hanging="360"/>
      </w:pPr>
    </w:lvl>
    <w:lvl w:ilvl="5" w:tplc="72B60E88">
      <w:start w:val="1"/>
      <w:numFmt w:val="lowerRoman"/>
      <w:lvlText w:val="%6."/>
      <w:lvlJc w:val="right"/>
      <w:pPr>
        <w:ind w:left="4320" w:hanging="180"/>
      </w:pPr>
    </w:lvl>
    <w:lvl w:ilvl="6" w:tplc="BC242278">
      <w:start w:val="1"/>
      <w:numFmt w:val="decimal"/>
      <w:lvlText w:val="%7."/>
      <w:lvlJc w:val="left"/>
      <w:pPr>
        <w:ind w:left="5040" w:hanging="360"/>
      </w:pPr>
    </w:lvl>
    <w:lvl w:ilvl="7" w:tplc="9E188130">
      <w:start w:val="1"/>
      <w:numFmt w:val="lowerLetter"/>
      <w:lvlText w:val="%8."/>
      <w:lvlJc w:val="left"/>
      <w:pPr>
        <w:ind w:left="5760" w:hanging="360"/>
      </w:pPr>
    </w:lvl>
    <w:lvl w:ilvl="8" w:tplc="786414A0">
      <w:start w:val="1"/>
      <w:numFmt w:val="lowerRoman"/>
      <w:lvlText w:val="%9."/>
      <w:lvlJc w:val="right"/>
      <w:pPr>
        <w:ind w:left="6480" w:hanging="180"/>
      </w:pPr>
    </w:lvl>
  </w:abstractNum>
  <w:abstractNum w:abstractNumId="12" w15:restartNumberingAfterBreak="0">
    <w:nsid w:val="5FA1794D"/>
    <w:multiLevelType w:val="hybridMultilevel"/>
    <w:tmpl w:val="7F9E5334"/>
    <w:lvl w:ilvl="0" w:tplc="2B6E7EAE">
      <w:numFmt w:val="bullet"/>
      <w:lvlText w:val="-"/>
      <w:lvlJc w:val="left"/>
      <w:pPr>
        <w:ind w:left="720" w:hanging="360"/>
      </w:pPr>
      <w:rPr>
        <w:rFonts w:ascii="Californian FB" w:eastAsia="Californian FB" w:hAnsi="Californian FB" w:cs="Californian FB"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F2A43"/>
    <w:multiLevelType w:val="hybridMultilevel"/>
    <w:tmpl w:val="6FEAD00A"/>
    <w:lvl w:ilvl="0" w:tplc="C4D2357E">
      <w:start w:val="1"/>
      <w:numFmt w:val="decimal"/>
      <w:lvlText w:val="%1."/>
      <w:lvlJc w:val="left"/>
      <w:pPr>
        <w:ind w:left="720" w:hanging="360"/>
      </w:pPr>
      <w:rPr>
        <w:rFonts w:ascii="Californian FB" w:hAnsi="Californian FB" w:hint="default"/>
      </w:rPr>
    </w:lvl>
    <w:lvl w:ilvl="1" w:tplc="A3DE091A">
      <w:start w:val="1"/>
      <w:numFmt w:val="lowerLetter"/>
      <w:lvlText w:val="%2."/>
      <w:lvlJc w:val="left"/>
      <w:pPr>
        <w:ind w:left="1440" w:hanging="360"/>
      </w:pPr>
    </w:lvl>
    <w:lvl w:ilvl="2" w:tplc="8C2E28E2">
      <w:start w:val="1"/>
      <w:numFmt w:val="lowerRoman"/>
      <w:lvlText w:val="%3."/>
      <w:lvlJc w:val="right"/>
      <w:pPr>
        <w:ind w:left="2160" w:hanging="180"/>
      </w:pPr>
    </w:lvl>
    <w:lvl w:ilvl="3" w:tplc="B36A843C">
      <w:start w:val="1"/>
      <w:numFmt w:val="decimal"/>
      <w:lvlText w:val="%4."/>
      <w:lvlJc w:val="left"/>
      <w:pPr>
        <w:ind w:left="2880" w:hanging="360"/>
      </w:pPr>
    </w:lvl>
    <w:lvl w:ilvl="4" w:tplc="5B146C04">
      <w:start w:val="1"/>
      <w:numFmt w:val="lowerLetter"/>
      <w:lvlText w:val="%5."/>
      <w:lvlJc w:val="left"/>
      <w:pPr>
        <w:ind w:left="3600" w:hanging="360"/>
      </w:pPr>
    </w:lvl>
    <w:lvl w:ilvl="5" w:tplc="43381C5C">
      <w:start w:val="1"/>
      <w:numFmt w:val="lowerRoman"/>
      <w:lvlText w:val="%6."/>
      <w:lvlJc w:val="right"/>
      <w:pPr>
        <w:ind w:left="4320" w:hanging="180"/>
      </w:pPr>
    </w:lvl>
    <w:lvl w:ilvl="6" w:tplc="5FC0C57A">
      <w:start w:val="1"/>
      <w:numFmt w:val="decimal"/>
      <w:lvlText w:val="%7."/>
      <w:lvlJc w:val="left"/>
      <w:pPr>
        <w:ind w:left="5040" w:hanging="360"/>
      </w:pPr>
    </w:lvl>
    <w:lvl w:ilvl="7" w:tplc="6EF636CE">
      <w:start w:val="1"/>
      <w:numFmt w:val="lowerLetter"/>
      <w:lvlText w:val="%8."/>
      <w:lvlJc w:val="left"/>
      <w:pPr>
        <w:ind w:left="5760" w:hanging="360"/>
      </w:pPr>
    </w:lvl>
    <w:lvl w:ilvl="8" w:tplc="E482F266">
      <w:start w:val="1"/>
      <w:numFmt w:val="lowerRoman"/>
      <w:lvlText w:val="%9."/>
      <w:lvlJc w:val="right"/>
      <w:pPr>
        <w:ind w:left="6480" w:hanging="180"/>
      </w:pPr>
    </w:lvl>
  </w:abstractNum>
  <w:abstractNum w:abstractNumId="14" w15:restartNumberingAfterBreak="0">
    <w:nsid w:val="740B26DB"/>
    <w:multiLevelType w:val="hybridMultilevel"/>
    <w:tmpl w:val="63807F82"/>
    <w:lvl w:ilvl="0" w:tplc="A2702DB8">
      <w:start w:val="1"/>
      <w:numFmt w:val="bullet"/>
      <w:lvlText w:val="-"/>
      <w:lvlJc w:val="left"/>
      <w:pPr>
        <w:ind w:left="720" w:hanging="360"/>
      </w:pPr>
      <w:rPr>
        <w:rFonts w:ascii="Californian FB" w:eastAsia="Californian FB" w:hAnsi="Californian FB" w:cs="Californian FB"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183579">
    <w:abstractNumId w:val="2"/>
  </w:num>
  <w:num w:numId="2" w16cid:durableId="867374517">
    <w:abstractNumId w:val="11"/>
  </w:num>
  <w:num w:numId="3" w16cid:durableId="316496337">
    <w:abstractNumId w:val="13"/>
  </w:num>
  <w:num w:numId="4" w16cid:durableId="382488368">
    <w:abstractNumId w:val="7"/>
  </w:num>
  <w:num w:numId="5" w16cid:durableId="1714499282">
    <w:abstractNumId w:val="4"/>
  </w:num>
  <w:num w:numId="6" w16cid:durableId="438108816">
    <w:abstractNumId w:val="8"/>
  </w:num>
  <w:num w:numId="7" w16cid:durableId="1964774843">
    <w:abstractNumId w:val="1"/>
  </w:num>
  <w:num w:numId="8" w16cid:durableId="1174488755">
    <w:abstractNumId w:val="10"/>
  </w:num>
  <w:num w:numId="9" w16cid:durableId="1898587650">
    <w:abstractNumId w:val="0"/>
  </w:num>
  <w:num w:numId="10" w16cid:durableId="1141531750">
    <w:abstractNumId w:val="3"/>
  </w:num>
  <w:num w:numId="11" w16cid:durableId="2110612094">
    <w:abstractNumId w:val="9"/>
  </w:num>
  <w:num w:numId="12" w16cid:durableId="125852628">
    <w:abstractNumId w:val="12"/>
  </w:num>
  <w:num w:numId="13" w16cid:durableId="514154249">
    <w:abstractNumId w:val="6"/>
  </w:num>
  <w:num w:numId="14" w16cid:durableId="761490037">
    <w:abstractNumId w:val="5"/>
  </w:num>
  <w:num w:numId="15" w16cid:durableId="210777289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C7"/>
    <w:rsid w:val="00000A10"/>
    <w:rsid w:val="00000D40"/>
    <w:rsid w:val="00001A86"/>
    <w:rsid w:val="00002243"/>
    <w:rsid w:val="000023FB"/>
    <w:rsid w:val="000024DE"/>
    <w:rsid w:val="00002F7C"/>
    <w:rsid w:val="0000323C"/>
    <w:rsid w:val="000034EF"/>
    <w:rsid w:val="00003745"/>
    <w:rsid w:val="00003BAE"/>
    <w:rsid w:val="00004072"/>
    <w:rsid w:val="00004845"/>
    <w:rsid w:val="00004952"/>
    <w:rsid w:val="00004958"/>
    <w:rsid w:val="00004DEB"/>
    <w:rsid w:val="00004F65"/>
    <w:rsid w:val="000050CA"/>
    <w:rsid w:val="00005436"/>
    <w:rsid w:val="00005BE6"/>
    <w:rsid w:val="00005CB2"/>
    <w:rsid w:val="00005EDF"/>
    <w:rsid w:val="00006490"/>
    <w:rsid w:val="00006837"/>
    <w:rsid w:val="0000694F"/>
    <w:rsid w:val="000069DA"/>
    <w:rsid w:val="000072C9"/>
    <w:rsid w:val="00007DEA"/>
    <w:rsid w:val="000107EC"/>
    <w:rsid w:val="00010E9D"/>
    <w:rsid w:val="000111D6"/>
    <w:rsid w:val="00011B75"/>
    <w:rsid w:val="000122E8"/>
    <w:rsid w:val="000124E7"/>
    <w:rsid w:val="0001251E"/>
    <w:rsid w:val="00012964"/>
    <w:rsid w:val="000129A5"/>
    <w:rsid w:val="00012E47"/>
    <w:rsid w:val="000130BF"/>
    <w:rsid w:val="00013432"/>
    <w:rsid w:val="00013FF1"/>
    <w:rsid w:val="000143A9"/>
    <w:rsid w:val="0001474D"/>
    <w:rsid w:val="000147E6"/>
    <w:rsid w:val="00014BF2"/>
    <w:rsid w:val="00014F36"/>
    <w:rsid w:val="00014F3E"/>
    <w:rsid w:val="000153A0"/>
    <w:rsid w:val="00015C94"/>
    <w:rsid w:val="00016184"/>
    <w:rsid w:val="000168DE"/>
    <w:rsid w:val="000175D7"/>
    <w:rsid w:val="00020085"/>
    <w:rsid w:val="00020485"/>
    <w:rsid w:val="00020621"/>
    <w:rsid w:val="0002074E"/>
    <w:rsid w:val="00020DBF"/>
    <w:rsid w:val="00021027"/>
    <w:rsid w:val="00021E3C"/>
    <w:rsid w:val="00021E75"/>
    <w:rsid w:val="0002206D"/>
    <w:rsid w:val="00022FEB"/>
    <w:rsid w:val="0002370C"/>
    <w:rsid w:val="00023FF9"/>
    <w:rsid w:val="00024E49"/>
    <w:rsid w:val="0002521F"/>
    <w:rsid w:val="00025411"/>
    <w:rsid w:val="00025C61"/>
    <w:rsid w:val="00026267"/>
    <w:rsid w:val="0002649D"/>
    <w:rsid w:val="00026DF3"/>
    <w:rsid w:val="00027220"/>
    <w:rsid w:val="00027AB0"/>
    <w:rsid w:val="0003067D"/>
    <w:rsid w:val="00030E94"/>
    <w:rsid w:val="000314DF"/>
    <w:rsid w:val="00031D92"/>
    <w:rsid w:val="00031F0A"/>
    <w:rsid w:val="00031FA8"/>
    <w:rsid w:val="00032896"/>
    <w:rsid w:val="00033419"/>
    <w:rsid w:val="000335AF"/>
    <w:rsid w:val="00034288"/>
    <w:rsid w:val="00034331"/>
    <w:rsid w:val="0003451B"/>
    <w:rsid w:val="0003494E"/>
    <w:rsid w:val="00034DEE"/>
    <w:rsid w:val="00035585"/>
    <w:rsid w:val="00035761"/>
    <w:rsid w:val="00035925"/>
    <w:rsid w:val="000367CA"/>
    <w:rsid w:val="000372CD"/>
    <w:rsid w:val="00037B7B"/>
    <w:rsid w:val="00037F03"/>
    <w:rsid w:val="00040E14"/>
    <w:rsid w:val="00042B04"/>
    <w:rsid w:val="00043027"/>
    <w:rsid w:val="000435C5"/>
    <w:rsid w:val="00043DC4"/>
    <w:rsid w:val="00043EE9"/>
    <w:rsid w:val="00044620"/>
    <w:rsid w:val="00044780"/>
    <w:rsid w:val="000447F8"/>
    <w:rsid w:val="00044F1A"/>
    <w:rsid w:val="000450EF"/>
    <w:rsid w:val="000451BC"/>
    <w:rsid w:val="00045D6A"/>
    <w:rsid w:val="00047A48"/>
    <w:rsid w:val="00047ACE"/>
    <w:rsid w:val="00047CC4"/>
    <w:rsid w:val="00050DAD"/>
    <w:rsid w:val="00051373"/>
    <w:rsid w:val="00051BD8"/>
    <w:rsid w:val="00052AE5"/>
    <w:rsid w:val="00052FB7"/>
    <w:rsid w:val="00053CBF"/>
    <w:rsid w:val="00054206"/>
    <w:rsid w:val="000544C9"/>
    <w:rsid w:val="00054E82"/>
    <w:rsid w:val="00055023"/>
    <w:rsid w:val="00055542"/>
    <w:rsid w:val="00055BE2"/>
    <w:rsid w:val="0005709C"/>
    <w:rsid w:val="000570A7"/>
    <w:rsid w:val="00057C1F"/>
    <w:rsid w:val="00060A07"/>
    <w:rsid w:val="00060C0F"/>
    <w:rsid w:val="000610F5"/>
    <w:rsid w:val="0006179E"/>
    <w:rsid w:val="00061930"/>
    <w:rsid w:val="00061FBC"/>
    <w:rsid w:val="0006251E"/>
    <w:rsid w:val="000629EF"/>
    <w:rsid w:val="00062B7D"/>
    <w:rsid w:val="00062E3A"/>
    <w:rsid w:val="00062F8B"/>
    <w:rsid w:val="0006327C"/>
    <w:rsid w:val="0006429B"/>
    <w:rsid w:val="00064373"/>
    <w:rsid w:val="00064424"/>
    <w:rsid w:val="00064BCA"/>
    <w:rsid w:val="00065B3D"/>
    <w:rsid w:val="00065CCD"/>
    <w:rsid w:val="00067E9F"/>
    <w:rsid w:val="00067F58"/>
    <w:rsid w:val="00070134"/>
    <w:rsid w:val="00070D3D"/>
    <w:rsid w:val="00070D6E"/>
    <w:rsid w:val="00070E4A"/>
    <w:rsid w:val="00071B6E"/>
    <w:rsid w:val="0007207B"/>
    <w:rsid w:val="000728E0"/>
    <w:rsid w:val="00072B5E"/>
    <w:rsid w:val="00073576"/>
    <w:rsid w:val="00073AA9"/>
    <w:rsid w:val="00075C49"/>
    <w:rsid w:val="0007699D"/>
    <w:rsid w:val="00076F22"/>
    <w:rsid w:val="00077288"/>
    <w:rsid w:val="0007738B"/>
    <w:rsid w:val="0007798D"/>
    <w:rsid w:val="00077BED"/>
    <w:rsid w:val="00080E25"/>
    <w:rsid w:val="0008156A"/>
    <w:rsid w:val="00082625"/>
    <w:rsid w:val="00082E88"/>
    <w:rsid w:val="00083C3F"/>
    <w:rsid w:val="0008513D"/>
    <w:rsid w:val="000851AA"/>
    <w:rsid w:val="00085CD5"/>
    <w:rsid w:val="00085D91"/>
    <w:rsid w:val="00087B71"/>
    <w:rsid w:val="00087E38"/>
    <w:rsid w:val="0009088B"/>
    <w:rsid w:val="00090D93"/>
    <w:rsid w:val="00091D02"/>
    <w:rsid w:val="00093354"/>
    <w:rsid w:val="000934A3"/>
    <w:rsid w:val="00093FFD"/>
    <w:rsid w:val="00094273"/>
    <w:rsid w:val="00094686"/>
    <w:rsid w:val="0009481F"/>
    <w:rsid w:val="00095B0B"/>
    <w:rsid w:val="000961F7"/>
    <w:rsid w:val="00096409"/>
    <w:rsid w:val="0009645C"/>
    <w:rsid w:val="000A0244"/>
    <w:rsid w:val="000A1119"/>
    <w:rsid w:val="000A1FE2"/>
    <w:rsid w:val="000A3227"/>
    <w:rsid w:val="000A3BBA"/>
    <w:rsid w:val="000A3BBD"/>
    <w:rsid w:val="000A3E2D"/>
    <w:rsid w:val="000A4588"/>
    <w:rsid w:val="000A45A4"/>
    <w:rsid w:val="000A4C39"/>
    <w:rsid w:val="000A52C4"/>
    <w:rsid w:val="000A5359"/>
    <w:rsid w:val="000A619D"/>
    <w:rsid w:val="000A68E5"/>
    <w:rsid w:val="000B052F"/>
    <w:rsid w:val="000B0BF0"/>
    <w:rsid w:val="000B0ED2"/>
    <w:rsid w:val="000B12A6"/>
    <w:rsid w:val="000B14C2"/>
    <w:rsid w:val="000B24D0"/>
    <w:rsid w:val="000B3207"/>
    <w:rsid w:val="000B3942"/>
    <w:rsid w:val="000B3F45"/>
    <w:rsid w:val="000B41AF"/>
    <w:rsid w:val="000B462F"/>
    <w:rsid w:val="000B4995"/>
    <w:rsid w:val="000B4B08"/>
    <w:rsid w:val="000B6057"/>
    <w:rsid w:val="000B629C"/>
    <w:rsid w:val="000B647A"/>
    <w:rsid w:val="000B676F"/>
    <w:rsid w:val="000B7C52"/>
    <w:rsid w:val="000C04FD"/>
    <w:rsid w:val="000C059F"/>
    <w:rsid w:val="000C093A"/>
    <w:rsid w:val="000C0B44"/>
    <w:rsid w:val="000C0C8C"/>
    <w:rsid w:val="000C3666"/>
    <w:rsid w:val="000C3705"/>
    <w:rsid w:val="000C3BBF"/>
    <w:rsid w:val="000C3CD6"/>
    <w:rsid w:val="000C3F52"/>
    <w:rsid w:val="000C43F0"/>
    <w:rsid w:val="000C5D50"/>
    <w:rsid w:val="000C6372"/>
    <w:rsid w:val="000C64CB"/>
    <w:rsid w:val="000C67C1"/>
    <w:rsid w:val="000C6934"/>
    <w:rsid w:val="000C7CAD"/>
    <w:rsid w:val="000D02CF"/>
    <w:rsid w:val="000D034E"/>
    <w:rsid w:val="000D0643"/>
    <w:rsid w:val="000D0CDC"/>
    <w:rsid w:val="000D10E1"/>
    <w:rsid w:val="000D2DD8"/>
    <w:rsid w:val="000D3BD6"/>
    <w:rsid w:val="000D3E43"/>
    <w:rsid w:val="000D3FD3"/>
    <w:rsid w:val="000D47EF"/>
    <w:rsid w:val="000D4E5A"/>
    <w:rsid w:val="000D525C"/>
    <w:rsid w:val="000D561B"/>
    <w:rsid w:val="000D5BD4"/>
    <w:rsid w:val="000D694B"/>
    <w:rsid w:val="000D6B6F"/>
    <w:rsid w:val="000D78CD"/>
    <w:rsid w:val="000D7A86"/>
    <w:rsid w:val="000D7AC3"/>
    <w:rsid w:val="000D7E6D"/>
    <w:rsid w:val="000E049C"/>
    <w:rsid w:val="000E05F4"/>
    <w:rsid w:val="000E0E34"/>
    <w:rsid w:val="000E105D"/>
    <w:rsid w:val="000E24F0"/>
    <w:rsid w:val="000E279C"/>
    <w:rsid w:val="000E3199"/>
    <w:rsid w:val="000E389F"/>
    <w:rsid w:val="000E38BE"/>
    <w:rsid w:val="000E3ADB"/>
    <w:rsid w:val="000E3EE2"/>
    <w:rsid w:val="000E3F5F"/>
    <w:rsid w:val="000E498C"/>
    <w:rsid w:val="000E4FED"/>
    <w:rsid w:val="000E5D89"/>
    <w:rsid w:val="000E69AA"/>
    <w:rsid w:val="000E6A26"/>
    <w:rsid w:val="000E7358"/>
    <w:rsid w:val="000E7E63"/>
    <w:rsid w:val="000F031D"/>
    <w:rsid w:val="000F0457"/>
    <w:rsid w:val="000F1B83"/>
    <w:rsid w:val="000F1C7A"/>
    <w:rsid w:val="000F29E4"/>
    <w:rsid w:val="000F2A5D"/>
    <w:rsid w:val="000F3240"/>
    <w:rsid w:val="000F3385"/>
    <w:rsid w:val="000F5795"/>
    <w:rsid w:val="000F5A99"/>
    <w:rsid w:val="000F6C0F"/>
    <w:rsid w:val="000F7669"/>
    <w:rsid w:val="001000A6"/>
    <w:rsid w:val="00100758"/>
    <w:rsid w:val="00101CF7"/>
    <w:rsid w:val="001022EC"/>
    <w:rsid w:val="00103007"/>
    <w:rsid w:val="001061D8"/>
    <w:rsid w:val="001075D7"/>
    <w:rsid w:val="001079C6"/>
    <w:rsid w:val="00107E5A"/>
    <w:rsid w:val="001102E1"/>
    <w:rsid w:val="00111567"/>
    <w:rsid w:val="00111E20"/>
    <w:rsid w:val="001129A1"/>
    <w:rsid w:val="0011309F"/>
    <w:rsid w:val="0011338E"/>
    <w:rsid w:val="0011371A"/>
    <w:rsid w:val="0011434F"/>
    <w:rsid w:val="00115E4A"/>
    <w:rsid w:val="0011652A"/>
    <w:rsid w:val="00116CB1"/>
    <w:rsid w:val="00116D31"/>
    <w:rsid w:val="00117DB3"/>
    <w:rsid w:val="00120B77"/>
    <w:rsid w:val="00121633"/>
    <w:rsid w:val="0012189A"/>
    <w:rsid w:val="00121AE8"/>
    <w:rsid w:val="00121CCE"/>
    <w:rsid w:val="00121FC3"/>
    <w:rsid w:val="001220BE"/>
    <w:rsid w:val="001227BA"/>
    <w:rsid w:val="0012306E"/>
    <w:rsid w:val="001235B5"/>
    <w:rsid w:val="00123AE2"/>
    <w:rsid w:val="00123F21"/>
    <w:rsid w:val="00124EF1"/>
    <w:rsid w:val="001260D3"/>
    <w:rsid w:val="0012680A"/>
    <w:rsid w:val="00126FAB"/>
    <w:rsid w:val="00127226"/>
    <w:rsid w:val="00127620"/>
    <w:rsid w:val="0012766B"/>
    <w:rsid w:val="00127B37"/>
    <w:rsid w:val="001305C2"/>
    <w:rsid w:val="0013144E"/>
    <w:rsid w:val="001314D9"/>
    <w:rsid w:val="001319E4"/>
    <w:rsid w:val="00131E0A"/>
    <w:rsid w:val="00131ECC"/>
    <w:rsid w:val="00132331"/>
    <w:rsid w:val="001331D0"/>
    <w:rsid w:val="00133967"/>
    <w:rsid w:val="00133998"/>
    <w:rsid w:val="001342C7"/>
    <w:rsid w:val="00135187"/>
    <w:rsid w:val="00135BA3"/>
    <w:rsid w:val="00135C82"/>
    <w:rsid w:val="00135CDA"/>
    <w:rsid w:val="00135EE0"/>
    <w:rsid w:val="0013651F"/>
    <w:rsid w:val="001366CD"/>
    <w:rsid w:val="001402C1"/>
    <w:rsid w:val="00140C1A"/>
    <w:rsid w:val="001417AE"/>
    <w:rsid w:val="0014315D"/>
    <w:rsid w:val="00143334"/>
    <w:rsid w:val="00145CA3"/>
    <w:rsid w:val="00145CFA"/>
    <w:rsid w:val="00145E65"/>
    <w:rsid w:val="00146776"/>
    <w:rsid w:val="00146B3B"/>
    <w:rsid w:val="00147AFE"/>
    <w:rsid w:val="00147D04"/>
    <w:rsid w:val="0015016F"/>
    <w:rsid w:val="00150281"/>
    <w:rsid w:val="00150614"/>
    <w:rsid w:val="001522D6"/>
    <w:rsid w:val="001523E6"/>
    <w:rsid w:val="00152704"/>
    <w:rsid w:val="0015340F"/>
    <w:rsid w:val="00154197"/>
    <w:rsid w:val="00155697"/>
    <w:rsid w:val="00156491"/>
    <w:rsid w:val="0015717F"/>
    <w:rsid w:val="00157958"/>
    <w:rsid w:val="00157E00"/>
    <w:rsid w:val="00160BDA"/>
    <w:rsid w:val="00160C4F"/>
    <w:rsid w:val="00160E90"/>
    <w:rsid w:val="00161476"/>
    <w:rsid w:val="00161FF7"/>
    <w:rsid w:val="001626B9"/>
    <w:rsid w:val="00162855"/>
    <w:rsid w:val="00162F6E"/>
    <w:rsid w:val="0016313D"/>
    <w:rsid w:val="00163DA4"/>
    <w:rsid w:val="00163E62"/>
    <w:rsid w:val="00164086"/>
    <w:rsid w:val="00164259"/>
    <w:rsid w:val="00164527"/>
    <w:rsid w:val="001646F4"/>
    <w:rsid w:val="00164AE5"/>
    <w:rsid w:val="00164C25"/>
    <w:rsid w:val="00164DD2"/>
    <w:rsid w:val="0016545C"/>
    <w:rsid w:val="00166C1E"/>
    <w:rsid w:val="00166F08"/>
    <w:rsid w:val="001677B5"/>
    <w:rsid w:val="00167C5E"/>
    <w:rsid w:val="001701A6"/>
    <w:rsid w:val="00170841"/>
    <w:rsid w:val="00170C36"/>
    <w:rsid w:val="00171A53"/>
    <w:rsid w:val="00171D68"/>
    <w:rsid w:val="00171DA9"/>
    <w:rsid w:val="00171E0B"/>
    <w:rsid w:val="00171E81"/>
    <w:rsid w:val="001727E5"/>
    <w:rsid w:val="00172DEB"/>
    <w:rsid w:val="00172E28"/>
    <w:rsid w:val="001734CD"/>
    <w:rsid w:val="00173D66"/>
    <w:rsid w:val="00174811"/>
    <w:rsid w:val="001753B0"/>
    <w:rsid w:val="00175C48"/>
    <w:rsid w:val="00176B2C"/>
    <w:rsid w:val="00176C77"/>
    <w:rsid w:val="00176CAA"/>
    <w:rsid w:val="0017711D"/>
    <w:rsid w:val="001773AE"/>
    <w:rsid w:val="00177A32"/>
    <w:rsid w:val="00177D9D"/>
    <w:rsid w:val="001809F5"/>
    <w:rsid w:val="00180DC5"/>
    <w:rsid w:val="00181379"/>
    <w:rsid w:val="00181FDD"/>
    <w:rsid w:val="00182347"/>
    <w:rsid w:val="0018264E"/>
    <w:rsid w:val="001827DE"/>
    <w:rsid w:val="00182954"/>
    <w:rsid w:val="00184717"/>
    <w:rsid w:val="00184CC0"/>
    <w:rsid w:val="00184FA1"/>
    <w:rsid w:val="001852D3"/>
    <w:rsid w:val="00185C16"/>
    <w:rsid w:val="00185CD6"/>
    <w:rsid w:val="00185DFA"/>
    <w:rsid w:val="00186742"/>
    <w:rsid w:val="00186BB2"/>
    <w:rsid w:val="00186D22"/>
    <w:rsid w:val="00187F09"/>
    <w:rsid w:val="00190761"/>
    <w:rsid w:val="00190EBB"/>
    <w:rsid w:val="00191567"/>
    <w:rsid w:val="001919D8"/>
    <w:rsid w:val="00191E56"/>
    <w:rsid w:val="00192883"/>
    <w:rsid w:val="001929C5"/>
    <w:rsid w:val="00192FB6"/>
    <w:rsid w:val="00193ADB"/>
    <w:rsid w:val="00194570"/>
    <w:rsid w:val="00194E7B"/>
    <w:rsid w:val="0019540C"/>
    <w:rsid w:val="0019595A"/>
    <w:rsid w:val="00195B78"/>
    <w:rsid w:val="00196351"/>
    <w:rsid w:val="00196921"/>
    <w:rsid w:val="00196EAF"/>
    <w:rsid w:val="00197C71"/>
    <w:rsid w:val="001A0C12"/>
    <w:rsid w:val="001A0C42"/>
    <w:rsid w:val="001A10F5"/>
    <w:rsid w:val="001A147B"/>
    <w:rsid w:val="001A1545"/>
    <w:rsid w:val="001A1548"/>
    <w:rsid w:val="001A184D"/>
    <w:rsid w:val="001A1DDC"/>
    <w:rsid w:val="001A1E4F"/>
    <w:rsid w:val="001A2225"/>
    <w:rsid w:val="001A261F"/>
    <w:rsid w:val="001A30B6"/>
    <w:rsid w:val="001A4635"/>
    <w:rsid w:val="001A5068"/>
    <w:rsid w:val="001A51BD"/>
    <w:rsid w:val="001A55A6"/>
    <w:rsid w:val="001A58F7"/>
    <w:rsid w:val="001A6438"/>
    <w:rsid w:val="001A6817"/>
    <w:rsid w:val="001A6D6E"/>
    <w:rsid w:val="001A6F37"/>
    <w:rsid w:val="001A7594"/>
    <w:rsid w:val="001A7B5F"/>
    <w:rsid w:val="001B0557"/>
    <w:rsid w:val="001B0E0E"/>
    <w:rsid w:val="001B1765"/>
    <w:rsid w:val="001B1B45"/>
    <w:rsid w:val="001B1D4B"/>
    <w:rsid w:val="001B23CB"/>
    <w:rsid w:val="001B3899"/>
    <w:rsid w:val="001B3FE2"/>
    <w:rsid w:val="001B44D3"/>
    <w:rsid w:val="001B48E5"/>
    <w:rsid w:val="001B4AEB"/>
    <w:rsid w:val="001B5246"/>
    <w:rsid w:val="001B52F6"/>
    <w:rsid w:val="001B540A"/>
    <w:rsid w:val="001B5AD7"/>
    <w:rsid w:val="001B7011"/>
    <w:rsid w:val="001B740C"/>
    <w:rsid w:val="001B7671"/>
    <w:rsid w:val="001C0A42"/>
    <w:rsid w:val="001C13C7"/>
    <w:rsid w:val="001C1A2F"/>
    <w:rsid w:val="001C2137"/>
    <w:rsid w:val="001C2CAE"/>
    <w:rsid w:val="001C3694"/>
    <w:rsid w:val="001C3976"/>
    <w:rsid w:val="001C3BF7"/>
    <w:rsid w:val="001C4A5A"/>
    <w:rsid w:val="001C5A8E"/>
    <w:rsid w:val="001C5F11"/>
    <w:rsid w:val="001C6484"/>
    <w:rsid w:val="001C6734"/>
    <w:rsid w:val="001C68E5"/>
    <w:rsid w:val="001C6C06"/>
    <w:rsid w:val="001C6F3D"/>
    <w:rsid w:val="001C761C"/>
    <w:rsid w:val="001C79DC"/>
    <w:rsid w:val="001D13F4"/>
    <w:rsid w:val="001D1822"/>
    <w:rsid w:val="001D2E63"/>
    <w:rsid w:val="001D31D0"/>
    <w:rsid w:val="001D335A"/>
    <w:rsid w:val="001D3880"/>
    <w:rsid w:val="001D42CB"/>
    <w:rsid w:val="001D43F2"/>
    <w:rsid w:val="001D48B1"/>
    <w:rsid w:val="001D4EE4"/>
    <w:rsid w:val="001D5086"/>
    <w:rsid w:val="001D61F9"/>
    <w:rsid w:val="001D62EE"/>
    <w:rsid w:val="001D7488"/>
    <w:rsid w:val="001D7753"/>
    <w:rsid w:val="001E07CB"/>
    <w:rsid w:val="001E0B27"/>
    <w:rsid w:val="001E0C32"/>
    <w:rsid w:val="001E0ED1"/>
    <w:rsid w:val="001E0FBE"/>
    <w:rsid w:val="001E1DD4"/>
    <w:rsid w:val="001E204C"/>
    <w:rsid w:val="001E29DC"/>
    <w:rsid w:val="001E2B5D"/>
    <w:rsid w:val="001E2EE7"/>
    <w:rsid w:val="001E2FD0"/>
    <w:rsid w:val="001E30F1"/>
    <w:rsid w:val="001E377C"/>
    <w:rsid w:val="001E4069"/>
    <w:rsid w:val="001E447E"/>
    <w:rsid w:val="001E4BB6"/>
    <w:rsid w:val="001E5F7F"/>
    <w:rsid w:val="001E612D"/>
    <w:rsid w:val="001E674F"/>
    <w:rsid w:val="001E682E"/>
    <w:rsid w:val="001E6AC1"/>
    <w:rsid w:val="001E7B35"/>
    <w:rsid w:val="001F0000"/>
    <w:rsid w:val="001F0988"/>
    <w:rsid w:val="001F0C3F"/>
    <w:rsid w:val="001F12F4"/>
    <w:rsid w:val="001F1AE8"/>
    <w:rsid w:val="001F33DF"/>
    <w:rsid w:val="001F3A1C"/>
    <w:rsid w:val="001F4145"/>
    <w:rsid w:val="001F4308"/>
    <w:rsid w:val="001F4835"/>
    <w:rsid w:val="001F4AAB"/>
    <w:rsid w:val="001F4B8C"/>
    <w:rsid w:val="001F5145"/>
    <w:rsid w:val="001F59CD"/>
    <w:rsid w:val="001F629F"/>
    <w:rsid w:val="001F66AC"/>
    <w:rsid w:val="001F6815"/>
    <w:rsid w:val="001F733D"/>
    <w:rsid w:val="001F7B10"/>
    <w:rsid w:val="002005FD"/>
    <w:rsid w:val="00200F69"/>
    <w:rsid w:val="0020145F"/>
    <w:rsid w:val="00201A16"/>
    <w:rsid w:val="00201F13"/>
    <w:rsid w:val="002024F7"/>
    <w:rsid w:val="00202892"/>
    <w:rsid w:val="00202AE1"/>
    <w:rsid w:val="002031A6"/>
    <w:rsid w:val="00203494"/>
    <w:rsid w:val="002035F1"/>
    <w:rsid w:val="0020498E"/>
    <w:rsid w:val="00204D94"/>
    <w:rsid w:val="00204EBC"/>
    <w:rsid w:val="0020514C"/>
    <w:rsid w:val="00205156"/>
    <w:rsid w:val="00206037"/>
    <w:rsid w:val="00206F67"/>
    <w:rsid w:val="0020725F"/>
    <w:rsid w:val="0020788A"/>
    <w:rsid w:val="00207DC3"/>
    <w:rsid w:val="00210131"/>
    <w:rsid w:val="002102D2"/>
    <w:rsid w:val="00210CBF"/>
    <w:rsid w:val="00210D59"/>
    <w:rsid w:val="00211647"/>
    <w:rsid w:val="0021168A"/>
    <w:rsid w:val="00211CF3"/>
    <w:rsid w:val="00211D2D"/>
    <w:rsid w:val="002120B7"/>
    <w:rsid w:val="00212133"/>
    <w:rsid w:val="00212C18"/>
    <w:rsid w:val="002132CE"/>
    <w:rsid w:val="0021368F"/>
    <w:rsid w:val="00213BE5"/>
    <w:rsid w:val="00213DB7"/>
    <w:rsid w:val="00214244"/>
    <w:rsid w:val="0021492C"/>
    <w:rsid w:val="00214A67"/>
    <w:rsid w:val="002154BB"/>
    <w:rsid w:val="00215D2B"/>
    <w:rsid w:val="00215E9A"/>
    <w:rsid w:val="0021645F"/>
    <w:rsid w:val="00216465"/>
    <w:rsid w:val="00217045"/>
    <w:rsid w:val="0022025F"/>
    <w:rsid w:val="00220621"/>
    <w:rsid w:val="00220C09"/>
    <w:rsid w:val="0022122C"/>
    <w:rsid w:val="00221F3F"/>
    <w:rsid w:val="002221CE"/>
    <w:rsid w:val="00222AEE"/>
    <w:rsid w:val="002234AE"/>
    <w:rsid w:val="00223907"/>
    <w:rsid w:val="00223C6A"/>
    <w:rsid w:val="00223F5F"/>
    <w:rsid w:val="002244D5"/>
    <w:rsid w:val="002246AE"/>
    <w:rsid w:val="002251F9"/>
    <w:rsid w:val="0022538F"/>
    <w:rsid w:val="002256B5"/>
    <w:rsid w:val="0022629F"/>
    <w:rsid w:val="0022692B"/>
    <w:rsid w:val="00227108"/>
    <w:rsid w:val="0022718C"/>
    <w:rsid w:val="00227525"/>
    <w:rsid w:val="00227CBC"/>
    <w:rsid w:val="00230217"/>
    <w:rsid w:val="002308D7"/>
    <w:rsid w:val="002311BF"/>
    <w:rsid w:val="002313CD"/>
    <w:rsid w:val="00231A01"/>
    <w:rsid w:val="00231F5F"/>
    <w:rsid w:val="00232A9E"/>
    <w:rsid w:val="00233890"/>
    <w:rsid w:val="00233FF5"/>
    <w:rsid w:val="002341B7"/>
    <w:rsid w:val="002346F4"/>
    <w:rsid w:val="00234CC1"/>
    <w:rsid w:val="0023558E"/>
    <w:rsid w:val="002362CB"/>
    <w:rsid w:val="0023647D"/>
    <w:rsid w:val="00236A08"/>
    <w:rsid w:val="00237335"/>
    <w:rsid w:val="002378E2"/>
    <w:rsid w:val="00237CAC"/>
    <w:rsid w:val="00237D36"/>
    <w:rsid w:val="00240015"/>
    <w:rsid w:val="00240ED6"/>
    <w:rsid w:val="00241039"/>
    <w:rsid w:val="00241470"/>
    <w:rsid w:val="00242214"/>
    <w:rsid w:val="0024372D"/>
    <w:rsid w:val="002441B0"/>
    <w:rsid w:val="002445CC"/>
    <w:rsid w:val="00244E36"/>
    <w:rsid w:val="00245866"/>
    <w:rsid w:val="00245B51"/>
    <w:rsid w:val="00245B79"/>
    <w:rsid w:val="00245ECE"/>
    <w:rsid w:val="002462A4"/>
    <w:rsid w:val="00246743"/>
    <w:rsid w:val="00246887"/>
    <w:rsid w:val="00246A6D"/>
    <w:rsid w:val="00246DC5"/>
    <w:rsid w:val="002470C2"/>
    <w:rsid w:val="002500A7"/>
    <w:rsid w:val="00250F46"/>
    <w:rsid w:val="00251926"/>
    <w:rsid w:val="00251B3C"/>
    <w:rsid w:val="00251C98"/>
    <w:rsid w:val="0025214E"/>
    <w:rsid w:val="00252230"/>
    <w:rsid w:val="0025267F"/>
    <w:rsid w:val="00253316"/>
    <w:rsid w:val="002547E0"/>
    <w:rsid w:val="00254BED"/>
    <w:rsid w:val="00254C64"/>
    <w:rsid w:val="00256251"/>
    <w:rsid w:val="00256A75"/>
    <w:rsid w:val="00256BAB"/>
    <w:rsid w:val="0025724E"/>
    <w:rsid w:val="0025736B"/>
    <w:rsid w:val="00257498"/>
    <w:rsid w:val="002575A3"/>
    <w:rsid w:val="002579A7"/>
    <w:rsid w:val="0026069A"/>
    <w:rsid w:val="002607FB"/>
    <w:rsid w:val="00260BDD"/>
    <w:rsid w:val="00261338"/>
    <w:rsid w:val="00263325"/>
    <w:rsid w:val="00263473"/>
    <w:rsid w:val="002645A9"/>
    <w:rsid w:val="002648D9"/>
    <w:rsid w:val="002648FC"/>
    <w:rsid w:val="00264DFE"/>
    <w:rsid w:val="00264EF7"/>
    <w:rsid w:val="00265E89"/>
    <w:rsid w:val="0026658F"/>
    <w:rsid w:val="00266C46"/>
    <w:rsid w:val="00266F77"/>
    <w:rsid w:val="0026736B"/>
    <w:rsid w:val="00267654"/>
    <w:rsid w:val="00267E40"/>
    <w:rsid w:val="00267E95"/>
    <w:rsid w:val="002704A8"/>
    <w:rsid w:val="00271021"/>
    <w:rsid w:val="002712D6"/>
    <w:rsid w:val="00271DF8"/>
    <w:rsid w:val="00272217"/>
    <w:rsid w:val="00272AA8"/>
    <w:rsid w:val="0027368A"/>
    <w:rsid w:val="00273A58"/>
    <w:rsid w:val="00274CF6"/>
    <w:rsid w:val="00274DFC"/>
    <w:rsid w:val="00275886"/>
    <w:rsid w:val="00276480"/>
    <w:rsid w:val="0027679E"/>
    <w:rsid w:val="002774A8"/>
    <w:rsid w:val="00277D46"/>
    <w:rsid w:val="00281931"/>
    <w:rsid w:val="00282204"/>
    <w:rsid w:val="002824B2"/>
    <w:rsid w:val="00282771"/>
    <w:rsid w:val="00282FF8"/>
    <w:rsid w:val="00283301"/>
    <w:rsid w:val="002838B1"/>
    <w:rsid w:val="0028560C"/>
    <w:rsid w:val="00286497"/>
    <w:rsid w:val="0028740C"/>
    <w:rsid w:val="0028761E"/>
    <w:rsid w:val="00287748"/>
    <w:rsid w:val="00287C0E"/>
    <w:rsid w:val="0029021C"/>
    <w:rsid w:val="00290946"/>
    <w:rsid w:val="00291446"/>
    <w:rsid w:val="002918F2"/>
    <w:rsid w:val="002919AA"/>
    <w:rsid w:val="00292980"/>
    <w:rsid w:val="002939BB"/>
    <w:rsid w:val="00293BD2"/>
    <w:rsid w:val="00293C4E"/>
    <w:rsid w:val="00294D78"/>
    <w:rsid w:val="00294E7F"/>
    <w:rsid w:val="002959B8"/>
    <w:rsid w:val="0029609F"/>
    <w:rsid w:val="0029624C"/>
    <w:rsid w:val="00296794"/>
    <w:rsid w:val="00296D86"/>
    <w:rsid w:val="00296F2D"/>
    <w:rsid w:val="00297372"/>
    <w:rsid w:val="00297711"/>
    <w:rsid w:val="00297FBE"/>
    <w:rsid w:val="002A0A53"/>
    <w:rsid w:val="002A0B23"/>
    <w:rsid w:val="002A0B3D"/>
    <w:rsid w:val="002A144A"/>
    <w:rsid w:val="002A1BCD"/>
    <w:rsid w:val="002A299E"/>
    <w:rsid w:val="002A3FE5"/>
    <w:rsid w:val="002A40C4"/>
    <w:rsid w:val="002A49A1"/>
    <w:rsid w:val="002A4F5D"/>
    <w:rsid w:val="002A5B6D"/>
    <w:rsid w:val="002A6048"/>
    <w:rsid w:val="002A61CF"/>
    <w:rsid w:val="002A72B0"/>
    <w:rsid w:val="002A7673"/>
    <w:rsid w:val="002A7916"/>
    <w:rsid w:val="002B0362"/>
    <w:rsid w:val="002B10CA"/>
    <w:rsid w:val="002B1671"/>
    <w:rsid w:val="002B2CBA"/>
    <w:rsid w:val="002B2F4C"/>
    <w:rsid w:val="002B3550"/>
    <w:rsid w:val="002B392F"/>
    <w:rsid w:val="002B3CEC"/>
    <w:rsid w:val="002B4966"/>
    <w:rsid w:val="002B49A5"/>
    <w:rsid w:val="002B5B25"/>
    <w:rsid w:val="002B5EEF"/>
    <w:rsid w:val="002B5F35"/>
    <w:rsid w:val="002B5FF7"/>
    <w:rsid w:val="002B677C"/>
    <w:rsid w:val="002B6A46"/>
    <w:rsid w:val="002B7FD0"/>
    <w:rsid w:val="002BBA65"/>
    <w:rsid w:val="002C0D6E"/>
    <w:rsid w:val="002C0F12"/>
    <w:rsid w:val="002C10A2"/>
    <w:rsid w:val="002C1328"/>
    <w:rsid w:val="002C20A3"/>
    <w:rsid w:val="002C2BA9"/>
    <w:rsid w:val="002C41C9"/>
    <w:rsid w:val="002C4618"/>
    <w:rsid w:val="002C497B"/>
    <w:rsid w:val="002C4ABC"/>
    <w:rsid w:val="002C4DCE"/>
    <w:rsid w:val="002C55F7"/>
    <w:rsid w:val="002C56B4"/>
    <w:rsid w:val="002C5DCA"/>
    <w:rsid w:val="002C6386"/>
    <w:rsid w:val="002C643F"/>
    <w:rsid w:val="002C674C"/>
    <w:rsid w:val="002C6C25"/>
    <w:rsid w:val="002C73FC"/>
    <w:rsid w:val="002C79B1"/>
    <w:rsid w:val="002C7E25"/>
    <w:rsid w:val="002C7EF7"/>
    <w:rsid w:val="002C7F77"/>
    <w:rsid w:val="002D0ABF"/>
    <w:rsid w:val="002D1460"/>
    <w:rsid w:val="002D164B"/>
    <w:rsid w:val="002D2A28"/>
    <w:rsid w:val="002D330E"/>
    <w:rsid w:val="002D3EB9"/>
    <w:rsid w:val="002D51AC"/>
    <w:rsid w:val="002D5747"/>
    <w:rsid w:val="002D6138"/>
    <w:rsid w:val="002D727E"/>
    <w:rsid w:val="002D7908"/>
    <w:rsid w:val="002D7ACE"/>
    <w:rsid w:val="002E01D0"/>
    <w:rsid w:val="002E100F"/>
    <w:rsid w:val="002E17AA"/>
    <w:rsid w:val="002E240F"/>
    <w:rsid w:val="002E4F08"/>
    <w:rsid w:val="002E5B1B"/>
    <w:rsid w:val="002E6303"/>
    <w:rsid w:val="002E6FBD"/>
    <w:rsid w:val="002E723F"/>
    <w:rsid w:val="002E7283"/>
    <w:rsid w:val="002F00D8"/>
    <w:rsid w:val="002F2085"/>
    <w:rsid w:val="002F29A5"/>
    <w:rsid w:val="002F2A06"/>
    <w:rsid w:val="002F2D28"/>
    <w:rsid w:val="002F2D4B"/>
    <w:rsid w:val="002F3040"/>
    <w:rsid w:val="002F3C0C"/>
    <w:rsid w:val="002F3E77"/>
    <w:rsid w:val="002F3F79"/>
    <w:rsid w:val="002F4B41"/>
    <w:rsid w:val="002F4EA7"/>
    <w:rsid w:val="002F51AD"/>
    <w:rsid w:val="002F5F46"/>
    <w:rsid w:val="002F603D"/>
    <w:rsid w:val="002F66B6"/>
    <w:rsid w:val="002F710E"/>
    <w:rsid w:val="002F7219"/>
    <w:rsid w:val="002F7975"/>
    <w:rsid w:val="002F7E04"/>
    <w:rsid w:val="00301458"/>
    <w:rsid w:val="00301A72"/>
    <w:rsid w:val="00302E80"/>
    <w:rsid w:val="00302EA0"/>
    <w:rsid w:val="003033E8"/>
    <w:rsid w:val="00303AA7"/>
    <w:rsid w:val="00304204"/>
    <w:rsid w:val="0030451B"/>
    <w:rsid w:val="00304CDD"/>
    <w:rsid w:val="00304DA6"/>
    <w:rsid w:val="00304EC1"/>
    <w:rsid w:val="0030504E"/>
    <w:rsid w:val="003052F8"/>
    <w:rsid w:val="00305E0B"/>
    <w:rsid w:val="00307B42"/>
    <w:rsid w:val="00310ADC"/>
    <w:rsid w:val="00311404"/>
    <w:rsid w:val="00312689"/>
    <w:rsid w:val="00312A7D"/>
    <w:rsid w:val="00312BB0"/>
    <w:rsid w:val="00313451"/>
    <w:rsid w:val="00313669"/>
    <w:rsid w:val="003137FF"/>
    <w:rsid w:val="00313F2F"/>
    <w:rsid w:val="00314EC2"/>
    <w:rsid w:val="00315046"/>
    <w:rsid w:val="003153E1"/>
    <w:rsid w:val="00315460"/>
    <w:rsid w:val="00315C72"/>
    <w:rsid w:val="00316340"/>
    <w:rsid w:val="00316D2E"/>
    <w:rsid w:val="003170EE"/>
    <w:rsid w:val="0031729F"/>
    <w:rsid w:val="003174AE"/>
    <w:rsid w:val="00317F9D"/>
    <w:rsid w:val="00320400"/>
    <w:rsid w:val="00320DF4"/>
    <w:rsid w:val="00320F60"/>
    <w:rsid w:val="0032103C"/>
    <w:rsid w:val="00321279"/>
    <w:rsid w:val="003212A7"/>
    <w:rsid w:val="00321A21"/>
    <w:rsid w:val="00322ED4"/>
    <w:rsid w:val="00322FD4"/>
    <w:rsid w:val="00323F79"/>
    <w:rsid w:val="003242BC"/>
    <w:rsid w:val="00324795"/>
    <w:rsid w:val="00324EC4"/>
    <w:rsid w:val="003267DF"/>
    <w:rsid w:val="0032723B"/>
    <w:rsid w:val="003316B7"/>
    <w:rsid w:val="003321DF"/>
    <w:rsid w:val="0033236B"/>
    <w:rsid w:val="00332C32"/>
    <w:rsid w:val="00333253"/>
    <w:rsid w:val="00333EC4"/>
    <w:rsid w:val="00334C73"/>
    <w:rsid w:val="00334DE8"/>
    <w:rsid w:val="00335036"/>
    <w:rsid w:val="0033574F"/>
    <w:rsid w:val="003360A8"/>
    <w:rsid w:val="0033699C"/>
    <w:rsid w:val="00336A34"/>
    <w:rsid w:val="00337085"/>
    <w:rsid w:val="003379F3"/>
    <w:rsid w:val="003404E6"/>
    <w:rsid w:val="003409ED"/>
    <w:rsid w:val="00340BC5"/>
    <w:rsid w:val="00340D05"/>
    <w:rsid w:val="00340F88"/>
    <w:rsid w:val="00341C43"/>
    <w:rsid w:val="00342113"/>
    <w:rsid w:val="00342C41"/>
    <w:rsid w:val="00343410"/>
    <w:rsid w:val="00343630"/>
    <w:rsid w:val="003441BE"/>
    <w:rsid w:val="003447FD"/>
    <w:rsid w:val="00344B5E"/>
    <w:rsid w:val="00344D65"/>
    <w:rsid w:val="003451DB"/>
    <w:rsid w:val="00345444"/>
    <w:rsid w:val="00345D2E"/>
    <w:rsid w:val="00345F57"/>
    <w:rsid w:val="0034640B"/>
    <w:rsid w:val="003466CF"/>
    <w:rsid w:val="00346814"/>
    <w:rsid w:val="00346825"/>
    <w:rsid w:val="003468D6"/>
    <w:rsid w:val="003475B0"/>
    <w:rsid w:val="003478A8"/>
    <w:rsid w:val="00350274"/>
    <w:rsid w:val="003505F6"/>
    <w:rsid w:val="00350622"/>
    <w:rsid w:val="0035069F"/>
    <w:rsid w:val="00351A1C"/>
    <w:rsid w:val="00351F16"/>
    <w:rsid w:val="00351FDE"/>
    <w:rsid w:val="00351FEA"/>
    <w:rsid w:val="00352015"/>
    <w:rsid w:val="003523D7"/>
    <w:rsid w:val="00354270"/>
    <w:rsid w:val="00354BF8"/>
    <w:rsid w:val="003551B6"/>
    <w:rsid w:val="0035530D"/>
    <w:rsid w:val="003557F1"/>
    <w:rsid w:val="0035630A"/>
    <w:rsid w:val="00356356"/>
    <w:rsid w:val="00356BB9"/>
    <w:rsid w:val="00356E10"/>
    <w:rsid w:val="00356E24"/>
    <w:rsid w:val="00356F56"/>
    <w:rsid w:val="00356FEC"/>
    <w:rsid w:val="00357B39"/>
    <w:rsid w:val="003603E5"/>
    <w:rsid w:val="003607D8"/>
    <w:rsid w:val="00360A7D"/>
    <w:rsid w:val="00360DD6"/>
    <w:rsid w:val="00361457"/>
    <w:rsid w:val="0036175B"/>
    <w:rsid w:val="00362031"/>
    <w:rsid w:val="003621B5"/>
    <w:rsid w:val="00362A2A"/>
    <w:rsid w:val="00362A40"/>
    <w:rsid w:val="00362A87"/>
    <w:rsid w:val="00362E51"/>
    <w:rsid w:val="00363D3E"/>
    <w:rsid w:val="0036483C"/>
    <w:rsid w:val="00367451"/>
    <w:rsid w:val="0036784C"/>
    <w:rsid w:val="00370097"/>
    <w:rsid w:val="00370A82"/>
    <w:rsid w:val="00370B8D"/>
    <w:rsid w:val="00370DFA"/>
    <w:rsid w:val="0037178F"/>
    <w:rsid w:val="003736C7"/>
    <w:rsid w:val="00373CAE"/>
    <w:rsid w:val="00373D5F"/>
    <w:rsid w:val="00374089"/>
    <w:rsid w:val="00374BF2"/>
    <w:rsid w:val="0037662D"/>
    <w:rsid w:val="00376BED"/>
    <w:rsid w:val="00376E75"/>
    <w:rsid w:val="0037703E"/>
    <w:rsid w:val="003772B6"/>
    <w:rsid w:val="003774AB"/>
    <w:rsid w:val="00377922"/>
    <w:rsid w:val="00380083"/>
    <w:rsid w:val="0038040D"/>
    <w:rsid w:val="0038095B"/>
    <w:rsid w:val="00380ADF"/>
    <w:rsid w:val="0038131D"/>
    <w:rsid w:val="00381512"/>
    <w:rsid w:val="0038280D"/>
    <w:rsid w:val="00382BA3"/>
    <w:rsid w:val="003844B7"/>
    <w:rsid w:val="00384BD6"/>
    <w:rsid w:val="00384D50"/>
    <w:rsid w:val="00385405"/>
    <w:rsid w:val="00385A82"/>
    <w:rsid w:val="003863AB"/>
    <w:rsid w:val="00386F78"/>
    <w:rsid w:val="00387677"/>
    <w:rsid w:val="00387EF3"/>
    <w:rsid w:val="00390825"/>
    <w:rsid w:val="00391866"/>
    <w:rsid w:val="003920FF"/>
    <w:rsid w:val="0039272A"/>
    <w:rsid w:val="003928B7"/>
    <w:rsid w:val="00393B7F"/>
    <w:rsid w:val="00393C13"/>
    <w:rsid w:val="00393FCD"/>
    <w:rsid w:val="0039441D"/>
    <w:rsid w:val="00394456"/>
    <w:rsid w:val="003944F9"/>
    <w:rsid w:val="00395546"/>
    <w:rsid w:val="00395955"/>
    <w:rsid w:val="00396391"/>
    <w:rsid w:val="003964C0"/>
    <w:rsid w:val="00396AAD"/>
    <w:rsid w:val="00397F5D"/>
    <w:rsid w:val="00397F90"/>
    <w:rsid w:val="003A0BF3"/>
    <w:rsid w:val="003A2093"/>
    <w:rsid w:val="003A2502"/>
    <w:rsid w:val="003A2EA5"/>
    <w:rsid w:val="003A47F7"/>
    <w:rsid w:val="003A4FA9"/>
    <w:rsid w:val="003A540A"/>
    <w:rsid w:val="003A5CE0"/>
    <w:rsid w:val="003A5E36"/>
    <w:rsid w:val="003A5E68"/>
    <w:rsid w:val="003A629D"/>
    <w:rsid w:val="003A676B"/>
    <w:rsid w:val="003A6D62"/>
    <w:rsid w:val="003A7613"/>
    <w:rsid w:val="003B0077"/>
    <w:rsid w:val="003B0208"/>
    <w:rsid w:val="003B0505"/>
    <w:rsid w:val="003B1579"/>
    <w:rsid w:val="003B1C3B"/>
    <w:rsid w:val="003B266D"/>
    <w:rsid w:val="003B2926"/>
    <w:rsid w:val="003B2D6F"/>
    <w:rsid w:val="003B2F66"/>
    <w:rsid w:val="003B3113"/>
    <w:rsid w:val="003B3A8A"/>
    <w:rsid w:val="003B3D75"/>
    <w:rsid w:val="003B44B0"/>
    <w:rsid w:val="003B4592"/>
    <w:rsid w:val="003B47B6"/>
    <w:rsid w:val="003B5446"/>
    <w:rsid w:val="003B5F1E"/>
    <w:rsid w:val="003B6188"/>
    <w:rsid w:val="003B67B5"/>
    <w:rsid w:val="003B6B7A"/>
    <w:rsid w:val="003B6EAD"/>
    <w:rsid w:val="003B7D37"/>
    <w:rsid w:val="003C0160"/>
    <w:rsid w:val="003C07A9"/>
    <w:rsid w:val="003C0DFF"/>
    <w:rsid w:val="003C1964"/>
    <w:rsid w:val="003C1C98"/>
    <w:rsid w:val="003C1D25"/>
    <w:rsid w:val="003C22CF"/>
    <w:rsid w:val="003C3280"/>
    <w:rsid w:val="003C3BDF"/>
    <w:rsid w:val="003C4590"/>
    <w:rsid w:val="003C511C"/>
    <w:rsid w:val="003C5332"/>
    <w:rsid w:val="003C5506"/>
    <w:rsid w:val="003C61CE"/>
    <w:rsid w:val="003C62BB"/>
    <w:rsid w:val="003C656A"/>
    <w:rsid w:val="003C658E"/>
    <w:rsid w:val="003C6874"/>
    <w:rsid w:val="003C6B81"/>
    <w:rsid w:val="003C6B87"/>
    <w:rsid w:val="003C7030"/>
    <w:rsid w:val="003D08E5"/>
    <w:rsid w:val="003D0983"/>
    <w:rsid w:val="003D0D34"/>
    <w:rsid w:val="003D0F42"/>
    <w:rsid w:val="003D10F3"/>
    <w:rsid w:val="003D20A8"/>
    <w:rsid w:val="003D2425"/>
    <w:rsid w:val="003D29B0"/>
    <w:rsid w:val="003D3178"/>
    <w:rsid w:val="003D3E52"/>
    <w:rsid w:val="003D3FFC"/>
    <w:rsid w:val="003D41ED"/>
    <w:rsid w:val="003D42DA"/>
    <w:rsid w:val="003D4718"/>
    <w:rsid w:val="003D4DA4"/>
    <w:rsid w:val="003D4F0D"/>
    <w:rsid w:val="003D51C2"/>
    <w:rsid w:val="003D52B7"/>
    <w:rsid w:val="003D5848"/>
    <w:rsid w:val="003D5C2A"/>
    <w:rsid w:val="003D5D41"/>
    <w:rsid w:val="003D7391"/>
    <w:rsid w:val="003D7AE8"/>
    <w:rsid w:val="003E1A1F"/>
    <w:rsid w:val="003E1B1C"/>
    <w:rsid w:val="003E1CEA"/>
    <w:rsid w:val="003E28F3"/>
    <w:rsid w:val="003E3BB7"/>
    <w:rsid w:val="003E41FF"/>
    <w:rsid w:val="003E4594"/>
    <w:rsid w:val="003E4D05"/>
    <w:rsid w:val="003E4F03"/>
    <w:rsid w:val="003E5392"/>
    <w:rsid w:val="003E6362"/>
    <w:rsid w:val="003E698B"/>
    <w:rsid w:val="003E6DC6"/>
    <w:rsid w:val="003E7A6B"/>
    <w:rsid w:val="003F0287"/>
    <w:rsid w:val="003F0856"/>
    <w:rsid w:val="003F1935"/>
    <w:rsid w:val="003F27C4"/>
    <w:rsid w:val="003F3168"/>
    <w:rsid w:val="003F364D"/>
    <w:rsid w:val="003F3CC1"/>
    <w:rsid w:val="003F4A27"/>
    <w:rsid w:val="003F5A06"/>
    <w:rsid w:val="003F5C48"/>
    <w:rsid w:val="003F5EA7"/>
    <w:rsid w:val="00400006"/>
    <w:rsid w:val="004000A3"/>
    <w:rsid w:val="00400359"/>
    <w:rsid w:val="00400649"/>
    <w:rsid w:val="00400739"/>
    <w:rsid w:val="00400D12"/>
    <w:rsid w:val="00402133"/>
    <w:rsid w:val="0040337F"/>
    <w:rsid w:val="004048C6"/>
    <w:rsid w:val="00404F72"/>
    <w:rsid w:val="00405167"/>
    <w:rsid w:val="00405F2E"/>
    <w:rsid w:val="004069A1"/>
    <w:rsid w:val="0041142A"/>
    <w:rsid w:val="00412939"/>
    <w:rsid w:val="00413425"/>
    <w:rsid w:val="004141E2"/>
    <w:rsid w:val="004146E7"/>
    <w:rsid w:val="004146FD"/>
    <w:rsid w:val="00414A08"/>
    <w:rsid w:val="00414E60"/>
    <w:rsid w:val="00415A88"/>
    <w:rsid w:val="00415E64"/>
    <w:rsid w:val="00416798"/>
    <w:rsid w:val="00416FD8"/>
    <w:rsid w:val="00417D9D"/>
    <w:rsid w:val="0042078F"/>
    <w:rsid w:val="00420937"/>
    <w:rsid w:val="00420B7A"/>
    <w:rsid w:val="00420F5A"/>
    <w:rsid w:val="0042114A"/>
    <w:rsid w:val="00421B0B"/>
    <w:rsid w:val="00422C8D"/>
    <w:rsid w:val="00423192"/>
    <w:rsid w:val="00423D91"/>
    <w:rsid w:val="00423F78"/>
    <w:rsid w:val="004243A5"/>
    <w:rsid w:val="00424E02"/>
    <w:rsid w:val="00426075"/>
    <w:rsid w:val="00426403"/>
    <w:rsid w:val="00426C6A"/>
    <w:rsid w:val="00426E0C"/>
    <w:rsid w:val="00427261"/>
    <w:rsid w:val="004277C6"/>
    <w:rsid w:val="00427F4E"/>
    <w:rsid w:val="00433CC7"/>
    <w:rsid w:val="00433F80"/>
    <w:rsid w:val="0043509F"/>
    <w:rsid w:val="00435AA0"/>
    <w:rsid w:val="00435F13"/>
    <w:rsid w:val="00437FD5"/>
    <w:rsid w:val="004402C7"/>
    <w:rsid w:val="004404E5"/>
    <w:rsid w:val="004404EB"/>
    <w:rsid w:val="00441513"/>
    <w:rsid w:val="004416D0"/>
    <w:rsid w:val="004417EA"/>
    <w:rsid w:val="00443FD5"/>
    <w:rsid w:val="00444699"/>
    <w:rsid w:val="00444795"/>
    <w:rsid w:val="00444A15"/>
    <w:rsid w:val="00444B44"/>
    <w:rsid w:val="00444CBB"/>
    <w:rsid w:val="00445E85"/>
    <w:rsid w:val="004462A4"/>
    <w:rsid w:val="00446A4E"/>
    <w:rsid w:val="00446E1D"/>
    <w:rsid w:val="0044713E"/>
    <w:rsid w:val="00450478"/>
    <w:rsid w:val="0045066D"/>
    <w:rsid w:val="00450A06"/>
    <w:rsid w:val="00450D96"/>
    <w:rsid w:val="0045180D"/>
    <w:rsid w:val="00451B59"/>
    <w:rsid w:val="00452024"/>
    <w:rsid w:val="00453933"/>
    <w:rsid w:val="0045396A"/>
    <w:rsid w:val="00454239"/>
    <w:rsid w:val="004547E7"/>
    <w:rsid w:val="00454884"/>
    <w:rsid w:val="00454997"/>
    <w:rsid w:val="00454A9F"/>
    <w:rsid w:val="00454F1C"/>
    <w:rsid w:val="004552DE"/>
    <w:rsid w:val="004552F9"/>
    <w:rsid w:val="004556E0"/>
    <w:rsid w:val="00456721"/>
    <w:rsid w:val="00456F09"/>
    <w:rsid w:val="0045762D"/>
    <w:rsid w:val="00457860"/>
    <w:rsid w:val="00457932"/>
    <w:rsid w:val="00460926"/>
    <w:rsid w:val="00461A02"/>
    <w:rsid w:val="0046213E"/>
    <w:rsid w:val="00462A94"/>
    <w:rsid w:val="00462E5B"/>
    <w:rsid w:val="004630ED"/>
    <w:rsid w:val="004634E6"/>
    <w:rsid w:val="0046351B"/>
    <w:rsid w:val="00463B4F"/>
    <w:rsid w:val="004647FD"/>
    <w:rsid w:val="00464DE5"/>
    <w:rsid w:val="0046520D"/>
    <w:rsid w:val="0046627B"/>
    <w:rsid w:val="00466C36"/>
    <w:rsid w:val="00467740"/>
    <w:rsid w:val="00467FAB"/>
    <w:rsid w:val="004705F6"/>
    <w:rsid w:val="0047088F"/>
    <w:rsid w:val="00470C30"/>
    <w:rsid w:val="00472448"/>
    <w:rsid w:val="004728C1"/>
    <w:rsid w:val="00472D61"/>
    <w:rsid w:val="00473D53"/>
    <w:rsid w:val="00473F6E"/>
    <w:rsid w:val="00474DDD"/>
    <w:rsid w:val="004752C1"/>
    <w:rsid w:val="00475487"/>
    <w:rsid w:val="004757D0"/>
    <w:rsid w:val="00475804"/>
    <w:rsid w:val="00476D2A"/>
    <w:rsid w:val="004805A5"/>
    <w:rsid w:val="0048091D"/>
    <w:rsid w:val="004812B0"/>
    <w:rsid w:val="00481AE5"/>
    <w:rsid w:val="00482823"/>
    <w:rsid w:val="004836A8"/>
    <w:rsid w:val="00483703"/>
    <w:rsid w:val="004839E7"/>
    <w:rsid w:val="00483E0E"/>
    <w:rsid w:val="00484E3A"/>
    <w:rsid w:val="00484E6E"/>
    <w:rsid w:val="004851D6"/>
    <w:rsid w:val="00485DDB"/>
    <w:rsid w:val="00485E3B"/>
    <w:rsid w:val="00485E70"/>
    <w:rsid w:val="00486D0D"/>
    <w:rsid w:val="004904A2"/>
    <w:rsid w:val="00491779"/>
    <w:rsid w:val="00491E59"/>
    <w:rsid w:val="0049234D"/>
    <w:rsid w:val="00492510"/>
    <w:rsid w:val="00492713"/>
    <w:rsid w:val="004929F3"/>
    <w:rsid w:val="00492E00"/>
    <w:rsid w:val="004936ED"/>
    <w:rsid w:val="004950EC"/>
    <w:rsid w:val="00495455"/>
    <w:rsid w:val="00497884"/>
    <w:rsid w:val="00497CB8"/>
    <w:rsid w:val="00497DD6"/>
    <w:rsid w:val="004A10DD"/>
    <w:rsid w:val="004A18AF"/>
    <w:rsid w:val="004A1944"/>
    <w:rsid w:val="004A2F68"/>
    <w:rsid w:val="004A375D"/>
    <w:rsid w:val="004A3CC4"/>
    <w:rsid w:val="004A3DBE"/>
    <w:rsid w:val="004A408E"/>
    <w:rsid w:val="004A5853"/>
    <w:rsid w:val="004A5B79"/>
    <w:rsid w:val="004A6238"/>
    <w:rsid w:val="004A76A8"/>
    <w:rsid w:val="004A7F7C"/>
    <w:rsid w:val="004B02BB"/>
    <w:rsid w:val="004B06C8"/>
    <w:rsid w:val="004B0A82"/>
    <w:rsid w:val="004B123F"/>
    <w:rsid w:val="004B194D"/>
    <w:rsid w:val="004B1CB2"/>
    <w:rsid w:val="004B2DAA"/>
    <w:rsid w:val="004B3006"/>
    <w:rsid w:val="004B33D6"/>
    <w:rsid w:val="004B35E2"/>
    <w:rsid w:val="004B395D"/>
    <w:rsid w:val="004B3DD1"/>
    <w:rsid w:val="004B414F"/>
    <w:rsid w:val="004B480B"/>
    <w:rsid w:val="004B4D8A"/>
    <w:rsid w:val="004B4DD0"/>
    <w:rsid w:val="004B61E0"/>
    <w:rsid w:val="004B6259"/>
    <w:rsid w:val="004B648D"/>
    <w:rsid w:val="004B6AD6"/>
    <w:rsid w:val="004B6AEC"/>
    <w:rsid w:val="004B73B3"/>
    <w:rsid w:val="004B75C6"/>
    <w:rsid w:val="004C03F6"/>
    <w:rsid w:val="004C0EBF"/>
    <w:rsid w:val="004C0FB6"/>
    <w:rsid w:val="004C0FF3"/>
    <w:rsid w:val="004C114B"/>
    <w:rsid w:val="004C12E8"/>
    <w:rsid w:val="004C26AE"/>
    <w:rsid w:val="004C28A3"/>
    <w:rsid w:val="004C2D4D"/>
    <w:rsid w:val="004C2E00"/>
    <w:rsid w:val="004C369A"/>
    <w:rsid w:val="004C3750"/>
    <w:rsid w:val="004C405A"/>
    <w:rsid w:val="004C436E"/>
    <w:rsid w:val="004C4D22"/>
    <w:rsid w:val="004C5048"/>
    <w:rsid w:val="004C5439"/>
    <w:rsid w:val="004C6D44"/>
    <w:rsid w:val="004C6F96"/>
    <w:rsid w:val="004C76D4"/>
    <w:rsid w:val="004D0861"/>
    <w:rsid w:val="004D1802"/>
    <w:rsid w:val="004D1F54"/>
    <w:rsid w:val="004D20DD"/>
    <w:rsid w:val="004D2B1C"/>
    <w:rsid w:val="004D365A"/>
    <w:rsid w:val="004D4917"/>
    <w:rsid w:val="004D5575"/>
    <w:rsid w:val="004D5853"/>
    <w:rsid w:val="004D668A"/>
    <w:rsid w:val="004D7696"/>
    <w:rsid w:val="004D7A89"/>
    <w:rsid w:val="004D7E1D"/>
    <w:rsid w:val="004E114D"/>
    <w:rsid w:val="004E165C"/>
    <w:rsid w:val="004E2345"/>
    <w:rsid w:val="004E2AC1"/>
    <w:rsid w:val="004E3441"/>
    <w:rsid w:val="004E3B23"/>
    <w:rsid w:val="004E4042"/>
    <w:rsid w:val="004E4CDF"/>
    <w:rsid w:val="004E4FEF"/>
    <w:rsid w:val="004E55EF"/>
    <w:rsid w:val="004E6105"/>
    <w:rsid w:val="004E62B0"/>
    <w:rsid w:val="004E64D2"/>
    <w:rsid w:val="004E6541"/>
    <w:rsid w:val="004E68E4"/>
    <w:rsid w:val="004E6AB0"/>
    <w:rsid w:val="004E6E18"/>
    <w:rsid w:val="004E6FDE"/>
    <w:rsid w:val="004E7663"/>
    <w:rsid w:val="004F1BB2"/>
    <w:rsid w:val="004F1CE0"/>
    <w:rsid w:val="004F2739"/>
    <w:rsid w:val="004F2A54"/>
    <w:rsid w:val="004F43D1"/>
    <w:rsid w:val="004F680D"/>
    <w:rsid w:val="004F6A33"/>
    <w:rsid w:val="004F6AE6"/>
    <w:rsid w:val="004F6E15"/>
    <w:rsid w:val="005000C4"/>
    <w:rsid w:val="005012BA"/>
    <w:rsid w:val="005029FD"/>
    <w:rsid w:val="00502C9A"/>
    <w:rsid w:val="00502CE2"/>
    <w:rsid w:val="00503697"/>
    <w:rsid w:val="00503727"/>
    <w:rsid w:val="00503BDE"/>
    <w:rsid w:val="0050482C"/>
    <w:rsid w:val="00505365"/>
    <w:rsid w:val="00505725"/>
    <w:rsid w:val="00506CF5"/>
    <w:rsid w:val="00507741"/>
    <w:rsid w:val="00507C2C"/>
    <w:rsid w:val="005100AB"/>
    <w:rsid w:val="0051223D"/>
    <w:rsid w:val="00512A28"/>
    <w:rsid w:val="00513239"/>
    <w:rsid w:val="00514523"/>
    <w:rsid w:val="00514581"/>
    <w:rsid w:val="00515B38"/>
    <w:rsid w:val="00517063"/>
    <w:rsid w:val="00517308"/>
    <w:rsid w:val="005178DA"/>
    <w:rsid w:val="00517F9B"/>
    <w:rsid w:val="005202D0"/>
    <w:rsid w:val="00520EF8"/>
    <w:rsid w:val="00521278"/>
    <w:rsid w:val="0052129C"/>
    <w:rsid w:val="005219C7"/>
    <w:rsid w:val="00521C6C"/>
    <w:rsid w:val="00521CE6"/>
    <w:rsid w:val="00522D35"/>
    <w:rsid w:val="00522E94"/>
    <w:rsid w:val="00523106"/>
    <w:rsid w:val="00523124"/>
    <w:rsid w:val="005243C5"/>
    <w:rsid w:val="0052462B"/>
    <w:rsid w:val="00524964"/>
    <w:rsid w:val="0052496E"/>
    <w:rsid w:val="00524D26"/>
    <w:rsid w:val="00524D95"/>
    <w:rsid w:val="00525204"/>
    <w:rsid w:val="00525638"/>
    <w:rsid w:val="00525A05"/>
    <w:rsid w:val="00526341"/>
    <w:rsid w:val="0052698F"/>
    <w:rsid w:val="00527FF4"/>
    <w:rsid w:val="00530F5C"/>
    <w:rsid w:val="005310FA"/>
    <w:rsid w:val="00531A9D"/>
    <w:rsid w:val="00532631"/>
    <w:rsid w:val="005326A5"/>
    <w:rsid w:val="005326EE"/>
    <w:rsid w:val="005333ED"/>
    <w:rsid w:val="00533AA5"/>
    <w:rsid w:val="00533C8D"/>
    <w:rsid w:val="0053412D"/>
    <w:rsid w:val="00534A11"/>
    <w:rsid w:val="00534FF6"/>
    <w:rsid w:val="00535CAE"/>
    <w:rsid w:val="0053661E"/>
    <w:rsid w:val="00537E1F"/>
    <w:rsid w:val="00540291"/>
    <w:rsid w:val="005403AF"/>
    <w:rsid w:val="00540660"/>
    <w:rsid w:val="00541A2D"/>
    <w:rsid w:val="00541B0C"/>
    <w:rsid w:val="0054243F"/>
    <w:rsid w:val="00542D0A"/>
    <w:rsid w:val="0054376F"/>
    <w:rsid w:val="00543B9E"/>
    <w:rsid w:val="0054486B"/>
    <w:rsid w:val="005449AF"/>
    <w:rsid w:val="00544C23"/>
    <w:rsid w:val="00544C81"/>
    <w:rsid w:val="00544E32"/>
    <w:rsid w:val="00544F2C"/>
    <w:rsid w:val="00545320"/>
    <w:rsid w:val="00545C4D"/>
    <w:rsid w:val="005460B7"/>
    <w:rsid w:val="005476AE"/>
    <w:rsid w:val="005476C4"/>
    <w:rsid w:val="005479F4"/>
    <w:rsid w:val="00547B50"/>
    <w:rsid w:val="0055095C"/>
    <w:rsid w:val="00550A57"/>
    <w:rsid w:val="00550F66"/>
    <w:rsid w:val="005515E0"/>
    <w:rsid w:val="0055182F"/>
    <w:rsid w:val="00552B62"/>
    <w:rsid w:val="00553438"/>
    <w:rsid w:val="005534F0"/>
    <w:rsid w:val="00553803"/>
    <w:rsid w:val="00553A29"/>
    <w:rsid w:val="00554169"/>
    <w:rsid w:val="00554480"/>
    <w:rsid w:val="00554F8A"/>
    <w:rsid w:val="00555A0A"/>
    <w:rsid w:val="00555FE9"/>
    <w:rsid w:val="005565F7"/>
    <w:rsid w:val="00556BEC"/>
    <w:rsid w:val="00557134"/>
    <w:rsid w:val="00557382"/>
    <w:rsid w:val="00557E31"/>
    <w:rsid w:val="00557FDB"/>
    <w:rsid w:val="00560F86"/>
    <w:rsid w:val="0056174E"/>
    <w:rsid w:val="00561D0E"/>
    <w:rsid w:val="005623FF"/>
    <w:rsid w:val="00562417"/>
    <w:rsid w:val="00564776"/>
    <w:rsid w:val="0056537C"/>
    <w:rsid w:val="00566763"/>
    <w:rsid w:val="00566B91"/>
    <w:rsid w:val="005678D2"/>
    <w:rsid w:val="00567F5C"/>
    <w:rsid w:val="00570AA1"/>
    <w:rsid w:val="00570B71"/>
    <w:rsid w:val="00570CF0"/>
    <w:rsid w:val="00571139"/>
    <w:rsid w:val="0057154F"/>
    <w:rsid w:val="00571BDD"/>
    <w:rsid w:val="00571FBE"/>
    <w:rsid w:val="00572228"/>
    <w:rsid w:val="00572FA7"/>
    <w:rsid w:val="00573FAE"/>
    <w:rsid w:val="005742A0"/>
    <w:rsid w:val="00574909"/>
    <w:rsid w:val="00574BC3"/>
    <w:rsid w:val="005754E1"/>
    <w:rsid w:val="00575F71"/>
    <w:rsid w:val="005760FB"/>
    <w:rsid w:val="00576A5D"/>
    <w:rsid w:val="00577AC8"/>
    <w:rsid w:val="00577CA4"/>
    <w:rsid w:val="005809C5"/>
    <w:rsid w:val="00580C0B"/>
    <w:rsid w:val="00581312"/>
    <w:rsid w:val="00581A09"/>
    <w:rsid w:val="00581BCA"/>
    <w:rsid w:val="0058249A"/>
    <w:rsid w:val="005834D3"/>
    <w:rsid w:val="00583B5D"/>
    <w:rsid w:val="005840BE"/>
    <w:rsid w:val="005844AF"/>
    <w:rsid w:val="0058471D"/>
    <w:rsid w:val="00584A8D"/>
    <w:rsid w:val="00584B3D"/>
    <w:rsid w:val="00585F6C"/>
    <w:rsid w:val="00586461"/>
    <w:rsid w:val="005865BD"/>
    <w:rsid w:val="00586977"/>
    <w:rsid w:val="005870C7"/>
    <w:rsid w:val="0058751D"/>
    <w:rsid w:val="00587918"/>
    <w:rsid w:val="00587C02"/>
    <w:rsid w:val="00587E09"/>
    <w:rsid w:val="0059079E"/>
    <w:rsid w:val="005918D1"/>
    <w:rsid w:val="00591E2E"/>
    <w:rsid w:val="00591E39"/>
    <w:rsid w:val="00591FCB"/>
    <w:rsid w:val="0059210A"/>
    <w:rsid w:val="00592391"/>
    <w:rsid w:val="00592CB7"/>
    <w:rsid w:val="00592F45"/>
    <w:rsid w:val="00593559"/>
    <w:rsid w:val="00593D86"/>
    <w:rsid w:val="005942CF"/>
    <w:rsid w:val="00594491"/>
    <w:rsid w:val="00594DFC"/>
    <w:rsid w:val="00595451"/>
    <w:rsid w:val="00595DE0"/>
    <w:rsid w:val="005964A6"/>
    <w:rsid w:val="00596885"/>
    <w:rsid w:val="00596AB2"/>
    <w:rsid w:val="0059711F"/>
    <w:rsid w:val="0059780E"/>
    <w:rsid w:val="00597C3D"/>
    <w:rsid w:val="00597D5F"/>
    <w:rsid w:val="005A0042"/>
    <w:rsid w:val="005A0693"/>
    <w:rsid w:val="005A10AB"/>
    <w:rsid w:val="005A16C7"/>
    <w:rsid w:val="005A16E3"/>
    <w:rsid w:val="005A1718"/>
    <w:rsid w:val="005A1784"/>
    <w:rsid w:val="005A1AD7"/>
    <w:rsid w:val="005A1C16"/>
    <w:rsid w:val="005A1E0B"/>
    <w:rsid w:val="005A21BB"/>
    <w:rsid w:val="005A2343"/>
    <w:rsid w:val="005A334C"/>
    <w:rsid w:val="005A3A08"/>
    <w:rsid w:val="005A4324"/>
    <w:rsid w:val="005A4581"/>
    <w:rsid w:val="005A5DEB"/>
    <w:rsid w:val="005A617F"/>
    <w:rsid w:val="005A64E8"/>
    <w:rsid w:val="005A6755"/>
    <w:rsid w:val="005A6806"/>
    <w:rsid w:val="005A6D62"/>
    <w:rsid w:val="005A6E2B"/>
    <w:rsid w:val="005A7679"/>
    <w:rsid w:val="005A77FB"/>
    <w:rsid w:val="005A7D62"/>
    <w:rsid w:val="005B081C"/>
    <w:rsid w:val="005B1BA2"/>
    <w:rsid w:val="005B1F17"/>
    <w:rsid w:val="005B2B84"/>
    <w:rsid w:val="005B3BCF"/>
    <w:rsid w:val="005B3F74"/>
    <w:rsid w:val="005B46FB"/>
    <w:rsid w:val="005B4991"/>
    <w:rsid w:val="005B4F1C"/>
    <w:rsid w:val="005B5082"/>
    <w:rsid w:val="005B5156"/>
    <w:rsid w:val="005B5345"/>
    <w:rsid w:val="005B5461"/>
    <w:rsid w:val="005B6327"/>
    <w:rsid w:val="005B6789"/>
    <w:rsid w:val="005B67E9"/>
    <w:rsid w:val="005B6895"/>
    <w:rsid w:val="005B6B14"/>
    <w:rsid w:val="005B6D4B"/>
    <w:rsid w:val="005B7A79"/>
    <w:rsid w:val="005B7A80"/>
    <w:rsid w:val="005C094C"/>
    <w:rsid w:val="005C0F0F"/>
    <w:rsid w:val="005C2C9F"/>
    <w:rsid w:val="005C3B8F"/>
    <w:rsid w:val="005C4138"/>
    <w:rsid w:val="005C488D"/>
    <w:rsid w:val="005C4B13"/>
    <w:rsid w:val="005C55DF"/>
    <w:rsid w:val="005C605E"/>
    <w:rsid w:val="005C6256"/>
    <w:rsid w:val="005C6574"/>
    <w:rsid w:val="005C73E1"/>
    <w:rsid w:val="005D031F"/>
    <w:rsid w:val="005D0D4B"/>
    <w:rsid w:val="005D1754"/>
    <w:rsid w:val="005D18DB"/>
    <w:rsid w:val="005D1C44"/>
    <w:rsid w:val="005D25AB"/>
    <w:rsid w:val="005D2719"/>
    <w:rsid w:val="005D30DF"/>
    <w:rsid w:val="005D321D"/>
    <w:rsid w:val="005D3801"/>
    <w:rsid w:val="005D3E18"/>
    <w:rsid w:val="005D4434"/>
    <w:rsid w:val="005D4D36"/>
    <w:rsid w:val="005D4DCD"/>
    <w:rsid w:val="005D5578"/>
    <w:rsid w:val="005D68C5"/>
    <w:rsid w:val="005D6F4A"/>
    <w:rsid w:val="005D7E49"/>
    <w:rsid w:val="005E0768"/>
    <w:rsid w:val="005E1477"/>
    <w:rsid w:val="005E1AE8"/>
    <w:rsid w:val="005E1C23"/>
    <w:rsid w:val="005E2412"/>
    <w:rsid w:val="005E2C08"/>
    <w:rsid w:val="005E3B9E"/>
    <w:rsid w:val="005E3C7A"/>
    <w:rsid w:val="005E40F9"/>
    <w:rsid w:val="005E4E30"/>
    <w:rsid w:val="005E4F5F"/>
    <w:rsid w:val="005E5289"/>
    <w:rsid w:val="005E5CD9"/>
    <w:rsid w:val="005E69F1"/>
    <w:rsid w:val="005E6C68"/>
    <w:rsid w:val="005E7382"/>
    <w:rsid w:val="005E7DFB"/>
    <w:rsid w:val="005E7E04"/>
    <w:rsid w:val="005F04E0"/>
    <w:rsid w:val="005F2999"/>
    <w:rsid w:val="005F29F4"/>
    <w:rsid w:val="005F3125"/>
    <w:rsid w:val="005F3A21"/>
    <w:rsid w:val="005F3EF2"/>
    <w:rsid w:val="005F4324"/>
    <w:rsid w:val="005F436E"/>
    <w:rsid w:val="005F4826"/>
    <w:rsid w:val="005F4EE5"/>
    <w:rsid w:val="005F4EED"/>
    <w:rsid w:val="005F514B"/>
    <w:rsid w:val="005F6399"/>
    <w:rsid w:val="005F68B1"/>
    <w:rsid w:val="005F6961"/>
    <w:rsid w:val="005F7B6D"/>
    <w:rsid w:val="006005A7"/>
    <w:rsid w:val="006007A8"/>
    <w:rsid w:val="00600998"/>
    <w:rsid w:val="00601868"/>
    <w:rsid w:val="00601F88"/>
    <w:rsid w:val="00602448"/>
    <w:rsid w:val="00603A0F"/>
    <w:rsid w:val="006058F0"/>
    <w:rsid w:val="006062D6"/>
    <w:rsid w:val="00607140"/>
    <w:rsid w:val="006101C4"/>
    <w:rsid w:val="006104E5"/>
    <w:rsid w:val="00610594"/>
    <w:rsid w:val="00610B9C"/>
    <w:rsid w:val="006111B5"/>
    <w:rsid w:val="00611576"/>
    <w:rsid w:val="0061163F"/>
    <w:rsid w:val="00611752"/>
    <w:rsid w:val="00611A86"/>
    <w:rsid w:val="00611CE9"/>
    <w:rsid w:val="0061221A"/>
    <w:rsid w:val="00612245"/>
    <w:rsid w:val="00612F76"/>
    <w:rsid w:val="0061324B"/>
    <w:rsid w:val="0061391C"/>
    <w:rsid w:val="00613C62"/>
    <w:rsid w:val="00613FBE"/>
    <w:rsid w:val="006141CB"/>
    <w:rsid w:val="00614749"/>
    <w:rsid w:val="00614CF4"/>
    <w:rsid w:val="00614D2C"/>
    <w:rsid w:val="00615B02"/>
    <w:rsid w:val="006171CF"/>
    <w:rsid w:val="0061727E"/>
    <w:rsid w:val="00620568"/>
    <w:rsid w:val="00620874"/>
    <w:rsid w:val="006214DC"/>
    <w:rsid w:val="0062199A"/>
    <w:rsid w:val="00622456"/>
    <w:rsid w:val="00622EAC"/>
    <w:rsid w:val="00623FAC"/>
    <w:rsid w:val="006240FF"/>
    <w:rsid w:val="00624BE4"/>
    <w:rsid w:val="00624D92"/>
    <w:rsid w:val="00626023"/>
    <w:rsid w:val="00626507"/>
    <w:rsid w:val="006273DB"/>
    <w:rsid w:val="00627401"/>
    <w:rsid w:val="00627678"/>
    <w:rsid w:val="00627EEE"/>
    <w:rsid w:val="00627FB9"/>
    <w:rsid w:val="0063008E"/>
    <w:rsid w:val="0063010D"/>
    <w:rsid w:val="0063087E"/>
    <w:rsid w:val="00630BC6"/>
    <w:rsid w:val="00631CE3"/>
    <w:rsid w:val="0063211D"/>
    <w:rsid w:val="006323AD"/>
    <w:rsid w:val="006324E1"/>
    <w:rsid w:val="00632523"/>
    <w:rsid w:val="006338A6"/>
    <w:rsid w:val="00633D5F"/>
    <w:rsid w:val="006351AB"/>
    <w:rsid w:val="00635266"/>
    <w:rsid w:val="006352A6"/>
    <w:rsid w:val="006357D1"/>
    <w:rsid w:val="00635B0D"/>
    <w:rsid w:val="00635EB7"/>
    <w:rsid w:val="0063655E"/>
    <w:rsid w:val="00636C3E"/>
    <w:rsid w:val="00636EF4"/>
    <w:rsid w:val="00640167"/>
    <w:rsid w:val="006401E1"/>
    <w:rsid w:val="00640332"/>
    <w:rsid w:val="00640736"/>
    <w:rsid w:val="00640E46"/>
    <w:rsid w:val="0064180C"/>
    <w:rsid w:val="00641FD4"/>
    <w:rsid w:val="00642858"/>
    <w:rsid w:val="006434D9"/>
    <w:rsid w:val="00643DFB"/>
    <w:rsid w:val="00643EDB"/>
    <w:rsid w:val="0064420B"/>
    <w:rsid w:val="00644818"/>
    <w:rsid w:val="0064589C"/>
    <w:rsid w:val="00645BBB"/>
    <w:rsid w:val="00645D97"/>
    <w:rsid w:val="00645E4A"/>
    <w:rsid w:val="00646056"/>
    <w:rsid w:val="006465ED"/>
    <w:rsid w:val="006467AF"/>
    <w:rsid w:val="006477E1"/>
    <w:rsid w:val="00647FC7"/>
    <w:rsid w:val="0065069B"/>
    <w:rsid w:val="006515D4"/>
    <w:rsid w:val="00651AE0"/>
    <w:rsid w:val="00652432"/>
    <w:rsid w:val="00652D09"/>
    <w:rsid w:val="0065339C"/>
    <w:rsid w:val="00653AA5"/>
    <w:rsid w:val="00653D56"/>
    <w:rsid w:val="00654175"/>
    <w:rsid w:val="00654585"/>
    <w:rsid w:val="006545A1"/>
    <w:rsid w:val="00654623"/>
    <w:rsid w:val="0065481A"/>
    <w:rsid w:val="00654DD2"/>
    <w:rsid w:val="00654F8D"/>
    <w:rsid w:val="006550D7"/>
    <w:rsid w:val="00656801"/>
    <w:rsid w:val="00656CB4"/>
    <w:rsid w:val="00657A49"/>
    <w:rsid w:val="00657D1D"/>
    <w:rsid w:val="00657FE5"/>
    <w:rsid w:val="00661269"/>
    <w:rsid w:val="00661674"/>
    <w:rsid w:val="00662759"/>
    <w:rsid w:val="006628F4"/>
    <w:rsid w:val="00662CAF"/>
    <w:rsid w:val="00662EB6"/>
    <w:rsid w:val="006639AE"/>
    <w:rsid w:val="00663D16"/>
    <w:rsid w:val="0066413F"/>
    <w:rsid w:val="00664519"/>
    <w:rsid w:val="00664C68"/>
    <w:rsid w:val="00665655"/>
    <w:rsid w:val="0066583B"/>
    <w:rsid w:val="0066614F"/>
    <w:rsid w:val="0066704E"/>
    <w:rsid w:val="00667305"/>
    <w:rsid w:val="006676AB"/>
    <w:rsid w:val="00667B87"/>
    <w:rsid w:val="00670993"/>
    <w:rsid w:val="006709C2"/>
    <w:rsid w:val="006710B6"/>
    <w:rsid w:val="00671121"/>
    <w:rsid w:val="0067227B"/>
    <w:rsid w:val="00672AEC"/>
    <w:rsid w:val="00673113"/>
    <w:rsid w:val="00673410"/>
    <w:rsid w:val="00674D3F"/>
    <w:rsid w:val="0067642B"/>
    <w:rsid w:val="0067645D"/>
    <w:rsid w:val="00676921"/>
    <w:rsid w:val="006769BE"/>
    <w:rsid w:val="00677762"/>
    <w:rsid w:val="00680221"/>
    <w:rsid w:val="00680BF8"/>
    <w:rsid w:val="00680FB3"/>
    <w:rsid w:val="0068174E"/>
    <w:rsid w:val="00681865"/>
    <w:rsid w:val="00681FC9"/>
    <w:rsid w:val="0068264D"/>
    <w:rsid w:val="006839DD"/>
    <w:rsid w:val="00683C2D"/>
    <w:rsid w:val="0068491D"/>
    <w:rsid w:val="0068523B"/>
    <w:rsid w:val="006854E5"/>
    <w:rsid w:val="00685FE0"/>
    <w:rsid w:val="00686AFE"/>
    <w:rsid w:val="00686ED9"/>
    <w:rsid w:val="0069064B"/>
    <w:rsid w:val="006921C0"/>
    <w:rsid w:val="00692246"/>
    <w:rsid w:val="00692291"/>
    <w:rsid w:val="00692B50"/>
    <w:rsid w:val="00692BB9"/>
    <w:rsid w:val="00693C94"/>
    <w:rsid w:val="006949FB"/>
    <w:rsid w:val="00694A63"/>
    <w:rsid w:val="00694DB2"/>
    <w:rsid w:val="00695867"/>
    <w:rsid w:val="006968C2"/>
    <w:rsid w:val="0069698C"/>
    <w:rsid w:val="00696FA3"/>
    <w:rsid w:val="006978F3"/>
    <w:rsid w:val="00697DE9"/>
    <w:rsid w:val="006A0D9D"/>
    <w:rsid w:val="006A13C9"/>
    <w:rsid w:val="006A178C"/>
    <w:rsid w:val="006A1E7E"/>
    <w:rsid w:val="006A1EFF"/>
    <w:rsid w:val="006A206D"/>
    <w:rsid w:val="006A3D06"/>
    <w:rsid w:val="006A4E54"/>
    <w:rsid w:val="006A5311"/>
    <w:rsid w:val="006A636B"/>
    <w:rsid w:val="006A6444"/>
    <w:rsid w:val="006A7029"/>
    <w:rsid w:val="006A7CBB"/>
    <w:rsid w:val="006B00B4"/>
    <w:rsid w:val="006B070D"/>
    <w:rsid w:val="006B0D01"/>
    <w:rsid w:val="006B0D39"/>
    <w:rsid w:val="006B2800"/>
    <w:rsid w:val="006B2E7A"/>
    <w:rsid w:val="006B3098"/>
    <w:rsid w:val="006B327B"/>
    <w:rsid w:val="006B3C89"/>
    <w:rsid w:val="006B510A"/>
    <w:rsid w:val="006B5ABC"/>
    <w:rsid w:val="006B6401"/>
    <w:rsid w:val="006B682B"/>
    <w:rsid w:val="006B769C"/>
    <w:rsid w:val="006B7E54"/>
    <w:rsid w:val="006B7E75"/>
    <w:rsid w:val="006BE4BB"/>
    <w:rsid w:val="006C0441"/>
    <w:rsid w:val="006C0637"/>
    <w:rsid w:val="006C161B"/>
    <w:rsid w:val="006C18DD"/>
    <w:rsid w:val="006C1A29"/>
    <w:rsid w:val="006C1A3A"/>
    <w:rsid w:val="006C2036"/>
    <w:rsid w:val="006C2350"/>
    <w:rsid w:val="006C2EAF"/>
    <w:rsid w:val="006C305A"/>
    <w:rsid w:val="006C3C5B"/>
    <w:rsid w:val="006C4244"/>
    <w:rsid w:val="006C4E00"/>
    <w:rsid w:val="006C56CD"/>
    <w:rsid w:val="006C5FD9"/>
    <w:rsid w:val="006C652A"/>
    <w:rsid w:val="006C675B"/>
    <w:rsid w:val="006C7AEE"/>
    <w:rsid w:val="006D010A"/>
    <w:rsid w:val="006D0590"/>
    <w:rsid w:val="006D0D7E"/>
    <w:rsid w:val="006D1126"/>
    <w:rsid w:val="006D1734"/>
    <w:rsid w:val="006D27BD"/>
    <w:rsid w:val="006D29CA"/>
    <w:rsid w:val="006D30CB"/>
    <w:rsid w:val="006D3933"/>
    <w:rsid w:val="006D3943"/>
    <w:rsid w:val="006D41AF"/>
    <w:rsid w:val="006D43E2"/>
    <w:rsid w:val="006D43F4"/>
    <w:rsid w:val="006D452C"/>
    <w:rsid w:val="006D57CB"/>
    <w:rsid w:val="006D604E"/>
    <w:rsid w:val="006D6334"/>
    <w:rsid w:val="006D6487"/>
    <w:rsid w:val="006D648F"/>
    <w:rsid w:val="006D7350"/>
    <w:rsid w:val="006D7B0D"/>
    <w:rsid w:val="006D7F3B"/>
    <w:rsid w:val="006E0BAD"/>
    <w:rsid w:val="006E0F2A"/>
    <w:rsid w:val="006E0FD0"/>
    <w:rsid w:val="006E12FD"/>
    <w:rsid w:val="006E1E96"/>
    <w:rsid w:val="006E1FFF"/>
    <w:rsid w:val="006E2857"/>
    <w:rsid w:val="006E2BA6"/>
    <w:rsid w:val="006E2C1B"/>
    <w:rsid w:val="006E3085"/>
    <w:rsid w:val="006E30AC"/>
    <w:rsid w:val="006E371F"/>
    <w:rsid w:val="006E44D0"/>
    <w:rsid w:val="006E46E0"/>
    <w:rsid w:val="006E46E1"/>
    <w:rsid w:val="006E53E6"/>
    <w:rsid w:val="006E5FDC"/>
    <w:rsid w:val="006E6102"/>
    <w:rsid w:val="006E6126"/>
    <w:rsid w:val="006E617E"/>
    <w:rsid w:val="006E64D2"/>
    <w:rsid w:val="006E710C"/>
    <w:rsid w:val="006E71CE"/>
    <w:rsid w:val="006E7ADE"/>
    <w:rsid w:val="006F0D57"/>
    <w:rsid w:val="006F0F8D"/>
    <w:rsid w:val="006F11D3"/>
    <w:rsid w:val="006F2B2F"/>
    <w:rsid w:val="006F318E"/>
    <w:rsid w:val="006F346B"/>
    <w:rsid w:val="006F3C4B"/>
    <w:rsid w:val="006F3CB6"/>
    <w:rsid w:val="006F466E"/>
    <w:rsid w:val="006F4882"/>
    <w:rsid w:val="006F49F0"/>
    <w:rsid w:val="006F4ACA"/>
    <w:rsid w:val="006F4E3A"/>
    <w:rsid w:val="006F521B"/>
    <w:rsid w:val="006F59D6"/>
    <w:rsid w:val="006F5C91"/>
    <w:rsid w:val="006F5D69"/>
    <w:rsid w:val="006F630C"/>
    <w:rsid w:val="006F654E"/>
    <w:rsid w:val="006F6776"/>
    <w:rsid w:val="006F7E6D"/>
    <w:rsid w:val="00700B32"/>
    <w:rsid w:val="00700C33"/>
    <w:rsid w:val="00700C6F"/>
    <w:rsid w:val="00700F6A"/>
    <w:rsid w:val="00701126"/>
    <w:rsid w:val="00702043"/>
    <w:rsid w:val="00703376"/>
    <w:rsid w:val="007034D5"/>
    <w:rsid w:val="00703F61"/>
    <w:rsid w:val="00704633"/>
    <w:rsid w:val="00704B03"/>
    <w:rsid w:val="0070549D"/>
    <w:rsid w:val="00705BC5"/>
    <w:rsid w:val="00706D3B"/>
    <w:rsid w:val="00706E2B"/>
    <w:rsid w:val="007076FC"/>
    <w:rsid w:val="007101BA"/>
    <w:rsid w:val="00710767"/>
    <w:rsid w:val="00710A4E"/>
    <w:rsid w:val="00710E0F"/>
    <w:rsid w:val="00711B87"/>
    <w:rsid w:val="00712534"/>
    <w:rsid w:val="0071328F"/>
    <w:rsid w:val="007133A9"/>
    <w:rsid w:val="0071350C"/>
    <w:rsid w:val="00713A5E"/>
    <w:rsid w:val="00713F34"/>
    <w:rsid w:val="00714493"/>
    <w:rsid w:val="00714897"/>
    <w:rsid w:val="00715B56"/>
    <w:rsid w:val="0071672A"/>
    <w:rsid w:val="007176CB"/>
    <w:rsid w:val="00717B40"/>
    <w:rsid w:val="00720507"/>
    <w:rsid w:val="00720E06"/>
    <w:rsid w:val="007243AB"/>
    <w:rsid w:val="00724E30"/>
    <w:rsid w:val="00724E87"/>
    <w:rsid w:val="00725458"/>
    <w:rsid w:val="0072641D"/>
    <w:rsid w:val="00726B24"/>
    <w:rsid w:val="00727154"/>
    <w:rsid w:val="007271DA"/>
    <w:rsid w:val="0072773F"/>
    <w:rsid w:val="00727D32"/>
    <w:rsid w:val="007304B3"/>
    <w:rsid w:val="0073055F"/>
    <w:rsid w:val="00730B1B"/>
    <w:rsid w:val="00730EDD"/>
    <w:rsid w:val="007310B6"/>
    <w:rsid w:val="0073168F"/>
    <w:rsid w:val="00731B84"/>
    <w:rsid w:val="00732268"/>
    <w:rsid w:val="00732421"/>
    <w:rsid w:val="007324CF"/>
    <w:rsid w:val="00732AA6"/>
    <w:rsid w:val="007332E4"/>
    <w:rsid w:val="00733B56"/>
    <w:rsid w:val="00733E01"/>
    <w:rsid w:val="00733EF9"/>
    <w:rsid w:val="00734118"/>
    <w:rsid w:val="00734660"/>
    <w:rsid w:val="00734A8B"/>
    <w:rsid w:val="00734CBB"/>
    <w:rsid w:val="00734E7C"/>
    <w:rsid w:val="0073519D"/>
    <w:rsid w:val="0073661A"/>
    <w:rsid w:val="00736F6C"/>
    <w:rsid w:val="00737205"/>
    <w:rsid w:val="00741382"/>
    <w:rsid w:val="007418FB"/>
    <w:rsid w:val="007424A1"/>
    <w:rsid w:val="00742732"/>
    <w:rsid w:val="0074286E"/>
    <w:rsid w:val="00742BC1"/>
    <w:rsid w:val="007430A7"/>
    <w:rsid w:val="00743677"/>
    <w:rsid w:val="00744958"/>
    <w:rsid w:val="00744992"/>
    <w:rsid w:val="007449EE"/>
    <w:rsid w:val="007458D8"/>
    <w:rsid w:val="007461D7"/>
    <w:rsid w:val="00746D5D"/>
    <w:rsid w:val="00747FB2"/>
    <w:rsid w:val="0075079A"/>
    <w:rsid w:val="00750D00"/>
    <w:rsid w:val="00750F40"/>
    <w:rsid w:val="007513F5"/>
    <w:rsid w:val="007519E8"/>
    <w:rsid w:val="0075282D"/>
    <w:rsid w:val="00752AAA"/>
    <w:rsid w:val="00752E64"/>
    <w:rsid w:val="00752EE4"/>
    <w:rsid w:val="00753D72"/>
    <w:rsid w:val="00754BBF"/>
    <w:rsid w:val="00754C9F"/>
    <w:rsid w:val="007559B7"/>
    <w:rsid w:val="007568B4"/>
    <w:rsid w:val="0075736B"/>
    <w:rsid w:val="007577B4"/>
    <w:rsid w:val="00760733"/>
    <w:rsid w:val="00762187"/>
    <w:rsid w:val="00762398"/>
    <w:rsid w:val="00762AFD"/>
    <w:rsid w:val="00762CCF"/>
    <w:rsid w:val="00762D6D"/>
    <w:rsid w:val="0076304A"/>
    <w:rsid w:val="00763118"/>
    <w:rsid w:val="0076380B"/>
    <w:rsid w:val="00764188"/>
    <w:rsid w:val="00764CA8"/>
    <w:rsid w:val="00764DC7"/>
    <w:rsid w:val="0076560E"/>
    <w:rsid w:val="00765F7E"/>
    <w:rsid w:val="00766761"/>
    <w:rsid w:val="00766AA7"/>
    <w:rsid w:val="00767878"/>
    <w:rsid w:val="007679A4"/>
    <w:rsid w:val="00770639"/>
    <w:rsid w:val="00770755"/>
    <w:rsid w:val="00770EF8"/>
    <w:rsid w:val="00770FB7"/>
    <w:rsid w:val="007715FA"/>
    <w:rsid w:val="00771A80"/>
    <w:rsid w:val="00771E0E"/>
    <w:rsid w:val="00772661"/>
    <w:rsid w:val="00772A20"/>
    <w:rsid w:val="00772A85"/>
    <w:rsid w:val="00772CD4"/>
    <w:rsid w:val="00772D2B"/>
    <w:rsid w:val="007735DF"/>
    <w:rsid w:val="00773894"/>
    <w:rsid w:val="00773936"/>
    <w:rsid w:val="007741D5"/>
    <w:rsid w:val="007741F8"/>
    <w:rsid w:val="00774886"/>
    <w:rsid w:val="00775016"/>
    <w:rsid w:val="007759E3"/>
    <w:rsid w:val="00775C96"/>
    <w:rsid w:val="00776582"/>
    <w:rsid w:val="00776FCE"/>
    <w:rsid w:val="0077772A"/>
    <w:rsid w:val="00777BD9"/>
    <w:rsid w:val="00777E54"/>
    <w:rsid w:val="00777E6E"/>
    <w:rsid w:val="007805D2"/>
    <w:rsid w:val="00780A6A"/>
    <w:rsid w:val="00780AF3"/>
    <w:rsid w:val="00781194"/>
    <w:rsid w:val="0078171A"/>
    <w:rsid w:val="0078412B"/>
    <w:rsid w:val="00784223"/>
    <w:rsid w:val="00784D35"/>
    <w:rsid w:val="00785651"/>
    <w:rsid w:val="00785CE3"/>
    <w:rsid w:val="007863B2"/>
    <w:rsid w:val="00786A12"/>
    <w:rsid w:val="00787D49"/>
    <w:rsid w:val="00787FD3"/>
    <w:rsid w:val="00790DD6"/>
    <w:rsid w:val="007920A1"/>
    <w:rsid w:val="0079233F"/>
    <w:rsid w:val="007926AE"/>
    <w:rsid w:val="00793354"/>
    <w:rsid w:val="00793825"/>
    <w:rsid w:val="007939D5"/>
    <w:rsid w:val="007939EB"/>
    <w:rsid w:val="0079440D"/>
    <w:rsid w:val="00794795"/>
    <w:rsid w:val="00794A1F"/>
    <w:rsid w:val="00794FFE"/>
    <w:rsid w:val="007959EC"/>
    <w:rsid w:val="007970A8"/>
    <w:rsid w:val="007979C3"/>
    <w:rsid w:val="007A06BF"/>
    <w:rsid w:val="007A0B59"/>
    <w:rsid w:val="007A0FDC"/>
    <w:rsid w:val="007A1DE2"/>
    <w:rsid w:val="007A2BAB"/>
    <w:rsid w:val="007A3CEE"/>
    <w:rsid w:val="007A4726"/>
    <w:rsid w:val="007A4880"/>
    <w:rsid w:val="007A4D21"/>
    <w:rsid w:val="007A5D7C"/>
    <w:rsid w:val="007A6296"/>
    <w:rsid w:val="007A6EC1"/>
    <w:rsid w:val="007A729C"/>
    <w:rsid w:val="007A7603"/>
    <w:rsid w:val="007A7896"/>
    <w:rsid w:val="007B03A0"/>
    <w:rsid w:val="007B0B3D"/>
    <w:rsid w:val="007B123F"/>
    <w:rsid w:val="007B1E17"/>
    <w:rsid w:val="007B247D"/>
    <w:rsid w:val="007B2A88"/>
    <w:rsid w:val="007B2C85"/>
    <w:rsid w:val="007B2CAB"/>
    <w:rsid w:val="007B2E4B"/>
    <w:rsid w:val="007B31C7"/>
    <w:rsid w:val="007B3899"/>
    <w:rsid w:val="007B3AB1"/>
    <w:rsid w:val="007B3B30"/>
    <w:rsid w:val="007B3F6F"/>
    <w:rsid w:val="007B4022"/>
    <w:rsid w:val="007B46FD"/>
    <w:rsid w:val="007B5020"/>
    <w:rsid w:val="007B552D"/>
    <w:rsid w:val="007B575A"/>
    <w:rsid w:val="007B5AB8"/>
    <w:rsid w:val="007B62C3"/>
    <w:rsid w:val="007B6647"/>
    <w:rsid w:val="007B6F19"/>
    <w:rsid w:val="007B724D"/>
    <w:rsid w:val="007B7EAD"/>
    <w:rsid w:val="007C03AB"/>
    <w:rsid w:val="007C05B3"/>
    <w:rsid w:val="007C0834"/>
    <w:rsid w:val="007C1082"/>
    <w:rsid w:val="007C1717"/>
    <w:rsid w:val="007C20DD"/>
    <w:rsid w:val="007C24B4"/>
    <w:rsid w:val="007C274F"/>
    <w:rsid w:val="007C2933"/>
    <w:rsid w:val="007C2A66"/>
    <w:rsid w:val="007C3C98"/>
    <w:rsid w:val="007C47E5"/>
    <w:rsid w:val="007C4E62"/>
    <w:rsid w:val="007C4F47"/>
    <w:rsid w:val="007C50DD"/>
    <w:rsid w:val="007C5F12"/>
    <w:rsid w:val="007C6518"/>
    <w:rsid w:val="007C6592"/>
    <w:rsid w:val="007C6628"/>
    <w:rsid w:val="007C712F"/>
    <w:rsid w:val="007D0F19"/>
    <w:rsid w:val="007D1DAA"/>
    <w:rsid w:val="007D2D60"/>
    <w:rsid w:val="007D3443"/>
    <w:rsid w:val="007D4317"/>
    <w:rsid w:val="007D457B"/>
    <w:rsid w:val="007D5C69"/>
    <w:rsid w:val="007D6170"/>
    <w:rsid w:val="007D6201"/>
    <w:rsid w:val="007D72B7"/>
    <w:rsid w:val="007D751E"/>
    <w:rsid w:val="007D7981"/>
    <w:rsid w:val="007E021C"/>
    <w:rsid w:val="007E1A7A"/>
    <w:rsid w:val="007E1D7A"/>
    <w:rsid w:val="007E1F34"/>
    <w:rsid w:val="007E2056"/>
    <w:rsid w:val="007E2C87"/>
    <w:rsid w:val="007E351D"/>
    <w:rsid w:val="007E3CB2"/>
    <w:rsid w:val="007E3CC4"/>
    <w:rsid w:val="007E4511"/>
    <w:rsid w:val="007E5D1D"/>
    <w:rsid w:val="007E624E"/>
    <w:rsid w:val="007E72F4"/>
    <w:rsid w:val="007E783A"/>
    <w:rsid w:val="007E7F69"/>
    <w:rsid w:val="007F0388"/>
    <w:rsid w:val="007F09D2"/>
    <w:rsid w:val="007F0C1F"/>
    <w:rsid w:val="007F0C4B"/>
    <w:rsid w:val="007F11FD"/>
    <w:rsid w:val="007F227B"/>
    <w:rsid w:val="007F2825"/>
    <w:rsid w:val="007F2EEA"/>
    <w:rsid w:val="007F3E48"/>
    <w:rsid w:val="007F3FBD"/>
    <w:rsid w:val="007F511E"/>
    <w:rsid w:val="007F568D"/>
    <w:rsid w:val="007F5ECE"/>
    <w:rsid w:val="007F66EB"/>
    <w:rsid w:val="007F6CEF"/>
    <w:rsid w:val="007F6EBC"/>
    <w:rsid w:val="007F7917"/>
    <w:rsid w:val="007F7BEA"/>
    <w:rsid w:val="007F7F4A"/>
    <w:rsid w:val="00800E44"/>
    <w:rsid w:val="008014E0"/>
    <w:rsid w:val="00801DA3"/>
    <w:rsid w:val="008024E0"/>
    <w:rsid w:val="0080256D"/>
    <w:rsid w:val="00802576"/>
    <w:rsid w:val="0080260E"/>
    <w:rsid w:val="0080339D"/>
    <w:rsid w:val="0080366C"/>
    <w:rsid w:val="0080410B"/>
    <w:rsid w:val="00804141"/>
    <w:rsid w:val="00805CA3"/>
    <w:rsid w:val="00807B92"/>
    <w:rsid w:val="00810805"/>
    <w:rsid w:val="00810BA4"/>
    <w:rsid w:val="00813BB2"/>
    <w:rsid w:val="008145B5"/>
    <w:rsid w:val="0081523A"/>
    <w:rsid w:val="008155CB"/>
    <w:rsid w:val="00815FC3"/>
    <w:rsid w:val="0081638F"/>
    <w:rsid w:val="0081666D"/>
    <w:rsid w:val="00816A7D"/>
    <w:rsid w:val="00816C8A"/>
    <w:rsid w:val="00817442"/>
    <w:rsid w:val="00817577"/>
    <w:rsid w:val="00817FB8"/>
    <w:rsid w:val="00820317"/>
    <w:rsid w:val="008203B6"/>
    <w:rsid w:val="00821CBF"/>
    <w:rsid w:val="008220ED"/>
    <w:rsid w:val="00822813"/>
    <w:rsid w:val="00822AF5"/>
    <w:rsid w:val="00822C5E"/>
    <w:rsid w:val="00822EC1"/>
    <w:rsid w:val="008236FE"/>
    <w:rsid w:val="008238FA"/>
    <w:rsid w:val="008239E8"/>
    <w:rsid w:val="00823B50"/>
    <w:rsid w:val="0082613A"/>
    <w:rsid w:val="0082747A"/>
    <w:rsid w:val="00830233"/>
    <w:rsid w:val="0083043D"/>
    <w:rsid w:val="00830C58"/>
    <w:rsid w:val="00831134"/>
    <w:rsid w:val="00831585"/>
    <w:rsid w:val="00831DCE"/>
    <w:rsid w:val="008320A1"/>
    <w:rsid w:val="00832498"/>
    <w:rsid w:val="00832527"/>
    <w:rsid w:val="00832B1D"/>
    <w:rsid w:val="00833062"/>
    <w:rsid w:val="008337A3"/>
    <w:rsid w:val="008337F2"/>
    <w:rsid w:val="00834614"/>
    <w:rsid w:val="0083552A"/>
    <w:rsid w:val="008355C1"/>
    <w:rsid w:val="00835793"/>
    <w:rsid w:val="00836244"/>
    <w:rsid w:val="00836EAF"/>
    <w:rsid w:val="0083761D"/>
    <w:rsid w:val="008378D6"/>
    <w:rsid w:val="00840041"/>
    <w:rsid w:val="008400BB"/>
    <w:rsid w:val="00840FCA"/>
    <w:rsid w:val="00841BA2"/>
    <w:rsid w:val="0084312C"/>
    <w:rsid w:val="008434D7"/>
    <w:rsid w:val="008458E5"/>
    <w:rsid w:val="00847348"/>
    <w:rsid w:val="0084793D"/>
    <w:rsid w:val="008508EC"/>
    <w:rsid w:val="00850C0F"/>
    <w:rsid w:val="00850F22"/>
    <w:rsid w:val="00851271"/>
    <w:rsid w:val="00852AAA"/>
    <w:rsid w:val="00852F5A"/>
    <w:rsid w:val="0085300A"/>
    <w:rsid w:val="008536DF"/>
    <w:rsid w:val="00853D0D"/>
    <w:rsid w:val="0085451C"/>
    <w:rsid w:val="0085457A"/>
    <w:rsid w:val="00854F32"/>
    <w:rsid w:val="008551B7"/>
    <w:rsid w:val="00855FAA"/>
    <w:rsid w:val="00856AEE"/>
    <w:rsid w:val="00856F66"/>
    <w:rsid w:val="00857598"/>
    <w:rsid w:val="008579F6"/>
    <w:rsid w:val="00860142"/>
    <w:rsid w:val="00860305"/>
    <w:rsid w:val="008603B7"/>
    <w:rsid w:val="0086056E"/>
    <w:rsid w:val="00860A88"/>
    <w:rsid w:val="00861523"/>
    <w:rsid w:val="0086181D"/>
    <w:rsid w:val="00861A25"/>
    <w:rsid w:val="00861F45"/>
    <w:rsid w:val="00862CCC"/>
    <w:rsid w:val="008637CD"/>
    <w:rsid w:val="00863C7B"/>
    <w:rsid w:val="00863E25"/>
    <w:rsid w:val="00864809"/>
    <w:rsid w:val="00864889"/>
    <w:rsid w:val="00864902"/>
    <w:rsid w:val="00865AA8"/>
    <w:rsid w:val="00865EFC"/>
    <w:rsid w:val="00865FCD"/>
    <w:rsid w:val="008660D1"/>
    <w:rsid w:val="00866F27"/>
    <w:rsid w:val="00867730"/>
    <w:rsid w:val="008714DC"/>
    <w:rsid w:val="008717A3"/>
    <w:rsid w:val="00871C60"/>
    <w:rsid w:val="00871D54"/>
    <w:rsid w:val="00873BAC"/>
    <w:rsid w:val="00873C74"/>
    <w:rsid w:val="00874154"/>
    <w:rsid w:val="00874B0A"/>
    <w:rsid w:val="00874DC3"/>
    <w:rsid w:val="00874F67"/>
    <w:rsid w:val="00875201"/>
    <w:rsid w:val="00876909"/>
    <w:rsid w:val="008777A2"/>
    <w:rsid w:val="00877B1A"/>
    <w:rsid w:val="00877D65"/>
    <w:rsid w:val="008801AF"/>
    <w:rsid w:val="00880622"/>
    <w:rsid w:val="00880634"/>
    <w:rsid w:val="00881299"/>
    <w:rsid w:val="00881D45"/>
    <w:rsid w:val="008829E7"/>
    <w:rsid w:val="00883524"/>
    <w:rsid w:val="00883974"/>
    <w:rsid w:val="00883B34"/>
    <w:rsid w:val="00883FB5"/>
    <w:rsid w:val="00884353"/>
    <w:rsid w:val="00885078"/>
    <w:rsid w:val="0088546E"/>
    <w:rsid w:val="008856F9"/>
    <w:rsid w:val="00886841"/>
    <w:rsid w:val="008869EF"/>
    <w:rsid w:val="008874BD"/>
    <w:rsid w:val="00887DF5"/>
    <w:rsid w:val="00890303"/>
    <w:rsid w:val="00890D01"/>
    <w:rsid w:val="008910B4"/>
    <w:rsid w:val="00891489"/>
    <w:rsid w:val="0089228B"/>
    <w:rsid w:val="008925C8"/>
    <w:rsid w:val="008927DD"/>
    <w:rsid w:val="00892A37"/>
    <w:rsid w:val="0089343B"/>
    <w:rsid w:val="00893860"/>
    <w:rsid w:val="00894186"/>
    <w:rsid w:val="008943E5"/>
    <w:rsid w:val="008949BB"/>
    <w:rsid w:val="0089558B"/>
    <w:rsid w:val="00895B82"/>
    <w:rsid w:val="00896B22"/>
    <w:rsid w:val="00896D73"/>
    <w:rsid w:val="00897CE1"/>
    <w:rsid w:val="00897F55"/>
    <w:rsid w:val="008A159A"/>
    <w:rsid w:val="008A1FD2"/>
    <w:rsid w:val="008A1FE2"/>
    <w:rsid w:val="008A2564"/>
    <w:rsid w:val="008A2794"/>
    <w:rsid w:val="008A2EEB"/>
    <w:rsid w:val="008A3460"/>
    <w:rsid w:val="008A583C"/>
    <w:rsid w:val="008A63C3"/>
    <w:rsid w:val="008A6623"/>
    <w:rsid w:val="008A7412"/>
    <w:rsid w:val="008A74F2"/>
    <w:rsid w:val="008A7810"/>
    <w:rsid w:val="008A7F81"/>
    <w:rsid w:val="008B2544"/>
    <w:rsid w:val="008B2707"/>
    <w:rsid w:val="008B27C5"/>
    <w:rsid w:val="008B2A1E"/>
    <w:rsid w:val="008B2F2C"/>
    <w:rsid w:val="008B398B"/>
    <w:rsid w:val="008B3A1A"/>
    <w:rsid w:val="008B3D42"/>
    <w:rsid w:val="008B418A"/>
    <w:rsid w:val="008B4788"/>
    <w:rsid w:val="008B4F70"/>
    <w:rsid w:val="008B60B4"/>
    <w:rsid w:val="008B6DCD"/>
    <w:rsid w:val="008C056E"/>
    <w:rsid w:val="008C0DC9"/>
    <w:rsid w:val="008C0F5C"/>
    <w:rsid w:val="008C22FB"/>
    <w:rsid w:val="008C2AE9"/>
    <w:rsid w:val="008C35F2"/>
    <w:rsid w:val="008C3FAE"/>
    <w:rsid w:val="008C405C"/>
    <w:rsid w:val="008C4763"/>
    <w:rsid w:val="008C502E"/>
    <w:rsid w:val="008C55EB"/>
    <w:rsid w:val="008C58EC"/>
    <w:rsid w:val="008C652E"/>
    <w:rsid w:val="008C661C"/>
    <w:rsid w:val="008C6641"/>
    <w:rsid w:val="008C6957"/>
    <w:rsid w:val="008C7913"/>
    <w:rsid w:val="008C7B71"/>
    <w:rsid w:val="008D0F18"/>
    <w:rsid w:val="008D11FB"/>
    <w:rsid w:val="008D1597"/>
    <w:rsid w:val="008D1B4F"/>
    <w:rsid w:val="008D2802"/>
    <w:rsid w:val="008D2DCD"/>
    <w:rsid w:val="008D3ECB"/>
    <w:rsid w:val="008D55A1"/>
    <w:rsid w:val="008D5DAA"/>
    <w:rsid w:val="008D6C8D"/>
    <w:rsid w:val="008D73A0"/>
    <w:rsid w:val="008D7CE8"/>
    <w:rsid w:val="008D7D34"/>
    <w:rsid w:val="008D7DB6"/>
    <w:rsid w:val="008E00C7"/>
    <w:rsid w:val="008E0478"/>
    <w:rsid w:val="008E07DA"/>
    <w:rsid w:val="008E0D5E"/>
    <w:rsid w:val="008E1026"/>
    <w:rsid w:val="008E1465"/>
    <w:rsid w:val="008E1A79"/>
    <w:rsid w:val="008E1EB3"/>
    <w:rsid w:val="008E2363"/>
    <w:rsid w:val="008E32EB"/>
    <w:rsid w:val="008E3D14"/>
    <w:rsid w:val="008E4BC4"/>
    <w:rsid w:val="008E51D6"/>
    <w:rsid w:val="008E5EAB"/>
    <w:rsid w:val="008E6472"/>
    <w:rsid w:val="008E6C2B"/>
    <w:rsid w:val="008E6E5F"/>
    <w:rsid w:val="008E70EE"/>
    <w:rsid w:val="008E778B"/>
    <w:rsid w:val="008E7D61"/>
    <w:rsid w:val="008F0E0A"/>
    <w:rsid w:val="008F12C5"/>
    <w:rsid w:val="008F169F"/>
    <w:rsid w:val="008F199D"/>
    <w:rsid w:val="008F25BE"/>
    <w:rsid w:val="008F2899"/>
    <w:rsid w:val="008F2F9C"/>
    <w:rsid w:val="008F322B"/>
    <w:rsid w:val="008F3751"/>
    <w:rsid w:val="008F3A1F"/>
    <w:rsid w:val="008F455F"/>
    <w:rsid w:val="008F4E21"/>
    <w:rsid w:val="008F57D5"/>
    <w:rsid w:val="008F59B9"/>
    <w:rsid w:val="008F5E4A"/>
    <w:rsid w:val="008F6C73"/>
    <w:rsid w:val="008F7319"/>
    <w:rsid w:val="008F7AB1"/>
    <w:rsid w:val="00900060"/>
    <w:rsid w:val="0090063D"/>
    <w:rsid w:val="0090095C"/>
    <w:rsid w:val="00900C6E"/>
    <w:rsid w:val="009017BC"/>
    <w:rsid w:val="0090217B"/>
    <w:rsid w:val="0090281B"/>
    <w:rsid w:val="00902C67"/>
    <w:rsid w:val="00902DA0"/>
    <w:rsid w:val="00902FCE"/>
    <w:rsid w:val="009035E4"/>
    <w:rsid w:val="00903BCB"/>
    <w:rsid w:val="00904AEF"/>
    <w:rsid w:val="00905371"/>
    <w:rsid w:val="00905388"/>
    <w:rsid w:val="00905770"/>
    <w:rsid w:val="009057BD"/>
    <w:rsid w:val="0090620D"/>
    <w:rsid w:val="00906470"/>
    <w:rsid w:val="0090676D"/>
    <w:rsid w:val="00906809"/>
    <w:rsid w:val="00906985"/>
    <w:rsid w:val="00906A42"/>
    <w:rsid w:val="00906BCD"/>
    <w:rsid w:val="00906D67"/>
    <w:rsid w:val="00906DAE"/>
    <w:rsid w:val="009077CA"/>
    <w:rsid w:val="00907D1C"/>
    <w:rsid w:val="00910E1E"/>
    <w:rsid w:val="009117A4"/>
    <w:rsid w:val="00911AF9"/>
    <w:rsid w:val="0091249A"/>
    <w:rsid w:val="00912A43"/>
    <w:rsid w:val="00912ADD"/>
    <w:rsid w:val="00912BBA"/>
    <w:rsid w:val="00912E9F"/>
    <w:rsid w:val="00913147"/>
    <w:rsid w:val="009133F7"/>
    <w:rsid w:val="00913713"/>
    <w:rsid w:val="00913BDB"/>
    <w:rsid w:val="00915A54"/>
    <w:rsid w:val="00916DC5"/>
    <w:rsid w:val="00916F12"/>
    <w:rsid w:val="009174DB"/>
    <w:rsid w:val="0091765A"/>
    <w:rsid w:val="009178AD"/>
    <w:rsid w:val="0092049A"/>
    <w:rsid w:val="00920640"/>
    <w:rsid w:val="00920D6B"/>
    <w:rsid w:val="0092166E"/>
    <w:rsid w:val="00921760"/>
    <w:rsid w:val="00922527"/>
    <w:rsid w:val="009225AF"/>
    <w:rsid w:val="0092331E"/>
    <w:rsid w:val="009239DF"/>
    <w:rsid w:val="00923A79"/>
    <w:rsid w:val="00923CA7"/>
    <w:rsid w:val="00923F88"/>
    <w:rsid w:val="00924594"/>
    <w:rsid w:val="0092571B"/>
    <w:rsid w:val="009258C1"/>
    <w:rsid w:val="009260B1"/>
    <w:rsid w:val="0092614B"/>
    <w:rsid w:val="009263FE"/>
    <w:rsid w:val="009269F3"/>
    <w:rsid w:val="00926AE5"/>
    <w:rsid w:val="009271B9"/>
    <w:rsid w:val="009272FD"/>
    <w:rsid w:val="00927370"/>
    <w:rsid w:val="009300DD"/>
    <w:rsid w:val="009304DC"/>
    <w:rsid w:val="0093073F"/>
    <w:rsid w:val="00930CBC"/>
    <w:rsid w:val="00930E87"/>
    <w:rsid w:val="009316DD"/>
    <w:rsid w:val="00932063"/>
    <w:rsid w:val="00932999"/>
    <w:rsid w:val="00932AFB"/>
    <w:rsid w:val="00933333"/>
    <w:rsid w:val="00933966"/>
    <w:rsid w:val="009344A2"/>
    <w:rsid w:val="00934518"/>
    <w:rsid w:val="009345BF"/>
    <w:rsid w:val="0093471A"/>
    <w:rsid w:val="00934B04"/>
    <w:rsid w:val="00934EB6"/>
    <w:rsid w:val="009351DB"/>
    <w:rsid w:val="00935701"/>
    <w:rsid w:val="00935828"/>
    <w:rsid w:val="009364A6"/>
    <w:rsid w:val="00936EE2"/>
    <w:rsid w:val="00937747"/>
    <w:rsid w:val="00937789"/>
    <w:rsid w:val="00940679"/>
    <w:rsid w:val="009415CD"/>
    <w:rsid w:val="00941620"/>
    <w:rsid w:val="00942114"/>
    <w:rsid w:val="00942352"/>
    <w:rsid w:val="00942A73"/>
    <w:rsid w:val="00943417"/>
    <w:rsid w:val="009434CA"/>
    <w:rsid w:val="00943813"/>
    <w:rsid w:val="00943EBE"/>
    <w:rsid w:val="009446C0"/>
    <w:rsid w:val="00944A02"/>
    <w:rsid w:val="00944C8D"/>
    <w:rsid w:val="00945792"/>
    <w:rsid w:val="0094589F"/>
    <w:rsid w:val="00945D5C"/>
    <w:rsid w:val="00946858"/>
    <w:rsid w:val="009468DF"/>
    <w:rsid w:val="00946AB2"/>
    <w:rsid w:val="0094799D"/>
    <w:rsid w:val="00947FD3"/>
    <w:rsid w:val="009507D2"/>
    <w:rsid w:val="00951BBE"/>
    <w:rsid w:val="00951E2B"/>
    <w:rsid w:val="00952302"/>
    <w:rsid w:val="00952840"/>
    <w:rsid w:val="009528D2"/>
    <w:rsid w:val="00952908"/>
    <w:rsid w:val="00952A6C"/>
    <w:rsid w:val="00952C4F"/>
    <w:rsid w:val="00953673"/>
    <w:rsid w:val="00953CF3"/>
    <w:rsid w:val="00954B24"/>
    <w:rsid w:val="009563EA"/>
    <w:rsid w:val="0095653E"/>
    <w:rsid w:val="00956B1E"/>
    <w:rsid w:val="00956C9B"/>
    <w:rsid w:val="00956E9D"/>
    <w:rsid w:val="00956F89"/>
    <w:rsid w:val="0095771C"/>
    <w:rsid w:val="00957875"/>
    <w:rsid w:val="009601B5"/>
    <w:rsid w:val="009605BD"/>
    <w:rsid w:val="00960B61"/>
    <w:rsid w:val="00960B6D"/>
    <w:rsid w:val="00960D45"/>
    <w:rsid w:val="00960F42"/>
    <w:rsid w:val="00962EAE"/>
    <w:rsid w:val="00962F56"/>
    <w:rsid w:val="009640D9"/>
    <w:rsid w:val="00964DBB"/>
    <w:rsid w:val="00965388"/>
    <w:rsid w:val="009653D4"/>
    <w:rsid w:val="00965EEB"/>
    <w:rsid w:val="00966912"/>
    <w:rsid w:val="00966C6A"/>
    <w:rsid w:val="00966CBD"/>
    <w:rsid w:val="009676B3"/>
    <w:rsid w:val="00967721"/>
    <w:rsid w:val="0096798F"/>
    <w:rsid w:val="00970A7C"/>
    <w:rsid w:val="009710DF"/>
    <w:rsid w:val="009713F2"/>
    <w:rsid w:val="0097198A"/>
    <w:rsid w:val="00971BDF"/>
    <w:rsid w:val="00971CB4"/>
    <w:rsid w:val="00971DB3"/>
    <w:rsid w:val="00971FB6"/>
    <w:rsid w:val="00972294"/>
    <w:rsid w:val="00972CCF"/>
    <w:rsid w:val="009743A8"/>
    <w:rsid w:val="009747C4"/>
    <w:rsid w:val="00974D13"/>
    <w:rsid w:val="0097530F"/>
    <w:rsid w:val="009754F1"/>
    <w:rsid w:val="009758C0"/>
    <w:rsid w:val="00975B5C"/>
    <w:rsid w:val="00975CC0"/>
    <w:rsid w:val="0097604C"/>
    <w:rsid w:val="009769DD"/>
    <w:rsid w:val="0097719C"/>
    <w:rsid w:val="00977453"/>
    <w:rsid w:val="0097750C"/>
    <w:rsid w:val="009775F1"/>
    <w:rsid w:val="00981613"/>
    <w:rsid w:val="00981DC5"/>
    <w:rsid w:val="00981FA9"/>
    <w:rsid w:val="009828A2"/>
    <w:rsid w:val="00982E4C"/>
    <w:rsid w:val="00983253"/>
    <w:rsid w:val="00983B6E"/>
    <w:rsid w:val="00984382"/>
    <w:rsid w:val="00984A9F"/>
    <w:rsid w:val="00984CF7"/>
    <w:rsid w:val="00984DA0"/>
    <w:rsid w:val="00984F49"/>
    <w:rsid w:val="009857FB"/>
    <w:rsid w:val="00985F53"/>
    <w:rsid w:val="00986796"/>
    <w:rsid w:val="009867A2"/>
    <w:rsid w:val="00987010"/>
    <w:rsid w:val="00987391"/>
    <w:rsid w:val="009875D8"/>
    <w:rsid w:val="00990E58"/>
    <w:rsid w:val="00991975"/>
    <w:rsid w:val="00991BD5"/>
    <w:rsid w:val="00993379"/>
    <w:rsid w:val="00993F70"/>
    <w:rsid w:val="0099519F"/>
    <w:rsid w:val="00995EF4"/>
    <w:rsid w:val="00996AB4"/>
    <w:rsid w:val="00996B26"/>
    <w:rsid w:val="00996F5A"/>
    <w:rsid w:val="00997B75"/>
    <w:rsid w:val="00997CA7"/>
    <w:rsid w:val="009A10F5"/>
    <w:rsid w:val="009A1809"/>
    <w:rsid w:val="009A1C35"/>
    <w:rsid w:val="009A2149"/>
    <w:rsid w:val="009A29A8"/>
    <w:rsid w:val="009A2E25"/>
    <w:rsid w:val="009A31B5"/>
    <w:rsid w:val="009A451C"/>
    <w:rsid w:val="009A4913"/>
    <w:rsid w:val="009A54F7"/>
    <w:rsid w:val="009A5DAB"/>
    <w:rsid w:val="009A6049"/>
    <w:rsid w:val="009A63F2"/>
    <w:rsid w:val="009A676F"/>
    <w:rsid w:val="009A68DC"/>
    <w:rsid w:val="009A69DC"/>
    <w:rsid w:val="009A6FD4"/>
    <w:rsid w:val="009B01E8"/>
    <w:rsid w:val="009B0757"/>
    <w:rsid w:val="009B0F85"/>
    <w:rsid w:val="009B12F1"/>
    <w:rsid w:val="009B1E97"/>
    <w:rsid w:val="009B30FF"/>
    <w:rsid w:val="009B3EEF"/>
    <w:rsid w:val="009B4D4B"/>
    <w:rsid w:val="009B4ED9"/>
    <w:rsid w:val="009B4F3D"/>
    <w:rsid w:val="009B5425"/>
    <w:rsid w:val="009B546B"/>
    <w:rsid w:val="009B57B1"/>
    <w:rsid w:val="009B6BBC"/>
    <w:rsid w:val="009B7D25"/>
    <w:rsid w:val="009B7EFB"/>
    <w:rsid w:val="009C053F"/>
    <w:rsid w:val="009C095F"/>
    <w:rsid w:val="009C22CA"/>
    <w:rsid w:val="009C260D"/>
    <w:rsid w:val="009C27C3"/>
    <w:rsid w:val="009C290E"/>
    <w:rsid w:val="009C32BA"/>
    <w:rsid w:val="009C337F"/>
    <w:rsid w:val="009C4915"/>
    <w:rsid w:val="009C49D7"/>
    <w:rsid w:val="009C4D26"/>
    <w:rsid w:val="009C55FD"/>
    <w:rsid w:val="009C6EE3"/>
    <w:rsid w:val="009C755E"/>
    <w:rsid w:val="009D023E"/>
    <w:rsid w:val="009D03C2"/>
    <w:rsid w:val="009D0C1F"/>
    <w:rsid w:val="009D1100"/>
    <w:rsid w:val="009D1AA7"/>
    <w:rsid w:val="009D1C20"/>
    <w:rsid w:val="009D1CCC"/>
    <w:rsid w:val="009D219E"/>
    <w:rsid w:val="009D2330"/>
    <w:rsid w:val="009D2A94"/>
    <w:rsid w:val="009D31D7"/>
    <w:rsid w:val="009D346B"/>
    <w:rsid w:val="009D3941"/>
    <w:rsid w:val="009D475D"/>
    <w:rsid w:val="009D4EEC"/>
    <w:rsid w:val="009D5D63"/>
    <w:rsid w:val="009D60AE"/>
    <w:rsid w:val="009D7AB9"/>
    <w:rsid w:val="009D7E0E"/>
    <w:rsid w:val="009E00A3"/>
    <w:rsid w:val="009E03A6"/>
    <w:rsid w:val="009E1B94"/>
    <w:rsid w:val="009E35D8"/>
    <w:rsid w:val="009E3651"/>
    <w:rsid w:val="009E367D"/>
    <w:rsid w:val="009E36E2"/>
    <w:rsid w:val="009E4108"/>
    <w:rsid w:val="009E4133"/>
    <w:rsid w:val="009E491B"/>
    <w:rsid w:val="009E4D0E"/>
    <w:rsid w:val="009E5514"/>
    <w:rsid w:val="009E6041"/>
    <w:rsid w:val="009E6A47"/>
    <w:rsid w:val="009E6C09"/>
    <w:rsid w:val="009E76C6"/>
    <w:rsid w:val="009E77EF"/>
    <w:rsid w:val="009F0627"/>
    <w:rsid w:val="009F1E29"/>
    <w:rsid w:val="009F2F24"/>
    <w:rsid w:val="009F3274"/>
    <w:rsid w:val="009F35E8"/>
    <w:rsid w:val="009F3638"/>
    <w:rsid w:val="009F4313"/>
    <w:rsid w:val="009F4D5B"/>
    <w:rsid w:val="009F4E23"/>
    <w:rsid w:val="009F50FA"/>
    <w:rsid w:val="009F525B"/>
    <w:rsid w:val="009F58B2"/>
    <w:rsid w:val="009F5EFB"/>
    <w:rsid w:val="009F759A"/>
    <w:rsid w:val="009F7BA8"/>
    <w:rsid w:val="009F7E3F"/>
    <w:rsid w:val="00A004F7"/>
    <w:rsid w:val="00A00DA4"/>
    <w:rsid w:val="00A00DEF"/>
    <w:rsid w:val="00A00E67"/>
    <w:rsid w:val="00A01128"/>
    <w:rsid w:val="00A011E3"/>
    <w:rsid w:val="00A018AC"/>
    <w:rsid w:val="00A01C56"/>
    <w:rsid w:val="00A01F6F"/>
    <w:rsid w:val="00A02810"/>
    <w:rsid w:val="00A02BAD"/>
    <w:rsid w:val="00A0386E"/>
    <w:rsid w:val="00A04815"/>
    <w:rsid w:val="00A05DB0"/>
    <w:rsid w:val="00A05E5A"/>
    <w:rsid w:val="00A062CC"/>
    <w:rsid w:val="00A10D02"/>
    <w:rsid w:val="00A1128B"/>
    <w:rsid w:val="00A11822"/>
    <w:rsid w:val="00A11CB2"/>
    <w:rsid w:val="00A11CC1"/>
    <w:rsid w:val="00A122D2"/>
    <w:rsid w:val="00A122FE"/>
    <w:rsid w:val="00A146DF"/>
    <w:rsid w:val="00A14B42"/>
    <w:rsid w:val="00A152FE"/>
    <w:rsid w:val="00A15D12"/>
    <w:rsid w:val="00A15DF7"/>
    <w:rsid w:val="00A1610F"/>
    <w:rsid w:val="00A161A1"/>
    <w:rsid w:val="00A16260"/>
    <w:rsid w:val="00A166B7"/>
    <w:rsid w:val="00A16AC8"/>
    <w:rsid w:val="00A177A4"/>
    <w:rsid w:val="00A20ECC"/>
    <w:rsid w:val="00A2141D"/>
    <w:rsid w:val="00A216B9"/>
    <w:rsid w:val="00A218AF"/>
    <w:rsid w:val="00A21CAD"/>
    <w:rsid w:val="00A221FB"/>
    <w:rsid w:val="00A2245D"/>
    <w:rsid w:val="00A22596"/>
    <w:rsid w:val="00A232C9"/>
    <w:rsid w:val="00A2368B"/>
    <w:rsid w:val="00A23DB9"/>
    <w:rsid w:val="00A241AF"/>
    <w:rsid w:val="00A24CB5"/>
    <w:rsid w:val="00A251ED"/>
    <w:rsid w:val="00A25330"/>
    <w:rsid w:val="00A26253"/>
    <w:rsid w:val="00A270F5"/>
    <w:rsid w:val="00A2798A"/>
    <w:rsid w:val="00A27E1E"/>
    <w:rsid w:val="00A30404"/>
    <w:rsid w:val="00A30427"/>
    <w:rsid w:val="00A30F0E"/>
    <w:rsid w:val="00A31220"/>
    <w:rsid w:val="00A319A3"/>
    <w:rsid w:val="00A31ED7"/>
    <w:rsid w:val="00A320A0"/>
    <w:rsid w:val="00A323B2"/>
    <w:rsid w:val="00A329A4"/>
    <w:rsid w:val="00A32B57"/>
    <w:rsid w:val="00A32BFF"/>
    <w:rsid w:val="00A32EBB"/>
    <w:rsid w:val="00A32FE5"/>
    <w:rsid w:val="00A332D3"/>
    <w:rsid w:val="00A33A75"/>
    <w:rsid w:val="00A33E7D"/>
    <w:rsid w:val="00A34073"/>
    <w:rsid w:val="00A349DC"/>
    <w:rsid w:val="00A34F41"/>
    <w:rsid w:val="00A3507A"/>
    <w:rsid w:val="00A35A6A"/>
    <w:rsid w:val="00A35C29"/>
    <w:rsid w:val="00A362B7"/>
    <w:rsid w:val="00A36931"/>
    <w:rsid w:val="00A36943"/>
    <w:rsid w:val="00A37120"/>
    <w:rsid w:val="00A371BF"/>
    <w:rsid w:val="00A376C3"/>
    <w:rsid w:val="00A3771E"/>
    <w:rsid w:val="00A377F0"/>
    <w:rsid w:val="00A37934"/>
    <w:rsid w:val="00A37F7F"/>
    <w:rsid w:val="00A4182A"/>
    <w:rsid w:val="00A42018"/>
    <w:rsid w:val="00A4295C"/>
    <w:rsid w:val="00A43395"/>
    <w:rsid w:val="00A43AB5"/>
    <w:rsid w:val="00A43E9C"/>
    <w:rsid w:val="00A43FF6"/>
    <w:rsid w:val="00A4465F"/>
    <w:rsid w:val="00A44798"/>
    <w:rsid w:val="00A4543C"/>
    <w:rsid w:val="00A46338"/>
    <w:rsid w:val="00A46FBA"/>
    <w:rsid w:val="00A47934"/>
    <w:rsid w:val="00A47FD4"/>
    <w:rsid w:val="00A503DB"/>
    <w:rsid w:val="00A50581"/>
    <w:rsid w:val="00A51A4E"/>
    <w:rsid w:val="00A51C0A"/>
    <w:rsid w:val="00A51F24"/>
    <w:rsid w:val="00A52764"/>
    <w:rsid w:val="00A537FC"/>
    <w:rsid w:val="00A53F96"/>
    <w:rsid w:val="00A54861"/>
    <w:rsid w:val="00A55A04"/>
    <w:rsid w:val="00A55B7D"/>
    <w:rsid w:val="00A55D2D"/>
    <w:rsid w:val="00A5638A"/>
    <w:rsid w:val="00A56426"/>
    <w:rsid w:val="00A56AC6"/>
    <w:rsid w:val="00A572C2"/>
    <w:rsid w:val="00A57916"/>
    <w:rsid w:val="00A57FB6"/>
    <w:rsid w:val="00A5D4F0"/>
    <w:rsid w:val="00A600B1"/>
    <w:rsid w:val="00A612E4"/>
    <w:rsid w:val="00A61AB4"/>
    <w:rsid w:val="00A61D4F"/>
    <w:rsid w:val="00A629D1"/>
    <w:rsid w:val="00A629E7"/>
    <w:rsid w:val="00A62BAC"/>
    <w:rsid w:val="00A63101"/>
    <w:rsid w:val="00A63C88"/>
    <w:rsid w:val="00A65334"/>
    <w:rsid w:val="00A66D80"/>
    <w:rsid w:val="00A67207"/>
    <w:rsid w:val="00A67916"/>
    <w:rsid w:val="00A67E0A"/>
    <w:rsid w:val="00A70386"/>
    <w:rsid w:val="00A70769"/>
    <w:rsid w:val="00A71057"/>
    <w:rsid w:val="00A7196F"/>
    <w:rsid w:val="00A71A17"/>
    <w:rsid w:val="00A71BED"/>
    <w:rsid w:val="00A71BF7"/>
    <w:rsid w:val="00A7315F"/>
    <w:rsid w:val="00A74256"/>
    <w:rsid w:val="00A743D6"/>
    <w:rsid w:val="00A74710"/>
    <w:rsid w:val="00A74BCC"/>
    <w:rsid w:val="00A755FE"/>
    <w:rsid w:val="00A757F1"/>
    <w:rsid w:val="00A75876"/>
    <w:rsid w:val="00A76432"/>
    <w:rsid w:val="00A7739C"/>
    <w:rsid w:val="00A77566"/>
    <w:rsid w:val="00A77960"/>
    <w:rsid w:val="00A800C5"/>
    <w:rsid w:val="00A8038D"/>
    <w:rsid w:val="00A81685"/>
    <w:rsid w:val="00A82ECA"/>
    <w:rsid w:val="00A82FB6"/>
    <w:rsid w:val="00A83579"/>
    <w:rsid w:val="00A8373E"/>
    <w:rsid w:val="00A8474F"/>
    <w:rsid w:val="00A8483E"/>
    <w:rsid w:val="00A851B8"/>
    <w:rsid w:val="00A867F8"/>
    <w:rsid w:val="00A868F2"/>
    <w:rsid w:val="00A86F3E"/>
    <w:rsid w:val="00A8729B"/>
    <w:rsid w:val="00A90533"/>
    <w:rsid w:val="00A90B3D"/>
    <w:rsid w:val="00A91D39"/>
    <w:rsid w:val="00A9247E"/>
    <w:rsid w:val="00A92A11"/>
    <w:rsid w:val="00A92A35"/>
    <w:rsid w:val="00A931EE"/>
    <w:rsid w:val="00A935A8"/>
    <w:rsid w:val="00A9369A"/>
    <w:rsid w:val="00A9396E"/>
    <w:rsid w:val="00A93C78"/>
    <w:rsid w:val="00A956DD"/>
    <w:rsid w:val="00A95812"/>
    <w:rsid w:val="00A95A30"/>
    <w:rsid w:val="00A9694A"/>
    <w:rsid w:val="00A96BFD"/>
    <w:rsid w:val="00A96D18"/>
    <w:rsid w:val="00A97321"/>
    <w:rsid w:val="00A977A8"/>
    <w:rsid w:val="00A97DA6"/>
    <w:rsid w:val="00A97E74"/>
    <w:rsid w:val="00AA014D"/>
    <w:rsid w:val="00AA0F9B"/>
    <w:rsid w:val="00AA0FD7"/>
    <w:rsid w:val="00AA1FD7"/>
    <w:rsid w:val="00AA271D"/>
    <w:rsid w:val="00AA2AFF"/>
    <w:rsid w:val="00AA2E06"/>
    <w:rsid w:val="00AA2EF9"/>
    <w:rsid w:val="00AA37F3"/>
    <w:rsid w:val="00AA3940"/>
    <w:rsid w:val="00AA3BC7"/>
    <w:rsid w:val="00AA4F18"/>
    <w:rsid w:val="00AA559E"/>
    <w:rsid w:val="00AA5D14"/>
    <w:rsid w:val="00AA69BF"/>
    <w:rsid w:val="00AA6DEC"/>
    <w:rsid w:val="00AA7C9D"/>
    <w:rsid w:val="00AB1708"/>
    <w:rsid w:val="00AB20F6"/>
    <w:rsid w:val="00AB23F4"/>
    <w:rsid w:val="00AB2658"/>
    <w:rsid w:val="00AB2955"/>
    <w:rsid w:val="00AB2F7C"/>
    <w:rsid w:val="00AB3698"/>
    <w:rsid w:val="00AB3DBE"/>
    <w:rsid w:val="00AB3EBD"/>
    <w:rsid w:val="00AB4A7D"/>
    <w:rsid w:val="00AB4B74"/>
    <w:rsid w:val="00AB5856"/>
    <w:rsid w:val="00AB5A8B"/>
    <w:rsid w:val="00AB5C5E"/>
    <w:rsid w:val="00AB6FD0"/>
    <w:rsid w:val="00AB72FE"/>
    <w:rsid w:val="00AB7910"/>
    <w:rsid w:val="00AC023D"/>
    <w:rsid w:val="00AC0476"/>
    <w:rsid w:val="00AC134E"/>
    <w:rsid w:val="00AC216D"/>
    <w:rsid w:val="00AC2D4D"/>
    <w:rsid w:val="00AC2E89"/>
    <w:rsid w:val="00AC364A"/>
    <w:rsid w:val="00AC39B9"/>
    <w:rsid w:val="00AC4633"/>
    <w:rsid w:val="00AC4AA9"/>
    <w:rsid w:val="00AC4BE8"/>
    <w:rsid w:val="00AC4F38"/>
    <w:rsid w:val="00AC647F"/>
    <w:rsid w:val="00AC6C27"/>
    <w:rsid w:val="00AC77D1"/>
    <w:rsid w:val="00AC7AE2"/>
    <w:rsid w:val="00AC7B4A"/>
    <w:rsid w:val="00AD0264"/>
    <w:rsid w:val="00AD0512"/>
    <w:rsid w:val="00AD0D14"/>
    <w:rsid w:val="00AD24CE"/>
    <w:rsid w:val="00AD283E"/>
    <w:rsid w:val="00AD3580"/>
    <w:rsid w:val="00AD38E3"/>
    <w:rsid w:val="00AD3A7B"/>
    <w:rsid w:val="00AD3BB4"/>
    <w:rsid w:val="00AD487D"/>
    <w:rsid w:val="00AD5050"/>
    <w:rsid w:val="00AD69F2"/>
    <w:rsid w:val="00AD72D1"/>
    <w:rsid w:val="00AE0469"/>
    <w:rsid w:val="00AE140E"/>
    <w:rsid w:val="00AE1558"/>
    <w:rsid w:val="00AE1A08"/>
    <w:rsid w:val="00AE2317"/>
    <w:rsid w:val="00AE2713"/>
    <w:rsid w:val="00AE310F"/>
    <w:rsid w:val="00AE3370"/>
    <w:rsid w:val="00AE35F1"/>
    <w:rsid w:val="00AE3CED"/>
    <w:rsid w:val="00AE3E7D"/>
    <w:rsid w:val="00AE5036"/>
    <w:rsid w:val="00AE503C"/>
    <w:rsid w:val="00AE5048"/>
    <w:rsid w:val="00AE508E"/>
    <w:rsid w:val="00AE5DE1"/>
    <w:rsid w:val="00AE66B8"/>
    <w:rsid w:val="00AE6BF1"/>
    <w:rsid w:val="00AE6E56"/>
    <w:rsid w:val="00AE718C"/>
    <w:rsid w:val="00AE799E"/>
    <w:rsid w:val="00AF0242"/>
    <w:rsid w:val="00AF1C14"/>
    <w:rsid w:val="00AF1CAA"/>
    <w:rsid w:val="00AF1D12"/>
    <w:rsid w:val="00AF21D7"/>
    <w:rsid w:val="00AF2914"/>
    <w:rsid w:val="00AF2C31"/>
    <w:rsid w:val="00AF399A"/>
    <w:rsid w:val="00AF411F"/>
    <w:rsid w:val="00AF4347"/>
    <w:rsid w:val="00AF5931"/>
    <w:rsid w:val="00AF5B28"/>
    <w:rsid w:val="00AF5B63"/>
    <w:rsid w:val="00AF6391"/>
    <w:rsid w:val="00AF640E"/>
    <w:rsid w:val="00AF6FC8"/>
    <w:rsid w:val="00AF7157"/>
    <w:rsid w:val="00AF7B23"/>
    <w:rsid w:val="00B00839"/>
    <w:rsid w:val="00B00999"/>
    <w:rsid w:val="00B00C10"/>
    <w:rsid w:val="00B011C0"/>
    <w:rsid w:val="00B01E26"/>
    <w:rsid w:val="00B01E8A"/>
    <w:rsid w:val="00B036BE"/>
    <w:rsid w:val="00B04439"/>
    <w:rsid w:val="00B04872"/>
    <w:rsid w:val="00B0538A"/>
    <w:rsid w:val="00B06D6B"/>
    <w:rsid w:val="00B078BC"/>
    <w:rsid w:val="00B0792A"/>
    <w:rsid w:val="00B07B8A"/>
    <w:rsid w:val="00B07BD3"/>
    <w:rsid w:val="00B1130B"/>
    <w:rsid w:val="00B11A6C"/>
    <w:rsid w:val="00B12316"/>
    <w:rsid w:val="00B13CFD"/>
    <w:rsid w:val="00B13DC9"/>
    <w:rsid w:val="00B14192"/>
    <w:rsid w:val="00B143C5"/>
    <w:rsid w:val="00B148DF"/>
    <w:rsid w:val="00B14DDA"/>
    <w:rsid w:val="00B14F54"/>
    <w:rsid w:val="00B14FAC"/>
    <w:rsid w:val="00B150F8"/>
    <w:rsid w:val="00B151D5"/>
    <w:rsid w:val="00B16385"/>
    <w:rsid w:val="00B16BB1"/>
    <w:rsid w:val="00B171D2"/>
    <w:rsid w:val="00B1758D"/>
    <w:rsid w:val="00B175B7"/>
    <w:rsid w:val="00B17A9A"/>
    <w:rsid w:val="00B20094"/>
    <w:rsid w:val="00B20B23"/>
    <w:rsid w:val="00B21148"/>
    <w:rsid w:val="00B2169A"/>
    <w:rsid w:val="00B22909"/>
    <w:rsid w:val="00B23640"/>
    <w:rsid w:val="00B23988"/>
    <w:rsid w:val="00B23D94"/>
    <w:rsid w:val="00B24BEA"/>
    <w:rsid w:val="00B256D0"/>
    <w:rsid w:val="00B25A68"/>
    <w:rsid w:val="00B26F08"/>
    <w:rsid w:val="00B277F2"/>
    <w:rsid w:val="00B27CF2"/>
    <w:rsid w:val="00B3099A"/>
    <w:rsid w:val="00B3162F"/>
    <w:rsid w:val="00B31C08"/>
    <w:rsid w:val="00B32593"/>
    <w:rsid w:val="00B325FA"/>
    <w:rsid w:val="00B3324B"/>
    <w:rsid w:val="00B33F9A"/>
    <w:rsid w:val="00B34717"/>
    <w:rsid w:val="00B34A05"/>
    <w:rsid w:val="00B34BDC"/>
    <w:rsid w:val="00B358F7"/>
    <w:rsid w:val="00B36C32"/>
    <w:rsid w:val="00B371EF"/>
    <w:rsid w:val="00B37A40"/>
    <w:rsid w:val="00B40CA7"/>
    <w:rsid w:val="00B40E4C"/>
    <w:rsid w:val="00B416BC"/>
    <w:rsid w:val="00B4184C"/>
    <w:rsid w:val="00B41F43"/>
    <w:rsid w:val="00B43A37"/>
    <w:rsid w:val="00B444D5"/>
    <w:rsid w:val="00B44FBA"/>
    <w:rsid w:val="00B45C34"/>
    <w:rsid w:val="00B46AD8"/>
    <w:rsid w:val="00B472E4"/>
    <w:rsid w:val="00B51214"/>
    <w:rsid w:val="00B5150B"/>
    <w:rsid w:val="00B51D1B"/>
    <w:rsid w:val="00B51D74"/>
    <w:rsid w:val="00B53188"/>
    <w:rsid w:val="00B55647"/>
    <w:rsid w:val="00B56046"/>
    <w:rsid w:val="00B560BE"/>
    <w:rsid w:val="00B5643C"/>
    <w:rsid w:val="00B577EF"/>
    <w:rsid w:val="00B60674"/>
    <w:rsid w:val="00B60A56"/>
    <w:rsid w:val="00B61641"/>
    <w:rsid w:val="00B61774"/>
    <w:rsid w:val="00B62CC4"/>
    <w:rsid w:val="00B6352C"/>
    <w:rsid w:val="00B63BEF"/>
    <w:rsid w:val="00B64042"/>
    <w:rsid w:val="00B64555"/>
    <w:rsid w:val="00B653BF"/>
    <w:rsid w:val="00B6577B"/>
    <w:rsid w:val="00B70472"/>
    <w:rsid w:val="00B705BE"/>
    <w:rsid w:val="00B70BA3"/>
    <w:rsid w:val="00B71238"/>
    <w:rsid w:val="00B71262"/>
    <w:rsid w:val="00B71817"/>
    <w:rsid w:val="00B71998"/>
    <w:rsid w:val="00B72D7F"/>
    <w:rsid w:val="00B72DE0"/>
    <w:rsid w:val="00B73608"/>
    <w:rsid w:val="00B73C4F"/>
    <w:rsid w:val="00B74990"/>
    <w:rsid w:val="00B7506E"/>
    <w:rsid w:val="00B75474"/>
    <w:rsid w:val="00B76096"/>
    <w:rsid w:val="00B760EF"/>
    <w:rsid w:val="00B762AC"/>
    <w:rsid w:val="00B7684D"/>
    <w:rsid w:val="00B7729B"/>
    <w:rsid w:val="00B77819"/>
    <w:rsid w:val="00B77ED7"/>
    <w:rsid w:val="00B80493"/>
    <w:rsid w:val="00B807CD"/>
    <w:rsid w:val="00B815AC"/>
    <w:rsid w:val="00B81A40"/>
    <w:rsid w:val="00B82B65"/>
    <w:rsid w:val="00B82E58"/>
    <w:rsid w:val="00B836A0"/>
    <w:rsid w:val="00B83960"/>
    <w:rsid w:val="00B849FC"/>
    <w:rsid w:val="00B84D71"/>
    <w:rsid w:val="00B852F6"/>
    <w:rsid w:val="00B85349"/>
    <w:rsid w:val="00B858F8"/>
    <w:rsid w:val="00B85911"/>
    <w:rsid w:val="00B861ED"/>
    <w:rsid w:val="00B8682B"/>
    <w:rsid w:val="00B86C0A"/>
    <w:rsid w:val="00B87133"/>
    <w:rsid w:val="00B872EA"/>
    <w:rsid w:val="00B87FC7"/>
    <w:rsid w:val="00B911B3"/>
    <w:rsid w:val="00B91EBE"/>
    <w:rsid w:val="00B924FC"/>
    <w:rsid w:val="00B92FB5"/>
    <w:rsid w:val="00B93F35"/>
    <w:rsid w:val="00B9448F"/>
    <w:rsid w:val="00B945E0"/>
    <w:rsid w:val="00B94A45"/>
    <w:rsid w:val="00B94B9A"/>
    <w:rsid w:val="00B953DD"/>
    <w:rsid w:val="00B958E4"/>
    <w:rsid w:val="00B960BF"/>
    <w:rsid w:val="00B96657"/>
    <w:rsid w:val="00B96938"/>
    <w:rsid w:val="00B97373"/>
    <w:rsid w:val="00B97BED"/>
    <w:rsid w:val="00B97C70"/>
    <w:rsid w:val="00B97E04"/>
    <w:rsid w:val="00BA01F9"/>
    <w:rsid w:val="00BA02E6"/>
    <w:rsid w:val="00BA0A67"/>
    <w:rsid w:val="00BA0FCC"/>
    <w:rsid w:val="00BA1044"/>
    <w:rsid w:val="00BA166E"/>
    <w:rsid w:val="00BA2200"/>
    <w:rsid w:val="00BA2D85"/>
    <w:rsid w:val="00BA2EFF"/>
    <w:rsid w:val="00BA38D9"/>
    <w:rsid w:val="00BA4339"/>
    <w:rsid w:val="00BA4B64"/>
    <w:rsid w:val="00BA506C"/>
    <w:rsid w:val="00BA50C5"/>
    <w:rsid w:val="00BA53FB"/>
    <w:rsid w:val="00BA618F"/>
    <w:rsid w:val="00BA69A0"/>
    <w:rsid w:val="00BA6B4E"/>
    <w:rsid w:val="00BA7472"/>
    <w:rsid w:val="00BA7920"/>
    <w:rsid w:val="00BA7AC9"/>
    <w:rsid w:val="00BB0E82"/>
    <w:rsid w:val="00BB0FD6"/>
    <w:rsid w:val="00BB11C6"/>
    <w:rsid w:val="00BB161F"/>
    <w:rsid w:val="00BB1C59"/>
    <w:rsid w:val="00BB1F1E"/>
    <w:rsid w:val="00BB2621"/>
    <w:rsid w:val="00BB283A"/>
    <w:rsid w:val="00BB2BDC"/>
    <w:rsid w:val="00BB2DD6"/>
    <w:rsid w:val="00BB34CC"/>
    <w:rsid w:val="00BB382A"/>
    <w:rsid w:val="00BB3C85"/>
    <w:rsid w:val="00BB41E0"/>
    <w:rsid w:val="00BB4FAD"/>
    <w:rsid w:val="00BB571D"/>
    <w:rsid w:val="00BB59C1"/>
    <w:rsid w:val="00BB6892"/>
    <w:rsid w:val="00BB6A8B"/>
    <w:rsid w:val="00BB6CEF"/>
    <w:rsid w:val="00BB6D86"/>
    <w:rsid w:val="00BB75DA"/>
    <w:rsid w:val="00BB7A66"/>
    <w:rsid w:val="00BB7D77"/>
    <w:rsid w:val="00BC0026"/>
    <w:rsid w:val="00BC034D"/>
    <w:rsid w:val="00BC03C3"/>
    <w:rsid w:val="00BC07F0"/>
    <w:rsid w:val="00BC0ED4"/>
    <w:rsid w:val="00BC0EE9"/>
    <w:rsid w:val="00BC15D5"/>
    <w:rsid w:val="00BC24C9"/>
    <w:rsid w:val="00BC28FE"/>
    <w:rsid w:val="00BC2E7A"/>
    <w:rsid w:val="00BC3863"/>
    <w:rsid w:val="00BC4076"/>
    <w:rsid w:val="00BC4634"/>
    <w:rsid w:val="00BC4E50"/>
    <w:rsid w:val="00BC53A9"/>
    <w:rsid w:val="00BC5445"/>
    <w:rsid w:val="00BC5D78"/>
    <w:rsid w:val="00BC6899"/>
    <w:rsid w:val="00BC69D7"/>
    <w:rsid w:val="00BC7578"/>
    <w:rsid w:val="00BC7A64"/>
    <w:rsid w:val="00BD0321"/>
    <w:rsid w:val="00BD0F90"/>
    <w:rsid w:val="00BD1734"/>
    <w:rsid w:val="00BD206D"/>
    <w:rsid w:val="00BD221E"/>
    <w:rsid w:val="00BD252F"/>
    <w:rsid w:val="00BD26C1"/>
    <w:rsid w:val="00BD3503"/>
    <w:rsid w:val="00BD3661"/>
    <w:rsid w:val="00BD3776"/>
    <w:rsid w:val="00BD3D0B"/>
    <w:rsid w:val="00BD41F1"/>
    <w:rsid w:val="00BD52B2"/>
    <w:rsid w:val="00BD5A09"/>
    <w:rsid w:val="00BD5D46"/>
    <w:rsid w:val="00BD69A2"/>
    <w:rsid w:val="00BD7225"/>
    <w:rsid w:val="00BD77D0"/>
    <w:rsid w:val="00BD7BF8"/>
    <w:rsid w:val="00BD7E44"/>
    <w:rsid w:val="00BE0BAC"/>
    <w:rsid w:val="00BE0DC0"/>
    <w:rsid w:val="00BE16BD"/>
    <w:rsid w:val="00BE22C2"/>
    <w:rsid w:val="00BE2559"/>
    <w:rsid w:val="00BE3697"/>
    <w:rsid w:val="00BE38C1"/>
    <w:rsid w:val="00BE3D3C"/>
    <w:rsid w:val="00BE3DCA"/>
    <w:rsid w:val="00BE4AE5"/>
    <w:rsid w:val="00BE4F2B"/>
    <w:rsid w:val="00BE5845"/>
    <w:rsid w:val="00BE5AFE"/>
    <w:rsid w:val="00BE5DC0"/>
    <w:rsid w:val="00BE60B3"/>
    <w:rsid w:val="00BE61CC"/>
    <w:rsid w:val="00BE666A"/>
    <w:rsid w:val="00BE7F65"/>
    <w:rsid w:val="00BF0895"/>
    <w:rsid w:val="00BF0A79"/>
    <w:rsid w:val="00BF0D44"/>
    <w:rsid w:val="00BF130B"/>
    <w:rsid w:val="00BF14FB"/>
    <w:rsid w:val="00BF1F1B"/>
    <w:rsid w:val="00BF1F81"/>
    <w:rsid w:val="00BF216E"/>
    <w:rsid w:val="00BF299B"/>
    <w:rsid w:val="00BF29DA"/>
    <w:rsid w:val="00BF2AB7"/>
    <w:rsid w:val="00BF2CF5"/>
    <w:rsid w:val="00BF2DE3"/>
    <w:rsid w:val="00BF2FEC"/>
    <w:rsid w:val="00BF3124"/>
    <w:rsid w:val="00BF3D2A"/>
    <w:rsid w:val="00BF4BB0"/>
    <w:rsid w:val="00BF50F1"/>
    <w:rsid w:val="00BF5D97"/>
    <w:rsid w:val="00BF6676"/>
    <w:rsid w:val="00BF6780"/>
    <w:rsid w:val="00BF68E0"/>
    <w:rsid w:val="00BF6ABA"/>
    <w:rsid w:val="00BF7158"/>
    <w:rsid w:val="00BF73A9"/>
    <w:rsid w:val="00BF795B"/>
    <w:rsid w:val="00C00B90"/>
    <w:rsid w:val="00C00F68"/>
    <w:rsid w:val="00C01063"/>
    <w:rsid w:val="00C0174C"/>
    <w:rsid w:val="00C01BB1"/>
    <w:rsid w:val="00C0228D"/>
    <w:rsid w:val="00C0268C"/>
    <w:rsid w:val="00C0270B"/>
    <w:rsid w:val="00C02A9F"/>
    <w:rsid w:val="00C03000"/>
    <w:rsid w:val="00C03283"/>
    <w:rsid w:val="00C035F5"/>
    <w:rsid w:val="00C03BD9"/>
    <w:rsid w:val="00C0403C"/>
    <w:rsid w:val="00C04924"/>
    <w:rsid w:val="00C04B45"/>
    <w:rsid w:val="00C052BC"/>
    <w:rsid w:val="00C059B7"/>
    <w:rsid w:val="00C05B04"/>
    <w:rsid w:val="00C06A31"/>
    <w:rsid w:val="00C07035"/>
    <w:rsid w:val="00C07217"/>
    <w:rsid w:val="00C073E7"/>
    <w:rsid w:val="00C077DA"/>
    <w:rsid w:val="00C077FC"/>
    <w:rsid w:val="00C07B64"/>
    <w:rsid w:val="00C10141"/>
    <w:rsid w:val="00C101B2"/>
    <w:rsid w:val="00C10B92"/>
    <w:rsid w:val="00C111D7"/>
    <w:rsid w:val="00C1151B"/>
    <w:rsid w:val="00C11B66"/>
    <w:rsid w:val="00C11EF7"/>
    <w:rsid w:val="00C1219E"/>
    <w:rsid w:val="00C124B7"/>
    <w:rsid w:val="00C1340F"/>
    <w:rsid w:val="00C1386D"/>
    <w:rsid w:val="00C138A8"/>
    <w:rsid w:val="00C13C2E"/>
    <w:rsid w:val="00C13ED9"/>
    <w:rsid w:val="00C143A2"/>
    <w:rsid w:val="00C144EA"/>
    <w:rsid w:val="00C15C9F"/>
    <w:rsid w:val="00C161FF"/>
    <w:rsid w:val="00C168F0"/>
    <w:rsid w:val="00C16EBB"/>
    <w:rsid w:val="00C17D59"/>
    <w:rsid w:val="00C2060C"/>
    <w:rsid w:val="00C20ED8"/>
    <w:rsid w:val="00C2130E"/>
    <w:rsid w:val="00C21882"/>
    <w:rsid w:val="00C21ED8"/>
    <w:rsid w:val="00C22268"/>
    <w:rsid w:val="00C22611"/>
    <w:rsid w:val="00C22A9B"/>
    <w:rsid w:val="00C23570"/>
    <w:rsid w:val="00C23708"/>
    <w:rsid w:val="00C23C62"/>
    <w:rsid w:val="00C23D68"/>
    <w:rsid w:val="00C2435F"/>
    <w:rsid w:val="00C2584C"/>
    <w:rsid w:val="00C25CE3"/>
    <w:rsid w:val="00C264E6"/>
    <w:rsid w:val="00C26B90"/>
    <w:rsid w:val="00C270F8"/>
    <w:rsid w:val="00C278B8"/>
    <w:rsid w:val="00C3018D"/>
    <w:rsid w:val="00C3087D"/>
    <w:rsid w:val="00C30BFB"/>
    <w:rsid w:val="00C30DE5"/>
    <w:rsid w:val="00C31A42"/>
    <w:rsid w:val="00C31BDB"/>
    <w:rsid w:val="00C31C72"/>
    <w:rsid w:val="00C31FE1"/>
    <w:rsid w:val="00C326DC"/>
    <w:rsid w:val="00C332B1"/>
    <w:rsid w:val="00C33770"/>
    <w:rsid w:val="00C34458"/>
    <w:rsid w:val="00C34C52"/>
    <w:rsid w:val="00C350C3"/>
    <w:rsid w:val="00C35188"/>
    <w:rsid w:val="00C35E1B"/>
    <w:rsid w:val="00C36085"/>
    <w:rsid w:val="00C36194"/>
    <w:rsid w:val="00C365AA"/>
    <w:rsid w:val="00C369B1"/>
    <w:rsid w:val="00C371A2"/>
    <w:rsid w:val="00C372C5"/>
    <w:rsid w:val="00C37579"/>
    <w:rsid w:val="00C37809"/>
    <w:rsid w:val="00C3DD46"/>
    <w:rsid w:val="00C402CD"/>
    <w:rsid w:val="00C40BAB"/>
    <w:rsid w:val="00C40F24"/>
    <w:rsid w:val="00C4104B"/>
    <w:rsid w:val="00C41766"/>
    <w:rsid w:val="00C41DA2"/>
    <w:rsid w:val="00C42947"/>
    <w:rsid w:val="00C429F1"/>
    <w:rsid w:val="00C4369D"/>
    <w:rsid w:val="00C43984"/>
    <w:rsid w:val="00C43F4F"/>
    <w:rsid w:val="00C44CF5"/>
    <w:rsid w:val="00C44F10"/>
    <w:rsid w:val="00C4508F"/>
    <w:rsid w:val="00C453F2"/>
    <w:rsid w:val="00C45536"/>
    <w:rsid w:val="00C45C67"/>
    <w:rsid w:val="00C45E4C"/>
    <w:rsid w:val="00C4712E"/>
    <w:rsid w:val="00C47276"/>
    <w:rsid w:val="00C4791C"/>
    <w:rsid w:val="00C47EF6"/>
    <w:rsid w:val="00C47F34"/>
    <w:rsid w:val="00C5039C"/>
    <w:rsid w:val="00C50BB5"/>
    <w:rsid w:val="00C50CAA"/>
    <w:rsid w:val="00C50CDC"/>
    <w:rsid w:val="00C5160D"/>
    <w:rsid w:val="00C516CA"/>
    <w:rsid w:val="00C524C4"/>
    <w:rsid w:val="00C535BC"/>
    <w:rsid w:val="00C536AF"/>
    <w:rsid w:val="00C539ED"/>
    <w:rsid w:val="00C53B0A"/>
    <w:rsid w:val="00C557C9"/>
    <w:rsid w:val="00C562B6"/>
    <w:rsid w:val="00C56C31"/>
    <w:rsid w:val="00C57C71"/>
    <w:rsid w:val="00C601AE"/>
    <w:rsid w:val="00C615C0"/>
    <w:rsid w:val="00C622BA"/>
    <w:rsid w:val="00C62318"/>
    <w:rsid w:val="00C6295A"/>
    <w:rsid w:val="00C62ED4"/>
    <w:rsid w:val="00C630E6"/>
    <w:rsid w:val="00C63E43"/>
    <w:rsid w:val="00C64B75"/>
    <w:rsid w:val="00C64E32"/>
    <w:rsid w:val="00C65295"/>
    <w:rsid w:val="00C65AD5"/>
    <w:rsid w:val="00C65F97"/>
    <w:rsid w:val="00C66867"/>
    <w:rsid w:val="00C6728B"/>
    <w:rsid w:val="00C67D15"/>
    <w:rsid w:val="00C67D55"/>
    <w:rsid w:val="00C70256"/>
    <w:rsid w:val="00C7042B"/>
    <w:rsid w:val="00C70EAE"/>
    <w:rsid w:val="00C714A8"/>
    <w:rsid w:val="00C7184D"/>
    <w:rsid w:val="00C7225C"/>
    <w:rsid w:val="00C72495"/>
    <w:rsid w:val="00C725FE"/>
    <w:rsid w:val="00C72900"/>
    <w:rsid w:val="00C73635"/>
    <w:rsid w:val="00C73C28"/>
    <w:rsid w:val="00C73E3E"/>
    <w:rsid w:val="00C74B40"/>
    <w:rsid w:val="00C75695"/>
    <w:rsid w:val="00C75A97"/>
    <w:rsid w:val="00C75AFA"/>
    <w:rsid w:val="00C75BF3"/>
    <w:rsid w:val="00C76B29"/>
    <w:rsid w:val="00C772FA"/>
    <w:rsid w:val="00C7731D"/>
    <w:rsid w:val="00C774BD"/>
    <w:rsid w:val="00C80087"/>
    <w:rsid w:val="00C800FE"/>
    <w:rsid w:val="00C81722"/>
    <w:rsid w:val="00C81EA2"/>
    <w:rsid w:val="00C82B19"/>
    <w:rsid w:val="00C82E88"/>
    <w:rsid w:val="00C84A3E"/>
    <w:rsid w:val="00C84A3F"/>
    <w:rsid w:val="00C84FE1"/>
    <w:rsid w:val="00C854B9"/>
    <w:rsid w:val="00C85D0F"/>
    <w:rsid w:val="00C905F2"/>
    <w:rsid w:val="00C910CE"/>
    <w:rsid w:val="00C912EB"/>
    <w:rsid w:val="00C918FF"/>
    <w:rsid w:val="00C91ACF"/>
    <w:rsid w:val="00C92423"/>
    <w:rsid w:val="00C938A0"/>
    <w:rsid w:val="00C94279"/>
    <w:rsid w:val="00C9579C"/>
    <w:rsid w:val="00C9607A"/>
    <w:rsid w:val="00C972A5"/>
    <w:rsid w:val="00C973C2"/>
    <w:rsid w:val="00C97B65"/>
    <w:rsid w:val="00CA15E5"/>
    <w:rsid w:val="00CA1A40"/>
    <w:rsid w:val="00CA2284"/>
    <w:rsid w:val="00CA230B"/>
    <w:rsid w:val="00CA2691"/>
    <w:rsid w:val="00CA314A"/>
    <w:rsid w:val="00CA446B"/>
    <w:rsid w:val="00CA4869"/>
    <w:rsid w:val="00CA50A5"/>
    <w:rsid w:val="00CA54F4"/>
    <w:rsid w:val="00CA5FB5"/>
    <w:rsid w:val="00CA69A4"/>
    <w:rsid w:val="00CA6E4E"/>
    <w:rsid w:val="00CA7264"/>
    <w:rsid w:val="00CA7716"/>
    <w:rsid w:val="00CB13F8"/>
    <w:rsid w:val="00CB1597"/>
    <w:rsid w:val="00CB2187"/>
    <w:rsid w:val="00CB2D80"/>
    <w:rsid w:val="00CB3764"/>
    <w:rsid w:val="00CB486C"/>
    <w:rsid w:val="00CB5399"/>
    <w:rsid w:val="00CB5A6F"/>
    <w:rsid w:val="00CB5B83"/>
    <w:rsid w:val="00CB7987"/>
    <w:rsid w:val="00CC07C4"/>
    <w:rsid w:val="00CC1379"/>
    <w:rsid w:val="00CC2075"/>
    <w:rsid w:val="00CC23F2"/>
    <w:rsid w:val="00CC29DF"/>
    <w:rsid w:val="00CC2C4A"/>
    <w:rsid w:val="00CC2FE9"/>
    <w:rsid w:val="00CC3213"/>
    <w:rsid w:val="00CC3216"/>
    <w:rsid w:val="00CC3D94"/>
    <w:rsid w:val="00CC520A"/>
    <w:rsid w:val="00CC538A"/>
    <w:rsid w:val="00CC6434"/>
    <w:rsid w:val="00CC6700"/>
    <w:rsid w:val="00CC75EB"/>
    <w:rsid w:val="00CC77B2"/>
    <w:rsid w:val="00CD0313"/>
    <w:rsid w:val="00CD04A9"/>
    <w:rsid w:val="00CD2657"/>
    <w:rsid w:val="00CD2ED7"/>
    <w:rsid w:val="00CD2F73"/>
    <w:rsid w:val="00CD31C8"/>
    <w:rsid w:val="00CD373E"/>
    <w:rsid w:val="00CD3AB0"/>
    <w:rsid w:val="00CD421A"/>
    <w:rsid w:val="00CD5174"/>
    <w:rsid w:val="00CD56C7"/>
    <w:rsid w:val="00CD592B"/>
    <w:rsid w:val="00CD690B"/>
    <w:rsid w:val="00CD6A76"/>
    <w:rsid w:val="00CD6B9D"/>
    <w:rsid w:val="00CD78F3"/>
    <w:rsid w:val="00CE0614"/>
    <w:rsid w:val="00CE06F4"/>
    <w:rsid w:val="00CE0915"/>
    <w:rsid w:val="00CE0C7B"/>
    <w:rsid w:val="00CE0C9F"/>
    <w:rsid w:val="00CE119A"/>
    <w:rsid w:val="00CE1702"/>
    <w:rsid w:val="00CE1A3C"/>
    <w:rsid w:val="00CE24D5"/>
    <w:rsid w:val="00CE2CDC"/>
    <w:rsid w:val="00CE3807"/>
    <w:rsid w:val="00CE3FD3"/>
    <w:rsid w:val="00CE403F"/>
    <w:rsid w:val="00CE43EE"/>
    <w:rsid w:val="00CE4418"/>
    <w:rsid w:val="00CE4B8B"/>
    <w:rsid w:val="00CE4BBA"/>
    <w:rsid w:val="00CE4E5A"/>
    <w:rsid w:val="00CE5C9A"/>
    <w:rsid w:val="00CE6225"/>
    <w:rsid w:val="00CE6652"/>
    <w:rsid w:val="00CE77DE"/>
    <w:rsid w:val="00CE7CCE"/>
    <w:rsid w:val="00CF04D7"/>
    <w:rsid w:val="00CF08C0"/>
    <w:rsid w:val="00CF0C6A"/>
    <w:rsid w:val="00CF11D8"/>
    <w:rsid w:val="00CF167D"/>
    <w:rsid w:val="00CF1E1D"/>
    <w:rsid w:val="00CF2D81"/>
    <w:rsid w:val="00CF2DA7"/>
    <w:rsid w:val="00CF2EFF"/>
    <w:rsid w:val="00CF2F0E"/>
    <w:rsid w:val="00CF30FC"/>
    <w:rsid w:val="00CF3489"/>
    <w:rsid w:val="00CF3A21"/>
    <w:rsid w:val="00CF4435"/>
    <w:rsid w:val="00CF46A5"/>
    <w:rsid w:val="00CF487C"/>
    <w:rsid w:val="00CF5542"/>
    <w:rsid w:val="00CF60FF"/>
    <w:rsid w:val="00CF6374"/>
    <w:rsid w:val="00CF6DFD"/>
    <w:rsid w:val="00CF72A5"/>
    <w:rsid w:val="00CF7E72"/>
    <w:rsid w:val="00CF7EDD"/>
    <w:rsid w:val="00D001FE"/>
    <w:rsid w:val="00D00454"/>
    <w:rsid w:val="00D0098F"/>
    <w:rsid w:val="00D00AC7"/>
    <w:rsid w:val="00D020CA"/>
    <w:rsid w:val="00D02492"/>
    <w:rsid w:val="00D024EC"/>
    <w:rsid w:val="00D029BE"/>
    <w:rsid w:val="00D02F56"/>
    <w:rsid w:val="00D02FBF"/>
    <w:rsid w:val="00D03C30"/>
    <w:rsid w:val="00D03C68"/>
    <w:rsid w:val="00D04088"/>
    <w:rsid w:val="00D045A3"/>
    <w:rsid w:val="00D045A6"/>
    <w:rsid w:val="00D045ED"/>
    <w:rsid w:val="00D04929"/>
    <w:rsid w:val="00D04F9C"/>
    <w:rsid w:val="00D050D1"/>
    <w:rsid w:val="00D05AD0"/>
    <w:rsid w:val="00D07040"/>
    <w:rsid w:val="00D077C0"/>
    <w:rsid w:val="00D07960"/>
    <w:rsid w:val="00D07CFE"/>
    <w:rsid w:val="00D10465"/>
    <w:rsid w:val="00D111B4"/>
    <w:rsid w:val="00D113A1"/>
    <w:rsid w:val="00D116E6"/>
    <w:rsid w:val="00D1191E"/>
    <w:rsid w:val="00D11E16"/>
    <w:rsid w:val="00D12632"/>
    <w:rsid w:val="00D12D97"/>
    <w:rsid w:val="00D13469"/>
    <w:rsid w:val="00D13506"/>
    <w:rsid w:val="00D14A4A"/>
    <w:rsid w:val="00D14B5A"/>
    <w:rsid w:val="00D154BF"/>
    <w:rsid w:val="00D15A6F"/>
    <w:rsid w:val="00D15A8C"/>
    <w:rsid w:val="00D16FE1"/>
    <w:rsid w:val="00D174F1"/>
    <w:rsid w:val="00D175BF"/>
    <w:rsid w:val="00D17695"/>
    <w:rsid w:val="00D17B6C"/>
    <w:rsid w:val="00D17FEF"/>
    <w:rsid w:val="00D20443"/>
    <w:rsid w:val="00D2062E"/>
    <w:rsid w:val="00D206C1"/>
    <w:rsid w:val="00D217FE"/>
    <w:rsid w:val="00D226E9"/>
    <w:rsid w:val="00D22E0D"/>
    <w:rsid w:val="00D22FBD"/>
    <w:rsid w:val="00D230AA"/>
    <w:rsid w:val="00D2340C"/>
    <w:rsid w:val="00D23721"/>
    <w:rsid w:val="00D23814"/>
    <w:rsid w:val="00D23A04"/>
    <w:rsid w:val="00D23FED"/>
    <w:rsid w:val="00D2440F"/>
    <w:rsid w:val="00D249D5"/>
    <w:rsid w:val="00D254C2"/>
    <w:rsid w:val="00D25740"/>
    <w:rsid w:val="00D25A5E"/>
    <w:rsid w:val="00D26240"/>
    <w:rsid w:val="00D26C90"/>
    <w:rsid w:val="00D2734A"/>
    <w:rsid w:val="00D27A00"/>
    <w:rsid w:val="00D27D7F"/>
    <w:rsid w:val="00D31431"/>
    <w:rsid w:val="00D31667"/>
    <w:rsid w:val="00D31B6D"/>
    <w:rsid w:val="00D31D46"/>
    <w:rsid w:val="00D31DCD"/>
    <w:rsid w:val="00D31F04"/>
    <w:rsid w:val="00D344F4"/>
    <w:rsid w:val="00D34A84"/>
    <w:rsid w:val="00D35360"/>
    <w:rsid w:val="00D35620"/>
    <w:rsid w:val="00D363AE"/>
    <w:rsid w:val="00D403DA"/>
    <w:rsid w:val="00D4148E"/>
    <w:rsid w:val="00D4198F"/>
    <w:rsid w:val="00D41B0E"/>
    <w:rsid w:val="00D42A51"/>
    <w:rsid w:val="00D42EB9"/>
    <w:rsid w:val="00D435EF"/>
    <w:rsid w:val="00D44360"/>
    <w:rsid w:val="00D44C1A"/>
    <w:rsid w:val="00D45156"/>
    <w:rsid w:val="00D45295"/>
    <w:rsid w:val="00D4534E"/>
    <w:rsid w:val="00D4562B"/>
    <w:rsid w:val="00D4593D"/>
    <w:rsid w:val="00D45A57"/>
    <w:rsid w:val="00D45E82"/>
    <w:rsid w:val="00D45FBE"/>
    <w:rsid w:val="00D46072"/>
    <w:rsid w:val="00D4681F"/>
    <w:rsid w:val="00D47008"/>
    <w:rsid w:val="00D47C0C"/>
    <w:rsid w:val="00D47C6D"/>
    <w:rsid w:val="00D51DF2"/>
    <w:rsid w:val="00D52E65"/>
    <w:rsid w:val="00D532CE"/>
    <w:rsid w:val="00D5361C"/>
    <w:rsid w:val="00D538E7"/>
    <w:rsid w:val="00D538ED"/>
    <w:rsid w:val="00D54769"/>
    <w:rsid w:val="00D5488D"/>
    <w:rsid w:val="00D55726"/>
    <w:rsid w:val="00D557B3"/>
    <w:rsid w:val="00D57BA9"/>
    <w:rsid w:val="00D60D73"/>
    <w:rsid w:val="00D61794"/>
    <w:rsid w:val="00D61A05"/>
    <w:rsid w:val="00D61CC9"/>
    <w:rsid w:val="00D6224C"/>
    <w:rsid w:val="00D62BD4"/>
    <w:rsid w:val="00D64079"/>
    <w:rsid w:val="00D64167"/>
    <w:rsid w:val="00D64256"/>
    <w:rsid w:val="00D64278"/>
    <w:rsid w:val="00D644F7"/>
    <w:rsid w:val="00D650B9"/>
    <w:rsid w:val="00D656DB"/>
    <w:rsid w:val="00D663DC"/>
    <w:rsid w:val="00D667AC"/>
    <w:rsid w:val="00D66ED6"/>
    <w:rsid w:val="00D66FE9"/>
    <w:rsid w:val="00D67B49"/>
    <w:rsid w:val="00D703F6"/>
    <w:rsid w:val="00D7080A"/>
    <w:rsid w:val="00D71865"/>
    <w:rsid w:val="00D71988"/>
    <w:rsid w:val="00D7239A"/>
    <w:rsid w:val="00D72EB9"/>
    <w:rsid w:val="00D73B14"/>
    <w:rsid w:val="00D73B1E"/>
    <w:rsid w:val="00D74121"/>
    <w:rsid w:val="00D749C1"/>
    <w:rsid w:val="00D74DF8"/>
    <w:rsid w:val="00D7571B"/>
    <w:rsid w:val="00D75BAB"/>
    <w:rsid w:val="00D75E78"/>
    <w:rsid w:val="00D769C5"/>
    <w:rsid w:val="00D77990"/>
    <w:rsid w:val="00D77CDA"/>
    <w:rsid w:val="00D80339"/>
    <w:rsid w:val="00D8093B"/>
    <w:rsid w:val="00D80AA4"/>
    <w:rsid w:val="00D80ABC"/>
    <w:rsid w:val="00D80E50"/>
    <w:rsid w:val="00D81BBF"/>
    <w:rsid w:val="00D81DF7"/>
    <w:rsid w:val="00D82E85"/>
    <w:rsid w:val="00D836C9"/>
    <w:rsid w:val="00D847B4"/>
    <w:rsid w:val="00D8549B"/>
    <w:rsid w:val="00D86467"/>
    <w:rsid w:val="00D86B99"/>
    <w:rsid w:val="00D87519"/>
    <w:rsid w:val="00D875CD"/>
    <w:rsid w:val="00D8765D"/>
    <w:rsid w:val="00D876EF"/>
    <w:rsid w:val="00D9060A"/>
    <w:rsid w:val="00D90663"/>
    <w:rsid w:val="00D908B8"/>
    <w:rsid w:val="00D90FB0"/>
    <w:rsid w:val="00D91627"/>
    <w:rsid w:val="00D91E5B"/>
    <w:rsid w:val="00D92180"/>
    <w:rsid w:val="00D92872"/>
    <w:rsid w:val="00D92907"/>
    <w:rsid w:val="00D93650"/>
    <w:rsid w:val="00D942AC"/>
    <w:rsid w:val="00D95144"/>
    <w:rsid w:val="00D95B3E"/>
    <w:rsid w:val="00D95C0E"/>
    <w:rsid w:val="00D96347"/>
    <w:rsid w:val="00D966F9"/>
    <w:rsid w:val="00D970EC"/>
    <w:rsid w:val="00D97286"/>
    <w:rsid w:val="00D97AF4"/>
    <w:rsid w:val="00DA0065"/>
    <w:rsid w:val="00DA0113"/>
    <w:rsid w:val="00DA0D1F"/>
    <w:rsid w:val="00DA1576"/>
    <w:rsid w:val="00DA15DD"/>
    <w:rsid w:val="00DA16F4"/>
    <w:rsid w:val="00DA20D2"/>
    <w:rsid w:val="00DA2675"/>
    <w:rsid w:val="00DA30CA"/>
    <w:rsid w:val="00DA544A"/>
    <w:rsid w:val="00DA5C1D"/>
    <w:rsid w:val="00DA5CD4"/>
    <w:rsid w:val="00DA67B8"/>
    <w:rsid w:val="00DA74CE"/>
    <w:rsid w:val="00DA7BD9"/>
    <w:rsid w:val="00DB0A1C"/>
    <w:rsid w:val="00DB15C2"/>
    <w:rsid w:val="00DB1967"/>
    <w:rsid w:val="00DB1B50"/>
    <w:rsid w:val="00DB248B"/>
    <w:rsid w:val="00DB35DC"/>
    <w:rsid w:val="00DB459C"/>
    <w:rsid w:val="00DB4C90"/>
    <w:rsid w:val="00DB4D82"/>
    <w:rsid w:val="00DB6D90"/>
    <w:rsid w:val="00DB6F05"/>
    <w:rsid w:val="00DC0164"/>
    <w:rsid w:val="00DC03D2"/>
    <w:rsid w:val="00DC03DC"/>
    <w:rsid w:val="00DC0DE0"/>
    <w:rsid w:val="00DC11CA"/>
    <w:rsid w:val="00DC11D0"/>
    <w:rsid w:val="00DC1317"/>
    <w:rsid w:val="00DC2245"/>
    <w:rsid w:val="00DC243C"/>
    <w:rsid w:val="00DC28B8"/>
    <w:rsid w:val="00DC3371"/>
    <w:rsid w:val="00DC35F7"/>
    <w:rsid w:val="00DC366D"/>
    <w:rsid w:val="00DC3FC7"/>
    <w:rsid w:val="00DC447C"/>
    <w:rsid w:val="00DC45C7"/>
    <w:rsid w:val="00DC6251"/>
    <w:rsid w:val="00DC6EE6"/>
    <w:rsid w:val="00DC72CD"/>
    <w:rsid w:val="00DC759A"/>
    <w:rsid w:val="00DC788F"/>
    <w:rsid w:val="00DD066D"/>
    <w:rsid w:val="00DD0E95"/>
    <w:rsid w:val="00DD11A8"/>
    <w:rsid w:val="00DD11E2"/>
    <w:rsid w:val="00DD1BD7"/>
    <w:rsid w:val="00DD2311"/>
    <w:rsid w:val="00DD2FDF"/>
    <w:rsid w:val="00DD3DF5"/>
    <w:rsid w:val="00DD42D9"/>
    <w:rsid w:val="00DD442E"/>
    <w:rsid w:val="00DD4705"/>
    <w:rsid w:val="00DD58F8"/>
    <w:rsid w:val="00DD59BB"/>
    <w:rsid w:val="00DD5CCA"/>
    <w:rsid w:val="00DD6EF0"/>
    <w:rsid w:val="00DD715A"/>
    <w:rsid w:val="00DD7214"/>
    <w:rsid w:val="00DD7662"/>
    <w:rsid w:val="00DD77EB"/>
    <w:rsid w:val="00DD78DC"/>
    <w:rsid w:val="00DE10BD"/>
    <w:rsid w:val="00DE14CE"/>
    <w:rsid w:val="00DE1C90"/>
    <w:rsid w:val="00DE2320"/>
    <w:rsid w:val="00DE280D"/>
    <w:rsid w:val="00DE36BE"/>
    <w:rsid w:val="00DE396D"/>
    <w:rsid w:val="00DE454B"/>
    <w:rsid w:val="00DE4BFD"/>
    <w:rsid w:val="00DE4C9D"/>
    <w:rsid w:val="00DE5B68"/>
    <w:rsid w:val="00DE656B"/>
    <w:rsid w:val="00DE7095"/>
    <w:rsid w:val="00DE7851"/>
    <w:rsid w:val="00DF06B2"/>
    <w:rsid w:val="00DF09C5"/>
    <w:rsid w:val="00DF0C88"/>
    <w:rsid w:val="00DF13D9"/>
    <w:rsid w:val="00DF1449"/>
    <w:rsid w:val="00DF19D1"/>
    <w:rsid w:val="00DF23E1"/>
    <w:rsid w:val="00DF24AD"/>
    <w:rsid w:val="00DF40B4"/>
    <w:rsid w:val="00DF4D49"/>
    <w:rsid w:val="00DF51CF"/>
    <w:rsid w:val="00DF5364"/>
    <w:rsid w:val="00DF572E"/>
    <w:rsid w:val="00DF5C31"/>
    <w:rsid w:val="00DF63CE"/>
    <w:rsid w:val="00DF651A"/>
    <w:rsid w:val="00DF75EE"/>
    <w:rsid w:val="00DF7BC0"/>
    <w:rsid w:val="00E00627"/>
    <w:rsid w:val="00E00F66"/>
    <w:rsid w:val="00E00FA8"/>
    <w:rsid w:val="00E01423"/>
    <w:rsid w:val="00E01A6F"/>
    <w:rsid w:val="00E01D37"/>
    <w:rsid w:val="00E01D93"/>
    <w:rsid w:val="00E03258"/>
    <w:rsid w:val="00E04058"/>
    <w:rsid w:val="00E052D5"/>
    <w:rsid w:val="00E059E3"/>
    <w:rsid w:val="00E05AC1"/>
    <w:rsid w:val="00E06345"/>
    <w:rsid w:val="00E068B1"/>
    <w:rsid w:val="00E0718E"/>
    <w:rsid w:val="00E075F2"/>
    <w:rsid w:val="00E10FDD"/>
    <w:rsid w:val="00E114D5"/>
    <w:rsid w:val="00E11755"/>
    <w:rsid w:val="00E118CB"/>
    <w:rsid w:val="00E12180"/>
    <w:rsid w:val="00E129F3"/>
    <w:rsid w:val="00E13C56"/>
    <w:rsid w:val="00E13CC8"/>
    <w:rsid w:val="00E14084"/>
    <w:rsid w:val="00E14488"/>
    <w:rsid w:val="00E146E8"/>
    <w:rsid w:val="00E148E7"/>
    <w:rsid w:val="00E14980"/>
    <w:rsid w:val="00E14E14"/>
    <w:rsid w:val="00E152E3"/>
    <w:rsid w:val="00E16465"/>
    <w:rsid w:val="00E16D5E"/>
    <w:rsid w:val="00E17004"/>
    <w:rsid w:val="00E178D0"/>
    <w:rsid w:val="00E20324"/>
    <w:rsid w:val="00E2058E"/>
    <w:rsid w:val="00E2097B"/>
    <w:rsid w:val="00E20AFB"/>
    <w:rsid w:val="00E2118C"/>
    <w:rsid w:val="00E2156F"/>
    <w:rsid w:val="00E21DCD"/>
    <w:rsid w:val="00E224A7"/>
    <w:rsid w:val="00E2300B"/>
    <w:rsid w:val="00E23217"/>
    <w:rsid w:val="00E24764"/>
    <w:rsid w:val="00E248C1"/>
    <w:rsid w:val="00E2490C"/>
    <w:rsid w:val="00E25C6B"/>
    <w:rsid w:val="00E277BA"/>
    <w:rsid w:val="00E2780B"/>
    <w:rsid w:val="00E303F5"/>
    <w:rsid w:val="00E30891"/>
    <w:rsid w:val="00E31388"/>
    <w:rsid w:val="00E3179A"/>
    <w:rsid w:val="00E3277D"/>
    <w:rsid w:val="00E32EF6"/>
    <w:rsid w:val="00E3394F"/>
    <w:rsid w:val="00E33D69"/>
    <w:rsid w:val="00E33DBF"/>
    <w:rsid w:val="00E3461E"/>
    <w:rsid w:val="00E34B84"/>
    <w:rsid w:val="00E357C7"/>
    <w:rsid w:val="00E35A50"/>
    <w:rsid w:val="00E35CAC"/>
    <w:rsid w:val="00E36055"/>
    <w:rsid w:val="00E36B00"/>
    <w:rsid w:val="00E3729F"/>
    <w:rsid w:val="00E41AB4"/>
    <w:rsid w:val="00E41F1E"/>
    <w:rsid w:val="00E42215"/>
    <w:rsid w:val="00E42425"/>
    <w:rsid w:val="00E43335"/>
    <w:rsid w:val="00E43964"/>
    <w:rsid w:val="00E43A61"/>
    <w:rsid w:val="00E43B27"/>
    <w:rsid w:val="00E43C50"/>
    <w:rsid w:val="00E43DAA"/>
    <w:rsid w:val="00E4428C"/>
    <w:rsid w:val="00E450AE"/>
    <w:rsid w:val="00E4730D"/>
    <w:rsid w:val="00E47B90"/>
    <w:rsid w:val="00E50C7F"/>
    <w:rsid w:val="00E51039"/>
    <w:rsid w:val="00E51E86"/>
    <w:rsid w:val="00E52592"/>
    <w:rsid w:val="00E53076"/>
    <w:rsid w:val="00E53560"/>
    <w:rsid w:val="00E536CF"/>
    <w:rsid w:val="00E541F8"/>
    <w:rsid w:val="00E54785"/>
    <w:rsid w:val="00E5572F"/>
    <w:rsid w:val="00E55D2C"/>
    <w:rsid w:val="00E56BDF"/>
    <w:rsid w:val="00E57558"/>
    <w:rsid w:val="00E576E9"/>
    <w:rsid w:val="00E579B9"/>
    <w:rsid w:val="00E57CD5"/>
    <w:rsid w:val="00E600E8"/>
    <w:rsid w:val="00E605D6"/>
    <w:rsid w:val="00E60985"/>
    <w:rsid w:val="00E60C3D"/>
    <w:rsid w:val="00E60E44"/>
    <w:rsid w:val="00E6266C"/>
    <w:rsid w:val="00E6366D"/>
    <w:rsid w:val="00E63BCB"/>
    <w:rsid w:val="00E63D6E"/>
    <w:rsid w:val="00E6416A"/>
    <w:rsid w:val="00E642A1"/>
    <w:rsid w:val="00E64F56"/>
    <w:rsid w:val="00E64F7D"/>
    <w:rsid w:val="00E6524B"/>
    <w:rsid w:val="00E65BE4"/>
    <w:rsid w:val="00E6657E"/>
    <w:rsid w:val="00E66676"/>
    <w:rsid w:val="00E6690B"/>
    <w:rsid w:val="00E66CEE"/>
    <w:rsid w:val="00E66D2D"/>
    <w:rsid w:val="00E6721B"/>
    <w:rsid w:val="00E6C61C"/>
    <w:rsid w:val="00E70569"/>
    <w:rsid w:val="00E70974"/>
    <w:rsid w:val="00E70B7B"/>
    <w:rsid w:val="00E7128D"/>
    <w:rsid w:val="00E7254D"/>
    <w:rsid w:val="00E72AEE"/>
    <w:rsid w:val="00E72CC1"/>
    <w:rsid w:val="00E72D15"/>
    <w:rsid w:val="00E7313B"/>
    <w:rsid w:val="00E733BA"/>
    <w:rsid w:val="00E734C4"/>
    <w:rsid w:val="00E73597"/>
    <w:rsid w:val="00E7500A"/>
    <w:rsid w:val="00E75354"/>
    <w:rsid w:val="00E75653"/>
    <w:rsid w:val="00E766FA"/>
    <w:rsid w:val="00E777E5"/>
    <w:rsid w:val="00E807CE"/>
    <w:rsid w:val="00E8081F"/>
    <w:rsid w:val="00E82BB2"/>
    <w:rsid w:val="00E82DE8"/>
    <w:rsid w:val="00E8305E"/>
    <w:rsid w:val="00E83320"/>
    <w:rsid w:val="00E833E8"/>
    <w:rsid w:val="00E840F2"/>
    <w:rsid w:val="00E84A19"/>
    <w:rsid w:val="00E84E27"/>
    <w:rsid w:val="00E85A08"/>
    <w:rsid w:val="00E87960"/>
    <w:rsid w:val="00E87B3A"/>
    <w:rsid w:val="00E87E3B"/>
    <w:rsid w:val="00E9092D"/>
    <w:rsid w:val="00E90A49"/>
    <w:rsid w:val="00E91E76"/>
    <w:rsid w:val="00E92031"/>
    <w:rsid w:val="00E924D4"/>
    <w:rsid w:val="00E925F9"/>
    <w:rsid w:val="00E928F4"/>
    <w:rsid w:val="00E92FBA"/>
    <w:rsid w:val="00E931D9"/>
    <w:rsid w:val="00E93969"/>
    <w:rsid w:val="00E93F7A"/>
    <w:rsid w:val="00E94315"/>
    <w:rsid w:val="00E94322"/>
    <w:rsid w:val="00E94531"/>
    <w:rsid w:val="00E94DB4"/>
    <w:rsid w:val="00E9582F"/>
    <w:rsid w:val="00E95990"/>
    <w:rsid w:val="00E96C50"/>
    <w:rsid w:val="00E96E5E"/>
    <w:rsid w:val="00E97A75"/>
    <w:rsid w:val="00E97F34"/>
    <w:rsid w:val="00E97FCB"/>
    <w:rsid w:val="00EA0185"/>
    <w:rsid w:val="00EA0559"/>
    <w:rsid w:val="00EA0706"/>
    <w:rsid w:val="00EA07E7"/>
    <w:rsid w:val="00EA0CFB"/>
    <w:rsid w:val="00EA0DFF"/>
    <w:rsid w:val="00EA12CE"/>
    <w:rsid w:val="00EA142B"/>
    <w:rsid w:val="00EA1545"/>
    <w:rsid w:val="00EA209F"/>
    <w:rsid w:val="00EA24C4"/>
    <w:rsid w:val="00EA2E94"/>
    <w:rsid w:val="00EA3000"/>
    <w:rsid w:val="00EA347F"/>
    <w:rsid w:val="00EA3F19"/>
    <w:rsid w:val="00EA45B8"/>
    <w:rsid w:val="00EA498B"/>
    <w:rsid w:val="00EA4E9B"/>
    <w:rsid w:val="00EA53FD"/>
    <w:rsid w:val="00EA581E"/>
    <w:rsid w:val="00EA5BB2"/>
    <w:rsid w:val="00EA60B7"/>
    <w:rsid w:val="00EA6A78"/>
    <w:rsid w:val="00EA769B"/>
    <w:rsid w:val="00EB05DC"/>
    <w:rsid w:val="00EB0FC1"/>
    <w:rsid w:val="00EB190E"/>
    <w:rsid w:val="00EB19A8"/>
    <w:rsid w:val="00EB1EE3"/>
    <w:rsid w:val="00EB26BF"/>
    <w:rsid w:val="00EB3A16"/>
    <w:rsid w:val="00EB3A94"/>
    <w:rsid w:val="00EB3C83"/>
    <w:rsid w:val="00EB47D7"/>
    <w:rsid w:val="00EB482F"/>
    <w:rsid w:val="00EB5040"/>
    <w:rsid w:val="00EB50A2"/>
    <w:rsid w:val="00EB6DB3"/>
    <w:rsid w:val="00EB7699"/>
    <w:rsid w:val="00EB7B2F"/>
    <w:rsid w:val="00EB7B6F"/>
    <w:rsid w:val="00EC0560"/>
    <w:rsid w:val="00EC0730"/>
    <w:rsid w:val="00EC11E9"/>
    <w:rsid w:val="00EC15C5"/>
    <w:rsid w:val="00EC20A4"/>
    <w:rsid w:val="00EC3507"/>
    <w:rsid w:val="00EC37DD"/>
    <w:rsid w:val="00EC5D92"/>
    <w:rsid w:val="00ED0651"/>
    <w:rsid w:val="00ED0CCF"/>
    <w:rsid w:val="00ED164C"/>
    <w:rsid w:val="00ED20A8"/>
    <w:rsid w:val="00ED2372"/>
    <w:rsid w:val="00ED2550"/>
    <w:rsid w:val="00ED2630"/>
    <w:rsid w:val="00ED2728"/>
    <w:rsid w:val="00ED2B45"/>
    <w:rsid w:val="00ED3B23"/>
    <w:rsid w:val="00ED3B27"/>
    <w:rsid w:val="00ED3BE2"/>
    <w:rsid w:val="00ED4462"/>
    <w:rsid w:val="00ED46CD"/>
    <w:rsid w:val="00ED4981"/>
    <w:rsid w:val="00ED4B82"/>
    <w:rsid w:val="00ED54DE"/>
    <w:rsid w:val="00ED550C"/>
    <w:rsid w:val="00ED6A07"/>
    <w:rsid w:val="00ED6CA8"/>
    <w:rsid w:val="00ED7064"/>
    <w:rsid w:val="00ED71CF"/>
    <w:rsid w:val="00ED7680"/>
    <w:rsid w:val="00EE01F2"/>
    <w:rsid w:val="00EE0940"/>
    <w:rsid w:val="00EE10C3"/>
    <w:rsid w:val="00EE14BD"/>
    <w:rsid w:val="00EE1830"/>
    <w:rsid w:val="00EE2B61"/>
    <w:rsid w:val="00EE3215"/>
    <w:rsid w:val="00EE3242"/>
    <w:rsid w:val="00EE405B"/>
    <w:rsid w:val="00EE5C04"/>
    <w:rsid w:val="00EE7178"/>
    <w:rsid w:val="00EE7A2C"/>
    <w:rsid w:val="00EF0163"/>
    <w:rsid w:val="00EF0583"/>
    <w:rsid w:val="00EF0A24"/>
    <w:rsid w:val="00EF1466"/>
    <w:rsid w:val="00EF1B9C"/>
    <w:rsid w:val="00EF3049"/>
    <w:rsid w:val="00EF4196"/>
    <w:rsid w:val="00EF4893"/>
    <w:rsid w:val="00EF4A19"/>
    <w:rsid w:val="00EF52F6"/>
    <w:rsid w:val="00EF5B2E"/>
    <w:rsid w:val="00EF5D35"/>
    <w:rsid w:val="00EF721B"/>
    <w:rsid w:val="00F00030"/>
    <w:rsid w:val="00F00965"/>
    <w:rsid w:val="00F0139E"/>
    <w:rsid w:val="00F01930"/>
    <w:rsid w:val="00F01ACA"/>
    <w:rsid w:val="00F01BBE"/>
    <w:rsid w:val="00F01FDA"/>
    <w:rsid w:val="00F02483"/>
    <w:rsid w:val="00F024F4"/>
    <w:rsid w:val="00F03C33"/>
    <w:rsid w:val="00F04280"/>
    <w:rsid w:val="00F043B2"/>
    <w:rsid w:val="00F04678"/>
    <w:rsid w:val="00F04B7B"/>
    <w:rsid w:val="00F04C7C"/>
    <w:rsid w:val="00F050D2"/>
    <w:rsid w:val="00F050EB"/>
    <w:rsid w:val="00F051EC"/>
    <w:rsid w:val="00F05679"/>
    <w:rsid w:val="00F057A5"/>
    <w:rsid w:val="00F0596C"/>
    <w:rsid w:val="00F05B7E"/>
    <w:rsid w:val="00F05D64"/>
    <w:rsid w:val="00F05EC3"/>
    <w:rsid w:val="00F0680C"/>
    <w:rsid w:val="00F06CCA"/>
    <w:rsid w:val="00F071E1"/>
    <w:rsid w:val="00F07411"/>
    <w:rsid w:val="00F075ED"/>
    <w:rsid w:val="00F07C1B"/>
    <w:rsid w:val="00F07F39"/>
    <w:rsid w:val="00F104CA"/>
    <w:rsid w:val="00F109F4"/>
    <w:rsid w:val="00F10B3D"/>
    <w:rsid w:val="00F10C17"/>
    <w:rsid w:val="00F10C9A"/>
    <w:rsid w:val="00F10EF8"/>
    <w:rsid w:val="00F123D5"/>
    <w:rsid w:val="00F135F8"/>
    <w:rsid w:val="00F138B0"/>
    <w:rsid w:val="00F1431D"/>
    <w:rsid w:val="00F14B77"/>
    <w:rsid w:val="00F15EDC"/>
    <w:rsid w:val="00F17FAE"/>
    <w:rsid w:val="00F2037B"/>
    <w:rsid w:val="00F212DE"/>
    <w:rsid w:val="00F2339C"/>
    <w:rsid w:val="00F23F39"/>
    <w:rsid w:val="00F261EB"/>
    <w:rsid w:val="00F305F8"/>
    <w:rsid w:val="00F3097A"/>
    <w:rsid w:val="00F30AF9"/>
    <w:rsid w:val="00F30D8D"/>
    <w:rsid w:val="00F31594"/>
    <w:rsid w:val="00F335BD"/>
    <w:rsid w:val="00F34004"/>
    <w:rsid w:val="00F34E39"/>
    <w:rsid w:val="00F35343"/>
    <w:rsid w:val="00F35ED4"/>
    <w:rsid w:val="00F3612D"/>
    <w:rsid w:val="00F36450"/>
    <w:rsid w:val="00F36B80"/>
    <w:rsid w:val="00F36EB3"/>
    <w:rsid w:val="00F370DC"/>
    <w:rsid w:val="00F3782D"/>
    <w:rsid w:val="00F37CD8"/>
    <w:rsid w:val="00F4024E"/>
    <w:rsid w:val="00F4044A"/>
    <w:rsid w:val="00F4075D"/>
    <w:rsid w:val="00F4085E"/>
    <w:rsid w:val="00F40DC1"/>
    <w:rsid w:val="00F418F8"/>
    <w:rsid w:val="00F4191D"/>
    <w:rsid w:val="00F419C0"/>
    <w:rsid w:val="00F4219D"/>
    <w:rsid w:val="00F4233C"/>
    <w:rsid w:val="00F43036"/>
    <w:rsid w:val="00F44D45"/>
    <w:rsid w:val="00F45006"/>
    <w:rsid w:val="00F4547A"/>
    <w:rsid w:val="00F45652"/>
    <w:rsid w:val="00F4568E"/>
    <w:rsid w:val="00F45D82"/>
    <w:rsid w:val="00F46840"/>
    <w:rsid w:val="00F509F4"/>
    <w:rsid w:val="00F50F74"/>
    <w:rsid w:val="00F51881"/>
    <w:rsid w:val="00F5221C"/>
    <w:rsid w:val="00F52F59"/>
    <w:rsid w:val="00F53138"/>
    <w:rsid w:val="00F532BD"/>
    <w:rsid w:val="00F53AD8"/>
    <w:rsid w:val="00F54AB3"/>
    <w:rsid w:val="00F55203"/>
    <w:rsid w:val="00F5578A"/>
    <w:rsid w:val="00F55867"/>
    <w:rsid w:val="00F558CF"/>
    <w:rsid w:val="00F559D2"/>
    <w:rsid w:val="00F5626B"/>
    <w:rsid w:val="00F569F1"/>
    <w:rsid w:val="00F60A88"/>
    <w:rsid w:val="00F60AE7"/>
    <w:rsid w:val="00F612E7"/>
    <w:rsid w:val="00F616A7"/>
    <w:rsid w:val="00F61D04"/>
    <w:rsid w:val="00F61E7C"/>
    <w:rsid w:val="00F61EC2"/>
    <w:rsid w:val="00F62275"/>
    <w:rsid w:val="00F622B3"/>
    <w:rsid w:val="00F633CF"/>
    <w:rsid w:val="00F63A13"/>
    <w:rsid w:val="00F642AF"/>
    <w:rsid w:val="00F6464A"/>
    <w:rsid w:val="00F66440"/>
    <w:rsid w:val="00F664AB"/>
    <w:rsid w:val="00F666BA"/>
    <w:rsid w:val="00F66738"/>
    <w:rsid w:val="00F6714F"/>
    <w:rsid w:val="00F67DCD"/>
    <w:rsid w:val="00F701E6"/>
    <w:rsid w:val="00F7020D"/>
    <w:rsid w:val="00F703DC"/>
    <w:rsid w:val="00F711A4"/>
    <w:rsid w:val="00F71ECC"/>
    <w:rsid w:val="00F7216B"/>
    <w:rsid w:val="00F724C4"/>
    <w:rsid w:val="00F7267A"/>
    <w:rsid w:val="00F731A7"/>
    <w:rsid w:val="00F73230"/>
    <w:rsid w:val="00F737AE"/>
    <w:rsid w:val="00F73DF6"/>
    <w:rsid w:val="00F74D6D"/>
    <w:rsid w:val="00F74E07"/>
    <w:rsid w:val="00F754C0"/>
    <w:rsid w:val="00F756ED"/>
    <w:rsid w:val="00F75C22"/>
    <w:rsid w:val="00F75D4C"/>
    <w:rsid w:val="00F75EF8"/>
    <w:rsid w:val="00F761C9"/>
    <w:rsid w:val="00F763D4"/>
    <w:rsid w:val="00F766DB"/>
    <w:rsid w:val="00F767AD"/>
    <w:rsid w:val="00F76815"/>
    <w:rsid w:val="00F772AC"/>
    <w:rsid w:val="00F7741A"/>
    <w:rsid w:val="00F8005D"/>
    <w:rsid w:val="00F80CE3"/>
    <w:rsid w:val="00F810C9"/>
    <w:rsid w:val="00F81735"/>
    <w:rsid w:val="00F81A01"/>
    <w:rsid w:val="00F8293C"/>
    <w:rsid w:val="00F82FED"/>
    <w:rsid w:val="00F837EA"/>
    <w:rsid w:val="00F83ACC"/>
    <w:rsid w:val="00F83CFB"/>
    <w:rsid w:val="00F84B33"/>
    <w:rsid w:val="00F853FB"/>
    <w:rsid w:val="00F858E7"/>
    <w:rsid w:val="00F8627B"/>
    <w:rsid w:val="00F86BBE"/>
    <w:rsid w:val="00F903DB"/>
    <w:rsid w:val="00F91336"/>
    <w:rsid w:val="00F924D7"/>
    <w:rsid w:val="00F938C2"/>
    <w:rsid w:val="00F93A7C"/>
    <w:rsid w:val="00F93EB0"/>
    <w:rsid w:val="00F93F94"/>
    <w:rsid w:val="00F94335"/>
    <w:rsid w:val="00F94392"/>
    <w:rsid w:val="00F951DB"/>
    <w:rsid w:val="00F952BC"/>
    <w:rsid w:val="00F95829"/>
    <w:rsid w:val="00F95836"/>
    <w:rsid w:val="00F95F25"/>
    <w:rsid w:val="00F96024"/>
    <w:rsid w:val="00F960DD"/>
    <w:rsid w:val="00F9647D"/>
    <w:rsid w:val="00F97136"/>
    <w:rsid w:val="00F9757E"/>
    <w:rsid w:val="00F97582"/>
    <w:rsid w:val="00F97616"/>
    <w:rsid w:val="00F97C12"/>
    <w:rsid w:val="00F97DC5"/>
    <w:rsid w:val="00F97DEB"/>
    <w:rsid w:val="00FA045E"/>
    <w:rsid w:val="00FA09BF"/>
    <w:rsid w:val="00FA1055"/>
    <w:rsid w:val="00FA1059"/>
    <w:rsid w:val="00FA1076"/>
    <w:rsid w:val="00FA1172"/>
    <w:rsid w:val="00FA12B4"/>
    <w:rsid w:val="00FA1357"/>
    <w:rsid w:val="00FA15BA"/>
    <w:rsid w:val="00FA1A62"/>
    <w:rsid w:val="00FA25FE"/>
    <w:rsid w:val="00FA2C5A"/>
    <w:rsid w:val="00FA2FFC"/>
    <w:rsid w:val="00FA398E"/>
    <w:rsid w:val="00FA4C06"/>
    <w:rsid w:val="00FA50FB"/>
    <w:rsid w:val="00FA5988"/>
    <w:rsid w:val="00FA5A76"/>
    <w:rsid w:val="00FA620D"/>
    <w:rsid w:val="00FA71AA"/>
    <w:rsid w:val="00FA77D3"/>
    <w:rsid w:val="00FB009B"/>
    <w:rsid w:val="00FB0210"/>
    <w:rsid w:val="00FB07BD"/>
    <w:rsid w:val="00FB095E"/>
    <w:rsid w:val="00FB1574"/>
    <w:rsid w:val="00FB15DE"/>
    <w:rsid w:val="00FB2119"/>
    <w:rsid w:val="00FB2D22"/>
    <w:rsid w:val="00FB33E4"/>
    <w:rsid w:val="00FB3882"/>
    <w:rsid w:val="00FB4079"/>
    <w:rsid w:val="00FB5618"/>
    <w:rsid w:val="00FB59A3"/>
    <w:rsid w:val="00FB65E1"/>
    <w:rsid w:val="00FB6F7B"/>
    <w:rsid w:val="00FB7310"/>
    <w:rsid w:val="00FC0097"/>
    <w:rsid w:val="00FC0C5B"/>
    <w:rsid w:val="00FC2829"/>
    <w:rsid w:val="00FC3017"/>
    <w:rsid w:val="00FC3473"/>
    <w:rsid w:val="00FC34FF"/>
    <w:rsid w:val="00FC40A2"/>
    <w:rsid w:val="00FC45C7"/>
    <w:rsid w:val="00FC4676"/>
    <w:rsid w:val="00FC481B"/>
    <w:rsid w:val="00FC501D"/>
    <w:rsid w:val="00FC56E1"/>
    <w:rsid w:val="00FC5D73"/>
    <w:rsid w:val="00FC5E25"/>
    <w:rsid w:val="00FC6AF0"/>
    <w:rsid w:val="00FC6C96"/>
    <w:rsid w:val="00FC74F9"/>
    <w:rsid w:val="00FC76A3"/>
    <w:rsid w:val="00FD09AC"/>
    <w:rsid w:val="00FD13FA"/>
    <w:rsid w:val="00FD1732"/>
    <w:rsid w:val="00FD1902"/>
    <w:rsid w:val="00FD2BE2"/>
    <w:rsid w:val="00FD34D8"/>
    <w:rsid w:val="00FD3543"/>
    <w:rsid w:val="00FD4CDF"/>
    <w:rsid w:val="00FD4CEF"/>
    <w:rsid w:val="00FD54F1"/>
    <w:rsid w:val="00FD580A"/>
    <w:rsid w:val="00FD5819"/>
    <w:rsid w:val="00FD6FC5"/>
    <w:rsid w:val="00FD72EE"/>
    <w:rsid w:val="00FE1F8E"/>
    <w:rsid w:val="00FE2136"/>
    <w:rsid w:val="00FE2B48"/>
    <w:rsid w:val="00FE2C8B"/>
    <w:rsid w:val="00FE2E83"/>
    <w:rsid w:val="00FE36E9"/>
    <w:rsid w:val="00FE39A3"/>
    <w:rsid w:val="00FE4264"/>
    <w:rsid w:val="00FE546B"/>
    <w:rsid w:val="00FE5C0B"/>
    <w:rsid w:val="00FE5C23"/>
    <w:rsid w:val="00FE5C36"/>
    <w:rsid w:val="00FE6254"/>
    <w:rsid w:val="00FE6597"/>
    <w:rsid w:val="00FE7099"/>
    <w:rsid w:val="00FE72C5"/>
    <w:rsid w:val="00FE76F4"/>
    <w:rsid w:val="00FE7D8A"/>
    <w:rsid w:val="00FE7FEE"/>
    <w:rsid w:val="00FF02A6"/>
    <w:rsid w:val="00FF223C"/>
    <w:rsid w:val="00FF2254"/>
    <w:rsid w:val="00FF25DF"/>
    <w:rsid w:val="00FF3A2B"/>
    <w:rsid w:val="00FF3E97"/>
    <w:rsid w:val="00FF4175"/>
    <w:rsid w:val="00FF42AA"/>
    <w:rsid w:val="00FF5181"/>
    <w:rsid w:val="00FF5339"/>
    <w:rsid w:val="00FF5572"/>
    <w:rsid w:val="00FF5780"/>
    <w:rsid w:val="00FF6513"/>
    <w:rsid w:val="00FF6577"/>
    <w:rsid w:val="00FF7626"/>
    <w:rsid w:val="00FF7753"/>
    <w:rsid w:val="00FF7B27"/>
    <w:rsid w:val="00FF7B76"/>
    <w:rsid w:val="00FF7BF1"/>
    <w:rsid w:val="01100FEF"/>
    <w:rsid w:val="0132F47D"/>
    <w:rsid w:val="014213E5"/>
    <w:rsid w:val="014ACE87"/>
    <w:rsid w:val="015D5FA1"/>
    <w:rsid w:val="0173F3FA"/>
    <w:rsid w:val="0178E3ED"/>
    <w:rsid w:val="019650B3"/>
    <w:rsid w:val="019BB133"/>
    <w:rsid w:val="01C15F87"/>
    <w:rsid w:val="01C4D291"/>
    <w:rsid w:val="01DD25FA"/>
    <w:rsid w:val="0208175A"/>
    <w:rsid w:val="0222F017"/>
    <w:rsid w:val="024442F8"/>
    <w:rsid w:val="0252F2C9"/>
    <w:rsid w:val="025622BD"/>
    <w:rsid w:val="0267331F"/>
    <w:rsid w:val="026A5E2B"/>
    <w:rsid w:val="0279C4F5"/>
    <w:rsid w:val="02B2C7A6"/>
    <w:rsid w:val="031137BD"/>
    <w:rsid w:val="03212D17"/>
    <w:rsid w:val="03326654"/>
    <w:rsid w:val="035F1C90"/>
    <w:rsid w:val="03615B2A"/>
    <w:rsid w:val="037053B5"/>
    <w:rsid w:val="03843CC0"/>
    <w:rsid w:val="0390F071"/>
    <w:rsid w:val="0398E912"/>
    <w:rsid w:val="03AC27D6"/>
    <w:rsid w:val="03FF114E"/>
    <w:rsid w:val="043DF615"/>
    <w:rsid w:val="0484D949"/>
    <w:rsid w:val="049C4C92"/>
    <w:rsid w:val="04A5384F"/>
    <w:rsid w:val="04AA890F"/>
    <w:rsid w:val="04DEED45"/>
    <w:rsid w:val="0530C01D"/>
    <w:rsid w:val="05558EAD"/>
    <w:rsid w:val="056D661C"/>
    <w:rsid w:val="05AD3486"/>
    <w:rsid w:val="05BA3B90"/>
    <w:rsid w:val="05D1456A"/>
    <w:rsid w:val="05D69193"/>
    <w:rsid w:val="05DFBDF3"/>
    <w:rsid w:val="05E63F0C"/>
    <w:rsid w:val="05F44D4E"/>
    <w:rsid w:val="060FCA82"/>
    <w:rsid w:val="061B7B2E"/>
    <w:rsid w:val="061DAFF9"/>
    <w:rsid w:val="0627340D"/>
    <w:rsid w:val="06293391"/>
    <w:rsid w:val="064AE18D"/>
    <w:rsid w:val="064FCACD"/>
    <w:rsid w:val="0655465A"/>
    <w:rsid w:val="0666A3BA"/>
    <w:rsid w:val="06703D14"/>
    <w:rsid w:val="06900821"/>
    <w:rsid w:val="069AC9A7"/>
    <w:rsid w:val="06A8DA06"/>
    <w:rsid w:val="06C9D7C0"/>
    <w:rsid w:val="06FCDE86"/>
    <w:rsid w:val="070CF32E"/>
    <w:rsid w:val="072C822F"/>
    <w:rsid w:val="0736BFC4"/>
    <w:rsid w:val="073974DD"/>
    <w:rsid w:val="078F979F"/>
    <w:rsid w:val="07960B3E"/>
    <w:rsid w:val="07D2A8F0"/>
    <w:rsid w:val="081C2B9B"/>
    <w:rsid w:val="0822615B"/>
    <w:rsid w:val="0832352A"/>
    <w:rsid w:val="08572B02"/>
    <w:rsid w:val="089810BD"/>
    <w:rsid w:val="08B0D381"/>
    <w:rsid w:val="08C8A863"/>
    <w:rsid w:val="08ED866E"/>
    <w:rsid w:val="08F5D9CA"/>
    <w:rsid w:val="08F5F50C"/>
    <w:rsid w:val="08FE6757"/>
    <w:rsid w:val="09015FFA"/>
    <w:rsid w:val="090522A9"/>
    <w:rsid w:val="0906F414"/>
    <w:rsid w:val="0909D005"/>
    <w:rsid w:val="0924357C"/>
    <w:rsid w:val="096DD530"/>
    <w:rsid w:val="09754878"/>
    <w:rsid w:val="097A4068"/>
    <w:rsid w:val="09A2932F"/>
    <w:rsid w:val="09AD028C"/>
    <w:rsid w:val="09C0DF11"/>
    <w:rsid w:val="09E849B6"/>
    <w:rsid w:val="0A340ED9"/>
    <w:rsid w:val="0A5F1DBA"/>
    <w:rsid w:val="0A5F9348"/>
    <w:rsid w:val="0A857D46"/>
    <w:rsid w:val="0ADF6951"/>
    <w:rsid w:val="0AE734E1"/>
    <w:rsid w:val="0AEA2138"/>
    <w:rsid w:val="0AF85D5D"/>
    <w:rsid w:val="0B084924"/>
    <w:rsid w:val="0B1A1C2F"/>
    <w:rsid w:val="0B203281"/>
    <w:rsid w:val="0B23CEF5"/>
    <w:rsid w:val="0B2B9F22"/>
    <w:rsid w:val="0B5E8B75"/>
    <w:rsid w:val="0B630F95"/>
    <w:rsid w:val="0B63E968"/>
    <w:rsid w:val="0B65A752"/>
    <w:rsid w:val="0B6CE64F"/>
    <w:rsid w:val="0B6EE963"/>
    <w:rsid w:val="0B84BF4F"/>
    <w:rsid w:val="0BA2E8D4"/>
    <w:rsid w:val="0BCFDCE0"/>
    <w:rsid w:val="0BD03A06"/>
    <w:rsid w:val="0BD5D4B0"/>
    <w:rsid w:val="0BE37013"/>
    <w:rsid w:val="0BF6CAD1"/>
    <w:rsid w:val="0C6C7EB4"/>
    <w:rsid w:val="0C889A2B"/>
    <w:rsid w:val="0C89E0BC"/>
    <w:rsid w:val="0C95F9F7"/>
    <w:rsid w:val="0CA12A40"/>
    <w:rsid w:val="0CB6542D"/>
    <w:rsid w:val="0CD2ADF9"/>
    <w:rsid w:val="0CDFCDB7"/>
    <w:rsid w:val="0CF3DAFB"/>
    <w:rsid w:val="0CF938CB"/>
    <w:rsid w:val="0CF982FB"/>
    <w:rsid w:val="0D17DD21"/>
    <w:rsid w:val="0D1A1DCB"/>
    <w:rsid w:val="0D2138CA"/>
    <w:rsid w:val="0D9090DB"/>
    <w:rsid w:val="0DEA80F1"/>
    <w:rsid w:val="0DFEBD07"/>
    <w:rsid w:val="0E1DBD73"/>
    <w:rsid w:val="0E6B6B60"/>
    <w:rsid w:val="0E6FE2E3"/>
    <w:rsid w:val="0E9B8D8D"/>
    <w:rsid w:val="0EC5E634"/>
    <w:rsid w:val="0EEAE051"/>
    <w:rsid w:val="0EF064AF"/>
    <w:rsid w:val="0F2909FD"/>
    <w:rsid w:val="0F34858E"/>
    <w:rsid w:val="0F510BF8"/>
    <w:rsid w:val="0F6316BD"/>
    <w:rsid w:val="0F9A4012"/>
    <w:rsid w:val="0F9CE2C2"/>
    <w:rsid w:val="0F9DD3F3"/>
    <w:rsid w:val="0F9EFCEF"/>
    <w:rsid w:val="0FC23350"/>
    <w:rsid w:val="0FD26094"/>
    <w:rsid w:val="0FDC43C1"/>
    <w:rsid w:val="100D797A"/>
    <w:rsid w:val="1026BC21"/>
    <w:rsid w:val="10429D8D"/>
    <w:rsid w:val="104F4B07"/>
    <w:rsid w:val="105E2D40"/>
    <w:rsid w:val="10619DB4"/>
    <w:rsid w:val="107E6F07"/>
    <w:rsid w:val="10C3A684"/>
    <w:rsid w:val="10CB9823"/>
    <w:rsid w:val="10D75152"/>
    <w:rsid w:val="10DA60F4"/>
    <w:rsid w:val="10E22E80"/>
    <w:rsid w:val="10E55573"/>
    <w:rsid w:val="11038763"/>
    <w:rsid w:val="11234EC7"/>
    <w:rsid w:val="113666C5"/>
    <w:rsid w:val="113F0A48"/>
    <w:rsid w:val="11449B48"/>
    <w:rsid w:val="1145B713"/>
    <w:rsid w:val="11722F7C"/>
    <w:rsid w:val="118807CD"/>
    <w:rsid w:val="118BFD85"/>
    <w:rsid w:val="118EA1D6"/>
    <w:rsid w:val="1193196D"/>
    <w:rsid w:val="1195C43E"/>
    <w:rsid w:val="11A24927"/>
    <w:rsid w:val="11A7FEB8"/>
    <w:rsid w:val="11ABDB75"/>
    <w:rsid w:val="11B1F997"/>
    <w:rsid w:val="11B7B93C"/>
    <w:rsid w:val="11E6FD12"/>
    <w:rsid w:val="11F66ED3"/>
    <w:rsid w:val="1201C2D8"/>
    <w:rsid w:val="1204911E"/>
    <w:rsid w:val="120AA879"/>
    <w:rsid w:val="122BAD3A"/>
    <w:rsid w:val="1257D812"/>
    <w:rsid w:val="1278D2AC"/>
    <w:rsid w:val="128520F9"/>
    <w:rsid w:val="12B46F9E"/>
    <w:rsid w:val="12D3EFB0"/>
    <w:rsid w:val="12D58688"/>
    <w:rsid w:val="12DD13A0"/>
    <w:rsid w:val="12EDFF55"/>
    <w:rsid w:val="13044BD5"/>
    <w:rsid w:val="1315FB39"/>
    <w:rsid w:val="134E5FCF"/>
    <w:rsid w:val="13545559"/>
    <w:rsid w:val="13547324"/>
    <w:rsid w:val="138ECB3D"/>
    <w:rsid w:val="139CF948"/>
    <w:rsid w:val="13B7CCB8"/>
    <w:rsid w:val="13C08613"/>
    <w:rsid w:val="13F5AD6E"/>
    <w:rsid w:val="142C70E3"/>
    <w:rsid w:val="144ABD83"/>
    <w:rsid w:val="1479978D"/>
    <w:rsid w:val="149DF4A7"/>
    <w:rsid w:val="14B59EB0"/>
    <w:rsid w:val="14BC5FD1"/>
    <w:rsid w:val="14D0E42D"/>
    <w:rsid w:val="14EA08F7"/>
    <w:rsid w:val="14F23924"/>
    <w:rsid w:val="1513FEA0"/>
    <w:rsid w:val="153DA16A"/>
    <w:rsid w:val="1546D724"/>
    <w:rsid w:val="155CAAFB"/>
    <w:rsid w:val="155FF2AD"/>
    <w:rsid w:val="1568E97C"/>
    <w:rsid w:val="1583C03C"/>
    <w:rsid w:val="15939918"/>
    <w:rsid w:val="1593E98E"/>
    <w:rsid w:val="15BB9408"/>
    <w:rsid w:val="15F30435"/>
    <w:rsid w:val="16073C22"/>
    <w:rsid w:val="16466A15"/>
    <w:rsid w:val="16660781"/>
    <w:rsid w:val="1668EEAA"/>
    <w:rsid w:val="167ED208"/>
    <w:rsid w:val="169BB7AD"/>
    <w:rsid w:val="169EA6AB"/>
    <w:rsid w:val="16C6FA62"/>
    <w:rsid w:val="16E1949F"/>
    <w:rsid w:val="16F09EAE"/>
    <w:rsid w:val="170B0CE6"/>
    <w:rsid w:val="17156B2C"/>
    <w:rsid w:val="17298DA4"/>
    <w:rsid w:val="1735C6CB"/>
    <w:rsid w:val="174AA73F"/>
    <w:rsid w:val="1752A22B"/>
    <w:rsid w:val="1753C5A8"/>
    <w:rsid w:val="17871805"/>
    <w:rsid w:val="17A3A842"/>
    <w:rsid w:val="17A5D16C"/>
    <w:rsid w:val="17B89F82"/>
    <w:rsid w:val="17B8AD2E"/>
    <w:rsid w:val="18083E88"/>
    <w:rsid w:val="1844CC40"/>
    <w:rsid w:val="18468366"/>
    <w:rsid w:val="1864B11D"/>
    <w:rsid w:val="1875988C"/>
    <w:rsid w:val="187A85F2"/>
    <w:rsid w:val="18C1A778"/>
    <w:rsid w:val="18D3F293"/>
    <w:rsid w:val="18D9D0B6"/>
    <w:rsid w:val="18E01BA5"/>
    <w:rsid w:val="18E4EE2E"/>
    <w:rsid w:val="19123C7E"/>
    <w:rsid w:val="1912B569"/>
    <w:rsid w:val="194E027B"/>
    <w:rsid w:val="19988EED"/>
    <w:rsid w:val="19BBFB3C"/>
    <w:rsid w:val="19EC890F"/>
    <w:rsid w:val="19ED03B0"/>
    <w:rsid w:val="1A08546D"/>
    <w:rsid w:val="1A15060C"/>
    <w:rsid w:val="1A203950"/>
    <w:rsid w:val="1A32D6EE"/>
    <w:rsid w:val="1A381722"/>
    <w:rsid w:val="1A6DC263"/>
    <w:rsid w:val="1A8DFF96"/>
    <w:rsid w:val="1A9189F9"/>
    <w:rsid w:val="1AA0EDA0"/>
    <w:rsid w:val="1AAA0C62"/>
    <w:rsid w:val="1AB7D80C"/>
    <w:rsid w:val="1AD87399"/>
    <w:rsid w:val="1AFA217B"/>
    <w:rsid w:val="1B1E4650"/>
    <w:rsid w:val="1B1F2633"/>
    <w:rsid w:val="1B27DB16"/>
    <w:rsid w:val="1B5D6779"/>
    <w:rsid w:val="1BA2452F"/>
    <w:rsid w:val="1BBBF1C9"/>
    <w:rsid w:val="1BDC3BC7"/>
    <w:rsid w:val="1C08B2AD"/>
    <w:rsid w:val="1C155BDE"/>
    <w:rsid w:val="1C306DC6"/>
    <w:rsid w:val="1C4552CF"/>
    <w:rsid w:val="1C5F9884"/>
    <w:rsid w:val="1C6D60EF"/>
    <w:rsid w:val="1C7DC1D6"/>
    <w:rsid w:val="1C98A11F"/>
    <w:rsid w:val="1CA8063C"/>
    <w:rsid w:val="1CACC691"/>
    <w:rsid w:val="1CB4DD31"/>
    <w:rsid w:val="1CF19371"/>
    <w:rsid w:val="1D03014D"/>
    <w:rsid w:val="1D034ADA"/>
    <w:rsid w:val="1D1AAC3D"/>
    <w:rsid w:val="1D476D3D"/>
    <w:rsid w:val="1D597F5E"/>
    <w:rsid w:val="1D62B5C1"/>
    <w:rsid w:val="1D772B6E"/>
    <w:rsid w:val="1D8047B7"/>
    <w:rsid w:val="1D96D360"/>
    <w:rsid w:val="1DA1A838"/>
    <w:rsid w:val="1DC25D03"/>
    <w:rsid w:val="1DC33C2F"/>
    <w:rsid w:val="1DC518BF"/>
    <w:rsid w:val="1DC7847D"/>
    <w:rsid w:val="1E027AA4"/>
    <w:rsid w:val="1E05BCC9"/>
    <w:rsid w:val="1E08EDEA"/>
    <w:rsid w:val="1E11059E"/>
    <w:rsid w:val="1E30DC82"/>
    <w:rsid w:val="1E386D60"/>
    <w:rsid w:val="1E4A16A0"/>
    <w:rsid w:val="1E53D3AC"/>
    <w:rsid w:val="1EEC7C78"/>
    <w:rsid w:val="1EF54CFC"/>
    <w:rsid w:val="1EFFF3D6"/>
    <w:rsid w:val="1F1BC05C"/>
    <w:rsid w:val="1F321262"/>
    <w:rsid w:val="1F37EB5C"/>
    <w:rsid w:val="1F746965"/>
    <w:rsid w:val="1F77EC8B"/>
    <w:rsid w:val="1FB1204E"/>
    <w:rsid w:val="1FCE1C9B"/>
    <w:rsid w:val="1FE5295D"/>
    <w:rsid w:val="1FED01C5"/>
    <w:rsid w:val="1FEFD50F"/>
    <w:rsid w:val="2018701C"/>
    <w:rsid w:val="201A31B6"/>
    <w:rsid w:val="204D4DDE"/>
    <w:rsid w:val="204DF60A"/>
    <w:rsid w:val="205A780D"/>
    <w:rsid w:val="206AFC8D"/>
    <w:rsid w:val="207CC9CC"/>
    <w:rsid w:val="20982DB8"/>
    <w:rsid w:val="20D2970C"/>
    <w:rsid w:val="20E88A30"/>
    <w:rsid w:val="20E9AF34"/>
    <w:rsid w:val="21011FC1"/>
    <w:rsid w:val="212538FA"/>
    <w:rsid w:val="21305A4F"/>
    <w:rsid w:val="215FE7C7"/>
    <w:rsid w:val="217AB82C"/>
    <w:rsid w:val="21834529"/>
    <w:rsid w:val="21AB0FB9"/>
    <w:rsid w:val="21BD19F0"/>
    <w:rsid w:val="21C2F51F"/>
    <w:rsid w:val="21C53224"/>
    <w:rsid w:val="21DCE3E3"/>
    <w:rsid w:val="21E7C939"/>
    <w:rsid w:val="21E8A487"/>
    <w:rsid w:val="21ED87E3"/>
    <w:rsid w:val="21F0C993"/>
    <w:rsid w:val="21F24A53"/>
    <w:rsid w:val="21FCD00A"/>
    <w:rsid w:val="2219D458"/>
    <w:rsid w:val="2220613C"/>
    <w:rsid w:val="22308281"/>
    <w:rsid w:val="22384EC3"/>
    <w:rsid w:val="224F4C6B"/>
    <w:rsid w:val="229394B0"/>
    <w:rsid w:val="22A01942"/>
    <w:rsid w:val="22C2A1A1"/>
    <w:rsid w:val="22DE728E"/>
    <w:rsid w:val="22E12EA3"/>
    <w:rsid w:val="22EA013F"/>
    <w:rsid w:val="22FCDCF5"/>
    <w:rsid w:val="233388C5"/>
    <w:rsid w:val="2343B906"/>
    <w:rsid w:val="234F1118"/>
    <w:rsid w:val="235A7038"/>
    <w:rsid w:val="236DEBB8"/>
    <w:rsid w:val="2389E5EA"/>
    <w:rsid w:val="23AD56F1"/>
    <w:rsid w:val="23CFB669"/>
    <w:rsid w:val="23F5BFAA"/>
    <w:rsid w:val="23FA91AB"/>
    <w:rsid w:val="241C1FF5"/>
    <w:rsid w:val="241F7119"/>
    <w:rsid w:val="2442892F"/>
    <w:rsid w:val="245E8305"/>
    <w:rsid w:val="245EDCCE"/>
    <w:rsid w:val="245F6727"/>
    <w:rsid w:val="2469AFE0"/>
    <w:rsid w:val="248FB6B2"/>
    <w:rsid w:val="24900CB3"/>
    <w:rsid w:val="24C9260F"/>
    <w:rsid w:val="24EA64E2"/>
    <w:rsid w:val="250CEF5E"/>
    <w:rsid w:val="250EE56C"/>
    <w:rsid w:val="251C88F3"/>
    <w:rsid w:val="25331E1B"/>
    <w:rsid w:val="253DEEDF"/>
    <w:rsid w:val="253FB491"/>
    <w:rsid w:val="25645643"/>
    <w:rsid w:val="256B0708"/>
    <w:rsid w:val="258132B2"/>
    <w:rsid w:val="258F0148"/>
    <w:rsid w:val="259E0102"/>
    <w:rsid w:val="25A4B0F5"/>
    <w:rsid w:val="25ABC730"/>
    <w:rsid w:val="25AEA42B"/>
    <w:rsid w:val="25BFA91A"/>
    <w:rsid w:val="25D09974"/>
    <w:rsid w:val="25DACAB4"/>
    <w:rsid w:val="2622183F"/>
    <w:rsid w:val="26672EC5"/>
    <w:rsid w:val="266E7091"/>
    <w:rsid w:val="2676CF3B"/>
    <w:rsid w:val="26872D50"/>
    <w:rsid w:val="26A00B25"/>
    <w:rsid w:val="26E46EE6"/>
    <w:rsid w:val="26E7C358"/>
    <w:rsid w:val="26F5DBA9"/>
    <w:rsid w:val="26FF11A3"/>
    <w:rsid w:val="2721EEC9"/>
    <w:rsid w:val="2733E690"/>
    <w:rsid w:val="2736210B"/>
    <w:rsid w:val="2741C730"/>
    <w:rsid w:val="274AE838"/>
    <w:rsid w:val="2756809F"/>
    <w:rsid w:val="27BB871A"/>
    <w:rsid w:val="27D4BCB3"/>
    <w:rsid w:val="27DF5135"/>
    <w:rsid w:val="27E9B604"/>
    <w:rsid w:val="2855A263"/>
    <w:rsid w:val="286DCB19"/>
    <w:rsid w:val="28919B97"/>
    <w:rsid w:val="289921FC"/>
    <w:rsid w:val="289FF2FC"/>
    <w:rsid w:val="28B36522"/>
    <w:rsid w:val="28B6F5FA"/>
    <w:rsid w:val="28DB78FF"/>
    <w:rsid w:val="28F04A78"/>
    <w:rsid w:val="28F5D14C"/>
    <w:rsid w:val="28FD6D6B"/>
    <w:rsid w:val="28FDBBAC"/>
    <w:rsid w:val="294BC165"/>
    <w:rsid w:val="296E4B23"/>
    <w:rsid w:val="29931421"/>
    <w:rsid w:val="299B8BE4"/>
    <w:rsid w:val="29A2038B"/>
    <w:rsid w:val="2A043751"/>
    <w:rsid w:val="2A05C0F0"/>
    <w:rsid w:val="2A07F85C"/>
    <w:rsid w:val="2A2600AD"/>
    <w:rsid w:val="2A296F4D"/>
    <w:rsid w:val="2A425FBF"/>
    <w:rsid w:val="2A5476D2"/>
    <w:rsid w:val="2A5A78DF"/>
    <w:rsid w:val="2A686580"/>
    <w:rsid w:val="2A8CDF42"/>
    <w:rsid w:val="2A8E026C"/>
    <w:rsid w:val="2A95BF0A"/>
    <w:rsid w:val="2A9AA91E"/>
    <w:rsid w:val="2AADF35B"/>
    <w:rsid w:val="2AEDE8B6"/>
    <w:rsid w:val="2AF7FC51"/>
    <w:rsid w:val="2AFF9078"/>
    <w:rsid w:val="2B080B60"/>
    <w:rsid w:val="2B3FBCB7"/>
    <w:rsid w:val="2B5A2973"/>
    <w:rsid w:val="2B7CBF64"/>
    <w:rsid w:val="2B80FD5D"/>
    <w:rsid w:val="2B95F054"/>
    <w:rsid w:val="2B9D04DC"/>
    <w:rsid w:val="2BDE84CC"/>
    <w:rsid w:val="2C1071FE"/>
    <w:rsid w:val="2C7E4EFB"/>
    <w:rsid w:val="2C9EAB8E"/>
    <w:rsid w:val="2CB41245"/>
    <w:rsid w:val="2CB6E395"/>
    <w:rsid w:val="2CC966FC"/>
    <w:rsid w:val="2CCC275D"/>
    <w:rsid w:val="2CCFFCB4"/>
    <w:rsid w:val="2CFACACD"/>
    <w:rsid w:val="2D1697AB"/>
    <w:rsid w:val="2D18B3CA"/>
    <w:rsid w:val="2D253709"/>
    <w:rsid w:val="2D362A54"/>
    <w:rsid w:val="2D453C02"/>
    <w:rsid w:val="2D832060"/>
    <w:rsid w:val="2DAB5DE2"/>
    <w:rsid w:val="2DF1552D"/>
    <w:rsid w:val="2DF93A44"/>
    <w:rsid w:val="2E08EF8D"/>
    <w:rsid w:val="2E09E50F"/>
    <w:rsid w:val="2E163CD4"/>
    <w:rsid w:val="2E34F612"/>
    <w:rsid w:val="2E36F7D8"/>
    <w:rsid w:val="2E46148C"/>
    <w:rsid w:val="2E53FCFA"/>
    <w:rsid w:val="2E688D6F"/>
    <w:rsid w:val="2E6BAD09"/>
    <w:rsid w:val="2E712FB0"/>
    <w:rsid w:val="2E76AB1C"/>
    <w:rsid w:val="2E8389BD"/>
    <w:rsid w:val="2E8714F6"/>
    <w:rsid w:val="2E8DD915"/>
    <w:rsid w:val="2EA7655C"/>
    <w:rsid w:val="2EDC5B34"/>
    <w:rsid w:val="2EE9D33A"/>
    <w:rsid w:val="2F02429E"/>
    <w:rsid w:val="2F21FAE3"/>
    <w:rsid w:val="2F3162F4"/>
    <w:rsid w:val="2F3A7A86"/>
    <w:rsid w:val="2F5597BD"/>
    <w:rsid w:val="2F6E8E34"/>
    <w:rsid w:val="2F8693A5"/>
    <w:rsid w:val="2F9888DD"/>
    <w:rsid w:val="2FC35494"/>
    <w:rsid w:val="3095D7C1"/>
    <w:rsid w:val="30A3C510"/>
    <w:rsid w:val="30AD4505"/>
    <w:rsid w:val="30B2ED7D"/>
    <w:rsid w:val="30BD8D66"/>
    <w:rsid w:val="30C0FB27"/>
    <w:rsid w:val="30DD529D"/>
    <w:rsid w:val="30F01A37"/>
    <w:rsid w:val="30FF9D21"/>
    <w:rsid w:val="310D4CE9"/>
    <w:rsid w:val="31250591"/>
    <w:rsid w:val="312D2B01"/>
    <w:rsid w:val="31598817"/>
    <w:rsid w:val="317FFDD7"/>
    <w:rsid w:val="3184782D"/>
    <w:rsid w:val="318E38BD"/>
    <w:rsid w:val="318E65D0"/>
    <w:rsid w:val="319B385C"/>
    <w:rsid w:val="31BC5C79"/>
    <w:rsid w:val="31C11BE9"/>
    <w:rsid w:val="31CBFE35"/>
    <w:rsid w:val="31D080D3"/>
    <w:rsid w:val="31D82641"/>
    <w:rsid w:val="31D941B7"/>
    <w:rsid w:val="3212D5F8"/>
    <w:rsid w:val="321748D2"/>
    <w:rsid w:val="322B8CF9"/>
    <w:rsid w:val="323AABF0"/>
    <w:rsid w:val="32438F9E"/>
    <w:rsid w:val="324D5248"/>
    <w:rsid w:val="3262CFB5"/>
    <w:rsid w:val="3269E692"/>
    <w:rsid w:val="326C1558"/>
    <w:rsid w:val="32796D12"/>
    <w:rsid w:val="32A63150"/>
    <w:rsid w:val="32C8E98E"/>
    <w:rsid w:val="32CC551F"/>
    <w:rsid w:val="32D1CB5E"/>
    <w:rsid w:val="32D240AC"/>
    <w:rsid w:val="32FC045B"/>
    <w:rsid w:val="330D2FCD"/>
    <w:rsid w:val="3322D5F6"/>
    <w:rsid w:val="332CB7C2"/>
    <w:rsid w:val="336113D2"/>
    <w:rsid w:val="336E6F35"/>
    <w:rsid w:val="33724C0E"/>
    <w:rsid w:val="33788C9E"/>
    <w:rsid w:val="3384BD92"/>
    <w:rsid w:val="33909152"/>
    <w:rsid w:val="3393E69D"/>
    <w:rsid w:val="33EA8C07"/>
    <w:rsid w:val="34003E60"/>
    <w:rsid w:val="342A9EEB"/>
    <w:rsid w:val="342B7AD2"/>
    <w:rsid w:val="343D335D"/>
    <w:rsid w:val="3442C1D1"/>
    <w:rsid w:val="34682EB6"/>
    <w:rsid w:val="34776519"/>
    <w:rsid w:val="347C004D"/>
    <w:rsid w:val="3491E71B"/>
    <w:rsid w:val="34A8FBA1"/>
    <w:rsid w:val="34FA0F80"/>
    <w:rsid w:val="3505BEA4"/>
    <w:rsid w:val="351F9975"/>
    <w:rsid w:val="3524D956"/>
    <w:rsid w:val="3527EB8E"/>
    <w:rsid w:val="3535668B"/>
    <w:rsid w:val="3549E221"/>
    <w:rsid w:val="3552F4A2"/>
    <w:rsid w:val="35658388"/>
    <w:rsid w:val="35805690"/>
    <w:rsid w:val="3580C6DA"/>
    <w:rsid w:val="359E386A"/>
    <w:rsid w:val="35DD355E"/>
    <w:rsid w:val="35F327B9"/>
    <w:rsid w:val="36045E4E"/>
    <w:rsid w:val="3607BE90"/>
    <w:rsid w:val="360F6F24"/>
    <w:rsid w:val="3611A454"/>
    <w:rsid w:val="36177BE7"/>
    <w:rsid w:val="3636F66C"/>
    <w:rsid w:val="363F140A"/>
    <w:rsid w:val="368647D2"/>
    <w:rsid w:val="369285EF"/>
    <w:rsid w:val="36A55B33"/>
    <w:rsid w:val="36B042F0"/>
    <w:rsid w:val="36B184CB"/>
    <w:rsid w:val="36C6524A"/>
    <w:rsid w:val="36CC314F"/>
    <w:rsid w:val="36CE67FA"/>
    <w:rsid w:val="36E64CCB"/>
    <w:rsid w:val="36EFD9C9"/>
    <w:rsid w:val="36FF9DD4"/>
    <w:rsid w:val="370911ED"/>
    <w:rsid w:val="373B55F2"/>
    <w:rsid w:val="374FADD0"/>
    <w:rsid w:val="377930C4"/>
    <w:rsid w:val="3779A984"/>
    <w:rsid w:val="377BE1F5"/>
    <w:rsid w:val="3783511D"/>
    <w:rsid w:val="379C7886"/>
    <w:rsid w:val="37A0987D"/>
    <w:rsid w:val="37D78DC2"/>
    <w:rsid w:val="37DDDE63"/>
    <w:rsid w:val="37F117AD"/>
    <w:rsid w:val="37F2A8E5"/>
    <w:rsid w:val="37F3CE3D"/>
    <w:rsid w:val="3813CDC6"/>
    <w:rsid w:val="3823B1D5"/>
    <w:rsid w:val="38301A5D"/>
    <w:rsid w:val="384A5F04"/>
    <w:rsid w:val="384C0B6A"/>
    <w:rsid w:val="385EAF36"/>
    <w:rsid w:val="385F442A"/>
    <w:rsid w:val="38662554"/>
    <w:rsid w:val="386BB97E"/>
    <w:rsid w:val="38717049"/>
    <w:rsid w:val="38752919"/>
    <w:rsid w:val="3897A633"/>
    <w:rsid w:val="389EC51F"/>
    <w:rsid w:val="38C77D2A"/>
    <w:rsid w:val="38CEEAC6"/>
    <w:rsid w:val="38E1AFCC"/>
    <w:rsid w:val="38E3F330"/>
    <w:rsid w:val="38E4DB2D"/>
    <w:rsid w:val="38F75EBA"/>
    <w:rsid w:val="3904EDA6"/>
    <w:rsid w:val="390C7B3C"/>
    <w:rsid w:val="390CF9E8"/>
    <w:rsid w:val="3922D3F4"/>
    <w:rsid w:val="393C5790"/>
    <w:rsid w:val="394585F3"/>
    <w:rsid w:val="394946CC"/>
    <w:rsid w:val="397A60CD"/>
    <w:rsid w:val="397CCB53"/>
    <w:rsid w:val="398A9610"/>
    <w:rsid w:val="399722A1"/>
    <w:rsid w:val="39BCB370"/>
    <w:rsid w:val="39C2DB42"/>
    <w:rsid w:val="39C6B8C8"/>
    <w:rsid w:val="39E31A61"/>
    <w:rsid w:val="3A15B2FA"/>
    <w:rsid w:val="3A17621D"/>
    <w:rsid w:val="3A518D5C"/>
    <w:rsid w:val="3A770DE0"/>
    <w:rsid w:val="3A7F3D87"/>
    <w:rsid w:val="3A9A88DF"/>
    <w:rsid w:val="3AAC7FC9"/>
    <w:rsid w:val="3AC618A0"/>
    <w:rsid w:val="3AC6FCB6"/>
    <w:rsid w:val="3ACC14B8"/>
    <w:rsid w:val="3ADD9862"/>
    <w:rsid w:val="3B3C5C45"/>
    <w:rsid w:val="3B402F6B"/>
    <w:rsid w:val="3B453C29"/>
    <w:rsid w:val="3B46C9FD"/>
    <w:rsid w:val="3B4E9164"/>
    <w:rsid w:val="3B5E08B7"/>
    <w:rsid w:val="3B6DFA8C"/>
    <w:rsid w:val="3BA32C18"/>
    <w:rsid w:val="3BE81DF2"/>
    <w:rsid w:val="3BF466E0"/>
    <w:rsid w:val="3BF4F08A"/>
    <w:rsid w:val="3C00F884"/>
    <w:rsid w:val="3C2DF7D4"/>
    <w:rsid w:val="3C485BE2"/>
    <w:rsid w:val="3C586043"/>
    <w:rsid w:val="3C58B267"/>
    <w:rsid w:val="3C594E0A"/>
    <w:rsid w:val="3C76F33A"/>
    <w:rsid w:val="3C7E4EE5"/>
    <w:rsid w:val="3C92A60B"/>
    <w:rsid w:val="3CA1E284"/>
    <w:rsid w:val="3CA4EF9D"/>
    <w:rsid w:val="3CAC288E"/>
    <w:rsid w:val="3CD0790C"/>
    <w:rsid w:val="3D882B39"/>
    <w:rsid w:val="3D8D36A3"/>
    <w:rsid w:val="3D927D8F"/>
    <w:rsid w:val="3D95E7AE"/>
    <w:rsid w:val="3D995076"/>
    <w:rsid w:val="3DB9B5EB"/>
    <w:rsid w:val="3DC15546"/>
    <w:rsid w:val="3DD39E1B"/>
    <w:rsid w:val="3DDC409E"/>
    <w:rsid w:val="3E0986D1"/>
    <w:rsid w:val="3E148386"/>
    <w:rsid w:val="3E29E657"/>
    <w:rsid w:val="3E2B226B"/>
    <w:rsid w:val="3E526D7C"/>
    <w:rsid w:val="3E5A4E27"/>
    <w:rsid w:val="3E925DF4"/>
    <w:rsid w:val="3EA9BCE2"/>
    <w:rsid w:val="3EC87C26"/>
    <w:rsid w:val="3EDD28E9"/>
    <w:rsid w:val="3EEB48E0"/>
    <w:rsid w:val="3EF0528B"/>
    <w:rsid w:val="3F0CB38C"/>
    <w:rsid w:val="3F0DE058"/>
    <w:rsid w:val="3F239C9B"/>
    <w:rsid w:val="3F516CE6"/>
    <w:rsid w:val="3F5C30F2"/>
    <w:rsid w:val="3F74840F"/>
    <w:rsid w:val="3FA41B69"/>
    <w:rsid w:val="3FAD9D11"/>
    <w:rsid w:val="3FAF0EE2"/>
    <w:rsid w:val="3FC335EC"/>
    <w:rsid w:val="3FC48418"/>
    <w:rsid w:val="3FCAB7A0"/>
    <w:rsid w:val="3FE93934"/>
    <w:rsid w:val="3FEAB498"/>
    <w:rsid w:val="400DEF98"/>
    <w:rsid w:val="40304337"/>
    <w:rsid w:val="403B47E9"/>
    <w:rsid w:val="405D9F5E"/>
    <w:rsid w:val="4063317D"/>
    <w:rsid w:val="4076F8E6"/>
    <w:rsid w:val="40891C40"/>
    <w:rsid w:val="40A9B799"/>
    <w:rsid w:val="40AA8A4C"/>
    <w:rsid w:val="40AE2554"/>
    <w:rsid w:val="40AFA1C9"/>
    <w:rsid w:val="40BB07A4"/>
    <w:rsid w:val="40BC7607"/>
    <w:rsid w:val="40C07100"/>
    <w:rsid w:val="40DBB02B"/>
    <w:rsid w:val="40E7CE58"/>
    <w:rsid w:val="40F10A82"/>
    <w:rsid w:val="40FF36D2"/>
    <w:rsid w:val="4107649A"/>
    <w:rsid w:val="410DA897"/>
    <w:rsid w:val="41405E51"/>
    <w:rsid w:val="415E259E"/>
    <w:rsid w:val="41622F2C"/>
    <w:rsid w:val="41736967"/>
    <w:rsid w:val="4183E91F"/>
    <w:rsid w:val="41E2828B"/>
    <w:rsid w:val="420B0A0E"/>
    <w:rsid w:val="42100951"/>
    <w:rsid w:val="42493695"/>
    <w:rsid w:val="424DED1D"/>
    <w:rsid w:val="425E7DE4"/>
    <w:rsid w:val="426E0113"/>
    <w:rsid w:val="427770B4"/>
    <w:rsid w:val="42788B3A"/>
    <w:rsid w:val="42944114"/>
    <w:rsid w:val="42B253E1"/>
    <w:rsid w:val="42BA88BF"/>
    <w:rsid w:val="42C95CD3"/>
    <w:rsid w:val="42D18D7A"/>
    <w:rsid w:val="42E8D0BD"/>
    <w:rsid w:val="42F636B6"/>
    <w:rsid w:val="431DD9C9"/>
    <w:rsid w:val="432A4669"/>
    <w:rsid w:val="432FD858"/>
    <w:rsid w:val="43390940"/>
    <w:rsid w:val="433E44A4"/>
    <w:rsid w:val="434CC9A7"/>
    <w:rsid w:val="43634F67"/>
    <w:rsid w:val="438447AB"/>
    <w:rsid w:val="441D2BFF"/>
    <w:rsid w:val="44265236"/>
    <w:rsid w:val="442B3054"/>
    <w:rsid w:val="4459B43A"/>
    <w:rsid w:val="44621330"/>
    <w:rsid w:val="4496617D"/>
    <w:rsid w:val="44A52B77"/>
    <w:rsid w:val="44A8AEE3"/>
    <w:rsid w:val="44AB6807"/>
    <w:rsid w:val="44C776CC"/>
    <w:rsid w:val="44C90E20"/>
    <w:rsid w:val="44D72F0B"/>
    <w:rsid w:val="44FD82CE"/>
    <w:rsid w:val="45143898"/>
    <w:rsid w:val="4521AF87"/>
    <w:rsid w:val="454775D3"/>
    <w:rsid w:val="4547A4A6"/>
    <w:rsid w:val="45798B09"/>
    <w:rsid w:val="4594C08A"/>
    <w:rsid w:val="45C9B2FC"/>
    <w:rsid w:val="460DC86A"/>
    <w:rsid w:val="463F1D1E"/>
    <w:rsid w:val="466E32D9"/>
    <w:rsid w:val="4675622A"/>
    <w:rsid w:val="46C8623E"/>
    <w:rsid w:val="46CC3046"/>
    <w:rsid w:val="46CF76FB"/>
    <w:rsid w:val="4744AA70"/>
    <w:rsid w:val="4751A0EE"/>
    <w:rsid w:val="4763885C"/>
    <w:rsid w:val="4774EA51"/>
    <w:rsid w:val="4786CA9F"/>
    <w:rsid w:val="47D3ADF7"/>
    <w:rsid w:val="4805AA67"/>
    <w:rsid w:val="4811AF2B"/>
    <w:rsid w:val="4860565F"/>
    <w:rsid w:val="4887FD46"/>
    <w:rsid w:val="48991641"/>
    <w:rsid w:val="48B475D7"/>
    <w:rsid w:val="48CC1612"/>
    <w:rsid w:val="48F0093F"/>
    <w:rsid w:val="49096B3E"/>
    <w:rsid w:val="4910D729"/>
    <w:rsid w:val="49174AF2"/>
    <w:rsid w:val="4920491B"/>
    <w:rsid w:val="49B61671"/>
    <w:rsid w:val="49CE034D"/>
    <w:rsid w:val="4A6E52DE"/>
    <w:rsid w:val="4A6FF2BA"/>
    <w:rsid w:val="4A79A299"/>
    <w:rsid w:val="4A9612B5"/>
    <w:rsid w:val="4A9E3195"/>
    <w:rsid w:val="4ABD0CC4"/>
    <w:rsid w:val="4AC3C4E8"/>
    <w:rsid w:val="4AE30D2F"/>
    <w:rsid w:val="4AE97323"/>
    <w:rsid w:val="4B125B59"/>
    <w:rsid w:val="4B228B65"/>
    <w:rsid w:val="4B36D978"/>
    <w:rsid w:val="4B5797BD"/>
    <w:rsid w:val="4B6EFF5B"/>
    <w:rsid w:val="4B9DD563"/>
    <w:rsid w:val="4BB20B5D"/>
    <w:rsid w:val="4BB835FC"/>
    <w:rsid w:val="4BC2EF56"/>
    <w:rsid w:val="4BC49520"/>
    <w:rsid w:val="4BC5517A"/>
    <w:rsid w:val="4BCBC0BC"/>
    <w:rsid w:val="4BED9DB3"/>
    <w:rsid w:val="4BF01E04"/>
    <w:rsid w:val="4BF2E811"/>
    <w:rsid w:val="4C039D4D"/>
    <w:rsid w:val="4C056B1A"/>
    <w:rsid w:val="4C1D7881"/>
    <w:rsid w:val="4C26D43C"/>
    <w:rsid w:val="4C42F125"/>
    <w:rsid w:val="4C52A33F"/>
    <w:rsid w:val="4C6BB356"/>
    <w:rsid w:val="4C77422A"/>
    <w:rsid w:val="4C817FC6"/>
    <w:rsid w:val="4C81B1A4"/>
    <w:rsid w:val="4C8A3BB0"/>
    <w:rsid w:val="4C9556DF"/>
    <w:rsid w:val="4C9C49C0"/>
    <w:rsid w:val="4CC127C1"/>
    <w:rsid w:val="4CFB6642"/>
    <w:rsid w:val="4D189D4A"/>
    <w:rsid w:val="4D19B55E"/>
    <w:rsid w:val="4D25A885"/>
    <w:rsid w:val="4D268D54"/>
    <w:rsid w:val="4D27241A"/>
    <w:rsid w:val="4D66C670"/>
    <w:rsid w:val="4D77494C"/>
    <w:rsid w:val="4DB2B813"/>
    <w:rsid w:val="4DC28D78"/>
    <w:rsid w:val="4DC404AF"/>
    <w:rsid w:val="4DD43134"/>
    <w:rsid w:val="4DD99903"/>
    <w:rsid w:val="4DF54762"/>
    <w:rsid w:val="4DFA8045"/>
    <w:rsid w:val="4E1C3E2B"/>
    <w:rsid w:val="4E331D9F"/>
    <w:rsid w:val="4E44FF1E"/>
    <w:rsid w:val="4E5106A0"/>
    <w:rsid w:val="4E725EB6"/>
    <w:rsid w:val="4E741639"/>
    <w:rsid w:val="4E9C78BA"/>
    <w:rsid w:val="4EA48F0D"/>
    <w:rsid w:val="4EC28F44"/>
    <w:rsid w:val="4F069434"/>
    <w:rsid w:val="4F105991"/>
    <w:rsid w:val="4F1887ED"/>
    <w:rsid w:val="4F2E168D"/>
    <w:rsid w:val="4F2E4460"/>
    <w:rsid w:val="4F32968B"/>
    <w:rsid w:val="4F51E13B"/>
    <w:rsid w:val="4F6B6FE7"/>
    <w:rsid w:val="4FB47DD9"/>
    <w:rsid w:val="4FB91F11"/>
    <w:rsid w:val="4FBA00A9"/>
    <w:rsid w:val="4FFA1FD6"/>
    <w:rsid w:val="4FFD8188"/>
    <w:rsid w:val="5021EF12"/>
    <w:rsid w:val="50266A39"/>
    <w:rsid w:val="50389041"/>
    <w:rsid w:val="50432C4C"/>
    <w:rsid w:val="505E7CCB"/>
    <w:rsid w:val="506C0BDB"/>
    <w:rsid w:val="50852E5F"/>
    <w:rsid w:val="509F344C"/>
    <w:rsid w:val="50A1ED71"/>
    <w:rsid w:val="50C75F53"/>
    <w:rsid w:val="50FBA27E"/>
    <w:rsid w:val="510C8AEE"/>
    <w:rsid w:val="51240D3D"/>
    <w:rsid w:val="5129AAF2"/>
    <w:rsid w:val="51374023"/>
    <w:rsid w:val="5177C818"/>
    <w:rsid w:val="518C1157"/>
    <w:rsid w:val="5208F82F"/>
    <w:rsid w:val="522FD5B4"/>
    <w:rsid w:val="5232EAAD"/>
    <w:rsid w:val="527733EE"/>
    <w:rsid w:val="528E41F7"/>
    <w:rsid w:val="52ABE16A"/>
    <w:rsid w:val="52B1B32C"/>
    <w:rsid w:val="52B71A75"/>
    <w:rsid w:val="52B933DB"/>
    <w:rsid w:val="52D78CC7"/>
    <w:rsid w:val="52DD0AA4"/>
    <w:rsid w:val="52E2E6E9"/>
    <w:rsid w:val="52FDF700"/>
    <w:rsid w:val="530E78E5"/>
    <w:rsid w:val="534CB741"/>
    <w:rsid w:val="536A76CF"/>
    <w:rsid w:val="537DAB08"/>
    <w:rsid w:val="537E33BE"/>
    <w:rsid w:val="5385D937"/>
    <w:rsid w:val="53F3BBDC"/>
    <w:rsid w:val="53F94CF7"/>
    <w:rsid w:val="53F9707A"/>
    <w:rsid w:val="540CE79F"/>
    <w:rsid w:val="543985EA"/>
    <w:rsid w:val="543ABAEC"/>
    <w:rsid w:val="546F3E71"/>
    <w:rsid w:val="5474C8B6"/>
    <w:rsid w:val="5488E355"/>
    <w:rsid w:val="54AD2B0C"/>
    <w:rsid w:val="54E7E812"/>
    <w:rsid w:val="5500A9E1"/>
    <w:rsid w:val="5514B64A"/>
    <w:rsid w:val="5520591D"/>
    <w:rsid w:val="55229C2A"/>
    <w:rsid w:val="5538F2C0"/>
    <w:rsid w:val="55440D06"/>
    <w:rsid w:val="55613936"/>
    <w:rsid w:val="55639185"/>
    <w:rsid w:val="5567D649"/>
    <w:rsid w:val="55B96AD2"/>
    <w:rsid w:val="55C4FC42"/>
    <w:rsid w:val="55CE328E"/>
    <w:rsid w:val="55D885A2"/>
    <w:rsid w:val="55DA41F3"/>
    <w:rsid w:val="55DD32AA"/>
    <w:rsid w:val="55E6A339"/>
    <w:rsid w:val="55E8F42C"/>
    <w:rsid w:val="56038F4E"/>
    <w:rsid w:val="560E6EE0"/>
    <w:rsid w:val="5648127D"/>
    <w:rsid w:val="5649BEA8"/>
    <w:rsid w:val="56739D43"/>
    <w:rsid w:val="56BB047A"/>
    <w:rsid w:val="56D4648F"/>
    <w:rsid w:val="56F12FAD"/>
    <w:rsid w:val="5708C895"/>
    <w:rsid w:val="570EA21B"/>
    <w:rsid w:val="571FD1FD"/>
    <w:rsid w:val="57386D24"/>
    <w:rsid w:val="574B1D19"/>
    <w:rsid w:val="577897B2"/>
    <w:rsid w:val="57B9ADD6"/>
    <w:rsid w:val="57BC2897"/>
    <w:rsid w:val="57E137C4"/>
    <w:rsid w:val="5814B2D6"/>
    <w:rsid w:val="5833B86D"/>
    <w:rsid w:val="5848DC66"/>
    <w:rsid w:val="584BB6FE"/>
    <w:rsid w:val="5856BC8A"/>
    <w:rsid w:val="5858BAFD"/>
    <w:rsid w:val="58982FB4"/>
    <w:rsid w:val="589A2092"/>
    <w:rsid w:val="58A0B353"/>
    <w:rsid w:val="58A10FC9"/>
    <w:rsid w:val="59039904"/>
    <w:rsid w:val="5932CEE4"/>
    <w:rsid w:val="594575A5"/>
    <w:rsid w:val="594CA6A6"/>
    <w:rsid w:val="597A519D"/>
    <w:rsid w:val="5988BB67"/>
    <w:rsid w:val="598C984C"/>
    <w:rsid w:val="598E02B9"/>
    <w:rsid w:val="59944770"/>
    <w:rsid w:val="59961117"/>
    <w:rsid w:val="59D18C9B"/>
    <w:rsid w:val="59F234C3"/>
    <w:rsid w:val="59F490CE"/>
    <w:rsid w:val="59FEFE61"/>
    <w:rsid w:val="5A1C29B3"/>
    <w:rsid w:val="5A20ABEA"/>
    <w:rsid w:val="5A2D14E9"/>
    <w:rsid w:val="5A3517FC"/>
    <w:rsid w:val="5A3ADE3F"/>
    <w:rsid w:val="5A3F298C"/>
    <w:rsid w:val="5A5FFF38"/>
    <w:rsid w:val="5A6333C3"/>
    <w:rsid w:val="5A65091B"/>
    <w:rsid w:val="5A7D33B1"/>
    <w:rsid w:val="5A97178C"/>
    <w:rsid w:val="5A98C25B"/>
    <w:rsid w:val="5AB64DB1"/>
    <w:rsid w:val="5ACE32ED"/>
    <w:rsid w:val="5B0AB65A"/>
    <w:rsid w:val="5B12BA14"/>
    <w:rsid w:val="5B14970E"/>
    <w:rsid w:val="5B18BF88"/>
    <w:rsid w:val="5B399502"/>
    <w:rsid w:val="5B3B7154"/>
    <w:rsid w:val="5B55AFDB"/>
    <w:rsid w:val="5B67BF84"/>
    <w:rsid w:val="5B87AA92"/>
    <w:rsid w:val="5BE192A8"/>
    <w:rsid w:val="5BF05BC0"/>
    <w:rsid w:val="5BF83103"/>
    <w:rsid w:val="5C0090DD"/>
    <w:rsid w:val="5C0E40D8"/>
    <w:rsid w:val="5C3378E8"/>
    <w:rsid w:val="5C38FAFE"/>
    <w:rsid w:val="5C4613BA"/>
    <w:rsid w:val="5C492F46"/>
    <w:rsid w:val="5C72578C"/>
    <w:rsid w:val="5C792A1E"/>
    <w:rsid w:val="5C832F62"/>
    <w:rsid w:val="5C893934"/>
    <w:rsid w:val="5CB36434"/>
    <w:rsid w:val="5CE985D3"/>
    <w:rsid w:val="5CFBA012"/>
    <w:rsid w:val="5D015FD5"/>
    <w:rsid w:val="5D1B89C0"/>
    <w:rsid w:val="5D3FA7A5"/>
    <w:rsid w:val="5D4D13E2"/>
    <w:rsid w:val="5D62762F"/>
    <w:rsid w:val="5D6A9B46"/>
    <w:rsid w:val="5D8B2218"/>
    <w:rsid w:val="5D96BA7C"/>
    <w:rsid w:val="5DA41874"/>
    <w:rsid w:val="5DC19660"/>
    <w:rsid w:val="5DE74B69"/>
    <w:rsid w:val="5DE94D84"/>
    <w:rsid w:val="5DF7118F"/>
    <w:rsid w:val="5E0666CB"/>
    <w:rsid w:val="5E3C6E84"/>
    <w:rsid w:val="5E44BD28"/>
    <w:rsid w:val="5EA6350E"/>
    <w:rsid w:val="5EB8CBE0"/>
    <w:rsid w:val="5EBB794B"/>
    <w:rsid w:val="5F029AA3"/>
    <w:rsid w:val="5F18B25E"/>
    <w:rsid w:val="5F1E3062"/>
    <w:rsid w:val="5F8B2F69"/>
    <w:rsid w:val="5FA3D199"/>
    <w:rsid w:val="5FD68C58"/>
    <w:rsid w:val="6001723E"/>
    <w:rsid w:val="6006243E"/>
    <w:rsid w:val="60141B70"/>
    <w:rsid w:val="60218BCE"/>
    <w:rsid w:val="60329140"/>
    <w:rsid w:val="603737B7"/>
    <w:rsid w:val="603A549A"/>
    <w:rsid w:val="603B12D0"/>
    <w:rsid w:val="603D832C"/>
    <w:rsid w:val="6061DF77"/>
    <w:rsid w:val="609CDB28"/>
    <w:rsid w:val="60B8486F"/>
    <w:rsid w:val="60E4473F"/>
    <w:rsid w:val="60FDA96F"/>
    <w:rsid w:val="612506C6"/>
    <w:rsid w:val="612DEE47"/>
    <w:rsid w:val="616D2AF4"/>
    <w:rsid w:val="61A4420D"/>
    <w:rsid w:val="61CA9409"/>
    <w:rsid w:val="61E06E89"/>
    <w:rsid w:val="62045E87"/>
    <w:rsid w:val="621E9762"/>
    <w:rsid w:val="623715E3"/>
    <w:rsid w:val="6251181C"/>
    <w:rsid w:val="625DF0D0"/>
    <w:rsid w:val="6269E3EF"/>
    <w:rsid w:val="6270D9E4"/>
    <w:rsid w:val="627B89B6"/>
    <w:rsid w:val="627E38CA"/>
    <w:rsid w:val="6281D659"/>
    <w:rsid w:val="62AE6897"/>
    <w:rsid w:val="62BA45A3"/>
    <w:rsid w:val="63119FBA"/>
    <w:rsid w:val="633C2649"/>
    <w:rsid w:val="633D0076"/>
    <w:rsid w:val="637021D2"/>
    <w:rsid w:val="63878D5C"/>
    <w:rsid w:val="638DA68B"/>
    <w:rsid w:val="639B2D49"/>
    <w:rsid w:val="63A9FCE4"/>
    <w:rsid w:val="63C344A3"/>
    <w:rsid w:val="63EE34EC"/>
    <w:rsid w:val="64024958"/>
    <w:rsid w:val="640DC7C2"/>
    <w:rsid w:val="642EB3FD"/>
    <w:rsid w:val="644BF7D9"/>
    <w:rsid w:val="645F6705"/>
    <w:rsid w:val="6480446C"/>
    <w:rsid w:val="649579CD"/>
    <w:rsid w:val="64AA97A4"/>
    <w:rsid w:val="64AEEF9E"/>
    <w:rsid w:val="64B06D9D"/>
    <w:rsid w:val="64D4E1E8"/>
    <w:rsid w:val="64D8FD86"/>
    <w:rsid w:val="64FEC2B9"/>
    <w:rsid w:val="6508F135"/>
    <w:rsid w:val="65264867"/>
    <w:rsid w:val="652AEA97"/>
    <w:rsid w:val="6530B3A0"/>
    <w:rsid w:val="6542BE29"/>
    <w:rsid w:val="65749ADA"/>
    <w:rsid w:val="657A95EE"/>
    <w:rsid w:val="659870F7"/>
    <w:rsid w:val="65AF0C5B"/>
    <w:rsid w:val="65B8B2BE"/>
    <w:rsid w:val="65B9C77C"/>
    <w:rsid w:val="65CE3725"/>
    <w:rsid w:val="65E0486F"/>
    <w:rsid w:val="65E84EA9"/>
    <w:rsid w:val="662C3E6B"/>
    <w:rsid w:val="6658BF6E"/>
    <w:rsid w:val="66634706"/>
    <w:rsid w:val="666E3D5C"/>
    <w:rsid w:val="66777B61"/>
    <w:rsid w:val="667BB72C"/>
    <w:rsid w:val="66855BDF"/>
    <w:rsid w:val="66E2DCB4"/>
    <w:rsid w:val="66EAE848"/>
    <w:rsid w:val="66F2FCCE"/>
    <w:rsid w:val="671A0EA5"/>
    <w:rsid w:val="67470249"/>
    <w:rsid w:val="675AF143"/>
    <w:rsid w:val="678E1460"/>
    <w:rsid w:val="6824F5DC"/>
    <w:rsid w:val="683B6A61"/>
    <w:rsid w:val="688C2B98"/>
    <w:rsid w:val="6899E076"/>
    <w:rsid w:val="68A53416"/>
    <w:rsid w:val="68DE60AD"/>
    <w:rsid w:val="68E88E21"/>
    <w:rsid w:val="68EB6930"/>
    <w:rsid w:val="68F03CC7"/>
    <w:rsid w:val="68FB8E36"/>
    <w:rsid w:val="6957943F"/>
    <w:rsid w:val="699CA391"/>
    <w:rsid w:val="69A58A48"/>
    <w:rsid w:val="69CC82FD"/>
    <w:rsid w:val="69DF9843"/>
    <w:rsid w:val="69E035C1"/>
    <w:rsid w:val="69ECA099"/>
    <w:rsid w:val="69EE4BC9"/>
    <w:rsid w:val="6A02D757"/>
    <w:rsid w:val="6A0B547D"/>
    <w:rsid w:val="6A123E7D"/>
    <w:rsid w:val="6A1303E8"/>
    <w:rsid w:val="6A2A881D"/>
    <w:rsid w:val="6A31E544"/>
    <w:rsid w:val="6A3BCB9D"/>
    <w:rsid w:val="6A71A23F"/>
    <w:rsid w:val="6A7B6D33"/>
    <w:rsid w:val="6A800456"/>
    <w:rsid w:val="6A9ECCE3"/>
    <w:rsid w:val="6ACBE228"/>
    <w:rsid w:val="6AD6166D"/>
    <w:rsid w:val="6AEBC983"/>
    <w:rsid w:val="6AED91EA"/>
    <w:rsid w:val="6AFCBE57"/>
    <w:rsid w:val="6B39CED9"/>
    <w:rsid w:val="6B407289"/>
    <w:rsid w:val="6B442E4C"/>
    <w:rsid w:val="6B4794B5"/>
    <w:rsid w:val="6B55B0B2"/>
    <w:rsid w:val="6B5E40EF"/>
    <w:rsid w:val="6B696D6A"/>
    <w:rsid w:val="6B7C1853"/>
    <w:rsid w:val="6BCC6304"/>
    <w:rsid w:val="6BE79FFA"/>
    <w:rsid w:val="6BF98F7F"/>
    <w:rsid w:val="6C2E33A9"/>
    <w:rsid w:val="6C30F6F1"/>
    <w:rsid w:val="6C76776F"/>
    <w:rsid w:val="6C8DFF18"/>
    <w:rsid w:val="6C970112"/>
    <w:rsid w:val="6C9D4E7A"/>
    <w:rsid w:val="6CEC3E3C"/>
    <w:rsid w:val="6CFC678D"/>
    <w:rsid w:val="6D45B50B"/>
    <w:rsid w:val="6D618D98"/>
    <w:rsid w:val="6D6C0364"/>
    <w:rsid w:val="6D8332FA"/>
    <w:rsid w:val="6D982946"/>
    <w:rsid w:val="6DA45DE1"/>
    <w:rsid w:val="6DB81BB7"/>
    <w:rsid w:val="6E406739"/>
    <w:rsid w:val="6E886B07"/>
    <w:rsid w:val="6EA0B823"/>
    <w:rsid w:val="6ED02EE3"/>
    <w:rsid w:val="6EF5463E"/>
    <w:rsid w:val="6F1D0601"/>
    <w:rsid w:val="6F21098A"/>
    <w:rsid w:val="6F2B50BD"/>
    <w:rsid w:val="6F34C0E8"/>
    <w:rsid w:val="6F41E9F2"/>
    <w:rsid w:val="6F43E629"/>
    <w:rsid w:val="6F770809"/>
    <w:rsid w:val="6F8493A2"/>
    <w:rsid w:val="6FD39A1A"/>
    <w:rsid w:val="7011E1AA"/>
    <w:rsid w:val="7021072F"/>
    <w:rsid w:val="702A584E"/>
    <w:rsid w:val="702B58D1"/>
    <w:rsid w:val="70310F2D"/>
    <w:rsid w:val="703DC1F8"/>
    <w:rsid w:val="704641E0"/>
    <w:rsid w:val="706BC14E"/>
    <w:rsid w:val="70A354B8"/>
    <w:rsid w:val="70A6A821"/>
    <w:rsid w:val="70A9AB58"/>
    <w:rsid w:val="70D31BD2"/>
    <w:rsid w:val="70D67482"/>
    <w:rsid w:val="70D93952"/>
    <w:rsid w:val="70DC407C"/>
    <w:rsid w:val="70DE9924"/>
    <w:rsid w:val="70EDE7F0"/>
    <w:rsid w:val="70F23738"/>
    <w:rsid w:val="710094A6"/>
    <w:rsid w:val="7125EBA5"/>
    <w:rsid w:val="71385755"/>
    <w:rsid w:val="714DFEB3"/>
    <w:rsid w:val="7151E2E0"/>
    <w:rsid w:val="71598B90"/>
    <w:rsid w:val="715E2940"/>
    <w:rsid w:val="716482FB"/>
    <w:rsid w:val="7167D257"/>
    <w:rsid w:val="717160B3"/>
    <w:rsid w:val="71783552"/>
    <w:rsid w:val="71888379"/>
    <w:rsid w:val="7196CA82"/>
    <w:rsid w:val="71A55142"/>
    <w:rsid w:val="727F53C7"/>
    <w:rsid w:val="728755D2"/>
    <w:rsid w:val="72983F7D"/>
    <w:rsid w:val="7299E829"/>
    <w:rsid w:val="72A12349"/>
    <w:rsid w:val="72A9A895"/>
    <w:rsid w:val="72AD159F"/>
    <w:rsid w:val="72C2C858"/>
    <w:rsid w:val="72D28CEA"/>
    <w:rsid w:val="72FD445E"/>
    <w:rsid w:val="730B5599"/>
    <w:rsid w:val="7325074B"/>
    <w:rsid w:val="733F2C46"/>
    <w:rsid w:val="7364C6AD"/>
    <w:rsid w:val="737F5EB3"/>
    <w:rsid w:val="738B44E8"/>
    <w:rsid w:val="739A8660"/>
    <w:rsid w:val="73B01790"/>
    <w:rsid w:val="73B69A21"/>
    <w:rsid w:val="73BE870B"/>
    <w:rsid w:val="73BFA5D1"/>
    <w:rsid w:val="73E020B6"/>
    <w:rsid w:val="73EF583C"/>
    <w:rsid w:val="7458DF93"/>
    <w:rsid w:val="747D227F"/>
    <w:rsid w:val="7484163A"/>
    <w:rsid w:val="74A51972"/>
    <w:rsid w:val="74BA10D0"/>
    <w:rsid w:val="74C1D88C"/>
    <w:rsid w:val="74D7C3CF"/>
    <w:rsid w:val="74E653B4"/>
    <w:rsid w:val="751398E9"/>
    <w:rsid w:val="75158392"/>
    <w:rsid w:val="754D3B48"/>
    <w:rsid w:val="75683FD9"/>
    <w:rsid w:val="756932B8"/>
    <w:rsid w:val="75BF5F09"/>
    <w:rsid w:val="75D5A8CE"/>
    <w:rsid w:val="75E15B7A"/>
    <w:rsid w:val="75EFBBB7"/>
    <w:rsid w:val="75F7162B"/>
    <w:rsid w:val="7637461A"/>
    <w:rsid w:val="76425974"/>
    <w:rsid w:val="76637C6C"/>
    <w:rsid w:val="76799B2D"/>
    <w:rsid w:val="76A0BB56"/>
    <w:rsid w:val="76ABAB2C"/>
    <w:rsid w:val="76C15D58"/>
    <w:rsid w:val="76D73143"/>
    <w:rsid w:val="77019A94"/>
    <w:rsid w:val="7728B642"/>
    <w:rsid w:val="772BAA00"/>
    <w:rsid w:val="77496339"/>
    <w:rsid w:val="77644A17"/>
    <w:rsid w:val="77645166"/>
    <w:rsid w:val="7767DB4F"/>
    <w:rsid w:val="7777F68B"/>
    <w:rsid w:val="77A445FA"/>
    <w:rsid w:val="77A7662F"/>
    <w:rsid w:val="77B2A658"/>
    <w:rsid w:val="77DBA385"/>
    <w:rsid w:val="77E29DDD"/>
    <w:rsid w:val="7808B4B4"/>
    <w:rsid w:val="780DECA7"/>
    <w:rsid w:val="7811FA85"/>
    <w:rsid w:val="781D2712"/>
    <w:rsid w:val="781EA35B"/>
    <w:rsid w:val="7826CFFC"/>
    <w:rsid w:val="78277A66"/>
    <w:rsid w:val="782DA847"/>
    <w:rsid w:val="78443BC0"/>
    <w:rsid w:val="784BBF1B"/>
    <w:rsid w:val="78764FFA"/>
    <w:rsid w:val="78812460"/>
    <w:rsid w:val="788C0BD6"/>
    <w:rsid w:val="788F4AE8"/>
    <w:rsid w:val="78941A6F"/>
    <w:rsid w:val="789F9C19"/>
    <w:rsid w:val="78AE1167"/>
    <w:rsid w:val="78B3DAC1"/>
    <w:rsid w:val="78D10E3B"/>
    <w:rsid w:val="790D471A"/>
    <w:rsid w:val="791AF693"/>
    <w:rsid w:val="79204F91"/>
    <w:rsid w:val="7920766E"/>
    <w:rsid w:val="792BECBD"/>
    <w:rsid w:val="7938DD07"/>
    <w:rsid w:val="79613E36"/>
    <w:rsid w:val="796D4DC2"/>
    <w:rsid w:val="79A79AAA"/>
    <w:rsid w:val="79ACFFC3"/>
    <w:rsid w:val="79ADDCD0"/>
    <w:rsid w:val="79AE0F0A"/>
    <w:rsid w:val="79BF1B44"/>
    <w:rsid w:val="79EB43E7"/>
    <w:rsid w:val="79F818A3"/>
    <w:rsid w:val="7A054E6F"/>
    <w:rsid w:val="7A10A22B"/>
    <w:rsid w:val="7A2CF0F6"/>
    <w:rsid w:val="7A71FDBB"/>
    <w:rsid w:val="7A7AB010"/>
    <w:rsid w:val="7A8FE4F9"/>
    <w:rsid w:val="7AA4503A"/>
    <w:rsid w:val="7ABEBBC0"/>
    <w:rsid w:val="7ACCFFFB"/>
    <w:rsid w:val="7AE2AF1F"/>
    <w:rsid w:val="7AFDE7E1"/>
    <w:rsid w:val="7B12B248"/>
    <w:rsid w:val="7B14A23F"/>
    <w:rsid w:val="7B1D0780"/>
    <w:rsid w:val="7B1D766C"/>
    <w:rsid w:val="7B3A4522"/>
    <w:rsid w:val="7B465EF3"/>
    <w:rsid w:val="7B4A1441"/>
    <w:rsid w:val="7B6299B1"/>
    <w:rsid w:val="7B92C61F"/>
    <w:rsid w:val="7BB0E2AA"/>
    <w:rsid w:val="7BEA8886"/>
    <w:rsid w:val="7BF0DE2B"/>
    <w:rsid w:val="7BF41D91"/>
    <w:rsid w:val="7C18A98B"/>
    <w:rsid w:val="7C19B982"/>
    <w:rsid w:val="7C1FED8F"/>
    <w:rsid w:val="7C201F2A"/>
    <w:rsid w:val="7C202382"/>
    <w:rsid w:val="7C2E6BEF"/>
    <w:rsid w:val="7C42EB1D"/>
    <w:rsid w:val="7C4896DB"/>
    <w:rsid w:val="7C4976D0"/>
    <w:rsid w:val="7C4EB518"/>
    <w:rsid w:val="7C6AA92B"/>
    <w:rsid w:val="7C6C264E"/>
    <w:rsid w:val="7C740F53"/>
    <w:rsid w:val="7C804B23"/>
    <w:rsid w:val="7CB70EE2"/>
    <w:rsid w:val="7CC1FD1D"/>
    <w:rsid w:val="7D0D7B98"/>
    <w:rsid w:val="7D2C1B8D"/>
    <w:rsid w:val="7D6870B1"/>
    <w:rsid w:val="7D6F88B5"/>
    <w:rsid w:val="7D864EAD"/>
    <w:rsid w:val="7D8743E8"/>
    <w:rsid w:val="7DA79C05"/>
    <w:rsid w:val="7DA81222"/>
    <w:rsid w:val="7DACB3CA"/>
    <w:rsid w:val="7DBA4AD8"/>
    <w:rsid w:val="7DCE3171"/>
    <w:rsid w:val="7DD49843"/>
    <w:rsid w:val="7DF18216"/>
    <w:rsid w:val="7E0AF6A6"/>
    <w:rsid w:val="7E658B27"/>
    <w:rsid w:val="7E6FAA83"/>
    <w:rsid w:val="7ECDC107"/>
    <w:rsid w:val="7ED3FC6D"/>
    <w:rsid w:val="7EEFB11A"/>
    <w:rsid w:val="7F068221"/>
    <w:rsid w:val="7F12E22C"/>
    <w:rsid w:val="7F136DD2"/>
    <w:rsid w:val="7F3EC39D"/>
    <w:rsid w:val="7F4EF6D5"/>
    <w:rsid w:val="7F55CA18"/>
    <w:rsid w:val="7F695385"/>
    <w:rsid w:val="7F87B605"/>
    <w:rsid w:val="7F9F097F"/>
    <w:rsid w:val="7F9F623A"/>
    <w:rsid w:val="7FAF0118"/>
    <w:rsid w:val="7FAFF0C6"/>
    <w:rsid w:val="7FCE85B4"/>
    <w:rsid w:val="7FDC5B19"/>
    <w:rsid w:val="7FDEC631"/>
    <w:rsid w:val="7FE47580"/>
    <w:rsid w:val="7FF12F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01C46"/>
  <w15:chartTrackingRefBased/>
  <w15:docId w15:val="{5DE98747-27AA-4BEC-A7B2-99DFCD8D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C7"/>
  </w:style>
  <w:style w:type="paragraph" w:styleId="Heading1">
    <w:name w:val="heading 1"/>
    <w:basedOn w:val="Normal"/>
    <w:next w:val="Normal"/>
    <w:link w:val="Heading1Char"/>
    <w:uiPriority w:val="9"/>
    <w:qFormat/>
    <w:rsid w:val="00DC45C7"/>
    <w:pPr>
      <w:keepNext/>
      <w:keepLines/>
      <w:numPr>
        <w:numId w:val="9"/>
      </w:numPr>
      <w:spacing w:before="360" w:after="80"/>
      <w:jc w:val="center"/>
      <w:outlineLvl w:val="0"/>
    </w:pPr>
    <w:rPr>
      <w:rFonts w:ascii="Californian FB" w:eastAsiaTheme="majorEastAsia" w:hAnsi="Californian FB" w:cstheme="majorBidi"/>
      <w:sz w:val="28"/>
      <w:szCs w:val="28"/>
    </w:rPr>
  </w:style>
  <w:style w:type="paragraph" w:styleId="Heading2">
    <w:name w:val="heading 2"/>
    <w:basedOn w:val="Normal"/>
    <w:next w:val="Normal"/>
    <w:link w:val="Heading2Char"/>
    <w:uiPriority w:val="9"/>
    <w:unhideWhenUsed/>
    <w:qFormat/>
    <w:rsid w:val="00DC45C7"/>
    <w:pPr>
      <w:keepNext/>
      <w:keepLines/>
      <w:spacing w:before="160" w:after="80"/>
      <w:jc w:val="center"/>
      <w:outlineLvl w:val="1"/>
    </w:pPr>
    <w:rPr>
      <w:rFonts w:ascii="Californian FB" w:eastAsiaTheme="majorEastAsia" w:hAnsi="Californian FB" w:cstheme="majorBidi"/>
      <w:sz w:val="28"/>
      <w:szCs w:val="28"/>
    </w:rPr>
  </w:style>
  <w:style w:type="paragraph" w:styleId="Heading3">
    <w:name w:val="heading 3"/>
    <w:basedOn w:val="Normal"/>
    <w:next w:val="Normal"/>
    <w:link w:val="Heading3Char"/>
    <w:uiPriority w:val="9"/>
    <w:unhideWhenUsed/>
    <w:qFormat/>
    <w:rsid w:val="00DC45C7"/>
    <w:pPr>
      <w:keepNext/>
      <w:keepLines/>
      <w:numPr>
        <w:numId w:val="7"/>
      </w:numPr>
      <w:spacing w:before="160" w:after="80"/>
      <w:outlineLvl w:val="2"/>
    </w:pPr>
    <w:rPr>
      <w:rFonts w:ascii="Californian FB" w:eastAsiaTheme="majorEastAsia" w:hAnsi="Californian FB" w:cstheme="majorBidi"/>
      <w:i/>
      <w:iCs/>
      <w:sz w:val="24"/>
      <w:szCs w:val="24"/>
    </w:rPr>
  </w:style>
  <w:style w:type="paragraph" w:styleId="Heading4">
    <w:name w:val="heading 4"/>
    <w:basedOn w:val="Normal"/>
    <w:next w:val="Normal"/>
    <w:link w:val="Heading4Char"/>
    <w:uiPriority w:val="9"/>
    <w:unhideWhenUsed/>
    <w:qFormat/>
    <w:rsid w:val="00E47B90"/>
    <w:pPr>
      <w:keepNext/>
      <w:keepLines/>
      <w:spacing w:before="80" w:after="40"/>
      <w:outlineLvl w:val="3"/>
    </w:pPr>
    <w:rPr>
      <w:rFonts w:ascii="Californian FB" w:eastAsiaTheme="majorEastAsia" w:hAnsi="Californian FB" w:cstheme="majorBidi"/>
    </w:rPr>
  </w:style>
  <w:style w:type="paragraph" w:styleId="Heading5">
    <w:name w:val="heading 5"/>
    <w:basedOn w:val="Normal"/>
    <w:next w:val="Normal"/>
    <w:link w:val="Heading5Char"/>
    <w:uiPriority w:val="9"/>
    <w:semiHidden/>
    <w:unhideWhenUsed/>
    <w:qFormat/>
    <w:rsid w:val="00DC4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5C7"/>
    <w:rPr>
      <w:rFonts w:ascii="Californian FB" w:eastAsiaTheme="majorEastAsia" w:hAnsi="Californian FB" w:cstheme="majorBidi"/>
      <w:sz w:val="28"/>
      <w:szCs w:val="28"/>
    </w:rPr>
  </w:style>
  <w:style w:type="character" w:customStyle="1" w:styleId="Heading2Char">
    <w:name w:val="Heading 2 Char"/>
    <w:basedOn w:val="DefaultParagraphFont"/>
    <w:link w:val="Heading2"/>
    <w:uiPriority w:val="9"/>
    <w:rsid w:val="00DC45C7"/>
    <w:rPr>
      <w:rFonts w:ascii="Californian FB" w:eastAsiaTheme="majorEastAsia" w:hAnsi="Californian FB" w:cstheme="majorBidi"/>
      <w:sz w:val="28"/>
      <w:szCs w:val="28"/>
    </w:rPr>
  </w:style>
  <w:style w:type="character" w:customStyle="1" w:styleId="Heading3Char">
    <w:name w:val="Heading 3 Char"/>
    <w:basedOn w:val="DefaultParagraphFont"/>
    <w:link w:val="Heading3"/>
    <w:uiPriority w:val="9"/>
    <w:rsid w:val="00DC45C7"/>
    <w:rPr>
      <w:rFonts w:ascii="Californian FB" w:eastAsiaTheme="majorEastAsia" w:hAnsi="Californian FB" w:cstheme="majorBidi"/>
      <w:i/>
      <w:iCs/>
      <w:sz w:val="24"/>
      <w:szCs w:val="24"/>
    </w:rPr>
  </w:style>
  <w:style w:type="character" w:customStyle="1" w:styleId="Heading4Char">
    <w:name w:val="Heading 4 Char"/>
    <w:basedOn w:val="DefaultParagraphFont"/>
    <w:link w:val="Heading4"/>
    <w:uiPriority w:val="9"/>
    <w:rsid w:val="00DC45C7"/>
    <w:rPr>
      <w:rFonts w:ascii="Californian FB" w:eastAsiaTheme="majorEastAsia" w:hAnsi="Californian FB" w:cstheme="majorBidi"/>
    </w:rPr>
  </w:style>
  <w:style w:type="character" w:customStyle="1" w:styleId="Heading5Char">
    <w:name w:val="Heading 5 Char"/>
    <w:basedOn w:val="DefaultParagraphFont"/>
    <w:link w:val="Heading5"/>
    <w:uiPriority w:val="9"/>
    <w:semiHidden/>
    <w:rsid w:val="00DC4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5C7"/>
    <w:rPr>
      <w:rFonts w:eastAsiaTheme="majorEastAsia" w:cstheme="majorBidi"/>
      <w:color w:val="272727" w:themeColor="text1" w:themeTint="D8"/>
    </w:rPr>
  </w:style>
  <w:style w:type="paragraph" w:styleId="Title">
    <w:name w:val="Title"/>
    <w:basedOn w:val="Normal"/>
    <w:next w:val="Normal"/>
    <w:link w:val="TitleChar"/>
    <w:uiPriority w:val="10"/>
    <w:qFormat/>
    <w:rsid w:val="00DC4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5C7"/>
    <w:pPr>
      <w:spacing w:before="160"/>
      <w:jc w:val="center"/>
    </w:pPr>
    <w:rPr>
      <w:i/>
      <w:iCs/>
      <w:color w:val="404040" w:themeColor="text1" w:themeTint="BF"/>
    </w:rPr>
  </w:style>
  <w:style w:type="character" w:customStyle="1" w:styleId="QuoteChar">
    <w:name w:val="Quote Char"/>
    <w:basedOn w:val="DefaultParagraphFont"/>
    <w:link w:val="Quote"/>
    <w:uiPriority w:val="29"/>
    <w:rsid w:val="00DC45C7"/>
    <w:rPr>
      <w:i/>
      <w:iCs/>
      <w:color w:val="404040" w:themeColor="text1" w:themeTint="BF"/>
    </w:rPr>
  </w:style>
  <w:style w:type="paragraph" w:styleId="ListParagraph">
    <w:name w:val="List Paragraph"/>
    <w:basedOn w:val="Normal"/>
    <w:uiPriority w:val="34"/>
    <w:qFormat/>
    <w:rsid w:val="00DC45C7"/>
    <w:pPr>
      <w:ind w:left="720"/>
      <w:contextualSpacing/>
    </w:pPr>
  </w:style>
  <w:style w:type="character" w:styleId="IntenseEmphasis">
    <w:name w:val="Intense Emphasis"/>
    <w:basedOn w:val="DefaultParagraphFont"/>
    <w:uiPriority w:val="21"/>
    <w:qFormat/>
    <w:rsid w:val="00DC45C7"/>
    <w:rPr>
      <w:i/>
      <w:iCs/>
      <w:color w:val="0F4761" w:themeColor="accent1" w:themeShade="BF"/>
    </w:rPr>
  </w:style>
  <w:style w:type="paragraph" w:styleId="IntenseQuote">
    <w:name w:val="Intense Quote"/>
    <w:basedOn w:val="Normal"/>
    <w:next w:val="Normal"/>
    <w:link w:val="IntenseQuoteChar"/>
    <w:uiPriority w:val="30"/>
    <w:qFormat/>
    <w:rsid w:val="00DC4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5C7"/>
    <w:rPr>
      <w:i/>
      <w:iCs/>
      <w:color w:val="0F4761" w:themeColor="accent1" w:themeShade="BF"/>
    </w:rPr>
  </w:style>
  <w:style w:type="character" w:styleId="IntenseReference">
    <w:name w:val="Intense Reference"/>
    <w:basedOn w:val="DefaultParagraphFont"/>
    <w:uiPriority w:val="32"/>
    <w:qFormat/>
    <w:rsid w:val="00DC45C7"/>
    <w:rPr>
      <w:b/>
      <w:bCs/>
      <w:smallCaps/>
      <w:color w:val="0F4761" w:themeColor="accent1" w:themeShade="BF"/>
      <w:spacing w:val="5"/>
    </w:rPr>
  </w:style>
  <w:style w:type="paragraph" w:styleId="FootnoteText">
    <w:name w:val="footnote text"/>
    <w:basedOn w:val="Normal"/>
    <w:link w:val="FootnoteTextChar"/>
    <w:uiPriority w:val="99"/>
    <w:unhideWhenUsed/>
    <w:rsid w:val="00DC45C7"/>
    <w:pPr>
      <w:spacing w:after="0" w:line="240" w:lineRule="auto"/>
    </w:pPr>
    <w:rPr>
      <w:sz w:val="20"/>
      <w:szCs w:val="20"/>
    </w:rPr>
  </w:style>
  <w:style w:type="character" w:customStyle="1" w:styleId="FootnoteTextChar">
    <w:name w:val="Footnote Text Char"/>
    <w:basedOn w:val="DefaultParagraphFont"/>
    <w:link w:val="FootnoteText"/>
    <w:uiPriority w:val="99"/>
    <w:rsid w:val="00DC45C7"/>
    <w:rPr>
      <w:sz w:val="20"/>
      <w:szCs w:val="20"/>
    </w:rPr>
  </w:style>
  <w:style w:type="character" w:styleId="FootnoteReference">
    <w:name w:val="footnote reference"/>
    <w:basedOn w:val="DefaultParagraphFont"/>
    <w:uiPriority w:val="99"/>
    <w:semiHidden/>
    <w:unhideWhenUsed/>
    <w:rsid w:val="00DC45C7"/>
    <w:rPr>
      <w:vertAlign w:val="superscript"/>
    </w:rPr>
  </w:style>
  <w:style w:type="character" w:styleId="Strong">
    <w:name w:val="Strong"/>
    <w:basedOn w:val="DefaultParagraphFont"/>
    <w:uiPriority w:val="22"/>
    <w:qFormat/>
    <w:rsid w:val="00DC45C7"/>
    <w:rPr>
      <w:b/>
      <w:bCs/>
    </w:rPr>
  </w:style>
  <w:style w:type="paragraph" w:styleId="Header">
    <w:name w:val="header"/>
    <w:basedOn w:val="Normal"/>
    <w:link w:val="HeaderChar"/>
    <w:uiPriority w:val="99"/>
    <w:unhideWhenUsed/>
    <w:rsid w:val="00DC4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C7"/>
  </w:style>
  <w:style w:type="paragraph" w:styleId="Footer">
    <w:name w:val="footer"/>
    <w:basedOn w:val="Normal"/>
    <w:link w:val="FooterChar"/>
    <w:uiPriority w:val="99"/>
    <w:unhideWhenUsed/>
    <w:rsid w:val="00DC4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5C7"/>
  </w:style>
  <w:style w:type="character" w:styleId="CommentReference">
    <w:name w:val="annotation reference"/>
    <w:basedOn w:val="DefaultParagraphFont"/>
    <w:uiPriority w:val="99"/>
    <w:semiHidden/>
    <w:unhideWhenUsed/>
    <w:rsid w:val="00DC45C7"/>
    <w:rPr>
      <w:sz w:val="16"/>
      <w:szCs w:val="16"/>
    </w:rPr>
  </w:style>
  <w:style w:type="paragraph" w:styleId="CommentText">
    <w:name w:val="annotation text"/>
    <w:basedOn w:val="Normal"/>
    <w:link w:val="CommentTextChar"/>
    <w:uiPriority w:val="99"/>
    <w:unhideWhenUsed/>
    <w:rsid w:val="00DC45C7"/>
    <w:pPr>
      <w:spacing w:line="240" w:lineRule="auto"/>
    </w:pPr>
    <w:rPr>
      <w:sz w:val="20"/>
      <w:szCs w:val="20"/>
    </w:rPr>
  </w:style>
  <w:style w:type="character" w:customStyle="1" w:styleId="CommentTextChar">
    <w:name w:val="Comment Text Char"/>
    <w:basedOn w:val="DefaultParagraphFont"/>
    <w:link w:val="CommentText"/>
    <w:uiPriority w:val="99"/>
    <w:rsid w:val="00DC45C7"/>
    <w:rPr>
      <w:sz w:val="20"/>
      <w:szCs w:val="20"/>
    </w:rPr>
  </w:style>
  <w:style w:type="paragraph" w:styleId="CommentSubject">
    <w:name w:val="annotation subject"/>
    <w:basedOn w:val="CommentText"/>
    <w:next w:val="CommentText"/>
    <w:link w:val="CommentSubjectChar"/>
    <w:uiPriority w:val="99"/>
    <w:semiHidden/>
    <w:unhideWhenUsed/>
    <w:rsid w:val="00DC45C7"/>
    <w:rPr>
      <w:b/>
      <w:bCs/>
    </w:rPr>
  </w:style>
  <w:style w:type="character" w:customStyle="1" w:styleId="CommentSubjectChar">
    <w:name w:val="Comment Subject Char"/>
    <w:basedOn w:val="CommentTextChar"/>
    <w:link w:val="CommentSubject"/>
    <w:uiPriority w:val="99"/>
    <w:semiHidden/>
    <w:rsid w:val="00DC45C7"/>
    <w:rPr>
      <w:b/>
      <w:bCs/>
      <w:sz w:val="20"/>
      <w:szCs w:val="20"/>
    </w:rPr>
  </w:style>
  <w:style w:type="paragraph" w:customStyle="1" w:styleId="paragraph">
    <w:name w:val="paragraph"/>
    <w:basedOn w:val="Normal"/>
    <w:rsid w:val="00DC45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C45C7"/>
  </w:style>
  <w:style w:type="character" w:customStyle="1" w:styleId="eop">
    <w:name w:val="eop"/>
    <w:basedOn w:val="DefaultParagraphFont"/>
    <w:rsid w:val="00DC45C7"/>
  </w:style>
  <w:style w:type="table" w:styleId="TableGrid">
    <w:name w:val="Table Grid"/>
    <w:basedOn w:val="TableNormal"/>
    <w:uiPriority w:val="39"/>
    <w:rsid w:val="00DC4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45C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DC45C7"/>
    <w:pPr>
      <w:spacing w:after="100"/>
    </w:pPr>
  </w:style>
  <w:style w:type="paragraph" w:styleId="TOC2">
    <w:name w:val="toc 2"/>
    <w:basedOn w:val="Normal"/>
    <w:next w:val="Normal"/>
    <w:autoRedefine/>
    <w:uiPriority w:val="39"/>
    <w:unhideWhenUsed/>
    <w:rsid w:val="00DC45C7"/>
    <w:pPr>
      <w:spacing w:after="100"/>
      <w:ind w:left="220"/>
    </w:pPr>
  </w:style>
  <w:style w:type="paragraph" w:styleId="TOC3">
    <w:name w:val="toc 3"/>
    <w:basedOn w:val="Normal"/>
    <w:next w:val="Normal"/>
    <w:autoRedefine/>
    <w:uiPriority w:val="39"/>
    <w:unhideWhenUsed/>
    <w:rsid w:val="00DC45C7"/>
    <w:pPr>
      <w:spacing w:after="100"/>
      <w:ind w:left="440"/>
    </w:pPr>
  </w:style>
  <w:style w:type="character" w:styleId="Hyperlink">
    <w:name w:val="Hyperlink"/>
    <w:basedOn w:val="DefaultParagraphFont"/>
    <w:uiPriority w:val="99"/>
    <w:unhideWhenUsed/>
    <w:rsid w:val="00DC45C7"/>
    <w:rPr>
      <w:color w:val="467886" w:themeColor="hyperlink"/>
      <w:u w:val="single"/>
    </w:rPr>
  </w:style>
  <w:style w:type="character" w:styleId="UnresolvedMention">
    <w:name w:val="Unresolved Mention"/>
    <w:basedOn w:val="DefaultParagraphFont"/>
    <w:uiPriority w:val="99"/>
    <w:semiHidden/>
    <w:unhideWhenUsed/>
    <w:rsid w:val="00DC45C7"/>
    <w:rPr>
      <w:color w:val="605E5C"/>
      <w:shd w:val="clear" w:color="auto" w:fill="E1DFDD"/>
    </w:rPr>
  </w:style>
  <w:style w:type="character" w:styleId="Mention">
    <w:name w:val="Mention"/>
    <w:basedOn w:val="DefaultParagraphFont"/>
    <w:uiPriority w:val="99"/>
    <w:unhideWhenUsed/>
    <w:rsid w:val="00DC45C7"/>
    <w:rPr>
      <w:color w:val="2B579A"/>
      <w:shd w:val="clear" w:color="auto" w:fill="E1DFDD"/>
    </w:rPr>
  </w:style>
  <w:style w:type="paragraph" w:styleId="Revision">
    <w:name w:val="Revision"/>
    <w:hidden/>
    <w:uiPriority w:val="99"/>
    <w:semiHidden/>
    <w:rsid w:val="00DC45C7"/>
    <w:pPr>
      <w:spacing w:after="0" w:line="240" w:lineRule="auto"/>
    </w:pPr>
  </w:style>
  <w:style w:type="character" w:customStyle="1" w:styleId="cf01">
    <w:name w:val="cf01"/>
    <w:basedOn w:val="DefaultParagraphFont"/>
    <w:rsid w:val="00D80E50"/>
    <w:rPr>
      <w:rFonts w:ascii="Segoe UI" w:hAnsi="Segoe UI" w:cs="Segoe UI" w:hint="default"/>
      <w:sz w:val="18"/>
      <w:szCs w:val="18"/>
    </w:rPr>
  </w:style>
  <w:style w:type="paragraph" w:styleId="BodyText">
    <w:name w:val="Body Text"/>
    <w:basedOn w:val="Normal"/>
    <w:link w:val="BodyTextChar"/>
    <w:uiPriority w:val="99"/>
    <w:semiHidden/>
    <w:unhideWhenUsed/>
    <w:rsid w:val="00946858"/>
    <w:pPr>
      <w:spacing w:after="120"/>
    </w:pPr>
  </w:style>
  <w:style w:type="character" w:customStyle="1" w:styleId="BodyTextChar">
    <w:name w:val="Body Text Char"/>
    <w:basedOn w:val="DefaultParagraphFont"/>
    <w:link w:val="BodyText"/>
    <w:uiPriority w:val="99"/>
    <w:semiHidden/>
    <w:rsid w:val="0094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50103">
      <w:bodyDiv w:val="1"/>
      <w:marLeft w:val="0"/>
      <w:marRight w:val="0"/>
      <w:marTop w:val="0"/>
      <w:marBottom w:val="0"/>
      <w:divBdr>
        <w:top w:val="none" w:sz="0" w:space="0" w:color="auto"/>
        <w:left w:val="none" w:sz="0" w:space="0" w:color="auto"/>
        <w:bottom w:val="none" w:sz="0" w:space="0" w:color="auto"/>
        <w:right w:val="none" w:sz="0" w:space="0" w:color="auto"/>
      </w:divBdr>
    </w:div>
    <w:div w:id="88699751">
      <w:bodyDiv w:val="1"/>
      <w:marLeft w:val="0"/>
      <w:marRight w:val="0"/>
      <w:marTop w:val="0"/>
      <w:marBottom w:val="0"/>
      <w:divBdr>
        <w:top w:val="none" w:sz="0" w:space="0" w:color="auto"/>
        <w:left w:val="none" w:sz="0" w:space="0" w:color="auto"/>
        <w:bottom w:val="none" w:sz="0" w:space="0" w:color="auto"/>
        <w:right w:val="none" w:sz="0" w:space="0" w:color="auto"/>
      </w:divBdr>
    </w:div>
    <w:div w:id="166293114">
      <w:bodyDiv w:val="1"/>
      <w:marLeft w:val="0"/>
      <w:marRight w:val="0"/>
      <w:marTop w:val="0"/>
      <w:marBottom w:val="0"/>
      <w:divBdr>
        <w:top w:val="none" w:sz="0" w:space="0" w:color="auto"/>
        <w:left w:val="none" w:sz="0" w:space="0" w:color="auto"/>
        <w:bottom w:val="none" w:sz="0" w:space="0" w:color="auto"/>
        <w:right w:val="none" w:sz="0" w:space="0" w:color="auto"/>
      </w:divBdr>
    </w:div>
    <w:div w:id="1423841398">
      <w:bodyDiv w:val="1"/>
      <w:marLeft w:val="0"/>
      <w:marRight w:val="0"/>
      <w:marTop w:val="0"/>
      <w:marBottom w:val="0"/>
      <w:divBdr>
        <w:top w:val="none" w:sz="0" w:space="0" w:color="auto"/>
        <w:left w:val="none" w:sz="0" w:space="0" w:color="auto"/>
        <w:bottom w:val="none" w:sz="0" w:space="0" w:color="auto"/>
        <w:right w:val="none" w:sz="0" w:space="0" w:color="auto"/>
      </w:divBdr>
    </w:div>
    <w:div w:id="18010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vicki.evans@kcl.ac.uk" TargetMode="External"/><Relationship Id="rId1" Type="http://schemas.openxmlformats.org/officeDocument/2006/relationships/hyperlink" Target="mailto:catherine.de_contreras@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9F32-5E06-4502-AAEB-92308060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10301</Words>
  <Characters>58719</Characters>
  <Application>Microsoft Office Word</Application>
  <DocSecurity>0</DocSecurity>
  <Lines>489</Lines>
  <Paragraphs>137</Paragraphs>
  <ScaleCrop>false</ScaleCrop>
  <Company/>
  <LinksUpToDate>false</LinksUpToDate>
  <CharactersWithSpaces>68883</CharactersWithSpaces>
  <SharedDoc>false</SharedDoc>
  <HLinks>
    <vt:vector size="12" baseType="variant">
      <vt:variant>
        <vt:i4>4849765</vt:i4>
      </vt:variant>
      <vt:variant>
        <vt:i4>3</vt:i4>
      </vt:variant>
      <vt:variant>
        <vt:i4>0</vt:i4>
      </vt:variant>
      <vt:variant>
        <vt:i4>5</vt:i4>
      </vt:variant>
      <vt:variant>
        <vt:lpwstr>mailto:vicki.evans@kcl.ac.uk</vt:lpwstr>
      </vt:variant>
      <vt:variant>
        <vt:lpwstr/>
      </vt:variant>
      <vt:variant>
        <vt:i4>2293794</vt:i4>
      </vt:variant>
      <vt:variant>
        <vt:i4>0</vt:i4>
      </vt:variant>
      <vt:variant>
        <vt:i4>0</vt:i4>
      </vt:variant>
      <vt:variant>
        <vt:i4>5</vt:i4>
      </vt:variant>
      <vt:variant>
        <vt:lpwstr>mailto:catherine.de_contreras@kcl.ac.uk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Evans</dc:creator>
  <cp:keywords/>
  <dc:description/>
  <cp:lastModifiedBy>Catherine De Contreras</cp:lastModifiedBy>
  <cp:revision>2</cp:revision>
  <cp:lastPrinted>2024-10-29T21:42:00Z</cp:lastPrinted>
  <dcterms:created xsi:type="dcterms:W3CDTF">2024-10-30T15:55:00Z</dcterms:created>
  <dcterms:modified xsi:type="dcterms:W3CDTF">2024-10-30T15:55:00Z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2e5fb79a-03e9-4818-b013-57d1f4bbaee8</vt:lpwstr>
  </property>
</Properties>
</file>